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B76E00"/>
          <w:sz w:val="56"/>
        </w:rPr>
        <w:t>ONCOLOGIE</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XII</w:t>
      </w:r>
    </w:p>
    <w:p>
      <w:pPr>
        <w:jc w:val="center"/>
      </w:pPr>
      <w:r>
        <w:rPr>
          <w:rFonts w:ascii="Calibri" w:hAnsi="Calibri"/>
          <w:b w:val="0"/>
          <w:i/>
          <w:color w:val="606060"/>
          <w:sz w:val="28"/>
        </w:rPr>
        <w:t>Oncologie</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103 DCI traitées  •  550+ spécialités commerciales  •  8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NCCN • ESMO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XII : Oncologie</w:t>
      </w:r>
    </w:p>
    <w:p>
      <w:pPr>
        <w:pStyle w:val="Heading2"/>
      </w:pPr>
      <w:r>
        <w:t>Avant-propos et méthodologie du Fascicule XII</w:t>
      </w:r>
    </w:p>
    <w:p>
      <w:pPr>
        <w:pStyle w:val="Heading3"/>
      </w:pPr>
      <w:r>
        <w:t>1. Objet du fascicule</w:t>
      </w:r>
    </w:p>
    <w:p>
      <w:r>
        <w:t>Le présent fascicule constitue le douzième volet du traité technique de pharmacologie clinique destiné aux étudiants en pharmacie d'officine et aux praticiens exerçant sur le territoire algérien. Il poursuit la démarche engagée dans les Fascicules I-XI en traitant de manière exhaustive les classes thérapeutiques oncologiques enregistrées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Heading4"/>
      </w:pPr>
      <w:r>
        <w:t>2.1 Cancer en Algérie</w:t>
      </w:r>
    </w:p>
    <w:p>
      <w:r>
        <w:t>Le cancer représente un problème de santé publique majeur en Algérie :</w:t>
      </w:r>
    </w:p>
    <w:p>
      <w:pPr>
        <w:pStyle w:val="ListBullet"/>
      </w:pPr>
      <w:r/>
      <w:r>
        <w:rPr>
          <w:b/>
        </w:rPr>
        <w:t>Incidence annuelle</w:t>
      </w:r>
      <w:r>
        <w:t xml:space="preserve"> : ~50 000 nouveaux cas/an</w:t>
      </w:r>
    </w:p>
    <w:p>
      <w:pPr>
        <w:pStyle w:val="ListBullet"/>
      </w:pPr>
      <w:r/>
      <w:r>
        <w:rPr>
          <w:b/>
        </w:rPr>
        <w:t>Mortalité</w:t>
      </w:r>
      <w:r>
        <w:t xml:space="preserve"> : ~25 000 décès/an</w:t>
      </w:r>
    </w:p>
    <w:p>
      <w:pPr>
        <w:pStyle w:val="ListBullet"/>
      </w:pPr>
      <w:r/>
      <w:r>
        <w:rPr>
          <w:b/>
        </w:rPr>
        <w:t>Cancers les plus fréquents</w:t>
      </w:r>
      <w:r>
        <w:t xml:space="preserve"> : sein (femme), prostate (homme), colorectal, poumon, vessie, lymphomes</w:t>
      </w:r>
    </w:p>
    <w:p>
      <w:pPr>
        <w:pStyle w:val="ListBullet"/>
      </w:pPr>
      <w:r/>
      <w:r>
        <w:rPr>
          <w:b/>
        </w:rPr>
        <w:t>Cancers pédiatriques</w:t>
      </w:r>
      <w:r>
        <w:t xml:space="preserve"> : leucémies aiguës (LAL), neuroblastome, néphroblastome (Wilms)</w:t>
      </w:r>
    </w:p>
    <w:p>
      <w:pPr>
        <w:pStyle w:val="ListBullet"/>
      </w:pPr>
      <w:r/>
      <w:r>
        <w:rPr>
          <w:b/>
        </w:rPr>
        <w:t>Amélioration de la prise en charge</w:t>
      </w:r>
      <w:r>
        <w:t xml:space="preserve"> : accès aux biothérapies, thérapies ciblées, hôpours de jour</w:t>
      </w:r>
    </w:p>
    <w:p>
      <w:pPr>
        <w:pStyle w:val="Heading4"/>
      </w:pPr>
      <w:r>
        <w:t>2.2 Spécificités du marché algérien</w:t>
      </w:r>
    </w:p>
    <w:p>
      <w:pPr>
        <w:pStyle w:val="ListBullet"/>
      </w:pPr>
      <w:r/>
      <w:r>
        <w:rPr>
          <w:b/>
        </w:rPr>
        <w:t>Large disponibilité des chimiothérapies classiques</w:t>
      </w:r>
      <w:r>
        <w:t xml:space="preserve"> (cyclophosphamide, 5-FU, cisplatine, doxorubicine)</w:t>
      </w:r>
    </w:p>
    <w:p>
      <w:pPr>
        <w:pStyle w:val="ListBullet"/>
      </w:pPr>
      <w:r/>
      <w:r>
        <w:rPr>
          <w:b/>
        </w:rPr>
        <w:t>Thérapies ciblées disponibles</w:t>
      </w:r>
      <w:r>
        <w:t xml:space="preserve"> (imatinib, erlotinib, sorafenib, etc.)</w:t>
      </w:r>
    </w:p>
    <w:p>
      <w:pPr>
        <w:pStyle w:val="ListBullet"/>
      </w:pPr>
      <w:r/>
      <w:r>
        <w:rPr>
          <w:b/>
        </w:rPr>
        <w:t>Biothérapies modernes</w:t>
      </w:r>
      <w:r>
        <w:t xml:space="preserve"> (trastuzumab, rituximab, bevacizumab, pembrolizumab, nivolumab)</w:t>
      </w:r>
    </w:p>
    <w:p>
      <w:pPr>
        <w:pStyle w:val="ListBullet"/>
      </w:pPr>
      <w:r/>
      <w:r>
        <w:rPr>
          <w:b/>
        </w:rPr>
        <w:t>Hormonothérapies disponibles</w:t>
      </w:r>
      <w:r>
        <w:t xml:space="preserve"> (tamoxifène, anastrozole, abiratérone, enzalutamide)</w:t>
      </w:r>
    </w:p>
    <w:p>
      <w:pPr>
        <w:pStyle w:val="ListBullet"/>
      </w:pPr>
      <w:r/>
      <w:r>
        <w:rPr>
          <w:b/>
        </w:rPr>
        <w:t>Alertes d'approvisionnement</w:t>
      </w:r>
      <w:r>
        <w:t xml:space="preserve"> : cisplatine, carboplatine NON_RENOUVELABLES (alternatives oxaliplatine)</w:t>
      </w:r>
    </w:p>
    <w:p>
      <w:pPr>
        <w:pStyle w:val="Heading3"/>
      </w:pPr>
      <w:r>
        <w:t>3. Sources académiques mobilisées</w:t>
      </w:r>
    </w:p>
    <w:p>
      <w:pPr>
        <w:pStyle w:val="ListBullet"/>
      </w:pPr>
      <w:r/>
      <w:r>
        <w:rPr>
          <w:b/>
        </w:rPr>
        <w:t>VIDAL</w:t>
      </w:r>
      <w:r>
        <w:t xml:space="preserve"> : AMM, RCP, interactions</w:t>
      </w:r>
    </w:p>
    <w:p>
      <w:pPr>
        <w:pStyle w:val="ListBullet"/>
      </w:pPr>
      <w:r/>
      <w:r>
        <w:rPr>
          <w:b/>
        </w:rPr>
        <w:t>ANSM</w:t>
      </w:r>
      <w:r>
        <w:t xml:space="preserve"> : recommandations, mises en garde</w:t>
      </w:r>
    </w:p>
    <w:p>
      <w:pPr>
        <w:pStyle w:val="ListBullet"/>
      </w:pPr>
      <w:r/>
      <w:r>
        <w:rPr>
          <w:b/>
        </w:rPr>
        <w:t>Thériaque</w:t>
      </w:r>
      <w:r>
        <w:t xml:space="preserve"> : banque de données pharmaceutiques (CNHIM)</w:t>
      </w:r>
    </w:p>
    <w:p>
      <w:pPr>
        <w:pStyle w:val="ListBullet"/>
      </w:pPr>
      <w:r/>
      <w:r>
        <w:rPr>
          <w:b/>
        </w:rPr>
        <w:t>CRAT</w:t>
      </w:r>
      <w:r>
        <w:t xml:space="preserve"> : données grossesse et allaitement</w:t>
      </w:r>
    </w:p>
    <w:p>
      <w:pPr>
        <w:pStyle w:val="ListBullet"/>
      </w:pPr>
      <w:r/>
      <w:r>
        <w:rPr>
          <w:b/>
        </w:rPr>
        <w:t>NCCN (National Comprehensive Cancer Network)</w:t>
      </w:r>
      <w:r>
        <w:t xml:space="preserve"> : guidelines oncologie</w:t>
      </w:r>
    </w:p>
    <w:p>
      <w:pPr>
        <w:pStyle w:val="ListBullet"/>
      </w:pPr>
      <w:r/>
      <w:r>
        <w:rPr>
          <w:b/>
        </w:rPr>
        <w:t>ESMO (European Society for Medical Oncology)</w:t>
      </w:r>
      <w:r>
        <w:t xml:space="preserve"> : guidelines européennes</w:t>
      </w:r>
    </w:p>
    <w:p>
      <w:pPr>
        <w:pStyle w:val="ListBullet"/>
      </w:pPr>
      <w:r/>
      <w:r>
        <w:rPr>
          <w:b/>
        </w:rPr>
        <w:t>UpToDate, Micromedex, BMJ Best Practice</w:t>
      </w:r>
      <w:r>
        <w:t xml:space="preserve"> : référentiels internationaux</w:t>
      </w:r>
    </w:p>
    <w:p>
      <w:pPr>
        <w:pStyle w:val="Heading3"/>
      </w:pPr>
      <w:r>
        <w:t>4. Périmètre de ce fascicule</w:t>
      </w:r>
    </w:p>
    <w:p>
      <w:r>
        <w:t xml:space="preserve">Ce fascicule couvre </w:t>
      </w:r>
      <w:r>
        <w:rPr>
          <w:b/>
        </w:rPr>
        <w:t>103 DCI</w:t>
      </w:r>
      <w:r>
        <w:t xml:space="preserve"> réparties sur </w:t>
      </w:r>
      <w:r>
        <w:rPr>
          <w:b/>
        </w:rPr>
        <w:t>57 sous-classes</w:t>
      </w:r>
      <w:r>
        <w:t xml:space="preserve"> pharmacologiques :</w:t>
      </w:r>
    </w:p>
    <w:p>
      <w:pPr>
        <w:pStyle w:val="ListNumber"/>
      </w:pPr>
      <w:r>
        <w:t>Alkylants et sels de platine (11 DCI)</w:t>
      </w:r>
    </w:p>
    <w:p>
      <w:pPr>
        <w:pStyle w:val="ListNumber"/>
      </w:pPr>
      <w:r>
        <w:t>Antimétabolites et antibiotiques antitumoraux (18 DCI)</w:t>
      </w:r>
    </w:p>
    <w:p>
      <w:pPr>
        <w:pStyle w:val="ListNumber"/>
      </w:pPr>
      <w:r>
        <w:t>Inhibiteurs du fuseau et de la topoisomérase (11 DCI)</w:t>
      </w:r>
    </w:p>
    <w:p>
      <w:pPr>
        <w:pStyle w:val="ListNumber"/>
      </w:pPr>
      <w:r>
        <w:t>Inhibiteurs de tyrosine kinase (19 DCI)</w:t>
      </w:r>
    </w:p>
    <w:p>
      <w:pPr>
        <w:pStyle w:val="ListNumber"/>
      </w:pPr>
      <w:r>
        <w:t>Thérapies ciblées mTOR/CDK/PARP/Protéasome/IMiD/BCL-2/Hedgehog (12 DCI)</w:t>
      </w:r>
    </w:p>
    <w:p>
      <w:pPr>
        <w:pStyle w:val="ListNumber"/>
      </w:pPr>
      <w:r>
        <w:t>Anticorps monoclonaux (20 DCI)</w:t>
      </w:r>
    </w:p>
    <w:p>
      <w:pPr>
        <w:pStyle w:val="ListNumber"/>
      </w:pPr>
      <w:r>
        <w:t>Hormonothérapies oncologiques (9 DCI)</w:t>
      </w:r>
    </w:p>
    <w:p>
      <w:pPr>
        <w:pStyle w:val="ListNumber"/>
      </w:pPr>
      <w:r>
        <w:t>Oncologie diverse - Enzymes, différenciation, cytokines (3 DCI)</w:t>
      </w:r>
    </w:p>
    <w:p>
      <w:pPr>
        <w:pStyle w:val="Heading2"/>
      </w:pPr>
      <w:r>
        <w:t>Sommaire général du Fascicule XII</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101</w:t>
            </w:r>
          </w:p>
        </w:tc>
        <w:tc>
          <w:tcPr>
            <w:tcW w:type="dxa" w:w="3118"/>
          </w:tcPr>
          <w:p>
            <w:r>
              <w:rPr>
                <w:sz w:val="20"/>
              </w:rPr>
              <w:t>Alkylants et sels de platine</w:t>
            </w:r>
          </w:p>
        </w:tc>
        <w:tc>
          <w:tcPr>
            <w:tcW w:type="dxa" w:w="3118"/>
          </w:tcPr>
          <w:p>
            <w:r>
              <w:rPr>
                <w:sz w:val="20"/>
              </w:rPr>
              <w:t>11</w:t>
            </w:r>
          </w:p>
        </w:tc>
      </w:tr>
      <w:tr>
        <w:tc>
          <w:tcPr>
            <w:tcW w:type="dxa" w:w="3118"/>
          </w:tcPr>
          <w:p>
            <w:r>
              <w:rPr>
                <w:sz w:val="20"/>
              </w:rPr>
              <w:t>102</w:t>
            </w:r>
          </w:p>
        </w:tc>
        <w:tc>
          <w:tcPr>
            <w:tcW w:type="dxa" w:w="3118"/>
          </w:tcPr>
          <w:p>
            <w:r>
              <w:rPr>
                <w:sz w:val="20"/>
              </w:rPr>
              <w:t>Antimétabolites et antibiotiques antitumoraux</w:t>
            </w:r>
          </w:p>
        </w:tc>
        <w:tc>
          <w:tcPr>
            <w:tcW w:type="dxa" w:w="3118"/>
          </w:tcPr>
          <w:p>
            <w:r>
              <w:rPr>
                <w:sz w:val="20"/>
              </w:rPr>
              <w:t>18</w:t>
            </w:r>
          </w:p>
        </w:tc>
      </w:tr>
      <w:tr>
        <w:tc>
          <w:tcPr>
            <w:tcW w:type="dxa" w:w="3118"/>
          </w:tcPr>
          <w:p>
            <w:r>
              <w:rPr>
                <w:sz w:val="20"/>
              </w:rPr>
              <w:t>103</w:t>
            </w:r>
          </w:p>
        </w:tc>
        <w:tc>
          <w:tcPr>
            <w:tcW w:type="dxa" w:w="3118"/>
          </w:tcPr>
          <w:p>
            <w:r>
              <w:rPr>
                <w:sz w:val="20"/>
              </w:rPr>
              <w:t>Inhibiteurs du fuseau et de la topoisomérase</w:t>
            </w:r>
          </w:p>
        </w:tc>
        <w:tc>
          <w:tcPr>
            <w:tcW w:type="dxa" w:w="3118"/>
          </w:tcPr>
          <w:p>
            <w:r>
              <w:rPr>
                <w:sz w:val="20"/>
              </w:rPr>
              <w:t>11</w:t>
            </w:r>
          </w:p>
        </w:tc>
      </w:tr>
      <w:tr>
        <w:tc>
          <w:tcPr>
            <w:tcW w:type="dxa" w:w="3118"/>
          </w:tcPr>
          <w:p>
            <w:r>
              <w:rPr>
                <w:sz w:val="20"/>
              </w:rPr>
              <w:t>104</w:t>
            </w:r>
          </w:p>
        </w:tc>
        <w:tc>
          <w:tcPr>
            <w:tcW w:type="dxa" w:w="3118"/>
          </w:tcPr>
          <w:p>
            <w:r>
              <w:rPr>
                <w:sz w:val="20"/>
              </w:rPr>
              <w:t>Thérapies ciblées - Inhibiteurs de tyrosine kinase</w:t>
            </w:r>
          </w:p>
        </w:tc>
        <w:tc>
          <w:tcPr>
            <w:tcW w:type="dxa" w:w="3118"/>
          </w:tcPr>
          <w:p>
            <w:r>
              <w:rPr>
                <w:sz w:val="20"/>
              </w:rPr>
              <w:t>19</w:t>
            </w:r>
          </w:p>
        </w:tc>
      </w:tr>
      <w:tr>
        <w:tc>
          <w:tcPr>
            <w:tcW w:type="dxa" w:w="3118"/>
          </w:tcPr>
          <w:p>
            <w:r>
              <w:rPr>
                <w:sz w:val="20"/>
              </w:rPr>
              <w:t>105</w:t>
            </w:r>
          </w:p>
        </w:tc>
        <w:tc>
          <w:tcPr>
            <w:tcW w:type="dxa" w:w="3118"/>
          </w:tcPr>
          <w:p>
            <w:r>
              <w:rPr>
                <w:sz w:val="20"/>
              </w:rPr>
              <w:t>Thérapies ciblées - mTOR, CDK, PARP, Protéasome, IMiD, BCL-2, Hedgehog</w:t>
            </w:r>
          </w:p>
        </w:tc>
        <w:tc>
          <w:tcPr>
            <w:tcW w:type="dxa" w:w="3118"/>
          </w:tcPr>
          <w:p>
            <w:r>
              <w:rPr>
                <w:sz w:val="20"/>
              </w:rPr>
              <w:t>12</w:t>
            </w:r>
          </w:p>
        </w:tc>
      </w:tr>
      <w:tr>
        <w:tc>
          <w:tcPr>
            <w:tcW w:type="dxa" w:w="3118"/>
          </w:tcPr>
          <w:p>
            <w:r>
              <w:rPr>
                <w:sz w:val="20"/>
              </w:rPr>
              <w:t>106</w:t>
            </w:r>
          </w:p>
        </w:tc>
        <w:tc>
          <w:tcPr>
            <w:tcW w:type="dxa" w:w="3118"/>
          </w:tcPr>
          <w:p>
            <w:r>
              <w:rPr>
                <w:sz w:val="20"/>
              </w:rPr>
              <w:t>Anticorps monoclonaux</w:t>
            </w:r>
          </w:p>
        </w:tc>
        <w:tc>
          <w:tcPr>
            <w:tcW w:type="dxa" w:w="3118"/>
          </w:tcPr>
          <w:p>
            <w:r>
              <w:rPr>
                <w:sz w:val="20"/>
              </w:rPr>
              <w:t>20</w:t>
            </w:r>
          </w:p>
        </w:tc>
      </w:tr>
      <w:tr>
        <w:tc>
          <w:tcPr>
            <w:tcW w:type="dxa" w:w="3118"/>
          </w:tcPr>
          <w:p>
            <w:r>
              <w:rPr>
                <w:sz w:val="20"/>
              </w:rPr>
              <w:t>107</w:t>
            </w:r>
          </w:p>
        </w:tc>
        <w:tc>
          <w:tcPr>
            <w:tcW w:type="dxa" w:w="3118"/>
          </w:tcPr>
          <w:p>
            <w:r>
              <w:rPr>
                <w:sz w:val="20"/>
              </w:rPr>
              <w:t>Hormonothérapies oncologiques</w:t>
            </w:r>
          </w:p>
        </w:tc>
        <w:tc>
          <w:tcPr>
            <w:tcW w:type="dxa" w:w="3118"/>
          </w:tcPr>
          <w:p>
            <w:r>
              <w:rPr>
                <w:sz w:val="20"/>
              </w:rPr>
              <w:t>9</w:t>
            </w:r>
          </w:p>
        </w:tc>
      </w:tr>
      <w:tr>
        <w:tc>
          <w:tcPr>
            <w:tcW w:type="dxa" w:w="3118"/>
          </w:tcPr>
          <w:p>
            <w:r>
              <w:rPr>
                <w:sz w:val="20"/>
              </w:rPr>
              <w:t>108</w:t>
            </w:r>
          </w:p>
        </w:tc>
        <w:tc>
          <w:tcPr>
            <w:tcW w:type="dxa" w:w="3118"/>
          </w:tcPr>
          <w:p>
            <w:r>
              <w:rPr>
                <w:sz w:val="20"/>
              </w:rPr>
              <w:t>Oncologie diverse - Enzymes, différenciation, cytokines</w:t>
            </w:r>
          </w:p>
        </w:tc>
        <w:tc>
          <w:tcPr>
            <w:tcW w:type="dxa" w:w="3118"/>
          </w:tcPr>
          <w:p>
            <w:r>
              <w:rPr>
                <w:sz w:val="20"/>
              </w:rPr>
              <w:t>3</w:t>
            </w:r>
          </w:p>
        </w:tc>
      </w:tr>
      <w:tr>
        <w:tc>
          <w:tcPr>
            <w:tcW w:type="dxa" w:w="3118"/>
          </w:tcPr>
          <w:p>
            <w:r>
              <w:rPr>
                <w:sz w:val="20"/>
              </w:rPr>
              <w:t>**Total**</w:t>
            </w:r>
          </w:p>
        </w:tc>
        <w:tc>
          <w:tcPr>
            <w:tcW w:type="dxa" w:w="3118"/>
          </w:tcPr>
          <w:p>
            <w:r>
              <w:rPr>
                <w:sz w:val="20"/>
              </w:rPr>
            </w:r>
          </w:p>
        </w:tc>
        <w:tc>
          <w:tcPr>
            <w:tcW w:type="dxa" w:w="3118"/>
          </w:tcPr>
          <w:p>
            <w:r>
              <w:rPr>
                <w:sz w:val="20"/>
              </w:rPr>
              <w:t>**103**</w:t>
            </w:r>
          </w:p>
        </w:tc>
      </w:tr>
    </w:tbl>
    <w:p/>
    <w:p>
      <w:pPr>
        <w:pStyle w:val="Heading1"/>
      </w:pPr>
      <w:r>
        <w:t>Fascicule XII — Oncologie</w:t>
      </w:r>
    </w:p>
    <w:p>
      <w:pPr>
        <w:pStyle w:val="Heading2"/>
      </w:pPr>
      <w:r>
        <w:t>Chapitre 101 — Alkylants et Sels de Platine</w:t>
      </w:r>
    </w:p>
    <w:p>
      <w:pPr>
        <w:pStyle w:val="Heading3"/>
      </w:pPr>
      <w:r>
        <w:t>Introduction au chapitre 101</w:t>
      </w:r>
    </w:p>
    <w:p>
      <w:r>
        <w:t>Les agents alkylants et les sels de platine constituent la pierre angulaire de la chimiothérapie anticancéreuse classique. Ils appartiennent à la famille des cytotoxiques non spécifiques du cycle cellulaire, c'est-à-dire capables d'agir sur les cellules tumorales qu'elles soient en phase de prolifération active ou en phase quiescente (G0). Leur point commun fondamental réside dans leur capacité à léser l'acide désoxyribonucléique (ADN) de manière directe, soit par formation de ponts covalents inter-brins et intra-brins (agents alkylants classiques), soit par création d'adduits de platine liaisons croisées (sels de platine). Ces lésions, lorsqu'elles dépassent la capacité de réparation de la cellule, déclenchent l'apoptose via la voie des caspases et l'activation de p53.</w:t>
      </w:r>
    </w:p>
    <w:p>
      <w:r>
        <w:t xml:space="preserve">Ce chapitre, premier de huit dans le Fascicule XII consacré à l'oncologie, traite </w:t>
      </w:r>
      <w:r>
        <w:rPr>
          <w:b/>
        </w:rPr>
        <w:t>onze DCIs</w:t>
      </w:r>
      <w:r>
        <w:t xml:space="preserve"> disponibles ou ayant été commercialisées sur le territoire algérien selon la nomenclature officielle d'Avril 2026 du Ministère de la Santé. Les alkylants y sont répartis en cinq sous-classes chimiques : moutardes azotées (cyclophosphamide, ifosfamide, chlorambucil), alkylsulfonates (busulfan), moutardes phénalanine (melphalan), nitrosourées (carmustine) et triazines (dacarbazine, témozolomide). Les sels de platine, classés à part en raison de leur mécanisme pseudo-alkylant par adduits, regroupent cisplatine, carboplatine et oxaliplatine.</w:t>
      </w:r>
    </w:p>
    <w:p>
      <w:r>
        <w:t>L'enseignement de ces molécules à l'étudiant en pharmacie algérien revêt une importance toute particulière pour quatre raisons. Premièrement, ces molécules restent des piliers incontournables des protocoles de chimiothérapie curative et palliative, en association ou en monothérapie, dans les cancers solides (sein, poumon, ovaire, côlon, vessie, testicule) comme dans les hémopathies (leucémies aiguës, lymphomes, myélome). Deuxièmement, leur index thérapeutique est étroit, ce qui impose une maîtrise parfaite de la posologie, de la durée de perfusion, des précautions de réanimation (hydratation, antiémétiques, Mesna, G-CSF) et de la surveillance biologique. Troisièmement, le pharmacien d'offrine algérien, en lien avec le pharmacien hospitalier et l'oncologue, joue un rôle clé dans la dispensation des traitements associés (antiémétiques, facteurs de croissance, antalgiques), l'information du patient sur les effets indésirables retardés (stérilité, second cancer, cardiotoxicité) et le suivi de l'observance des formes orales (témozolomide, melphalan, chlorambucil, cyclophosphamide comprimé). Quatrièmement, plusieurs de ces molécules figurent sur la liste des médicaments à prescription hospitalière réservée (Liste I, utilisation hospitalière exclusive), ce qui rend leur circuit de dispensation très particulier en Algérie.</w:t>
      </w:r>
    </w:p>
    <w:p>
      <w:r>
        <w:t>Le présent chapitre respecte une structure pédagogique uniforme : pour chaque DCI, l'étudiant trouvera successivement la liste des catégories pharmacothérapeutiques auxquelles elle appartient, le tableau exhaustif des spécialités disponibles en Algérie (avec statut ACTIF, NON RENOUVELABLE ou RETRAIT), le mécanisme d'action moléculaire détaillé, le profil pharmacologique (indications, contre-indications, effets indésirables), les mesures de prévention et de gestion des toxicités, les interactions médicamenteuses pertinentes, les recommandations CRAT pour la grossesse et l'allaitement, la posologie standard adulte et pédiatrique, l'arbitrage entre formes galéniques, les conseils au patient et enfin les pièges classiques du comptoir. Une table comparative synoptique récapitule les onze molécules en fin de chapitre, complétée par une synthèse pédagogique destinée à l'examen et à la pratique.</w:t>
      </w:r>
    </w:p>
    <w:p>
      <w:r/>
      <w:r>
        <w:rPr>
          <w:b/>
        </w:rPr>
        <w:t>Liste des DCIs traitées dans ce chapitre (11)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N°</w:t>
            </w:r>
          </w:p>
        </w:tc>
        <w:tc>
          <w:tcPr>
            <w:tcW w:type="dxa" w:w="1871"/>
          </w:tcPr>
          <w:p>
            <w:r>
              <w:rPr>
                <w:b/>
                <w:sz w:val="20"/>
              </w:rPr>
              <w:t>DCI</w:t>
            </w:r>
          </w:p>
        </w:tc>
        <w:tc>
          <w:tcPr>
            <w:tcW w:type="dxa" w:w="1871"/>
          </w:tcPr>
          <w:p>
            <w:r>
              <w:rPr>
                <w:b/>
                <w:sz w:val="20"/>
              </w:rPr>
              <w:t>Sous-classe</w:t>
            </w:r>
          </w:p>
        </w:tc>
        <w:tc>
          <w:tcPr>
            <w:tcW w:type="dxa" w:w="1871"/>
          </w:tcPr>
          <w:p>
            <w:r>
              <w:rPr>
                <w:b/>
                <w:sz w:val="20"/>
              </w:rPr>
              <w:t>Mécanisme central</w:t>
            </w:r>
          </w:p>
        </w:tc>
        <w:tc>
          <w:tcPr>
            <w:tcW w:type="dxa" w:w="1871"/>
          </w:tcPr>
          <w:p>
            <w:r>
              <w:rPr>
                <w:b/>
                <w:sz w:val="20"/>
              </w:rPr>
              <w:t>EI cardinaux</w:t>
            </w:r>
          </w:p>
        </w:tc>
      </w:tr>
      <w:tr>
        <w:tc>
          <w:tcPr>
            <w:tcW w:type="dxa" w:w="1871"/>
          </w:tcPr>
          <w:p>
            <w:r>
              <w:rPr>
                <w:sz w:val="20"/>
              </w:rPr>
              <w:t>1</w:t>
            </w:r>
          </w:p>
        </w:tc>
        <w:tc>
          <w:tcPr>
            <w:tcW w:type="dxa" w:w="1871"/>
          </w:tcPr>
          <w:p>
            <w:r>
              <w:rPr>
                <w:sz w:val="20"/>
              </w:rPr>
              <w:t>Cyclophosphamide</w:t>
            </w:r>
          </w:p>
        </w:tc>
        <w:tc>
          <w:tcPr>
            <w:tcW w:type="dxa" w:w="1871"/>
          </w:tcPr>
          <w:p>
            <w:r>
              <w:rPr>
                <w:sz w:val="20"/>
              </w:rPr>
              <w:t>Moutarde azotée</w:t>
            </w:r>
          </w:p>
        </w:tc>
        <w:tc>
          <w:tcPr>
            <w:tcW w:type="dxa" w:w="1871"/>
          </w:tcPr>
          <w:p>
            <w:r>
              <w:rPr>
                <w:sz w:val="20"/>
              </w:rPr>
              <w:t>Ponts inter-brins ADN</w:t>
            </w:r>
          </w:p>
        </w:tc>
        <w:tc>
          <w:tcPr>
            <w:tcW w:type="dxa" w:w="1871"/>
          </w:tcPr>
          <w:p>
            <w:r>
              <w:rPr>
                <w:sz w:val="20"/>
              </w:rPr>
              <w:t>Hémorragie vésicale (acroléine), myélosuppression, stérilité</w:t>
            </w:r>
          </w:p>
        </w:tc>
      </w:tr>
      <w:tr>
        <w:tc>
          <w:tcPr>
            <w:tcW w:type="dxa" w:w="1871"/>
          </w:tcPr>
          <w:p>
            <w:r>
              <w:rPr>
                <w:sz w:val="20"/>
              </w:rPr>
              <w:t>2</w:t>
            </w:r>
          </w:p>
        </w:tc>
        <w:tc>
          <w:tcPr>
            <w:tcW w:type="dxa" w:w="1871"/>
          </w:tcPr>
          <w:p>
            <w:r>
              <w:rPr>
                <w:sz w:val="20"/>
              </w:rPr>
              <w:t>Ifosfamide</w:t>
            </w:r>
          </w:p>
        </w:tc>
        <w:tc>
          <w:tcPr>
            <w:tcW w:type="dxa" w:w="1871"/>
          </w:tcPr>
          <w:p>
            <w:r>
              <w:rPr>
                <w:sz w:val="20"/>
              </w:rPr>
              <w:t>Moutarde azotée</w:t>
            </w:r>
          </w:p>
        </w:tc>
        <w:tc>
          <w:tcPr>
            <w:tcW w:type="dxa" w:w="1871"/>
          </w:tcPr>
          <w:p>
            <w:r>
              <w:rPr>
                <w:sz w:val="20"/>
              </w:rPr>
              <w:t>Ponts inter-brins ADN</w:t>
            </w:r>
          </w:p>
        </w:tc>
        <w:tc>
          <w:tcPr>
            <w:tcW w:type="dxa" w:w="1871"/>
          </w:tcPr>
          <w:p>
            <w:r>
              <w:rPr>
                <w:sz w:val="20"/>
              </w:rPr>
              <w:t>Encéphalopathie, cystite hémorragique (acroléine)</w:t>
            </w:r>
          </w:p>
        </w:tc>
      </w:tr>
      <w:tr>
        <w:tc>
          <w:tcPr>
            <w:tcW w:type="dxa" w:w="1871"/>
          </w:tcPr>
          <w:p>
            <w:r>
              <w:rPr>
                <w:sz w:val="20"/>
              </w:rPr>
              <w:t>3</w:t>
            </w:r>
          </w:p>
        </w:tc>
        <w:tc>
          <w:tcPr>
            <w:tcW w:type="dxa" w:w="1871"/>
          </w:tcPr>
          <w:p>
            <w:r>
              <w:rPr>
                <w:sz w:val="20"/>
              </w:rPr>
              <w:t>Chlorambucil</w:t>
            </w:r>
          </w:p>
        </w:tc>
        <w:tc>
          <w:tcPr>
            <w:tcW w:type="dxa" w:w="1871"/>
          </w:tcPr>
          <w:p>
            <w:r>
              <w:rPr>
                <w:sz w:val="20"/>
              </w:rPr>
              <w:t>Moutarde azotée</w:t>
            </w:r>
          </w:p>
        </w:tc>
        <w:tc>
          <w:tcPr>
            <w:tcW w:type="dxa" w:w="1871"/>
          </w:tcPr>
          <w:p>
            <w:r>
              <w:rPr>
                <w:sz w:val="20"/>
              </w:rPr>
              <w:t>Ponts inter-brins ADN</w:t>
            </w:r>
          </w:p>
        </w:tc>
        <w:tc>
          <w:tcPr>
            <w:tcW w:type="dxa" w:w="1871"/>
          </w:tcPr>
          <w:p>
            <w:r>
              <w:rPr>
                <w:sz w:val="20"/>
              </w:rPr>
              <w:t>Myélosuppression retardée, second cancers</w:t>
            </w:r>
          </w:p>
        </w:tc>
      </w:tr>
      <w:tr>
        <w:tc>
          <w:tcPr>
            <w:tcW w:type="dxa" w:w="1871"/>
          </w:tcPr>
          <w:p>
            <w:r>
              <w:rPr>
                <w:sz w:val="20"/>
              </w:rPr>
              <w:t>4</w:t>
            </w:r>
          </w:p>
        </w:tc>
        <w:tc>
          <w:tcPr>
            <w:tcW w:type="dxa" w:w="1871"/>
          </w:tcPr>
          <w:p>
            <w:r>
              <w:rPr>
                <w:sz w:val="20"/>
              </w:rPr>
              <w:t>Busulfan</w:t>
            </w:r>
          </w:p>
        </w:tc>
        <w:tc>
          <w:tcPr>
            <w:tcW w:type="dxa" w:w="1871"/>
          </w:tcPr>
          <w:p>
            <w:r>
              <w:rPr>
                <w:sz w:val="20"/>
              </w:rPr>
              <w:t>Alkylsulfonate</w:t>
            </w:r>
          </w:p>
        </w:tc>
        <w:tc>
          <w:tcPr>
            <w:tcW w:type="dxa" w:w="1871"/>
          </w:tcPr>
          <w:p>
            <w:r>
              <w:rPr>
                <w:sz w:val="20"/>
              </w:rPr>
              <w:t>Ponts inter-brins ADN GU</w:t>
            </w:r>
          </w:p>
        </w:tc>
        <w:tc>
          <w:tcPr>
            <w:tcW w:type="dxa" w:w="1871"/>
          </w:tcPr>
          <w:p>
            <w:r>
              <w:rPr>
                <w:sz w:val="20"/>
              </w:rPr>
              <w:t>Fibrose pulmonaire, crises convulsives</w:t>
            </w:r>
          </w:p>
        </w:tc>
      </w:tr>
      <w:tr>
        <w:tc>
          <w:tcPr>
            <w:tcW w:type="dxa" w:w="1871"/>
          </w:tcPr>
          <w:p>
            <w:r>
              <w:rPr>
                <w:sz w:val="20"/>
              </w:rPr>
              <w:t>5</w:t>
            </w:r>
          </w:p>
        </w:tc>
        <w:tc>
          <w:tcPr>
            <w:tcW w:type="dxa" w:w="1871"/>
          </w:tcPr>
          <w:p>
            <w:r>
              <w:rPr>
                <w:sz w:val="20"/>
              </w:rPr>
              <w:t>Melphalan</w:t>
            </w:r>
          </w:p>
        </w:tc>
        <w:tc>
          <w:tcPr>
            <w:tcW w:type="dxa" w:w="1871"/>
          </w:tcPr>
          <w:p>
            <w:r>
              <w:rPr>
                <w:sz w:val="20"/>
              </w:rPr>
              <w:t>Moutarde phénalanine</w:t>
            </w:r>
          </w:p>
        </w:tc>
        <w:tc>
          <w:tcPr>
            <w:tcW w:type="dxa" w:w="1871"/>
          </w:tcPr>
          <w:p>
            <w:r>
              <w:rPr>
                <w:sz w:val="20"/>
              </w:rPr>
              <w:t>Ponts inter-brins ADN</w:t>
            </w:r>
          </w:p>
        </w:tc>
        <w:tc>
          <w:tcPr>
            <w:tcW w:type="dxa" w:w="1871"/>
          </w:tcPr>
          <w:p>
            <w:r>
              <w:rPr>
                <w:sz w:val="20"/>
              </w:rPr>
              <w:t>Myélosuppression sévère, second leucémies</w:t>
            </w:r>
          </w:p>
        </w:tc>
      </w:tr>
      <w:tr>
        <w:tc>
          <w:tcPr>
            <w:tcW w:type="dxa" w:w="1871"/>
          </w:tcPr>
          <w:p>
            <w:r>
              <w:rPr>
                <w:sz w:val="20"/>
              </w:rPr>
              <w:t>6</w:t>
            </w:r>
          </w:p>
        </w:tc>
        <w:tc>
          <w:tcPr>
            <w:tcW w:type="dxa" w:w="1871"/>
          </w:tcPr>
          <w:p>
            <w:r>
              <w:rPr>
                <w:sz w:val="20"/>
              </w:rPr>
              <w:t>Carmustine</w:t>
            </w:r>
          </w:p>
        </w:tc>
        <w:tc>
          <w:tcPr>
            <w:tcW w:type="dxa" w:w="1871"/>
          </w:tcPr>
          <w:p>
            <w:r>
              <w:rPr>
                <w:sz w:val="20"/>
              </w:rPr>
              <w:t>Nitrosourée</w:t>
            </w:r>
          </w:p>
        </w:tc>
        <w:tc>
          <w:tcPr>
            <w:tcW w:type="dxa" w:w="1871"/>
          </w:tcPr>
          <w:p>
            <w:r>
              <w:rPr>
                <w:sz w:val="20"/>
              </w:rPr>
              <w:t>Carbamoylation + ponts ADN</w:t>
            </w:r>
          </w:p>
        </w:tc>
        <w:tc>
          <w:tcPr>
            <w:tcW w:type="dxa" w:w="1871"/>
          </w:tcPr>
          <w:p>
            <w:r>
              <w:rPr>
                <w:sz w:val="20"/>
              </w:rPr>
              <w:t>Fibrose pulmonaire, myélosuppression retardée</w:t>
            </w:r>
          </w:p>
        </w:tc>
      </w:tr>
      <w:tr>
        <w:tc>
          <w:tcPr>
            <w:tcW w:type="dxa" w:w="1871"/>
          </w:tcPr>
          <w:p>
            <w:r>
              <w:rPr>
                <w:sz w:val="20"/>
              </w:rPr>
              <w:t>7</w:t>
            </w:r>
          </w:p>
        </w:tc>
        <w:tc>
          <w:tcPr>
            <w:tcW w:type="dxa" w:w="1871"/>
          </w:tcPr>
          <w:p>
            <w:r>
              <w:rPr>
                <w:sz w:val="20"/>
              </w:rPr>
              <w:t>Dacarbazine</w:t>
            </w:r>
          </w:p>
        </w:tc>
        <w:tc>
          <w:tcPr>
            <w:tcW w:type="dxa" w:w="1871"/>
          </w:tcPr>
          <w:p>
            <w:r>
              <w:rPr>
                <w:sz w:val="20"/>
              </w:rPr>
              <w:t>Triazine</w:t>
            </w:r>
          </w:p>
        </w:tc>
        <w:tc>
          <w:tcPr>
            <w:tcW w:type="dxa" w:w="1871"/>
          </w:tcPr>
          <w:p>
            <w:r>
              <w:rPr>
                <w:sz w:val="20"/>
              </w:rPr>
              <w:t>Méthylation O6-guanine</w:t>
            </w:r>
          </w:p>
        </w:tc>
        <w:tc>
          <w:tcPr>
            <w:tcW w:type="dxa" w:w="1871"/>
          </w:tcPr>
          <w:p>
            <w:r>
              <w:rPr>
                <w:sz w:val="20"/>
              </w:rPr>
              <w:t>Vomissements, toxicité flushing-like</w:t>
            </w:r>
          </w:p>
        </w:tc>
      </w:tr>
      <w:tr>
        <w:tc>
          <w:tcPr>
            <w:tcW w:type="dxa" w:w="1871"/>
          </w:tcPr>
          <w:p>
            <w:r>
              <w:rPr>
                <w:sz w:val="20"/>
              </w:rPr>
              <w:t>8</w:t>
            </w:r>
          </w:p>
        </w:tc>
        <w:tc>
          <w:tcPr>
            <w:tcW w:type="dxa" w:w="1871"/>
          </w:tcPr>
          <w:p>
            <w:r>
              <w:rPr>
                <w:sz w:val="20"/>
              </w:rPr>
              <w:t>Témozolomide</w:t>
            </w:r>
          </w:p>
        </w:tc>
        <w:tc>
          <w:tcPr>
            <w:tcW w:type="dxa" w:w="1871"/>
          </w:tcPr>
          <w:p>
            <w:r>
              <w:rPr>
                <w:sz w:val="20"/>
              </w:rPr>
              <w:t>Triazine (orale)</w:t>
            </w:r>
          </w:p>
        </w:tc>
        <w:tc>
          <w:tcPr>
            <w:tcW w:type="dxa" w:w="1871"/>
          </w:tcPr>
          <w:p>
            <w:r>
              <w:rPr>
                <w:sz w:val="20"/>
              </w:rPr>
              <w:t>Méthylation O6-guanine</w:t>
            </w:r>
          </w:p>
        </w:tc>
        <w:tc>
          <w:tcPr>
            <w:tcW w:type="dxa" w:w="1871"/>
          </w:tcPr>
          <w:p>
            <w:r>
              <w:rPr>
                <w:sz w:val="20"/>
              </w:rPr>
              <w:t>Lymphopénie, pneumocystose</w:t>
            </w:r>
          </w:p>
        </w:tc>
      </w:tr>
      <w:tr>
        <w:tc>
          <w:tcPr>
            <w:tcW w:type="dxa" w:w="1871"/>
          </w:tcPr>
          <w:p>
            <w:r>
              <w:rPr>
                <w:sz w:val="20"/>
              </w:rPr>
              <w:t>9</w:t>
            </w:r>
          </w:p>
        </w:tc>
        <w:tc>
          <w:tcPr>
            <w:tcW w:type="dxa" w:w="1871"/>
          </w:tcPr>
          <w:p>
            <w:r>
              <w:rPr>
                <w:sz w:val="20"/>
              </w:rPr>
              <w:t>Cisplatine</w:t>
            </w:r>
          </w:p>
        </w:tc>
        <w:tc>
          <w:tcPr>
            <w:tcW w:type="dxa" w:w="1871"/>
          </w:tcPr>
          <w:p>
            <w:r>
              <w:rPr>
                <w:sz w:val="20"/>
              </w:rPr>
              <w:t>Sel de platine</w:t>
            </w:r>
          </w:p>
        </w:tc>
        <w:tc>
          <w:tcPr>
            <w:tcW w:type="dxa" w:w="1871"/>
          </w:tcPr>
          <w:p>
            <w:r>
              <w:rPr>
                <w:sz w:val="20"/>
              </w:rPr>
              <w:t>Adduits intra-brins 1,2-d(GpG)</w:t>
            </w:r>
          </w:p>
        </w:tc>
        <w:tc>
          <w:tcPr>
            <w:tcW w:type="dxa" w:w="1871"/>
          </w:tcPr>
          <w:p>
            <w:r>
              <w:rPr>
                <w:sz w:val="20"/>
              </w:rPr>
              <w:t>Néphrotoxicité, ototoxicité, neurotoxicité</w:t>
            </w:r>
          </w:p>
        </w:tc>
      </w:tr>
      <w:tr>
        <w:tc>
          <w:tcPr>
            <w:tcW w:type="dxa" w:w="1871"/>
          </w:tcPr>
          <w:p>
            <w:r>
              <w:rPr>
                <w:sz w:val="20"/>
              </w:rPr>
              <w:t>10</w:t>
            </w:r>
          </w:p>
        </w:tc>
        <w:tc>
          <w:tcPr>
            <w:tcW w:type="dxa" w:w="1871"/>
          </w:tcPr>
          <w:p>
            <w:r>
              <w:rPr>
                <w:sz w:val="20"/>
              </w:rPr>
              <w:t>Carboplatine</w:t>
            </w:r>
          </w:p>
        </w:tc>
        <w:tc>
          <w:tcPr>
            <w:tcW w:type="dxa" w:w="1871"/>
          </w:tcPr>
          <w:p>
            <w:r>
              <w:rPr>
                <w:sz w:val="20"/>
              </w:rPr>
              <w:t>Sel de platine</w:t>
            </w:r>
          </w:p>
        </w:tc>
        <w:tc>
          <w:tcPr>
            <w:tcW w:type="dxa" w:w="1871"/>
          </w:tcPr>
          <w:p>
            <w:r>
              <w:rPr>
                <w:sz w:val="20"/>
              </w:rPr>
              <w:t>Adduits intra-brins</w:t>
            </w:r>
          </w:p>
        </w:tc>
        <w:tc>
          <w:tcPr>
            <w:tcW w:type="dxa" w:w="1871"/>
          </w:tcPr>
          <w:p>
            <w:r>
              <w:rPr>
                <w:sz w:val="20"/>
              </w:rPr>
              <w:t>Myélosuppression (thrombopénie)</w:t>
            </w:r>
          </w:p>
        </w:tc>
      </w:tr>
      <w:tr>
        <w:tc>
          <w:tcPr>
            <w:tcW w:type="dxa" w:w="1871"/>
          </w:tcPr>
          <w:p>
            <w:r>
              <w:rPr>
                <w:sz w:val="20"/>
              </w:rPr>
              <w:t>11</w:t>
            </w:r>
          </w:p>
        </w:tc>
        <w:tc>
          <w:tcPr>
            <w:tcW w:type="dxa" w:w="1871"/>
          </w:tcPr>
          <w:p>
            <w:r>
              <w:rPr>
                <w:sz w:val="20"/>
              </w:rPr>
              <w:t>Oxaliplatine</w:t>
            </w:r>
          </w:p>
        </w:tc>
        <w:tc>
          <w:tcPr>
            <w:tcW w:type="dxa" w:w="1871"/>
          </w:tcPr>
          <w:p>
            <w:r>
              <w:rPr>
                <w:sz w:val="20"/>
              </w:rPr>
              <w:t>Sel de platine</w:t>
            </w:r>
          </w:p>
        </w:tc>
        <w:tc>
          <w:tcPr>
            <w:tcW w:type="dxa" w:w="1871"/>
          </w:tcPr>
          <w:p>
            <w:r>
              <w:rPr>
                <w:sz w:val="20"/>
              </w:rPr>
              <w:t>Adduits intra-brins DACH</w:t>
            </w:r>
          </w:p>
        </w:tc>
        <w:tc>
          <w:tcPr>
            <w:tcW w:type="dxa" w:w="1871"/>
          </w:tcPr>
          <w:p>
            <w:r>
              <w:rPr>
                <w:sz w:val="20"/>
              </w:rPr>
              <w:t>Neurotoxicité chronique, allergie</w:t>
            </w:r>
          </w:p>
        </w:tc>
      </w:tr>
    </w:tbl>
    <w:p/>
    <w:p>
      <w:pPr>
        <w:pStyle w:val="Heading3"/>
      </w:pPr>
      <w:r>
        <w:t>1. Sous-classe : Alkylants - Moutardes azotées</w:t>
      </w:r>
    </w:p>
    <w:p>
      <w:r>
        <w:t>Les moutardes azotées (nitrogen mustards) dérivent structurellement de la moutarde au soufre (sulfure de bis(2-chloroéthyle), utilisée comme arme chimique dès la Première Guerre mondiale à Ypres en 1917. La substitution du soufre par un atome d'azote a permis, dans les années 1940, d'obtenir des composés à activité antitumorale exploitables : mechlorethamine (HN2), premier alkylant utilisé en clinique en 1942 par Goodman et Gilman dans les lymphomes hodgkiniens, puis cyclophosphamide (1958), ifosfamide (1968) et chlorambucil (1953). Le squelette commun est un atome d'azote bis(2-chloroéthyle) qui, après activation métabolique ou spontanée, libère un ion aziridinium hautement électrophile capable de former des ponts covalents avec les groupes nucléophiles de l'ADN, notamment l'N7 de la guanine.</w:t>
      </w:r>
    </w:p>
    <w:p>
      <w:r>
        <w:t>Le cyclophosphamide et l'ifosfamide sont des promédicaments qui requièrent une activation hépatique par le cytochrome P450 (principalement CYP2B6, CYP3A4, CYP2C9) en 4-hydroxy-alkylant, qui se décompose ensuite en moutarde phosphoramide active (pour le cyclophosphamide) ou isophosphoramide (pour l'ifosfamide) et en acroléine, métabolite urotoxique responsable de la cystite hémorragique. Le chlorambucil, en revanche, est actif par lui-même et ne nécessite pas d'activation métabolique.</w:t>
      </w:r>
    </w:p>
    <w:p>
      <w:r>
        <w:t>Les moutardes azotées sont des agents alkylants bifonctionnels : elles forment des ponts inter-brins (inter-strand cross-links) et intra-brins (intra-strand cross-links) de l'ADN, lésions extrêmement cytotoxiques car elles bloquent la réplication et la transcription. La réparation par le système NER (nucleotide excision repair) et la recombinaison homologue est possible mais saturable. La cytotoxicité est cycle-non-spécifique (action y compris sur cellules en G0), ce qui explique leur activité sur les tumeurs à prolifération lente (leucémies chroniques, myélome, lymphomes indolents).</w:t>
      </w:r>
    </w:p>
    <w:p>
      <w:r>
        <w:t>La toxicité commune aux moutardes azotées comprend : myélosuppression (thrombopénie, neutropénie), immunosuppression (lymphopénie durable), toxicité vésicale (acroléine pour cyclophosphamide/ifosfamide), atteinte des gonades (azoospermie, aménorrhée parfois définitive), tératogénicité majeure (CI absolue de grossesse), et risque de second cancer (leucémies aiguës myéloïdes secondaires, surtout après irradiation cumulée). Le chlorambucil est considéré comme le plus leucémogène du groupe.</w:t>
      </w:r>
    </w:p>
    <w:p>
      <w:r>
        <w:t>Trois molécules de cette sous-classe sont disponibles en Algérie : cyclophosphamide, ifosfamide et chlorambucil.</w:t>
      </w:r>
    </w:p>
    <w:p>
      <w:pPr>
        <w:pStyle w:val="Heading3"/>
      </w:pPr>
      <w:r>
        <w:t>2. Sous-classe : Alkylants - Alkylsulfonates</w:t>
      </w:r>
    </w:p>
    <w:p>
      <w:r>
        <w:t>Les alkylsulfonates sont une sous-classe réduite, dont le seul représentant clinique en oncologie est le busulfan (Myleran®, Busilvex®), découvert en 1953 par Haddow et Timmis. Sa structure est celle d'un diéthersulfonate — le 1,4-butanediol diméthanesulfonate — caractérisée par deux groupes méthanesulfonate liés par un pont butane. Contrairement aux moutardes azotées, le busulfan ne forme pas d'ion aziridinium : son alkylisation procède par SN2, avec libération progressive de groupes méthylènes bifonctionnels qui pontent l'ADN préférentiellement au niveau des positions N7 de la guanine, formant des ponts inter-brins à la manière des moutardes, mais avec une affinité particulière pour la moelle osseuse.</w:t>
      </w:r>
    </w:p>
    <w:p>
      <w:r>
        <w:t>Le busulfan présente un tropisme myéloïde remarquable : à faible dose, il exerce une action élective sur les cellules souches hématopoïétiques myéloïdes, ce qui lui a valu son utilisation historique dans la leucémie myéloïde chronique (LMC), avant l'ère de l'imatinib. Aujourd'hui, son indication principale est la préparation à la greffe de cellules souches hématopoïétiques (conditionnement myéloablatif), en association avec le cyclophosphamide (protocole BuCy2) ou avec le fludarabine (protocole BuFlu), tant en allogreffe qu'en autogreffe.</w:t>
      </w:r>
    </w:p>
    <w:p>
      <w:r>
        <w:t>La pharmacocinétique du busulfan oral est caractérisée par une variabilité interindividuelle importante, une faible liaison protéique (32 %), une distribution rapide dans tous les compartiments y compris le liquide céphalorachidien (LCR) où il atteint des concentrations proches de la plasmatique — expliquant sa neurotoxicité (crises convulsives), et une métabolisation hépatique par conjugaison au glutathion via les GST (glutathion S-transférases) puis CYP3A4. L'élimination est urinaire sous forme de métabolites inactive.</w:t>
      </w:r>
    </w:p>
    <w:p>
      <w:r>
        <w:t>La toxicité du busulfan est dominée par trois éléments : (i) myélosuppression prolongée et profonde (utilisation justement recherchée en greffe), (ii) fibrose pulmonaire retardée (« busulfan lung »), survenant 8 mois à 10 ans après traitement, de pronostic redoutable, et (iii) neurotoxicité avec convulsions tonicocloniques généralisées lors des fortes doses de conditionnement (justifiant la prophylaxie systématique par phénobarbital, lévétiracétam ou clonazepam). À cela s'ajoutent une hépatotoxicité (maladie veino-occlusive hépatique), une hyperpigmentation cutanée, une cachexie et une stérilité définitive.</w:t>
      </w:r>
    </w:p>
    <w:p>
      <w:r>
        <w:t>Le busulfan est inscrit sur la Liste I en Algérie, à prescription hospitalière spécialisée (unité de greffe de moelle).</w:t>
      </w:r>
    </w:p>
    <w:p>
      <w:pPr>
        <w:pStyle w:val="Heading3"/>
      </w:pPr>
      <w:r>
        <w:t>3. Sous-classe : Alkylants - Moutarde phénalanine</w:t>
      </w:r>
    </w:p>
    <w:p>
      <w:r>
        <w:t>La moutarde phénalanine, ou melphalan (L-PAM, Alkeran®), est un alkylant dérivé de la moutarde azotée auquel a été greffé un acide aminé — la phénylalanine — dans le but initial de cibler les cellules mélanotiques (mélanome) en exploitant la voie de capture des précurseurs de la mélanine. Ce ciblage s'est avéré décevant, mais le melphalan a démontré une remarquable activité anti-myélomateuse qui en fait un pilier du traitement du myélome multiple depuis les années 1960.</w:t>
      </w:r>
    </w:p>
    <w:p>
      <w:r>
        <w:t>Le melphalan est conçu comme une molécule bifonctionnelle portant deux groupes chloroéthylamine sur un squelette phénylalanine. Il subit une cyclisation spontanée (sans activation hépatique) en ion aziridinium qui alkylise l'ADN, formant des ponts inter-brins au niveau de la guanine N7, comparable au cyclophosphamide. C'est donc un alkylant direct, sans promédicament.</w:t>
      </w:r>
    </w:p>
    <w:p>
      <w:r>
        <w:t>Sa pharmacocinétique particulière explique certaines de ses indications : biodisponibilité orale faible (25-90 %, très variable, diminuée par alimentation lactée), métabolisme principal par hydrolyse spontanée en métabolites inactifs (mono- et dihydroxymelphalan), élimination principalement rénale (10-15 % inchangé) et demi-vie courte (90 min). En perfusion IV haute dose (140-200 mg/m²) pour conditionnement de greffe dans le myélome, il franchit la barrière hématoméningée.</w:t>
      </w:r>
    </w:p>
    <w:p>
      <w:r>
        <w:t>Les indications algériennes du melphalan incluent : myélome multiple (en association avec prednisone — protocole MP — ou avec bortézomib/dexaméthasone — protocole VMP ; en haute dose pour conditionnement avant autogreffe de cellules souches), amylose AL (protocole MDex), et historiquement cancers de l'ovaire, sein, polyglobulie de Vaquez. Le melphalan haute dose IV est administré exclusivement en unité de greffe.</w:t>
      </w:r>
    </w:p>
    <w:p>
      <w:r>
        <w:t>Sa toxicité est dominée par une myélosuppression profonde et prolongée (3-4 semaines après perfusion IV), une mucite sévère (hautes doses), une stérilité quasi-systématique à doses cumulées, une pneumopathie interstitielle, et un risque élevé de syndrome myélodysplasique et de leucémie aiguë myéloïde secondaire (leucémogénicité accrue en cas d'association à la radiothérapie ou à d'autres alkylants).</w:t>
      </w:r>
    </w:p>
    <w:p>
      <w:pPr>
        <w:pStyle w:val="Heading3"/>
      </w:pPr>
      <w:r>
        <w:t>4. Sous-classe : Alkylants - Nitrosourées</w:t>
      </w:r>
    </w:p>
    <w:p>
      <w:r>
        <w:t>Les nitrosourées sont des alkylants particuliers découverts dans les années 1960, caractérisés par la présence d'un groupement N-nitroso-N-alkylurée. Elles possèdent deux mécanismes d'action originaux : (i) une fonction alkylante (par les groupes chloroéthyle) qui forme des ponts inter-brins ADN au niveau de l'O6-guanine, et (ii) une fonction carbamoylante (par le groupe isocyanate libéré) qui inactive les protéines cellulaires par carbamylation des résidus cystéine, inhibant notamment la réparation de l'ADN par inhibition de la DNA polymérase et de la glutathion réductase.</w:t>
      </w:r>
    </w:p>
    <w:p>
      <w:r>
        <w:t>Cette double action explique l'activité des nitrosourées sur les cellules quiescentes (G0), y compris les cellules souches tumorales, ainsi que leur passage de la barrière hémato-encéphalique grâce à leur liposolubilité élevée (logP élevé). C'est pourquoi elles ont longtemps été des molécules de référence pour le traitement des tumeurs cérébrales primitives (gliomes, médulloblastomes) et des métastases cérébrales.</w:t>
      </w:r>
    </w:p>
    <w:p>
      <w:r>
        <w:t xml:space="preserve">La principale nitrosourée disponible en Algérie est la </w:t>
      </w:r>
      <w:r>
        <w:rPr>
          <w:b/>
        </w:rPr>
        <w:t>carmustine</w:t>
      </w:r>
      <w:r>
        <w:t xml:space="preserve"> (BCNU, bis-chloroéthylnitrosourée), utilisée en perfusion IV pour gliomes malins en complément de la chirurgie et de la radiothérapie, lymphomes (protocole CHL), myélome (protocole M2 ou VBMCP), et localement par implants (wafer GLIADEL) en peropératoire de glioblastome — forme non disponible en Algérie. La lomustine (CCNU) et la fotémustine ne sont pas commercialisées en Algérie.</w:t>
      </w:r>
    </w:p>
    <w:p>
      <w:r>
        <w:t>Le profil de toxicité de la carmustine est dominé par : (i) une myélosuppression retardée et cumulative (nadir plaquettaire à 4-6 semaines, d'où intervalle de 6 semaines entre cures), (ii) une fibrose pulmonaire (« BCNU lung ») dose-cumulative-dépendante, survenant pour des doses cumulées supérieures 1200-1400 mg/m², de pronostic souvent fatal, (iii) une toxicité hépatique transitoire, et (iv) une toxicité veineuse locale (irritation). La barrière HEE franchie, elle est responsable d'encéphalopathie transitoire possible.</w:t>
      </w:r>
    </w:p>
    <w:p>
      <w:r>
        <w:t>L'usage de la carmustine a nettement régressé en oncologie moderne (développement du témozolomide pour les gliomes), mais elle reste une option de seconde ligne ou en association dans certains protocoles de lymphome ou de myélome.</w:t>
      </w:r>
    </w:p>
    <w:p>
      <w:pPr>
        <w:pStyle w:val="Heading3"/>
      </w:pPr>
      <w:r>
        <w:t>5. Sous-classe : Alkylants - Triazines</w:t>
      </w:r>
    </w:p>
    <w:p>
      <w:r>
        <w:t xml:space="preserve">Les triazines alkylantes regroupent deux molécules apparentées structurellement mais distinctes cliniquement : la </w:t>
      </w:r>
      <w:r>
        <w:rPr>
          <w:b/>
        </w:rPr>
        <w:t>dacarbazine</w:t>
      </w:r>
      <w:r>
        <w:t xml:space="preserve"> (DTIC) et le </w:t>
      </w:r>
      <w:r>
        <w:rPr>
          <w:b/>
        </w:rPr>
        <w:t>témozolomide</w:t>
      </w:r>
      <w:r>
        <w:t xml:space="preserve"> (Temodal®). Toutes deux agissent non pas directement par ponts inter-brins mais par </w:t>
      </w:r>
      <w:r>
        <w:rPr>
          <w:b/>
        </w:rPr>
        <w:t>méthylation</w:t>
      </w:r>
      <w:r>
        <w:t xml:space="preserve"> de l'ADN, principalement en position O6 de la guanine (→ O6-méthylguanine), accessoirement en N7-guanine et N3-adénine. Cette méthylation, si elle n'est pas réparée par la MGMT (O6-méthylguanine-ADN-méthyltransférase), déclenche un mésappariement avec la thymine lors de la réplication, déclenchant la voie de réparation mésappariement (MMR - mismatch repair). L'échec de cette réparation aboutit à des cassures double-brin et à l'apoptose par la voie p53.</w:t>
      </w:r>
    </w:p>
    <w:p>
      <w:r>
        <w:t>La dacarbazine est elle-même un promédicament nécessitant une activation hépatique par CYP1A2, CYP2E1 en MTIC (5-(3-méthyl-1-triazeno)imidazole-4-carboxamide), qui se décompose spontanément en méthyldiazonium, agent méthylant actif. Sa demi-vie est courte (30-50 min), son élimination est principalement rénale (50 % inchangé) et hépatique. Son indication cardinale est le mélanome métastatique (en association ou non), mais aussi les sarcomes des tissus mous (protocole MAI), la maladie de Hodgkin (protocole ABVD — Adriamycine, Bléomycine, Vinblastine, Dacarbazine), et certains neuroblastomes.</w:t>
      </w:r>
    </w:p>
    <w:p>
      <w:r>
        <w:t>Le témozolomide est une prodrogue orale de petites dimensions (194 Da) qui, à pH physiologique, subit une dégradation chimique spontanée (non enzymatique) en MTIC, le même métabolite actif que la dacarbazine. Sa biodisponibilité orale est proche de 100 % (non affectée par alimentation), il traverse la barrière hémato-encéphalique (rapport LCR/plasma 30-40 %), et sa demi-vie est courte (1,8 h). Sa tolérance est nettement supérieure à la dacarbazine (moindre toxicité émétisante). Son indication princeps est le glioblastome multiforme (en association avec radiothérapie en protocole Stupp — 75 mg/m²/j pendant 42 jours concomitants à RT puis 6 cycles d'entretien à 150-200 mg/m² 5 jours/28 jours), mais il est aussi indiqué dans le mélanome métastatique, l'astrocytome anaplasique récidivant, et hors AMM dans les tumeurs neuroendocrines, les gliomes de bas grade en progression, certains lymphomes du SNC.</w:t>
      </w:r>
    </w:p>
    <w:p>
      <w:r>
        <w:t>Le profil de tolérance des triazines est dominé par : myélosuppression (thrombopénie et lymphopénie, nadir à 21-28 j pour le témozolomide — d'où schéma 5 jours/28 jours), nausées/vomissements modérés à sévères (dacarbazine classiquement émétisante de niveau 4 — prémedication obligatoire par antiémétique 5HT3 + corticoïde), fatigue, constipation, et — spécificité du témozolomide — pneumocystose pulmonaire à Pneumocystis jirovecii (prophylaxie cotrimoxazole recommandée si lymphopénie CD4 &lt; 200/mm³).</w:t>
      </w:r>
    </w:p>
    <w:p>
      <w:pPr>
        <w:pStyle w:val="Heading3"/>
      </w:pPr>
      <w:r>
        <w:t>6. Sous-classe : Sels de platine</w:t>
      </w:r>
    </w:p>
    <w:p>
      <w:r>
        <w:t xml:space="preserve">Les sels de platine sont des complexes de coordination du platine (Pt) avec des ligands ammine et chlorure (ou carboxylate). Ils sont rangés parmi les « pseudo-alkylants » car ils ne forment pas de ponts covalents carbonés-ADN mais des </w:t>
      </w:r>
      <w:r>
        <w:rPr>
          <w:b/>
        </w:rPr>
        <w:t>adduits de platine</w:t>
      </w:r>
      <w:r>
        <w:t xml:space="preserve"> liant l'ADN par coordinance, essentiellement au niveau des positions N7 de la guanine, créant des ponts intra-brins (préférentiellement 1,2-d(GpG) et 1,2-d(ApG)) et, à un moindre degré, inter-brins et ADN-protéines. Ces adduits déforment l'ADN, bloquent la réplication et la transcription, et déclenchent l'apoptose par voie p53 et caspases.</w:t>
      </w:r>
    </w:p>
    <w:p>
      <w:r>
        <w:t>Historiquement, le cisplatine (cis-diamminedichloroplatine II) fut découvert en 1965 par Barnett Rosenberg qui observa l'inhibition de la division cellulaire d'Escherichia coli par des champs électriques, attribuée en réalité au cisplatine libéré par les électrodes de platine. Premier sel commercialisé en 1978, il a révolutionné le traitement des cancers du testicule (taux de guérison passant de 5-10 % à 95 %). Le carboplatine (1989) en est l'analogue de seconde génération, avec substitution des chlorures par un cyclobutane-dicarboxylate (CBDCA) qui améliore la tolérance (moins de néphrotoxicité, neurotoxicité, émétisation) au prix d'une myélosuppression plus marquée. L'oxaliplatine (1996, troisième génération) comporte un ligand diaminocyclohexane (DACH) et un oxalate ; elle présente une activité sur les cellules résistantes au cisplatine (réparation NER accrue contournée par encombrement stérique DACH) et une indication princeps dans les cancers colorectaux.</w:t>
      </w:r>
    </w:p>
    <w:p>
      <w:r/>
      <w:r>
        <w:rPr>
          <w:b/>
        </w:rPr>
        <w:t>Pharmacocinétique comparative :</w:t>
      </w:r>
      <w:r/>
    </w:p>
    <w:p>
      <w:pPr>
        <w:pStyle w:val="ListBullet"/>
      </w:pPr>
      <w:r/>
      <w:r>
        <w:rPr>
          <w:b/>
        </w:rPr>
        <w:t>Cisplatine</w:t>
      </w:r>
      <w:r>
        <w:t xml:space="preserve"> : pénétration tissulaire extensive, liaison protéique &gt; 90 % (réversible, liée aux chlorures), demi-vie triphasique (jusqu'à 80 h), élimination rénale tubulaire prédominante (justifiant hydratation et diurèse forcée). Pas de franchissement HEE significatif.</w:t>
      </w:r>
    </w:p>
    <w:p>
      <w:pPr>
        <w:pStyle w:val="ListBullet"/>
      </w:pPr>
      <w:r/>
      <w:r>
        <w:rPr>
          <w:b/>
        </w:rPr>
        <w:t>Carboplatine</w:t>
      </w:r>
      <w:r>
        <w:t xml:space="preserve"> : liaison protéique plus faible (24 %), élimination rénale exclusive par filtration glomérulaire (90 % inchangé en 24 h). Demi-vie courte (2-3 h). Dosage par formule de Calvert selon DFG : dose (mg) = AUC cible (mg·min/mL) × [DFG + 25].</w:t>
      </w:r>
    </w:p>
    <w:p>
      <w:pPr>
        <w:pStyle w:val="ListBullet"/>
      </w:pPr>
      <w:r/>
      <w:r>
        <w:rPr>
          <w:b/>
        </w:rPr>
        <w:t>Oxaliplatine</w:t>
      </w:r>
      <w:r>
        <w:t xml:space="preserve"> : métabolisme rapide non enzymatique en dérivés DACH-Platine actifs, liaison protéique &gt; 90 %, élimination rénale (50 %) et fécale (50 %).</w:t>
      </w:r>
    </w:p>
    <w:p>
      <w:r/>
      <w:r>
        <w:rPr>
          <w:b/>
        </w:rPr>
        <w:t>Toxicité cardinale de chaque sel :</w:t>
      </w:r>
      <w:r/>
    </w:p>
    <w:p>
      <w:pPr>
        <w:pStyle w:val="ListBullet"/>
      </w:pPr>
      <w:r/>
      <w:r>
        <w:rPr>
          <w:b/>
        </w:rPr>
        <w:t>Cisplatine</w:t>
      </w:r>
      <w:r>
        <w:t xml:space="preserve"> : néphrotoxicité (tubulopathie proximale dose-cumulative-dépendante), ototoxicité (cellules ciliées cochléaires, haute fréquence), neurotoxicité périphérique sensitive dose-cumulative (extrémités, stocking-glove), vomissements sévères (level 4), myélosuppression modérée, hypomagnésémie, hypocalcémie.</w:t>
      </w:r>
    </w:p>
    <w:p>
      <w:pPr>
        <w:pStyle w:val="ListBullet"/>
      </w:pPr>
      <w:r/>
      <w:r>
        <w:rPr>
          <w:b/>
        </w:rPr>
        <w:t>Carboplatine</w:t>
      </w:r>
      <w:r>
        <w:t xml:space="preserve"> : thrombopénie (nadir à j21, parfois profonde), neutropénie, moins de nausées, néphrotoxicité faible, neurotoxicité faible.</w:t>
      </w:r>
    </w:p>
    <w:p>
      <w:pPr>
        <w:pStyle w:val="ListBullet"/>
      </w:pPr>
      <w:r/>
      <w:r>
        <w:rPr>
          <w:b/>
        </w:rPr>
        <w:t>Oxaliplatine</w:t>
      </w:r>
      <w:r>
        <w:t xml:space="preserve"> : neurotoxicité aiguë (sensations froides, dysesthésies pharyngées déclenchées par le froid pendant la perfusion — dysautonomie NaV channels) et neurotoxicité chronique cumulative (neuropathie sensitive stockinante, à risque fonctionnel pour doses cumulées &gt; 780-850 mg/m²), thrombopénie, allergie (réactions anaphylactoïdes à la 7e-9e perfusion).</w:t>
      </w:r>
    </w:p>
    <w:p>
      <w:r>
        <w:t>Les sels de platine sont exclusivement hospitaliers (Liste I, prescription réservée oncologue), dispensés en pharmacie à usage intérieur (PUI) hospitalière après préparation centralisée en Zone d'Atmosphère Contrôlée (ZAC). Le pharmacien d'officine n'est pas impliqué dans leur dispensation directe mais joue un rôle pivot dans l'accompagnement du patient (antiémétiques, antalgiques, G-CSF en ville, surveillance NFS, conseils sur l'éviction du froid pour oxaliplatine, hydratation pour cisplatine).</w:t>
      </w:r>
    </w:p>
    <w:p>
      <w:pPr>
        <w:pStyle w:val="Heading3"/>
      </w:pPr>
      <w:r>
        <w:t>1. DCI : Cyclophosphamide (Seule)</w:t>
      </w:r>
    </w:p>
    <w:p>
      <w:r/>
      <w:r>
        <w:rPr>
          <w:b/>
        </w:rPr>
        <w:t>Liste des Catégories :</w:t>
      </w:r>
      <w:r>
        <w:t xml:space="preserve"> Cytotoxique — Antinéoplasique — Agent alkylant — Moutarde azotée — Promédicament — Immunodépresseur (à faible dose) — Liste I — Médicament à prescription hospitalière (formes IV) / prescription réservée (forme orale).</w:t>
      </w:r>
    </w:p>
    <w:p>
      <w:r>
        <w:t>Le cyclophosphamide est le plus ancien et le plus prescrit des alkylants moutarde azotée. Promédicament administré par voie IV ou orale, il nécessite une activation hépatique par le cytochrome P450 (CYP2B6, CYP2C9, CYP3A4) en 4-hydroxycyclophosphamide puis en aldophosphamide, qui se décompose spontanément en phosphoramide moutarde (alkylant actif) et en acroléine, métabolite urotoxique. Sa pharmacocinétique est caractérisée par une demi-vie courte (3-12 h), une élimination rénale majoritaire (&gt; 50 % métabolites), et un large volume de distribution. Il est utilisé aussi bien en oncologie (cancers solides, hémopathies lymphoïdes) qu'en immunologie (lupus, vascularites) à faibles doses.</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ENDOXAN</w:t>
            </w:r>
          </w:p>
        </w:tc>
        <w:tc>
          <w:tcPr>
            <w:tcW w:type="dxa" w:w="1559"/>
          </w:tcPr>
          <w:p>
            <w:r>
              <w:rPr>
                <w:sz w:val="20"/>
              </w:rPr>
              <w:t>Baxter Deutschland GmbH</w:t>
            </w:r>
          </w:p>
        </w:tc>
        <w:tc>
          <w:tcPr>
            <w:tcW w:type="dxa" w:w="1559"/>
          </w:tcPr>
          <w:p>
            <w:r>
              <w:rPr>
                <w:sz w:val="20"/>
              </w:rPr>
              <w:t>Poudre pour solution injectable IV 200 mg/flacon</w:t>
            </w:r>
          </w:p>
        </w:tc>
        <w:tc>
          <w:tcPr>
            <w:tcW w:type="dxa" w:w="1559"/>
          </w:tcPr>
          <w:p>
            <w:r>
              <w:rPr>
                <w:sz w:val="20"/>
              </w:rPr>
              <w:t>B/1 flacon de pdre 20 mL</w:t>
            </w:r>
          </w:p>
        </w:tc>
        <w:tc>
          <w:tcPr>
            <w:tcW w:type="dxa" w:w="1559"/>
          </w:tcPr>
          <w:p>
            <w:r>
              <w:rPr>
                <w:sz w:val="20"/>
              </w:rPr>
              <w:t>Liste I</w:t>
            </w:r>
          </w:p>
        </w:tc>
        <w:tc>
          <w:tcPr>
            <w:tcW w:type="dxa" w:w="1559"/>
          </w:tcPr>
          <w:p>
            <w:r>
              <w:rPr>
                <w:sz w:val="20"/>
              </w:rPr>
              <w:t>Actif</w:t>
            </w:r>
          </w:p>
        </w:tc>
      </w:tr>
      <w:tr>
        <w:tc>
          <w:tcPr>
            <w:tcW w:type="dxa" w:w="1559"/>
          </w:tcPr>
          <w:p>
            <w:r>
              <w:rPr>
                <w:sz w:val="20"/>
              </w:rPr>
              <w:t>ENDOXAN</w:t>
            </w:r>
          </w:p>
        </w:tc>
        <w:tc>
          <w:tcPr>
            <w:tcW w:type="dxa" w:w="1559"/>
          </w:tcPr>
          <w:p>
            <w:r>
              <w:rPr>
                <w:sz w:val="20"/>
              </w:rPr>
              <w:t>Baxter Deutschland GmbH</w:t>
            </w:r>
          </w:p>
        </w:tc>
        <w:tc>
          <w:tcPr>
            <w:tcW w:type="dxa" w:w="1559"/>
          </w:tcPr>
          <w:p>
            <w:r>
              <w:rPr>
                <w:sz w:val="20"/>
              </w:rPr>
              <w:t>Poudre pour solution injectable IV 500 mg/flacon</w:t>
            </w:r>
          </w:p>
        </w:tc>
        <w:tc>
          <w:tcPr>
            <w:tcW w:type="dxa" w:w="1559"/>
          </w:tcPr>
          <w:p>
            <w:r>
              <w:rPr>
                <w:sz w:val="20"/>
              </w:rPr>
              <w:t>B/1 flacon de pdre 50 mL</w:t>
            </w:r>
          </w:p>
        </w:tc>
        <w:tc>
          <w:tcPr>
            <w:tcW w:type="dxa" w:w="1559"/>
          </w:tcPr>
          <w:p>
            <w:r>
              <w:rPr>
                <w:sz w:val="20"/>
              </w:rPr>
              <w:t>Liste I</w:t>
            </w:r>
          </w:p>
        </w:tc>
        <w:tc>
          <w:tcPr>
            <w:tcW w:type="dxa" w:w="1559"/>
          </w:tcPr>
          <w:p>
            <w:r>
              <w:rPr>
                <w:sz w:val="20"/>
              </w:rPr>
              <w:t>Actif</w:t>
            </w:r>
          </w:p>
        </w:tc>
      </w:tr>
      <w:tr>
        <w:tc>
          <w:tcPr>
            <w:tcW w:type="dxa" w:w="1559"/>
          </w:tcPr>
          <w:p>
            <w:r>
              <w:rPr>
                <w:sz w:val="20"/>
              </w:rPr>
              <w:t>ENDOXAN</w:t>
            </w:r>
          </w:p>
        </w:tc>
        <w:tc>
          <w:tcPr>
            <w:tcW w:type="dxa" w:w="1559"/>
          </w:tcPr>
          <w:p>
            <w:r>
              <w:rPr>
                <w:sz w:val="20"/>
              </w:rPr>
              <w:t>Baxter Oncology GmbH</w:t>
            </w:r>
          </w:p>
        </w:tc>
        <w:tc>
          <w:tcPr>
            <w:tcW w:type="dxa" w:w="1559"/>
          </w:tcPr>
          <w:p>
            <w:r>
              <w:rPr>
                <w:sz w:val="20"/>
              </w:rPr>
              <w:t>Comprimé enrobé 50 mg</w:t>
            </w:r>
          </w:p>
        </w:tc>
        <w:tc>
          <w:tcPr>
            <w:tcW w:type="dxa" w:w="1559"/>
          </w:tcPr>
          <w:p>
            <w:r>
              <w:rPr>
                <w:sz w:val="20"/>
              </w:rPr>
              <w:t>B/50</w:t>
            </w:r>
          </w:p>
        </w:tc>
        <w:tc>
          <w:tcPr>
            <w:tcW w:type="dxa" w:w="1559"/>
          </w:tcPr>
          <w:p>
            <w:r>
              <w:rPr>
                <w:sz w:val="20"/>
              </w:rPr>
              <w:t>Liste I</w:t>
            </w:r>
          </w:p>
        </w:tc>
        <w:tc>
          <w:tcPr>
            <w:tcW w:type="dxa" w:w="1559"/>
          </w:tcPr>
          <w:p>
            <w:r>
              <w:rPr>
                <w:sz w:val="20"/>
              </w:rPr>
              <w:t>Actif</w:t>
            </w:r>
          </w:p>
        </w:tc>
      </w:tr>
      <w:tr>
        <w:tc>
          <w:tcPr>
            <w:tcW w:type="dxa" w:w="1559"/>
          </w:tcPr>
          <w:p>
            <w:r>
              <w:rPr>
                <w:sz w:val="20"/>
              </w:rPr>
              <w:t>ENDOXAN</w:t>
            </w:r>
          </w:p>
        </w:tc>
        <w:tc>
          <w:tcPr>
            <w:tcW w:type="dxa" w:w="1559"/>
          </w:tcPr>
          <w:p>
            <w:r>
              <w:rPr>
                <w:sz w:val="20"/>
              </w:rPr>
              <w:t>Baxter Oncology GmbH</w:t>
            </w:r>
          </w:p>
        </w:tc>
        <w:tc>
          <w:tcPr>
            <w:tcW w:type="dxa" w:w="1559"/>
          </w:tcPr>
          <w:p>
            <w:r>
              <w:rPr>
                <w:sz w:val="20"/>
              </w:rPr>
              <w:t>Poudre pour solution injectable IV 1 g/flacon</w:t>
            </w:r>
          </w:p>
        </w:tc>
        <w:tc>
          <w:tcPr>
            <w:tcW w:type="dxa" w:w="1559"/>
          </w:tcPr>
          <w:p>
            <w:r>
              <w:rPr>
                <w:sz w:val="20"/>
              </w:rPr>
              <w:t>B/1 flacon de pdre 75 mL</w:t>
            </w:r>
          </w:p>
        </w:tc>
        <w:tc>
          <w:tcPr>
            <w:tcW w:type="dxa" w:w="1559"/>
          </w:tcPr>
          <w:p>
            <w:r>
              <w:rPr>
                <w:sz w:val="20"/>
              </w:rPr>
              <w:t>Liste I</w:t>
            </w:r>
          </w:p>
        </w:tc>
        <w:tc>
          <w:tcPr>
            <w:tcW w:type="dxa" w:w="1559"/>
          </w:tcPr>
          <w:p>
            <w:r>
              <w:rPr>
                <w:sz w:val="20"/>
              </w:rPr>
              <w:t>Non Renouvelable</w:t>
            </w:r>
          </w:p>
        </w:tc>
      </w:tr>
      <w:tr>
        <w:tc>
          <w:tcPr>
            <w:tcW w:type="dxa" w:w="1559"/>
          </w:tcPr>
          <w:p>
            <w:r>
              <w:rPr>
                <w:sz w:val="20"/>
              </w:rPr>
              <w:t>NEOPHOS-200</w:t>
            </w:r>
          </w:p>
        </w:tc>
        <w:tc>
          <w:tcPr>
            <w:tcW w:type="dxa" w:w="1559"/>
          </w:tcPr>
          <w:p>
            <w:r>
              <w:rPr>
                <w:sz w:val="20"/>
              </w:rPr>
              <w:t>Cipla Limited</w:t>
            </w:r>
          </w:p>
        </w:tc>
        <w:tc>
          <w:tcPr>
            <w:tcW w:type="dxa" w:w="1559"/>
          </w:tcPr>
          <w:p>
            <w:r>
              <w:rPr>
                <w:sz w:val="20"/>
              </w:rPr>
              <w:t>Poudre pour solution injectable 200 mg</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r>
        <w:tc>
          <w:tcPr>
            <w:tcW w:type="dxa" w:w="1559"/>
          </w:tcPr>
          <w:p>
            <w:r>
              <w:rPr>
                <w:sz w:val="20"/>
              </w:rPr>
              <w:t>NEOPHOS-500</w:t>
            </w:r>
          </w:p>
        </w:tc>
        <w:tc>
          <w:tcPr>
            <w:tcW w:type="dxa" w:w="1559"/>
          </w:tcPr>
          <w:p>
            <w:r>
              <w:rPr>
                <w:sz w:val="20"/>
              </w:rPr>
              <w:t>Cipla limited</w:t>
            </w:r>
          </w:p>
        </w:tc>
        <w:tc>
          <w:tcPr>
            <w:tcW w:type="dxa" w:w="1559"/>
          </w:tcPr>
          <w:p>
            <w:r>
              <w:rPr>
                <w:sz w:val="20"/>
              </w:rPr>
              <w:t>Poudre pour solution injectable 500 mg</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r>
        <w:tc>
          <w:tcPr>
            <w:tcW w:type="dxa" w:w="1559"/>
          </w:tcPr>
          <w:p>
            <w:r>
              <w:rPr>
                <w:sz w:val="20"/>
              </w:rPr>
              <w:t>NEOPHOS-1000</w:t>
            </w:r>
          </w:p>
        </w:tc>
        <w:tc>
          <w:tcPr>
            <w:tcW w:type="dxa" w:w="1559"/>
          </w:tcPr>
          <w:p>
            <w:r>
              <w:rPr>
                <w:sz w:val="20"/>
              </w:rPr>
              <w:t>Cipla Limited</w:t>
            </w:r>
          </w:p>
        </w:tc>
        <w:tc>
          <w:tcPr>
            <w:tcW w:type="dxa" w:w="1559"/>
          </w:tcPr>
          <w:p>
            <w:r>
              <w:rPr>
                <w:sz w:val="20"/>
              </w:rPr>
              <w:t>Poudre pour solution injectable 1000 mg</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r>
        <w:tc>
          <w:tcPr>
            <w:tcW w:type="dxa" w:w="1559"/>
          </w:tcPr>
          <w:p>
            <w:r>
              <w:rPr>
                <w:sz w:val="20"/>
              </w:rPr>
              <w:t>FAMISAS</w:t>
            </w:r>
          </w:p>
        </w:tc>
        <w:tc>
          <w:tcPr>
            <w:tcW w:type="dxa" w:w="1559"/>
          </w:tcPr>
          <w:p>
            <w:r>
              <w:rPr>
                <w:sz w:val="20"/>
              </w:rPr>
              <w:t>El Kendi Industrie du Médicament</w:t>
            </w:r>
          </w:p>
        </w:tc>
        <w:tc>
          <w:tcPr>
            <w:tcW w:type="dxa" w:w="1559"/>
          </w:tcPr>
          <w:p>
            <w:r>
              <w:rPr>
                <w:sz w:val="20"/>
              </w:rPr>
              <w:t>Comprimé 50 mg</w:t>
            </w:r>
          </w:p>
        </w:tc>
        <w:tc>
          <w:tcPr>
            <w:tcW w:type="dxa" w:w="1559"/>
          </w:tcPr>
          <w:p>
            <w:r>
              <w:rPr>
                <w:sz w:val="20"/>
              </w:rPr>
              <w:t>B/50</w:t>
            </w:r>
          </w:p>
        </w:tc>
        <w:tc>
          <w:tcPr>
            <w:tcW w:type="dxa" w:w="1559"/>
          </w:tcPr>
          <w:p>
            <w:r>
              <w:rPr>
                <w:sz w:val="20"/>
              </w:rPr>
              <w:t>Liste I</w:t>
            </w:r>
          </w:p>
        </w:tc>
        <w:tc>
          <w:tcPr>
            <w:tcW w:type="dxa" w:w="1559"/>
          </w:tcPr>
          <w:p>
            <w:r>
              <w:rPr>
                <w:sz w:val="20"/>
              </w:rPr>
              <w:t>Non Renouvelable</w:t>
            </w:r>
          </w:p>
        </w:tc>
      </w:tr>
      <w:tr>
        <w:tc>
          <w:tcPr>
            <w:tcW w:type="dxa" w:w="1559"/>
          </w:tcPr>
          <w:p>
            <w:r>
              <w:rPr>
                <w:sz w:val="20"/>
              </w:rPr>
              <w:t>FAMISAS</w:t>
            </w:r>
          </w:p>
        </w:tc>
        <w:tc>
          <w:tcPr>
            <w:tcW w:type="dxa" w:w="1559"/>
          </w:tcPr>
          <w:p>
            <w:r>
              <w:rPr>
                <w:sz w:val="20"/>
              </w:rPr>
              <w:t>El Kendi Industrie du Médicament</w:t>
            </w:r>
          </w:p>
        </w:tc>
        <w:tc>
          <w:tcPr>
            <w:tcW w:type="dxa" w:w="1559"/>
          </w:tcPr>
          <w:p>
            <w:r>
              <w:rPr>
                <w:sz w:val="20"/>
              </w:rPr>
              <w:t>Poudre pour solution injectable IV 200 mg/flacon</w:t>
            </w:r>
          </w:p>
        </w:tc>
        <w:tc>
          <w:tcPr>
            <w:tcW w:type="dxa" w:w="1559"/>
          </w:tcPr>
          <w:p>
            <w:r>
              <w:rPr>
                <w:sz w:val="20"/>
              </w:rPr>
              <w:t>B/1 flacon de pdre</w:t>
            </w:r>
          </w:p>
        </w:tc>
        <w:tc>
          <w:tcPr>
            <w:tcW w:type="dxa" w:w="1559"/>
          </w:tcPr>
          <w:p>
            <w:r>
              <w:rPr>
                <w:sz w:val="20"/>
              </w:rPr>
              <w:t>Liste I</w:t>
            </w:r>
          </w:p>
        </w:tc>
        <w:tc>
          <w:tcPr>
            <w:tcW w:type="dxa" w:w="1559"/>
          </w:tcPr>
          <w:p>
            <w:r>
              <w:rPr>
                <w:sz w:val="20"/>
              </w:rPr>
              <w:t>Non Renouvelable</w:t>
            </w:r>
          </w:p>
        </w:tc>
      </w:tr>
      <w:tr>
        <w:tc>
          <w:tcPr>
            <w:tcW w:type="dxa" w:w="1559"/>
          </w:tcPr>
          <w:p>
            <w:r>
              <w:rPr>
                <w:sz w:val="20"/>
              </w:rPr>
              <w:t>FAMISAS</w:t>
            </w:r>
          </w:p>
        </w:tc>
        <w:tc>
          <w:tcPr>
            <w:tcW w:type="dxa" w:w="1559"/>
          </w:tcPr>
          <w:p>
            <w:r>
              <w:rPr>
                <w:sz w:val="20"/>
              </w:rPr>
              <w:t>El Kendi Industrie du Médicament</w:t>
            </w:r>
          </w:p>
        </w:tc>
        <w:tc>
          <w:tcPr>
            <w:tcW w:type="dxa" w:w="1559"/>
          </w:tcPr>
          <w:p>
            <w:r>
              <w:rPr>
                <w:sz w:val="20"/>
              </w:rPr>
              <w:t>Poudre pour solution injectable IV 500 mg/flacon</w:t>
            </w:r>
          </w:p>
        </w:tc>
        <w:tc>
          <w:tcPr>
            <w:tcW w:type="dxa" w:w="1559"/>
          </w:tcPr>
          <w:p>
            <w:r>
              <w:rPr>
                <w:sz w:val="20"/>
              </w:rPr>
              <w:t>B/1 flacon de pdre</w:t>
            </w:r>
          </w:p>
        </w:tc>
        <w:tc>
          <w:tcPr>
            <w:tcW w:type="dxa" w:w="1559"/>
          </w:tcPr>
          <w:p>
            <w:r>
              <w:rPr>
                <w:sz w:val="20"/>
              </w:rPr>
              <w:t>Liste I</w:t>
            </w:r>
          </w:p>
        </w:tc>
        <w:tc>
          <w:tcPr>
            <w:tcW w:type="dxa" w:w="1559"/>
          </w:tcPr>
          <w:p>
            <w:r>
              <w:rPr>
                <w:sz w:val="20"/>
              </w:rPr>
              <w:t>Non Renouvelable</w:t>
            </w:r>
          </w:p>
        </w:tc>
      </w:tr>
      <w:tr>
        <w:tc>
          <w:tcPr>
            <w:tcW w:type="dxa" w:w="1559"/>
          </w:tcPr>
          <w:p>
            <w:r>
              <w:rPr>
                <w:sz w:val="20"/>
              </w:rPr>
              <w:t>LEDOXINA (R)</w:t>
            </w:r>
          </w:p>
        </w:tc>
        <w:tc>
          <w:tcPr>
            <w:tcW w:type="dxa" w:w="1559"/>
          </w:tcPr>
          <w:p>
            <w:r>
              <w:rPr>
                <w:sz w:val="20"/>
              </w:rPr>
              <w:t>Lemery</w:t>
            </w:r>
          </w:p>
        </w:tc>
        <w:tc>
          <w:tcPr>
            <w:tcW w:type="dxa" w:w="1559"/>
          </w:tcPr>
          <w:p>
            <w:r>
              <w:rPr>
                <w:sz w:val="20"/>
              </w:rPr>
              <w:t>Lyophilisat pour solution injectable 200 mg</w:t>
            </w:r>
          </w:p>
        </w:tc>
        <w:tc>
          <w:tcPr>
            <w:tcW w:type="dxa" w:w="1559"/>
          </w:tcPr>
          <w:p>
            <w:r>
              <w:rPr>
                <w:sz w:val="20"/>
              </w:rPr>
              <w:t>B/1 flacon</w:t>
            </w:r>
          </w:p>
        </w:tc>
        <w:tc>
          <w:tcPr>
            <w:tcW w:type="dxa" w:w="1559"/>
          </w:tcPr>
          <w:p>
            <w:r>
              <w:rPr>
                <w:sz w:val="20"/>
              </w:rPr>
              <w:t>Liste I</w:t>
            </w:r>
          </w:p>
        </w:tc>
        <w:tc>
          <w:tcPr>
            <w:tcW w:type="dxa" w:w="1559"/>
          </w:tcPr>
          <w:p>
            <w:r>
              <w:rPr>
                <w:sz w:val="20"/>
              </w:rPr>
              <w:t>Retiré</w:t>
            </w:r>
          </w:p>
        </w:tc>
      </w:tr>
      <w:tr>
        <w:tc>
          <w:tcPr>
            <w:tcW w:type="dxa" w:w="1559"/>
          </w:tcPr>
          <w:p>
            <w:r>
              <w:rPr>
                <w:sz w:val="20"/>
              </w:rPr>
              <w:t>LEDOXINA (R)</w:t>
            </w:r>
          </w:p>
        </w:tc>
        <w:tc>
          <w:tcPr>
            <w:tcW w:type="dxa" w:w="1559"/>
          </w:tcPr>
          <w:p>
            <w:r>
              <w:rPr>
                <w:sz w:val="20"/>
              </w:rPr>
              <w:t>Lemery SA de CV</w:t>
            </w:r>
          </w:p>
        </w:tc>
        <w:tc>
          <w:tcPr>
            <w:tcW w:type="dxa" w:w="1559"/>
          </w:tcPr>
          <w:p>
            <w:r>
              <w:rPr>
                <w:sz w:val="20"/>
              </w:rPr>
              <w:t>Lyophilisat pour solution injectable 500 mg</w:t>
            </w:r>
          </w:p>
        </w:tc>
        <w:tc>
          <w:tcPr>
            <w:tcW w:type="dxa" w:w="1559"/>
          </w:tcPr>
          <w:p>
            <w:r>
              <w:rPr>
                <w:sz w:val="20"/>
              </w:rPr>
              <w:t>B/1 flacon</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Moutarde azotée (nitrogen mustard), promédicament alkylant bifonctionnel, classé parmi les agents alkylants classiques non spécifiques du cycle cellulaire (efficace aussi sur cellules en G0).</w:t>
      </w:r>
    </w:p>
    <w:p>
      <w:pPr>
        <w:pStyle w:val="ListBullet"/>
      </w:pPr>
      <w:r>
        <w:t>Mécanisme d'action : Le cyclophosphamide est inactif in vitro et nécessite une bioactivation hépatique par CYP2B6, CYP2C9 et CYP3A4. La 4-hydroxylation aboutit au 4-OH-cyclophosphamide, en équilibre avec l'aldophosphamide. Ce dernier se décompose spontanément (β-élimination) en phosphoramide moutarde (alkylant actif) et en acroléine (CH2=CH-CHO, métabolite urotoxique). La phosphoramide moutarde forme un ion aziridinium réactif qui alkylise l'ADN au niveau de la position N7 de la guanine, créant des ponts inter-brins (interstrand cross-links, 5-10 %) et intra-brins (intrastrand cross-links, 90 %), lésions bloquant réplication et transcription, déclenchant l'apoptose par activation de p53 et caspases. L'action est cytotoxique indépendante du cycle (cycle-non-spécifique). À faible dose (1-2 mg/kg/j per os), le cyclophosphamide exerce un effet immunosuppresseur prédominant sur les lymphocytes B (déplétion lymphocytaire B, inhibition prolifération).</w:t>
      </w:r>
    </w:p>
    <w:p>
      <w:r/>
      <w:r>
        <w:rPr>
          <w:b/>
        </w:rPr>
        <w:t>Profil Pharmacologique :</w:t>
      </w:r>
      <w:r/>
    </w:p>
    <w:p>
      <w:pPr>
        <w:pStyle w:val="ListBullet"/>
      </w:pPr>
      <w:r>
        <w:t>Indications : (1) Oncologie — lymphomes (Hodgkin et non-Hodgkin — protocoles CHOP, COP, BEACOPP, MACOP-B), leucémie lymphoïde chronique (protocole FCR — fludarabine, cyclophosphamide, rituximab), myélome multiple (protocole C-VAD, VCD), cancers du sein (adjuvant — protocoles AC, CMF, TAC), cancer du poumon à petites cellules (protocole CAE — cyclophosphamide, adriamycine, étoposide), sarcomes (CYVADIC), neuroblastome, tumeur de Wilms, cancer de l'ovaire, cancer de la vessie (protocole CMV). (2) Maladies auto-immunes et immunologie — lupus érythémateux systémique (vascularite lupique, néphrite lupique — protocole NIH), vascularites ANCA (granulomatose avec polyangéite, polyangéite microscopique), myasthénie grave, sclérose en plaques (poussées), anémie hémolytique auto-immune, purpura thrombopénique immunologique, syndrome néphrotique corticorésistant, polyarthrite rhumatoïde réfractaire. (3) Allogreffe de moelle osseuse (conditionnement BuCy2, association busulfan + cyclophosphamide). Le cyclophosphamide à haute dose (50 mg/kg/j x 4 j) est utilisé en conditionnement myéloablatif.</w:t>
      </w:r>
    </w:p>
    <w:p>
      <w:pPr>
        <w:pStyle w:val="ListBullet"/>
      </w:pPr>
      <w:r>
        <w:t>Contre-indications : Hypersensibilité au cyclophosphamide ou excipients. Grossesse et allaitement (CI absolue — tératogène, mutagène, embryo-létale en 1er trimestre). Insuffisance médullaire sévère (sauf si le but recherché est l'aplasie en conditionnement de greffe). Infection évolutive non contrôlée. Affection vésicale préexistante (hématurie macroscopique active, cystite récurrente). Obstruction des voies urinaires. Vaccination par vaccin vivant atténué (contre-indication relative — risque de maladie vaccinale généralisée).</w:t>
      </w:r>
    </w:p>
    <w:p>
      <w:pPr>
        <w:pStyle w:val="ListBullet"/>
      </w:pPr>
      <w:r>
        <w:t>Effets Indésirables : (a) Toxique vésical : cystite hémorragique par acroléine (incidence 5-40 % sans Mesna — hématurie macroscopique, dysurie, pollakiurie, pouvant évoluer vers fibrose vésicale ou cancer vésical secondaire), prévenue par Mesna (2-mercapto-ethane sulfonate Na) — protocole de protection systématique dès 10 mg/kg. (b) Hématologique : myélosuppression (nadir leucocytes J10-14,恢复 J21), thrombopénie, anémie. (c) Digestif : nausées/vomissements modérés (level 2-3), mucite, diarrhée, anorexie. (d) Gonadique : stérilité — azoospermie chez l'homme (souvent définitive, dose-dépendante — congelation spermatozoïdes pré-thérapeutique impérative), aménorrhée chez la femme (parfois définitive après 30 ans et doses cumulées &gt; 5 g), insuffisance ovarienne prématurée. (e) Cardiologique : cardiotoxicité dose-dépendante (rare &lt; 100 mg/kg, plus fréquente en perfusion &gt; 50 mg/kg/j x 4 — myocardite, péricardite, insuffisance cardiaque congestive). (f) Pulmonaire : pneumopathie interstitielle, fibrose pulmonaire rare. (g) Infectieux : immunosuppression (lymphopénie B durable, pneumocystose possible en dose cumulée — prophylaxie cotrimoxazole si protocole lourd). (h) Carcinogénèse : leucémie aiguë myéloïde secondaire (risque lié à dose cumulée et à l'association radiothérapie), cancer vésical (lié à l'acroléine chronique), syndrome myélodysplasique. (i) Métabolique : hyponatrémie (par effet ADH-like à haute dose), syndrome de lyse tumorale. (j) Cutané : alopécie (totale à haute dose, généralement réversible), hyperpigmentation, rash. (k) Hépatique : élévation transaminases (rare), hépatotoxicité en cas d'association à l'azathioprine.</w:t>
      </w:r>
    </w:p>
    <w:p>
      <w:r/>
      <w:r>
        <w:rPr>
          <w:b/>
        </w:rPr>
        <w:t>Prévention et Gestion des Effets Indésirables :</w:t>
      </w:r>
      <w:r/>
    </w:p>
    <w:p>
      <w:pPr>
        <w:pStyle w:val="ListBullet"/>
      </w:pPr>
      <w:r>
        <w:t>Mesures Préventives : (1) Hydratation IV abondante (3 L/m²/j ou 2-3 L en perfusion + boissons — diurèse alcaline visée &gt; 100 mL/h) pendant et 24-48 h après perfusion IV haute dose, pour prévenir la cystite hémorragique et favoriser l'élimination de l'acroléine. (2) Mesna (Uromitexan®) systématique pour doses de cyclophosphamide ≥ 10 mg/kg ou doses cumulées &gt; 1 g/m² — administration IV à dose équivalente au cyclophosphamide (à T0, +4 h, +8 h) ou perfusion continue 60-100 % de la dose de cyclophosphamide. Le Mesna neutralise l'acroléine dans les urines. (3) Surveillance NFS-plaquettes hebdomadaire pendant la cure puis mensuelle, surveillance ionogramme et créatinine avant chaque cure. (4) Prophylaxie pneumocystose (cotrimoxazole 400/80 mg 3j/sem) si protocole lourd ou dose cumulative élevée. (5) Prévention nausea/vomissements par anti-5HT3 (ondansétron, granisétron) + corticoïde (dexaméthasone) ± aprépitant si protocole émétisant de haut niveau. (6) Cryopréservation gamétique pré-thérapeutique systématique (congélation sperme chez l'homme, préservation ovarian tissulaire ou ovocytaire chez la femme jeune). (7) Surveillance ECG et troponine si forte dose. (8) Prévention syndrome de lyse tumorale (allopurinol ou rasburicase) si masse tumorale élevée.</w:t>
      </w:r>
    </w:p>
    <w:p>
      <w:pPr>
        <w:pStyle w:val="ListBullet"/>
      </w:pPr>
      <w:r>
        <w:t>Conduite à Tenir : (1) Si hématurie macroscopique pendant cure → arrêt immédiat, hydratation IV renforcée, Mesna IV, contrôle cystoscopique si persistance. (2) Si neutropénie fébrile (PNN &lt; 0.5 G/L + T° ≥ 38.5 °C) → hospitalisation, hémocultures, antibiothérapie empirique large spectre IV (céfépime + amikacine ou pipéracilline-tazobactam). (3) Si cardiotoxicité (élévation troponine, dyspnée, tachycardie) → arrêt définitif, échographie cardiaque urgente, traitement d'insuffisance cardiaque. (4) Si insuffisance rénale → adaptation de dose (clairance créatinine &lt; 30 mL/min : reduction 25-50 %). (5) En cas d'encéphalopathie (rare avec cyclophosphamide, plus fréquente avec ifosfamide) → arrêt, mécystémamine. (6) Dose reduction 25 % si bilirubine &gt; 30-50 µmol/L ou en cas d'insuffisance hépatique sévère.</w:t>
      </w:r>
    </w:p>
    <w:p>
      <w:r/>
      <w:r>
        <w:rPr>
          <w:b/>
        </w:rPr>
        <w:t>Interactions Importantes :</w:t>
      </w:r>
      <w:r/>
    </w:p>
    <w:p>
      <w:pPr>
        <w:pStyle w:val="ListBullet"/>
      </w:pPr>
      <w:r>
        <w:t>Cyclophosphamide + Warfarine/Anticoagulants oraux : potentialisation majeure de l'anticoagulation (effet sur CYP2C9 + déplétion en facteurs de coagulation par myélosuppression + antibiotiques associés) → surveillance INR toutes les 48 h, réduction AVK de 25-50 %.</w:t>
      </w:r>
    </w:p>
    <w:p>
      <w:pPr>
        <w:pStyle w:val="ListBullet"/>
      </w:pPr>
      <w:r>
        <w:t>Cyclophosphamide + Aminosides (gentamicine, amikacine) : néphrotoxicité additive (surtout si déjà cystite). Surveillance créatinine.</w:t>
      </w:r>
    </w:p>
    <w:p>
      <w:pPr>
        <w:pStyle w:val="ListBullet"/>
      </w:pPr>
      <w:r>
        <w:t>Cyclophosphamide + Inhibiteurs CYP2B6/3A4 (fluoxétine, paroxétine, kétoconazole, ritonavir) : diminution de l'activation hépatique et de l'efficacité. Adapter monitoring clinique.</w:t>
      </w:r>
    </w:p>
    <w:p>
      <w:pPr>
        <w:pStyle w:val="ListBullet"/>
      </w:pPr>
      <w:r>
        <w:t>Cyclophosphamide + Inducteurs CYP3A4 (rifampicine, phénytoïne, phénobarbital, millepertuis) : augmentation de la production de métabolite actif → toxicité accrue (notamment cystite). Éviter.</w:t>
      </w:r>
    </w:p>
    <w:p>
      <w:pPr>
        <w:pStyle w:val="ListBullet"/>
      </w:pPr>
      <w:r>
        <w:t>Cyclophosphamide + Allopurinol : augmentation de la myélosuppression (inhibition de la résorption tubulaire du cyclophosphamide) et de la toxicité hépatique.</w:t>
      </w:r>
    </w:p>
    <w:p>
      <w:pPr>
        <w:pStyle w:val="ListBullet"/>
      </w:pPr>
      <w:r>
        <w:t>Cyclophosphamide + Succinylcholine : apnée prolongée (inhibition pseudocholinestérasique par les métabolites du cyclophosphamide).</w:t>
      </w:r>
    </w:p>
    <w:p>
      <w:pPr>
        <w:pStyle w:val="ListBullet"/>
      </w:pPr>
      <w:r>
        <w:t>Cyclophosphamide + Digoxine : diminution de l'absorption de la digoxine (altération muqueuse digestive) → surveillance taux digoxinémie.</w:t>
      </w:r>
    </w:p>
    <w:p>
      <w:pPr>
        <w:pStyle w:val="ListBullet"/>
      </w:pPr>
      <w:r>
        <w:t>Cyclophosphamide + Vaccins vivants atténués (BCG, fièvre jaune, ROR, varicelle) : risque de maladie vaccinale généralisée — CI absolue pendant et 6 mois après traitement.</w:t>
      </w:r>
    </w:p>
    <w:p>
      <w:pPr>
        <w:pStyle w:val="ListBullet"/>
      </w:pPr>
      <w:r>
        <w:t>Cyclophosphamide + Clozapine : risque majoré d'agranulocytose (addition des effets myélosuppressifs) — CI relative.</w:t>
      </w:r>
    </w:p>
    <w:p>
      <w:pPr>
        <w:pStyle w:val="ListBullet"/>
      </w:pPr>
      <w:r>
        <w:t>Cyclophosphamide + Doxorubicine : cardiotoxicité synergique (risque d'insuffisance cardiaque congestive) — surveillance ECG, ETT, troponine.</w:t>
      </w:r>
    </w:p>
    <w:p>
      <w:pPr>
        <w:pStyle w:val="ListBullet"/>
      </w:pPr>
      <w:r>
        <w:t>Cyclophosphamide + Corticoïdes : immunosuppression majorée, risque infectieux accru.</w:t>
      </w:r>
    </w:p>
    <w:p>
      <w:r/>
      <w:r>
        <w:rPr>
          <w:b/>
        </w:rPr>
        <w:t>Grossesse et Allaitement :</w:t>
      </w:r>
      <w:r/>
    </w:p>
    <w:p>
      <w:pPr>
        <w:pStyle w:val="ListBullet"/>
      </w:pPr>
      <w:r>
        <w:t>Grossesse : CI absolue à toutes les phases de la grossesse (CRAT — embryo-létale au 1er trimestre, tératogène et fœtotoxique au 2e et 3e — malformations squelettiques, palatines, digitales, cérébrales, retards de croissance, avortement spontané). Test de grossesse pré-thérapeutique systématique chez toute femme en âge de procréer. Contraception efficace obligatoire pendant et 6 mois après la fin du traitement (cumul des deux partenaires). En cas de grossesse accidentelle → avis oncologie/obstétrique multidisciplinaire. Exceptionnellement, utilisation possible au 2e-3e trimestre dans le cadre d'un cancer maternel menaçant le pronostic vital, en milieu spécialisé (atteinte fœtale à craindre). Cyclophosphamide passa le placenta (concentration fœtale 25-50 % maternelle).</w:t>
      </w:r>
    </w:p>
    <w:p>
      <w:pPr>
        <w:pStyle w:val="ListBullet"/>
      </w:pPr>
      <w:r>
        <w:t>Allaitement : CI absolue. Le cyclophosphamide passe dans le lait maternel à des concentrations significatives (rapport lait/plasma ≈ 1). Risque d'immunosuppression, de myélosuppression et de carcinogénèse à long terme chez le nourrisson. Allaitement à interrompre avant la première cure et pendant toute la durée du traitement et jusqu'à 1 semaine après la dernière cure.</w:t>
      </w:r>
    </w:p>
    <w:p>
      <w:pPr>
        <w:pStyle w:val="ListBullet"/>
      </w:pPr>
      <w:r>
        <w:t>Précisions : Conservation gamétique pré-thérapeutique systématique obligatoire chez l'homme (spermogramme + cryoconservation sperme) et la femme jeune (consultation procréation médicalement assistée — préservation ovocytaire ou tissulaire ovarienne) en raison du risque élevé de stérilité définitive (azoospermie chez 90 % des hommes après 100 mg/kg, aménorrhée chez 50 % des femmes après 5 cycles).</w:t>
      </w:r>
    </w:p>
    <w:p>
      <w:r/>
      <w:r>
        <w:rPr>
          <w:b/>
        </w:rPr>
        <w:t>Posologie et Mode d'administration (Standard) :</w:t>
      </w:r>
      <w:r/>
    </w:p>
    <w:p>
      <w:pPr>
        <w:pStyle w:val="ListBullet"/>
      </w:pPr>
      <w:r>
        <w:t>Adulte : (1) Forme IV — protocole CHOP (lymphome) : 750 mg/m² J1 IV en perfusion de 30-60 min dans G5% ou NaCl 0.9 %, toutes les 3 semaines × 6-8 cures. Protocole AC (sein) : 600 mg/m² J1 IV toutes les 3 semaines × 4. Protocole CMF (sein) : 100 mg/m²/J J1-J14 per os ou 600 mg/m² J1 J8 IV. Hautes doses conditionnement greffe : 50 mg/kg/J J-5 à J-2 (4 jours) IV en 1 h dans 250 mL G5%. (2) Forme orale — Immunologie : 1-2 mg/kg/j per os en une prise (50-150 mg/j adulte) pendant 6-12 semaines, adaptation selon tolérance hématologique. Cancers : 100-200 mg/m²/j per os en cures discontinues (J1-J14 de cycle 28 jours). (3) Mesna associé en cas de dose &gt; 10 mg/kg, à dose identique (cf. supra).</w:t>
      </w:r>
    </w:p>
    <w:p>
      <w:pPr>
        <w:pStyle w:val="ListBullet"/>
      </w:pPr>
      <w:r>
        <w:t>Enfant : 250-1500 mg/m²/protocole, schémas pédiatriques variables selon protocole oncologique (ex : néphroblastome — protocole SIOP : 200 mg/m²/J × 5 j IV ; maladie de Hodgkin — OEPA : 500 mg/m² J1 IV). Dose max 1500 mg/m²/cure.</w:t>
      </w:r>
    </w:p>
    <w:p>
      <w:pPr>
        <w:pStyle w:val="ListBullet"/>
      </w:pPr>
      <w:r>
        <w:t>Durée : Variable selon indication et protocole — immunologie : 3-12 mois ; oncologie : 4-8 cures espacées de 3 semaines ; conditionnement greffe : 4 jours consécutifs.</w:t>
      </w:r>
    </w:p>
    <w:p>
      <w:pPr>
        <w:pStyle w:val="ListBullet"/>
      </w:pPr>
      <w:r>
        <w:t>Moment de la prise : IV hospitalier exclusif pour les cures de chimiothérapie ; forme orale le matin à heure fixe, au cours d'un repas léger (réduit toxicité gastrique), avec hydratation orale abondante (2 L/j minimum).</w:t>
      </w:r>
    </w:p>
    <w:p>
      <w:r/>
      <w:r>
        <w:rPr>
          <w:b/>
        </w:rPr>
        <w:t>Arbitrage et Bénéfices des Formes Galéniques :</w:t>
      </w:r>
      <w:r/>
    </w:p>
    <w:p>
      <w:r>
        <w:t>Le cyclophosphamide se présente en Algérie en trois formes galéniques : (1) poudre pour solution injectable IV à 200 mg, 500 mg et 1 g (ENDOXAN) — réservée à l'usage hospitalier (service d'oncologie médicale, hôpital de jour) avec reconstitution centralisée en pharmacie à usage intérieur (PUI) en zone ZAC ; (2) comprimé enrobé 50 mg (ENDOXAN, FAMISAS) — dispensable en officine mais sur prescription réservée (oncologue, interniste, néphrologue, rhumatologue) ; (3) formes orales adaptées à l'immunologie au long cours (lupus, vascularite). L'arbitrage se fait selon l'indication : oncologie haute dose → IV stricte ; immunologie chronique → orale préférée pour observance et qualité de vie. Avantages de la voie IV : biodisponibilité 100 %, pic plasmatique maîtrisé, surveillance médicale immédiate. Inconvénient : hospitalisation. Avantage de la voie orale : autonomie du patient, traitement prolongé possible. Inconvénient : biodisponibilité variable (75-95 %), observance, toxicité digestive. Les deux formes sont équivalentes en termes d'efficacité à dose équivalente.</w:t>
      </w:r>
    </w:p>
    <w:p>
      <w:r/>
      <w:r>
        <w:rPr>
          <w:b/>
        </w:rPr>
        <w:t>Instructions et Conseils au Patient :</w:t>
      </w:r>
      <w:r/>
    </w:p>
    <w:p>
      <w:pPr>
        <w:pStyle w:val="ListBullet"/>
      </w:pPr>
      <w:r>
        <w:t>Communication au comptoir : (1) Expliquer au patient que ce traitement anticancéreux s'administre exclusivement à l'hôpital pour les perfusions IV et nécessite une hospitalisation de jour ou un court séjour (1-3 j). (2) Pour la forme orale, insister sur l'observance stricte, la prise à heure fixe, l'hydratation abondante (2-3 L/j), la prise au cours du repas pour réduire les nausées. (3) Prévenir le patient des effets indésirables majeurs : alopécie (réversible à l'arrêt), nausées/vomissements (gérés par antiémétiques), risque infectieux (fièvre → consultation urgente), fatigue (présente pendant et après chaque cure). (4) Prévenir de l'obligation de contraception pendant et 6 mois après traitement. (5) Informer sur la cryopréservation gamétique préalable. (6) Donner les coordonnées du service oncologue référent pour tout signe d'alerte : fièvre ≥ 38.5 °C, hématurie, dyspnée, douleur thoracique, saignements.</w:t>
      </w:r>
    </w:p>
    <w:p>
      <w:pPr>
        <w:pStyle w:val="ListBullet"/>
      </w:pPr>
      <w:r>
        <w:t>Mode d'utilisation pratique : (1) Forme IV : préparation centralisée en PUI hospitalière, manipulation exclusivement par personnel formé (gants nitrile double, masque FFP2, lunettes, blouse chimio) en ZAC. Perfuser en 30-60 min dans G5% ou NaCl 0.9 % (volume variable selon protocole). Hydratation concomitante IV 3 L/m²/24 h. Mesna associé. (2) Forme orale : comprimés à avaler entiers avec grand verre d'eau, à heure fixe, le matin au petit-déjeuner. Eviter jus de pamplemousse. Conserver à température &lt; 25 °C, à l'abri de la lumière et de l'humidité, hors de portée des enfants. Élimination des déchets (emballages souillés, excrétas) selon protocole chimio (sac jaune cytotoxique).</w:t>
      </w:r>
    </w:p>
    <w:p>
      <w:r/>
      <w:r>
        <w:rPr>
          <w:b/>
        </w:rPr>
        <w:t>Notes, Règles d'Or &amp; Pièges au Comptoir :</w:t>
      </w:r>
      <w:r/>
    </w:p>
    <w:p>
      <w:pPr>
        <w:pStyle w:val="ListBullet"/>
      </w:pPr>
      <w:r>
        <w:t>Piège classique : (1) Cystite hémorragique par acroléine — toute hématurie pendant cure = urgence médicale → arrêt cyclophosphamide, Mesna IV, hydratation IV, contrôle urologique. (2) Syndrome de lyse tumorale — risque vital chez patients avec masse tumorale élevée (lymphomes volumineux, leucémies hyperleucocytaires) — prévention obligatoire par hydratation + allopurinol/rasburicase. (3) Hyponatrémie sévère en perfusion continue ou forte dose — effet ADH-like du cyclophosphamide. (4) Cardiotoxicité cumulative (rare mais grave) — surveillance ECG si protocole AC, TAC, BEACOPP. (5) Oubli de Mesna à dose élevée = cystite hémorragique quasi constante. (6) Vaccin vivant contre-indiqué pendant et 6 mois après traitement.</w:t>
      </w:r>
    </w:p>
    <w:p>
      <w:pPr>
        <w:pStyle w:val="ListBullet"/>
      </w:pPr>
      <w:r>
        <w:t>Règle de prise : Hydratation orale 2-3 L/j minimum, prise orale au petit-déjeuner, surveillance hebdomadaire NFS pendant cures puis mensuelle, contraception obligatoire 6 mois post-cure.</w:t>
      </w:r>
    </w:p>
    <w:p>
      <w:pPr>
        <w:pStyle w:val="ListBullet"/>
      </w:pPr>
      <w:r>
        <w:t>Préparation et Conservation : Poudre lyophilisée à reconstituer avec NaCl 0.9 % ou eau pour préparation injectable (concentration 20 mg/mL), dilution secondaire dans G5% ou NaCl 0.9 % à perfuser dans les 24 h (stabilité 24 h à T° ambiante, 7 j à 4 °C — mais usage immédiat recommandé). Comprimés : conservation 3 ans à T° &lt; 25 °C, à l'abri de l'humidité.</w:t>
      </w:r>
    </w:p>
    <w:p>
      <w:pPr>
        <w:pStyle w:val="ListBullet"/>
      </w:pPr>
      <w:r>
        <w:t>Piège du surdosage / Substitution : (1) Confusion possible entre cyclophosphamide et ifosfamide — structures proches mais posologies et toxicités neurologiques différentes (encéphalopathie ifosfamide) — attention aux noms commerciaux ENDOXAN vs HOLOXAN. (2) Confusion entre dosage 200 mg et 1 g/flacon — risque d'erreur de reconstitution majoré — vérification systématique du dosage par 2 préparateurs. (3) Substitution ENDOXAN ↔ génériques NEOPHOS, FAMISAS : surveillance accrue car changements d'excipients possibles. (4) Cyclophosphamide et traitements immunosuppresseurs associés (azathioprine, methotrexate) — risque infectieux et carcinogénèse majorée. (5) Manipulation à risque pour personnel soignant (femmes enceintes en particulier) — port d'EPI obligatoire, circuits dédiés.</w:t>
      </w:r>
    </w:p>
    <w:p>
      <w:pPr>
        <w:pStyle w:val="Heading3"/>
      </w:pPr>
      <w:r>
        <w:t>2. DCI : Ifosfamide (Seule)</w:t>
      </w:r>
    </w:p>
    <w:p>
      <w:r/>
      <w:r>
        <w:rPr>
          <w:b/>
        </w:rPr>
        <w:t>Liste des Catégories :</w:t>
      </w:r>
      <w:r>
        <w:t xml:space="preserve"> Cytotoxique — Antinéoplasique — Agent alkylant — Moutarde azotée — Promédicament — Liste I — Médicament à prescription hospitalière stricte.</w:t>
      </w:r>
    </w:p>
    <w:p>
      <w:r>
        <w:t>L'ifosfamide est un analogue structural du cyclophosphamide (isomère structural — déplacement du groupement chlore-éthyle sur l'azote phosphoramide), découvert en 1968 par Brock. Promédicament nécessitant une activation hépatique par CYP3A4 et CYP2B6 en ifosfamide moutarde (alkylant actif) et en métabolites neurotoxiques (déchloroéthyl-ifosfamide libérant chloroacétaldéhyde responsable de l'encéphalopathie). Sa principale indication est le sarcome des tissus mous, mais aussi certains cancers du poumon, cancers du col utérin et lymphomes réfractaires. Sa toxicité neurologique propre en fait une molécule d'usage plus complexe que le cyclophosphamide.</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IFOXAN</w:t>
            </w:r>
          </w:p>
        </w:tc>
        <w:tc>
          <w:tcPr>
            <w:tcW w:type="dxa" w:w="1559"/>
          </w:tcPr>
          <w:p>
            <w:r>
              <w:rPr>
                <w:sz w:val="20"/>
              </w:rPr>
              <w:t>Korea United Pharm Inc</w:t>
            </w:r>
          </w:p>
        </w:tc>
        <w:tc>
          <w:tcPr>
            <w:tcW w:type="dxa" w:w="1559"/>
          </w:tcPr>
          <w:p>
            <w:r>
              <w:rPr>
                <w:sz w:val="20"/>
              </w:rPr>
              <w:t>Poudre pour solution injectable IV 1 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HOLOXAN</w:t>
            </w:r>
          </w:p>
        </w:tc>
        <w:tc>
          <w:tcPr>
            <w:tcW w:type="dxa" w:w="1559"/>
          </w:tcPr>
          <w:p>
            <w:r>
              <w:rPr>
                <w:sz w:val="20"/>
              </w:rPr>
              <w:t>Baxter Oncology GmbH</w:t>
            </w:r>
          </w:p>
        </w:tc>
        <w:tc>
          <w:tcPr>
            <w:tcW w:type="dxa" w:w="1559"/>
          </w:tcPr>
          <w:p>
            <w:r>
              <w:rPr>
                <w:sz w:val="20"/>
              </w:rPr>
              <w:t>Poudre pour solution injectable IV 2 g/flacon</w:t>
            </w:r>
          </w:p>
        </w:tc>
        <w:tc>
          <w:tcPr>
            <w:tcW w:type="dxa" w:w="1559"/>
          </w:tcPr>
          <w:p>
            <w:r>
              <w:rPr>
                <w:sz w:val="20"/>
              </w:rPr>
              <w:t>B/1 flacon de pdre 50 mL</w:t>
            </w:r>
          </w:p>
        </w:tc>
        <w:tc>
          <w:tcPr>
            <w:tcW w:type="dxa" w:w="1559"/>
          </w:tcPr>
          <w:p>
            <w:r>
              <w:rPr>
                <w:sz w:val="20"/>
              </w:rPr>
              <w:t>Liste I</w:t>
            </w:r>
          </w:p>
        </w:tc>
        <w:tc>
          <w:tcPr>
            <w:tcW w:type="dxa" w:w="1559"/>
          </w:tcPr>
          <w:p>
            <w:r>
              <w:rPr>
                <w:sz w:val="20"/>
              </w:rPr>
              <w:t>Actif</w:t>
            </w:r>
          </w:p>
        </w:tc>
      </w:tr>
      <w:tr>
        <w:tc>
          <w:tcPr>
            <w:tcW w:type="dxa" w:w="1559"/>
          </w:tcPr>
          <w:p>
            <w:r>
              <w:rPr>
                <w:sz w:val="20"/>
              </w:rPr>
              <w:t>HOLOXAN</w:t>
            </w:r>
          </w:p>
        </w:tc>
        <w:tc>
          <w:tcPr>
            <w:tcW w:type="dxa" w:w="1559"/>
          </w:tcPr>
          <w:p>
            <w:r>
              <w:rPr>
                <w:sz w:val="20"/>
              </w:rPr>
              <w:t>Baxter Oncology GmbH</w:t>
            </w:r>
          </w:p>
        </w:tc>
        <w:tc>
          <w:tcPr>
            <w:tcW w:type="dxa" w:w="1559"/>
          </w:tcPr>
          <w:p>
            <w:r>
              <w:rPr>
                <w:sz w:val="20"/>
              </w:rPr>
              <w:t>Poudre pour solution injectable IV 1 g/flacon</w:t>
            </w:r>
          </w:p>
        </w:tc>
        <w:tc>
          <w:tcPr>
            <w:tcW w:type="dxa" w:w="1559"/>
          </w:tcPr>
          <w:p>
            <w:r>
              <w:rPr>
                <w:sz w:val="20"/>
              </w:rPr>
              <w:t>B/1 flacon de pdre 30 mL</w:t>
            </w:r>
          </w:p>
        </w:tc>
        <w:tc>
          <w:tcPr>
            <w:tcW w:type="dxa" w:w="1559"/>
          </w:tcPr>
          <w:p>
            <w:r>
              <w:rPr>
                <w:sz w:val="20"/>
              </w:rPr>
              <w:t>Liste I</w:t>
            </w:r>
          </w:p>
        </w:tc>
        <w:tc>
          <w:tcPr>
            <w:tcW w:type="dxa" w:w="1559"/>
          </w:tcPr>
          <w:p>
            <w:r>
              <w:rPr>
                <w:sz w:val="20"/>
              </w:rPr>
              <w:t>Non Renouvelable</w:t>
            </w:r>
          </w:p>
        </w:tc>
      </w:tr>
      <w:tr>
        <w:tc>
          <w:tcPr>
            <w:tcW w:type="dxa" w:w="1559"/>
          </w:tcPr>
          <w:p>
            <w:r>
              <w:rPr>
                <w:sz w:val="20"/>
              </w:rPr>
              <w:t>IFOLEM (R)</w:t>
            </w:r>
          </w:p>
        </w:tc>
        <w:tc>
          <w:tcPr>
            <w:tcW w:type="dxa" w:w="1559"/>
          </w:tcPr>
          <w:p>
            <w:r>
              <w:rPr>
                <w:sz w:val="20"/>
              </w:rPr>
              <w:t>Lemery</w:t>
            </w:r>
          </w:p>
        </w:tc>
        <w:tc>
          <w:tcPr>
            <w:tcW w:type="dxa" w:w="1559"/>
          </w:tcPr>
          <w:p>
            <w:r>
              <w:rPr>
                <w:sz w:val="20"/>
              </w:rPr>
              <w:t>Lyophilisat pour solution injectable 1 g</w:t>
            </w:r>
          </w:p>
        </w:tc>
        <w:tc>
          <w:tcPr>
            <w:tcW w:type="dxa" w:w="1559"/>
          </w:tcPr>
          <w:p>
            <w:r>
              <w:rPr>
                <w:sz w:val="20"/>
              </w:rPr>
              <w:t>B/1 flacon</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Moutarde azotée (isomère du cyclophosphamide), promédicament alkylant bifonctionnel.</w:t>
      </w:r>
    </w:p>
    <w:p>
      <w:pPr>
        <w:pStyle w:val="ListBullet"/>
      </w:pPr>
      <w:r>
        <w:t>Mécanisme d'action : Comme le cyclophosphamide, l'ifosfamide est inactif et nécessite une bioactivation hépatique par CYP3A4 (principalement) et CYP2B6. La 4-hydroxylation aboutit au 4-OH-ifosfamide qui se décompose en ifosfamide moutarde (alkylant actif formant des ponts inter-brins ADN au niveau N7-guanine) et en acroléine (urotoxique). Cependant, l'ifosfamide subit également une N-déchloroéthylation par CYP3A4 et CYP2B6 (voie métabolique accessoire mais cliniquement importante), qui libère du chloroacétaldéhyde — métabolite neurotoxique cumulant dans le SNC et responsable de l'encéphalopathie. L'ifosfamide est caractérisé par une activation métabolique plus lente que le cyclophosphamide (demi-vie plasmatique plus longue : 6-15 h vs 4-6 h), nécessitant des perfusions prolongées (1-4 h) et une dose par m² plus élevée que le cyclophosphamide (généralement 2-3 fois plus élevée à efficacité équivalente).</w:t>
      </w:r>
    </w:p>
    <w:p>
      <w:r/>
      <w:r>
        <w:rPr>
          <w:b/>
        </w:rPr>
        <w:t>Profil Pharmacologique :</w:t>
      </w:r>
      <w:r/>
    </w:p>
    <w:p>
      <w:pPr>
        <w:pStyle w:val="ListBullet"/>
      </w:pPr>
      <w:r>
        <w:t>Indications : (1) Sarcomes des tissus mous de l'adulte et de l'enfant (protocole AIM — Adriamycine, Ifosfamide, Mesna ; protocole MAID — Mesna, Adriamycine, Ifosfamide, Dacarbazine ; protocole EURAMOS-1 en ostéosarcome). (2) Cancer du poumon non à petites cellules (PCNSCL) en 2e ligne (protocole MIC — Mitomycine, Ifosfamide, Cisplatine). (3) Cancer du col utérin localement avancé ou métastatique (protocole BIP — Bléomycine, Ifosfamide, Cisplatine). (4) Lymphomes hodgkiniens et non-Hodgkiniens réfractaires ou en rechute (protocole ICE — Ifosfamide, Carboplatine, Étoposide). (5) Cancer du sein métastatique en rechute (protocole MITO — Mitoxantrone, Ifosfamide). (6) Tumeurs germinales testiculaires en rechute (protocole TIP — Paclitaxel, Ifosfamide, Cisplatine). (7) Carcinomes épidermoïdes de la tête et du cou (protocole TIC). (8) Hors AMM : maladie de Behçet réfractaire, vascularites réfractaires, lupus sévère en immunologie.</w:t>
      </w:r>
    </w:p>
    <w:p>
      <w:pPr>
        <w:pStyle w:val="ListBullet"/>
      </w:pPr>
      <w:r>
        <w:t>Contre-indications : Hypersensibilité à l'ifosfamide ou aux excipients ; myélosuppression sévère pré-existante (sauf conditionnement de greffe) ; insuffisance rénale sévère (ClCr &lt; 30 mL/min) ; obstruction des voies urinaires ; infection évolutive non contrôlée ; grossesse et allaitement (CI absolue — tératogène) ; vaccination vivante atténuée contemporaine ; altération hépatique sévère ; hypalbuminémie sévère (l'ifosfamide étant fortement métabolisé, la fixation protéique des métabolites neurotoxiques est diminuée → risque d'encéphalopathie accrue).</w:t>
      </w:r>
    </w:p>
    <w:p>
      <w:pPr>
        <w:pStyle w:val="ListBullet"/>
      </w:pPr>
      <w:r>
        <w:t>Effets Indésirables : (a) Neurologique : encéphalopathie de l'ifosfamide — syndrome caractéristique (incidence 10-40 %) associant confusion, désorientation, agitation, hallucinations, astérixis, myoclonies, troubles de l'élocution, parfois coma et crises convulsives. Survenue 24-48 h à 7 j après début perfusion. Mécanisme : chloroacétaldéhyde (métabolite), accumulation de chloroacétate, déficit en thiamine. Facteurs de risque : femme, âge &gt; 65 ans, hypoalbuminémie &lt; 35 g/L, insuffisance rénale, antécédent d'alcoolisme, perfusion rapide (&lt; 1 h), haute dose (&gt; 1.5 g/m²/j), association à aprepitant ou ondansétron (CYP3A4 inhibition). Traitement : méthylène bleu IV (antidote — 50 mg IV toutes les 4 h), mecystémamine, arrêt de l'ifosfamide. (b) Urologique : cystite hémorragique par acroléine — prévention systématique par Mesna obligatoire. (c) Hématologique : myélosuppression (leucopénie, thrombopénie — nadir J7-14, récupération J21). (d) Digestif : nausées/vomissements modérés, mucite, anorexie, diarrhée, élévation transaminases. (e) Gonadique : stérilité — azoospermie chez l'homme (souvent définitive), aménorrhée chez la femme (souvent réversible si doses &lt; 24 g/m² cumulées). (f) Cardiologique : cardiotoxicité dose-dépendante (rare), troubles du rythme. (g) Pulmonaire : pneumopathie interstitielle (rare). (h) Rénal : néphrotoxicité tubulaire (syndrome de Fanconi acquis — hypokaliémie, hypophosphorémie, acidose métabolique, glycosurie normoglycémique, aminoacidurie), atteinte glomérulaire à forte dose. (i) Métabolique : acidose métabolique (accumulation de chloroacétate), syndrome de lyse tumorale. (j) Cutané : alopécie (réversible), rash. (k) Carcinogénèse : leucémies secondaires (à long terme, surtout en association à la radiothérapie), cancer vésical.</w:t>
      </w:r>
    </w:p>
    <w:p>
      <w:r/>
      <w:r>
        <w:rPr>
          <w:b/>
        </w:rPr>
        <w:t>Prévention et Gestion des Effets Indésirables :</w:t>
      </w:r>
      <w:r/>
    </w:p>
    <w:p>
      <w:pPr>
        <w:pStyle w:val="ListBullet"/>
      </w:pPr>
      <w:r>
        <w:t>Mesures Préventives : (1) Mesna obligatoire à dose équivalente à l'ifosfamide (1:1 ou 0.6:1) — administration IV ou orale à T0, +4 h, +8 h ou perfusion continue. Le Mesna (2-mercaptoethane sulfonate sodium) se conjugue à l'acroléine dans les urines pour former un complexe non toxique. (2) Hydratation IV abondante (3 L/m²/j) avec diurèse alcaline forcée (objectif &gt; 100 mL/h, pH urinaire &gt; 7). (3) Surveillance neurologique systématique pendant et 7 jours après perfusion (Glasgow, orientation, astérixis). (4) Surveillance NFS-plaquettes hebdomadaire pendant cures, ionogramme + créatinine + ALAT-ASAT + albumine avant chaque cure. (5) Prévention nausea/vomissements par anti-5HT3 + corticoïde. (6) Correction hypoalbuminémie (nutrition, supplémentation) avant cure. (7) Cryopréservation gamétique pré-thérapeutique. (8) Surveillance ECG si antécédent cardiaque. (9) Prophylaxie pneumocystose si lymphopénie durable. (10) Surveillance électrolytique (K, Mg, PO4) en raison du risque de syndrome de Fanconi.</w:t>
      </w:r>
    </w:p>
    <w:p>
      <w:pPr>
        <w:pStyle w:val="ListBullet"/>
      </w:pPr>
      <w:r>
        <w:t>Conduite à Tenir : (1) Si signes d'encéphalopathie (confusion, astérixis, myoclonies) → arrêt immédiat de l'ifosfamide, méthylène bleu IV 50 mg toutes les 4 h (antidote), mécystémamine IV 4 g/m²/24 h, hydratation IV, surveillance en réanimation (risque de coma). Réintroduction discutée au cas par cas (souvent contre-indiquée). (2) Si hématurie macroscopique → arrêt, hydratation IV renforcée, Mesna IV continu, contrôle cystoscopique si persistance. (3) Si neutropénie fébrile → hospitalisation, hémocultures, antibiothérapie empirique large spectre IV. (4) Si acidose métabolique sévère → bicarbonate IV, correction de l'hypokaliémie, surveillance réanimation. (5) Si syndrome de Fanconi (acidose + hypokaliémie + hypophosphorémie + glycosurie normoglycémique) → supplémentation PO4, K, bicarbonate, éventuel arrêt définitif. (6) Adaptation de dose en cas d'insuffisance rénale (ClCr 30-60 mL/min : reduction 25 %, &lt; 30 mL/min : CI). (7) Si allergie (rash, bronchospasme) → arrêt, antihistaminique, corticoïde.</w:t>
      </w:r>
    </w:p>
    <w:p>
      <w:r/>
      <w:r>
        <w:rPr>
          <w:b/>
        </w:rPr>
        <w:t>Interactions Importantes :</w:t>
      </w:r>
      <w:r/>
    </w:p>
    <w:p>
      <w:pPr>
        <w:pStyle w:val="ListBullet"/>
      </w:pPr>
      <w:r>
        <w:t>Ifosfamide + Aminosides (gentamicine, amikacine, vancomycine) : néphrotoxicité additive majeure → surveillance créatinine et électrolytes, éviter si possible.</w:t>
      </w:r>
    </w:p>
    <w:p>
      <w:pPr>
        <w:pStyle w:val="ListBullet"/>
      </w:pPr>
      <w:r>
        <w:t>Ifosfamide + Cisplatine : néphrotoxicité synergique, neurotoxicité additive → surveillance renforcée, hydratation abondante.</w:t>
      </w:r>
    </w:p>
    <w:p>
      <w:pPr>
        <w:pStyle w:val="ListBullet"/>
      </w:pPr>
      <w:r>
        <w:t>Ifosfamide + Inhibiteurs CYP3A4 (kétoconazole, itraconazole, érythromycine, clarithromycine, ritonavir, indinavir, aprepitant, diltiazem, vérapamil, fluoxétine, paroxétine) : augmentation de la concentration de chloroacétaldéhyde (métabolite neurotoxique) → risque majeur d'encéphalopathie. Éviter ou réduire ifosfamide.</w:t>
      </w:r>
    </w:p>
    <w:p>
      <w:pPr>
        <w:pStyle w:val="ListBullet"/>
      </w:pPr>
      <w:r>
        <w:t>Ifosfamide + Inducteurs CYP3A4 (rifampicine, phénytoïne, phénobarbital, carbamazépine, millepertuis) : augmentation de la production de métabolites actifs et toxiques → toxicité accrue (encéphalopathie, cystite). Éviter.</w:t>
      </w:r>
    </w:p>
    <w:p>
      <w:pPr>
        <w:pStyle w:val="ListBullet"/>
      </w:pPr>
      <w:r>
        <w:t>Ifosfamide + Vaccins vivants atténués : risque de maladie vaccinale généralisée — CI absolue pendant et 6 mois après traitement.</w:t>
      </w:r>
    </w:p>
    <w:p>
      <w:pPr>
        <w:pStyle w:val="ListBullet"/>
      </w:pPr>
      <w:r>
        <w:t>Ifosfamide + Warfarine/Anticoagulants oraux : potentialisation de l'anticoagulation (myélosuppression, modification de la flore intestinale synthèse vitamine K) → surveillance INR.</w:t>
      </w:r>
    </w:p>
    <w:p>
      <w:pPr>
        <w:pStyle w:val="ListBullet"/>
      </w:pPr>
      <w:r>
        <w:t>Ifosfamide + Sulfonylurées : potentialisation de l'effet hypoglycémiant (toxicité pancréatique).</w:t>
      </w:r>
    </w:p>
    <w:p>
      <w:pPr>
        <w:pStyle w:val="ListBullet"/>
      </w:pPr>
      <w:r>
        <w:t>Ifosfamide + Corticoïdes : immunosuppression majorée.</w:t>
      </w:r>
    </w:p>
    <w:p>
      <w:pPr>
        <w:pStyle w:val="ListBullet"/>
      </w:pPr>
      <w:r>
        <w:t>Ifosfamide + Allopurinol : augmentation de la myélosuppression.</w:t>
      </w:r>
    </w:p>
    <w:p>
      <w:pPr>
        <w:pStyle w:val="ListBullet"/>
      </w:pPr>
      <w:r>
        <w:t>Ifosfamide + Aprepitant (antiémétique NK1) : inhibition CYP3A4 → risque encéphalopathie majoré — préférer antihistaminiques ou D2-antagonistes (métoclopramide).</w:t>
      </w:r>
    </w:p>
    <w:p>
      <w:r/>
      <w:r>
        <w:rPr>
          <w:b/>
        </w:rPr>
        <w:t>Grossesse et Allaitement :</w:t>
      </w:r>
      <w:r/>
    </w:p>
    <w:p>
      <w:pPr>
        <w:pStyle w:val="ListBullet"/>
      </w:pPr>
      <w:r>
        <w:t>Grossesse : CI absolue à toutes les phases de la grossesse (CRAT — embryo-létale et tératogène — malformations sévères : squelettiques, cérébrales, palatines, rénales, avortements spontanés). Test de grossesse pré-thérapeutique systématique. Contraception efficace obligatoire pendant et 6 mois après la fin du traitement (les deux partenaires). L'ifosfamide étant tératogène chez l'animal à faible dose, il n'existe pas d'indication pendant grossesse — interruption médicale de grossesse à discuter en cas de cancer maternel et de grossesse précoce. En cas de cancer diagnostiqué au 2e ou 3e trimestre, traitement différé si possible ou choix d'un protocole sans ifosfamide.</w:t>
      </w:r>
    </w:p>
    <w:p>
      <w:pPr>
        <w:pStyle w:val="ListBullet"/>
      </w:pPr>
      <w:r>
        <w:t>Allaitement : CI absolue. L'ifosfamide et ses métabolites (notamment le chloroacétaldéhyde neurotoxique) passent dans le lait maternel à des concentrations significatives. Risque de myélosuppression, de neurotoxicité (encéphalopathie), de carcinogénèse à long terme chez le nourrisson. Interruption définitive de l'allaitement avant la première cure.</w:t>
      </w:r>
    </w:p>
    <w:p>
      <w:pPr>
        <w:pStyle w:val="ListBullet"/>
      </w:pPr>
      <w:r>
        <w:t>Précisions : Conservation gamétique pré-thérapeutique systématique obligatoire chez l'homme (cryoconservation sperme) et la femme jeune (consultation PMA — préservation ovocytaire ou tissulaire ovarienne) en raison du risque élevé de stérilité (azoospermie chez 70-90 % des hommes après cure haute dose, aménorrhée chez 30-50 % des femmes après 24 g/m² cumulés).</w:t>
      </w:r>
    </w:p>
    <w:p>
      <w:r/>
      <w:r>
        <w:rPr>
          <w:b/>
        </w:rPr>
        <w:t>Posologie et Mode d'administration (Standard) :</w:t>
      </w:r>
      <w:r/>
    </w:p>
    <w:p>
      <w:pPr>
        <w:pStyle w:val="ListBullet"/>
      </w:pPr>
      <w:r>
        <w:t>Adulte : (1) Sarcomes — protocole AIM : 5 g/m²/J en perfusion IV continue 24 h à J1 (avec doxorubicine 60 mg/m² J1 + Mesna 5 g/m²/J), cure toutes les 3 semaines × 6 ; ou protocole MAID : 2-2.5 g/m²/J J1-J3 en perfusion 1-2 h IV (Mesna associé à dose équivalente). (2) Lymphome réfractaire — protocole ICE : 5 g/m²/J J2 en perfusion continue 24 h IV. (3) Cancer du poumon — protocole MIC : 3 g/m²/J J1-J2 IV. (4) Cancer du col utérin — protocole BIP : 5 g/m²/J J2 en perfusion 24 h. (5) Doses standard : 1.2-2.4 g/m²/J en perfusion 1-2 h pendant 3-5 jours consécutifs, cure toutes les 3-4 semaines. Dose maximale par cure : 20 g/m². Mesna obligatoire (1:1 ou 0.6:1).</w:t>
      </w:r>
    </w:p>
    <w:p>
      <w:pPr>
        <w:pStyle w:val="ListBullet"/>
      </w:pPr>
      <w:r>
        <w:t>Enfant : Sarcomes pédiatriques (rhabdomyosarcome IRS-V, ostéosarcome EURAMOS-1, sarcome d'Ewing) : 1.8-3 g/m²/J J1-J3 ou J1-J5 en perfusion 1 h IV, cure toutes les 3 semaines. Mesna associé. Surveillance neurologique renforcée.</w:t>
      </w:r>
    </w:p>
    <w:p>
      <w:pPr>
        <w:pStyle w:val="ListBullet"/>
      </w:pPr>
      <w:r>
        <w:t>Durée : Variable selon protocole — 3-6 cures pour sarcomes, 2-4 cures pour lymphomes réfractaires, 4-6 cures pour cancers du col utérin.</w:t>
      </w:r>
    </w:p>
    <w:p>
      <w:pPr>
        <w:pStyle w:val="ListBullet"/>
      </w:pPr>
      <w:r>
        <w:t>Moment de la prise : Hospitalier exclusif, perfusion IV en 1-2 h ou continue 24 h selon protocole. Mesna en IV separate ou per os (50 % dose IV + 50 % dose orale à H0, H4, H8). Hydratation IV 3 L/m²/24 h obligatoire. Surveillance neurologique horaire pendant perfusion et 24 h post-perfusion.</w:t>
      </w:r>
    </w:p>
    <w:p>
      <w:r/>
      <w:r>
        <w:rPr>
          <w:b/>
        </w:rPr>
        <w:t>Arbitrage et Bénéfices des Formes Galéniques :</w:t>
      </w:r>
      <w:r/>
    </w:p>
    <w:p>
      <w:r>
        <w:t>L'ifosfamide n'est disponible en Algérie qu'en forme injectable IV (poudre pour solution à reconstituer), à 1 g (IFOXAN, HOLOXAN, IFOLEM) et 2 g (HOLOXAN). Pas de forme orale. Usage strictement hospitalier, préparation centralisée en PUI en ZAC. L'arbitrage entre les dosages se fait selon le protocole : pour perfusion continue 24 h, le dosage 2 g/flacon (HOLOXAN) facilite la reconstitution (volume réduit) ; pour perfusion courte 1-2 h, le dosage 1 g (IFOXAN) permet une flexibilité. La perfusion continue 24 h est préférée pour limiter les pics de métabolites neurotoxiques (chloroacétaldéhyde) et réduire le risque d'encéphalopathie. La perfusion courte (1-2 h) impose une hydratation et surveillance renforcées. La solution reconstituée est stable 24 h à T° ambiante, 7 j à 4 °C (mais usage immédiat recommandé). Dilution dans G5% ou NaCl 0.9 %, concentration finale &lt; 40 mg/mL.</w:t>
      </w:r>
    </w:p>
    <w:p>
      <w:r/>
      <w:r>
        <w:rPr>
          <w:b/>
        </w:rPr>
        <w:t>Instructions et Conseils au Patient :</w:t>
      </w:r>
      <w:r/>
    </w:p>
    <w:p>
      <w:pPr>
        <w:pStyle w:val="ListBullet"/>
      </w:pPr>
      <w:r>
        <w:t>Communication au comptoir : (1) Information au patient et à l'entourage : traitement exclusivement hospitalier, nécessite hospitalisation de jour ou court séjour (2-5 jours) par cure. (2) Prévenir le patient des signes d'encéphalopathie à signaler immédiatement : confusion, désorientation, troubles de l'élocution, tremblements, myoclonies, somnolence, hallucinations. (3) Prévenir hématurie (sang dans les urines) — consulter en urgence. (4) Prévenir fièvre (≥ 38.5 °C) — consulter en urgence (risque infectieux majeur). (5) Hydratation orale 2-3 L/j entre les cures. (6) Contraception obligatoire pendant et 6 mois post-traitement. (7) Alopécie constante (réversible à l'arrêt). (8) Fatigue importante pendant et après les cures (activité à réduire). (9) Coordonnées du service oncologue référent et de l'urgence hospitalière pour tout signe d'alerte.</w:t>
      </w:r>
    </w:p>
    <w:p>
      <w:pPr>
        <w:pStyle w:val="ListBullet"/>
      </w:pPr>
      <w:r>
        <w:t>Mode d'utilisation pratique : (1) Préparation centralisée en PUI hospitalière en ZAC, manipulation par personnel formé (EPI complet : double gants nitrile, masque FFP2, lunettes de protection, blouse chimio, charlotte). (2) Reconstitution avec NaCl 0.9 % ou eau PPI (concentration 20-40 mg/mL). (3) Dilution secondaire dans G5% ou NaCl 0.9 %. (4) Perfuser en 1-2 h ou en perfusion continue 24 h selon protocole. (5) Mesna associé obligatoire (à dose équivalente). (6) Hydratation IV concomitante 3 L/m²/24 h. (7) Surveillance neurologique horaire. (8) Élimination des déchets cytotoxiques selon circuit dédié (sac jaune cytotoxique, incinération).</w:t>
      </w:r>
    </w:p>
    <w:p>
      <w:r/>
      <w:r>
        <w:rPr>
          <w:b/>
        </w:rPr>
        <w:t>Notes, Règles d'Or &amp; Pièges au Comptoir :</w:t>
      </w:r>
      <w:r/>
    </w:p>
    <w:p>
      <w:pPr>
        <w:pStyle w:val="ListBullet"/>
      </w:pPr>
      <w:r>
        <w:t>Piège classique : (1) Encéphalopathie de l'ifosfamide — toute anomalie neurologique pendant cure = urgence absolue → arrêt immédiat, méthylène bleu IV, mécystémamine, surveillance réanimation. (2) Oubli de Mesna = cystite hémorragique quasi constante. (3) Acidose métabolique méconnue (chloroacétate) peut aggraver une encéphalopathie. (4) Confusion ifosfamide ↔ cyclophosphamide — structures proches mais ifosfamide ≠ cyclophosphamide (encéphalopathie spécifique ifosfamide, doses plus élevées ifosfamide 2-3x cyclophosphamide). (5) Hypoalbuminémie &lt; 35 g/L non corrigée = risque encéphalopathie majeur. (6) Association à aprepitant (inhibiteur CYP3A4) augmente le risque d'encéphalopathie — préférer métoclopramide. (7) Perfusion rapide (&lt; 1 h) = risque neurotoxicité accru. (8) Patiente femme enceinte à risque tératogène majeur — contraception stricte.</w:t>
      </w:r>
    </w:p>
    <w:p>
      <w:pPr>
        <w:pStyle w:val="ListBullet"/>
      </w:pPr>
      <w:r>
        <w:t>Règle de prise : Mesna obligatoire, hydratation IV 3 L/m²/24 h, surveillance neurologique horaire, surveillance électrolytique (K, Mg, PO4) et rénale quotidienne, contraception obligatoire 6 mois post-traitement.</w:t>
      </w:r>
    </w:p>
    <w:p>
      <w:pPr>
        <w:pStyle w:val="ListBullet"/>
      </w:pPr>
      <w:r>
        <w:t>Préparation et Conservation : Poudre lyophilisée à reconstituer avec NaCl 0.9 % ou eau PPI (concentration 20-40 mg/mL). Dilution secondaire dans G5% ou NaCl 0.9 %. Stabilité 24 h à T° ambiante, 7 j à 4 °C (mais usage immédiat recommandé). Conservation flacons non reconstitués : 3 ans à T° &lt; 25 °C, à l'abri de la lumière.</w:t>
      </w:r>
    </w:p>
    <w:p>
      <w:pPr>
        <w:pStyle w:val="ListBullet"/>
      </w:pPr>
      <w:r>
        <w:t>Piège du surdosage / Substitution : (1) Confusion IFOXAN ↔ ENDOXAN (ifosfamide ↔ cyclophosphamide) — structures proches, noms commerciaux voisins, mais posologies et toxicités différentes (encéphalopathie ifosfamide, doses plus élevées ifosfamide). Vérification par 2 préparateurs. (2) Confusion IFOXAN 1 g ↔ HOLOXAN 1 g ↔ HOLOXAN 2 g — vérification du dosage systématique. (3) Substitution HOLOXAN ↔ IFOXAN : surveillance accrue (changements d'excipients possibles). (4) Ifosfamide et traitement immunosuppresseur associé — risque infectieux majoré. (5) Manipulation à risque pour le personnel soignant (femmes enceintes en particulier) — port d'EPI obligatoire, circuits dédiés. (6) Risque de second cancer à long terme (leucémie myélomonocytaire, cancer vésical) — surveillance hématologique prolongée.</w:t>
      </w:r>
    </w:p>
    <w:p>
      <w:pPr>
        <w:pStyle w:val="Heading3"/>
      </w:pPr>
      <w:r>
        <w:t>3. DCI : Chlorambucil (Seule)</w:t>
      </w:r>
    </w:p>
    <w:p>
      <w:r/>
      <w:r>
        <w:rPr>
          <w:b/>
        </w:rPr>
        <w:t>Liste des Catégories :</w:t>
      </w:r>
      <w:r>
        <w:t xml:space="preserve"> Cytotoxique — Antinéoplasique — Agent alkylant — Moutarde azotée — Liste I — Médicament à prescription hospitalière (initiation) puis suivi ville possible.</w:t>
      </w:r>
    </w:p>
    <w:p>
      <w:r>
        <w:t>Le chlorambucil est la plus ancienne moutarde azotée orale encore commercialisée (1953). Il s'agit d'un alkylant bifonctionnel actif par lui-même (pas de promédicament), caractérisé par une toxicité hématologique lente et cumulative, une bonne tolérance digestive et une myélosuppression progressive. C'est historiquement le traitement de référence de la leucémie lymphoïde chronique (LLC) et de certains lymphomes indolents, aujourd'hui supplanté en partie par les anticorps monoclonaux (rituximab, obinutuzumab) et les inhibiteurs de la BCR (ibrutinib, idelalisib), mais qui reste un pilier économique et accessible.</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LEUKERAN</w:t>
            </w:r>
          </w:p>
        </w:tc>
        <w:tc>
          <w:tcPr>
            <w:tcW w:type="dxa" w:w="1559"/>
          </w:tcPr>
          <w:p>
            <w:r>
              <w:rPr>
                <w:sz w:val="20"/>
              </w:rPr>
              <w:t>Aspen Pharma Trading Limited</w:t>
            </w:r>
          </w:p>
        </w:tc>
        <w:tc>
          <w:tcPr>
            <w:tcW w:type="dxa" w:w="1559"/>
          </w:tcPr>
          <w:p>
            <w:r>
              <w:rPr>
                <w:sz w:val="20"/>
              </w:rPr>
              <w:t>Comprimé pelliculé 2 mg</w:t>
            </w:r>
          </w:p>
        </w:tc>
        <w:tc>
          <w:tcPr>
            <w:tcW w:type="dxa" w:w="1559"/>
          </w:tcPr>
          <w:p>
            <w:r>
              <w:rPr>
                <w:sz w:val="20"/>
              </w:rPr>
              <w:t>B/25</w:t>
            </w:r>
          </w:p>
        </w:tc>
        <w:tc>
          <w:tcPr>
            <w:tcW w:type="dxa" w:w="1559"/>
          </w:tcPr>
          <w:p>
            <w:r>
              <w:rPr>
                <w:sz w:val="20"/>
              </w:rPr>
              <w:t>Liste I</w:t>
            </w:r>
          </w:p>
        </w:tc>
        <w:tc>
          <w:tcPr>
            <w:tcW w:type="dxa" w:w="1559"/>
          </w:tcPr>
          <w:p>
            <w:r>
              <w:rPr>
                <w:sz w:val="20"/>
              </w:rPr>
              <w:t>Actif</w:t>
            </w:r>
          </w:p>
        </w:tc>
      </w:tr>
    </w:tbl>
    <w:p/>
    <w:p>
      <w:r/>
      <w:r>
        <w:rPr>
          <w:b/>
        </w:rPr>
        <w:t>Sous-classe et Mécanisme d'action :</w:t>
      </w:r>
      <w:r/>
    </w:p>
    <w:p>
      <w:pPr>
        <w:pStyle w:val="ListBullet"/>
      </w:pPr>
      <w:r>
        <w:t>Sous-classe : Moutarde azotée orale, alkylant bifonctionnel direct (sans activation métabolique).</w:t>
      </w:r>
    </w:p>
    <w:p>
      <w:pPr>
        <w:pStyle w:val="ListBullet"/>
      </w:pPr>
      <w:r>
        <w:t>Mécanisme d'action : Le chlorambucil est actif par lui-même (pas de promédicament). Sa structure chimique est celle d'une moutarde azotée avec un groupe acide butyrique aromatique (phénylbutyrique) substituant l'azote. Il subit une cyclisation spontanée en ion aziridinium hautement électrophile qui alkylise l'ADN au niveau de la position N7 de la guanine, formant des ponts inter-brins (interstrand cross-links) et intra-brins. Les lésions bloquent la réplication, la transcription et déclenchent l'apoptose p53-dépendante. Le chlorambucil est cycle-non-spécifique, agissant y compris sur les cellules en G0, ce qui explique son activité sur les lymphocytes B matures quiescents (leucémie lymphoïde chronique, lymphome folliculaire). L'action est lente et cumulative — d'où la tolérance apparente bénigne initiale (effets indésirables retardés). À faible dose prolongée, le chlorambucil exerce un effet immunosuppresseur lymphocyte B-spécifique.</w:t>
      </w:r>
    </w:p>
    <w:p>
      <w:r/>
      <w:r>
        <w:rPr>
          <w:b/>
        </w:rPr>
        <w:t>Profil Pharmacologique :</w:t>
      </w:r>
      <w:r/>
    </w:p>
    <w:p>
      <w:pPr>
        <w:pStyle w:val="ListBullet"/>
      </w:pPr>
      <w:r>
        <w:t>Indications : (1) Leucémie lymphoïde chronique (LLC) — protocole historique Chlorambucil-Prednisone (CP), aujourd'hui utilisé en première ligne chez sujet âgé (&gt; 65-70 ans) ou fragile (ClCr &lt; 50 mL/min), ou en association avec obinutuzumab (protocole GCLLSG CLL11 — chlorambucil 0.5 mg/kg J1-J15 + obinutuzumab). (2) Lymphomes non-Hodgkiniens indolents (folliculaire, lymphocytaire, MALT gastrique) en monothérapie. (3) Macroglobulinémie de Waldenström. (4) Maladie de Hodgkin en association (protocole MOPP — Mechlorethamine, Oncovin, Procarbazine, Prednisone — chlorambucil remplaçant la mechlorethamine dans MOPP-C). (5) Polyglobulie de Vaquez (en cas de contre-indication à l'hydroxyurée). (6) Hors AMM : glomérulonéphrites membranopréolifératives, syndrome néphrotique idiopathique corticorésistant chez l'enfant, vascularites cryoglobulinémiques, thrombopénies immunologiques chroniques, anémie hémolytique auto-immune, lupus érythémateux disséminé (rôle historique), granulomatose avec polyangéite (rare).</w:t>
      </w:r>
    </w:p>
    <w:p>
      <w:pPr>
        <w:pStyle w:val="ListBullet"/>
      </w:pPr>
      <w:r>
        <w:t>Contre-indications : Hypersensibilité au chlorambucil ou aux excipients ; myélosuppression sévère pré-existante (PNN &lt; 2 G/L, plaquettes &lt; 100 G/L) ; grossesse et allaitement (CI absolue — tératogène, mutagène) ; infection évolutive non contrôlée ; vaccination vivante atténuée contemporaine ; insuffisance hépatique sévère (métabolisation hépatique) ; antécédent de second cancer hématologique (carence en MGMT ou p53).</w:t>
      </w:r>
    </w:p>
    <w:p>
      <w:pPr>
        <w:pStyle w:val="ListBullet"/>
      </w:pPr>
      <w:r>
        <w:t>Effets Indésirables : (a) Hématologique : myélosuppression retardée et cumulative — nadir leucopénie à 21-28 jours (caractéristique — à surveiller 4 semaines après début cure), récupération lente (35-50 jours). Thrombopénie plus tardive (28-35 jours). Risque d'aplasie médullaire prolongée en cas de surdosage chronique. (b) Digestif : nausées/vomissements modérés (level 1-2), anorexie, hépatotoxicité rare (élévation transaminases, hépatite cholestatique exceptionnelle). (c) Gonadique : stérilité — azoospermie chez l'homme (souvent définitive à doses cumulées &gt; 400 mg), aménorrhée chez la femme (parfois définitive après 40 ans et doses cumulées &gt; 6 mg/kg). (d) Carcinogénèse : risque majeur de leucémie aiguë myéloïde secondaire (incidence 1-5 % à 5-10 ans post-traitement, leucémogénicité dose-dépendante, supérieure au cyclophosphamide), syndrome myélodysplasique (SMD), cancer épidermoïde cutané. Le chlorambucil est considéré comme le plus leucémogène des alkylants oraux. (e) Pulmonaire : fibrose pulmonaire rare (à doses cumulées &gt; 500 mg). (f) Cutané : rash, urticaire, réactions d'hypersensibilité, alopécie rare. (g) Neurologique : convulsions chez enfants à haute dose (rare). (h) Métabolique : hyperuricémie (syndrome de lyse tumorale en cas de masse tumorale élevée). (i) Infectieux : immunosuppression lymphocyte B-dépendante, hypogammaglobulinémie progressive, risque infectieux majoré (pneumococcies, herpes zoster).</w:t>
      </w:r>
    </w:p>
    <w:p>
      <w:r/>
      <w:r>
        <w:rPr>
          <w:b/>
        </w:rPr>
        <w:t>Prévention et Gestion des Effets Indésirables :</w:t>
      </w:r>
      <w:r/>
    </w:p>
    <w:p>
      <w:pPr>
        <w:pStyle w:val="ListBullet"/>
      </w:pPr>
      <w:r>
        <w:t>Mesures Préventives : (1) Surveillance NFS-plaquettes hebdomadaire pendant les 4 premières semaines, puis mensuelle pendant traitement et 4 semaines après arrêt (en raison du nadir retardé à 28 j). (2) Adaptation de dose selon tolérance hématologique — réduction de 25-50 % si PNN &lt; 1.5 G/L ou plaquettes &lt; 75 G/L, arrêt si PNN &lt; 0.5 G/L ou plaquettes &lt; 50 G/L. (3) Surveillance fonction hépatique (ASAT-ALAT-GGT-bilirubine) mensuelle. (4) Prévention syndrome de lyse tumorale (allopurinol) si masse tumorale élevée (lymphadénopathies volumineuses, hyperleucocytose &gt; 100 G/L). (5) Cryopréservation gamétique pré-thérapeutique systématique chez homme et femme jeune. (6) Prévention nausea/vomissements par anti-5HT3 si besoin. (7) Vaccinations à jour avant traitement (pneumocoque, grippe, COVID-19, Haemophilus influenzae B) — vaccins vivants contre-indiqués pendant et 6 mois après. (8) Prophylaxie pneumocystose si lymphopénie CD4 &lt; 200/mm³. (9) Surveillance à long terme (10-15 ans) pour second cancer hématologique (NFS annuelle).</w:t>
      </w:r>
    </w:p>
    <w:p>
      <w:pPr>
        <w:pStyle w:val="ListBullet"/>
      </w:pPr>
      <w:r>
        <w:t>Conduite à Tenir : (1) Si myélosuppression sévère (PNN &lt; 0.5 G/L) → arrêt immédiat, G-CSF (filgrastim) si neutropénie fébrile, antibiothérapie prophylactique si fièvre. (2) Si éruption cutanée grave (syndrome de Stevens-Johnson, DRESS) → arrêt définitif, dermato-urgence. (3) Si convulsions → arrêt, benzodiazépines IV, EEG, neurologue. (4) Si infection opportuniste (herpes zoster, pneumocystose) → arrêt transitoire, traitement spécifique (aciclovir IV, cotrimoxazole). (5) Si syndrome de lyse tumorale → hydratation IV, allopurinol ou rasburicase, surveillance urinaire, ionogramme, ECG.</w:t>
      </w:r>
    </w:p>
    <w:p>
      <w:r/>
      <w:r>
        <w:rPr>
          <w:b/>
        </w:rPr>
        <w:t>Interactions Importantes :</w:t>
      </w:r>
      <w:r/>
    </w:p>
    <w:p>
      <w:pPr>
        <w:pStyle w:val="ListBullet"/>
      </w:pPr>
      <w:r>
        <w:t>Chlorambucil + Vaccins vivants atténués (BCG, fièvre jaune, ROR, varicelle) : risque de maladie vaccinale généralisée — CI absolue pendant et 6 mois après traitement.</w:t>
      </w:r>
    </w:p>
    <w:p>
      <w:pPr>
        <w:pStyle w:val="ListBullet"/>
      </w:pPr>
      <w:r>
        <w:t>Chlorambucil + Phénytoïne, phénobarbital : diminution de la biodisponibilité du chlorambucil (induction enzymatique).</w:t>
      </w:r>
    </w:p>
    <w:p>
      <w:pPr>
        <w:pStyle w:val="ListBullet"/>
      </w:pPr>
      <w:r>
        <w:t>Chlorambucil + Anticoagulants oraux (warfarine) : potentialisation de l'anticoagulation (myélosuppression + modification flore intestinale vit K) → surveillance INR.</w:t>
      </w:r>
    </w:p>
    <w:p>
      <w:pPr>
        <w:pStyle w:val="ListBullet"/>
      </w:pPr>
      <w:r>
        <w:t>Chlorambucil + Aminosides, diurétiques : néphrotoxicité additive rare (chlorambucil peu néphrotoxique mais risque accru en cas d'association à ifosfamide ou cisplatine).</w:t>
      </w:r>
    </w:p>
    <w:p>
      <w:pPr>
        <w:pStyle w:val="ListBullet"/>
      </w:pPr>
      <w:r>
        <w:t>Chlorambucil + Clobazam, valproate de sodium : interactions pharmacocinétiques mineures.</w:t>
      </w:r>
    </w:p>
    <w:p>
      <w:pPr>
        <w:pStyle w:val="ListBullet"/>
      </w:pPr>
      <w:r>
        <w:t>Chlorambucil + Autres alkylants (cyclophosphamide, melphalan, busulfan) : risque majeur de leucémie secondaire, myélosuppression cumulative.</w:t>
      </w:r>
    </w:p>
    <w:p>
      <w:pPr>
        <w:pStyle w:val="ListBullet"/>
      </w:pPr>
      <w:r>
        <w:t>Chlorambucil + Inhibiteurs de la BCR (ibrutinib, idelalisib) : risque hémorragique majoré (thrombopénie + antiagrégant plaquettaire ibrutinib).</w:t>
      </w:r>
    </w:p>
    <w:p>
      <w:pPr>
        <w:pStyle w:val="ListBullet"/>
      </w:pPr>
      <w:r>
        <w:t>Chlorambucil + Rituximab : association synergique (protocole chlorambucil-rituximab), bonne tolérance.</w:t>
      </w:r>
    </w:p>
    <w:p>
      <w:pPr>
        <w:pStyle w:val="ListBullet"/>
      </w:pPr>
      <w:r>
        <w:t>Chlorambucil + Allopurinol : pas d'interaction significative (contrairement au cyclophosphamide).</w:t>
      </w:r>
    </w:p>
    <w:p>
      <w:r/>
      <w:r>
        <w:rPr>
          <w:b/>
        </w:rPr>
        <w:t>Grossesse et Allaitement :</w:t>
      </w:r>
      <w:r/>
    </w:p>
    <w:p>
      <w:pPr>
        <w:pStyle w:val="ListBullet"/>
      </w:pPr>
      <w:r>
        <w:t>Grossesse : CI absolue à toutes les phases de la grossesse (CRAT — embryo-létale au 1er trimestre, tératogène et mutagène à toutes les phases — malformations squelettiques, palatines, rénales, urogénitales, avortements spontanés, retards de croissance). Test de grossesse pré-thérapeutique systématique chez toute femme en âge de procréer. Contraception efficace obligatoire pendant et 6 mois après la fin du traitement (les deux partenaires). Le chlorambucil traverse le placenta (concentration fœtale ≈ 50 % maternelle). En cas de cancer diagnostiqué pendant la grossesse → avis oncologie/obstétrique multidisciplinaire, traitement différé après accouchement si possible ou choix d'un protocole sans chlorambucil.</w:t>
      </w:r>
    </w:p>
    <w:p>
      <w:pPr>
        <w:pStyle w:val="ListBullet"/>
      </w:pPr>
      <w:r>
        <w:t>Allaitement : CI absolue. Le chlorambucil passe dans le lait maternel à des concentrations significatives (rapport lait/plasma ≈ 0.5-1). Risque de myélosuppression, d'immunosuppression et de carcinogénèse à long terme chez le nourrisson. Interruption définitive de l'allaitement avant la première cure.</w:t>
      </w:r>
    </w:p>
    <w:p>
      <w:pPr>
        <w:pStyle w:val="ListBullet"/>
      </w:pPr>
      <w:r>
        <w:t>Précisions : Conservation gamétique pré-thérapeutique systématique obligatoire chez l'homme (cryoconservation sperme) et la femme jeune (consultation PMA — préservation ovocytaire) en raison du risque élevé de stérilité (azoospermie chez 30-50 % des hommes après dose cumulée 400 mg, aménorrhée chez 30-50 % des femmes après dose cumulée 6 mg/kg). Le chlorambucil étant très leucémogène, il est contre-indiqué en association à la radiothérapie.</w:t>
      </w:r>
    </w:p>
    <w:p>
      <w:r/>
      <w:r>
        <w:rPr>
          <w:b/>
        </w:rPr>
        <w:t>Posologie et Mode d'administration (Standard) :</w:t>
      </w:r>
      <w:r/>
    </w:p>
    <w:p>
      <w:pPr>
        <w:pStyle w:val="ListBullet"/>
      </w:pPr>
      <w:r>
        <w:t>Adulte : (1) LLC (protocole Chlorambucil-Prednisone) : 0.4-0.8 mg/kg/j J1-J4 (3-5 jours) en une prise orale matinale, cure toutes les 4-6 semaines × 6-12 cures (avec prednisone 40-60 mg/m²/j J1-J5). (2) LLC — protocole GCLLSG CLL11 (chlorambucil + obinutuzumab) : 0.5 mg/kg J1-J15 (cycle 1), 0.5 mg/kg J1-J15 (cycles 2-6) en une prise matinale. (3) Lymphomes indolents : 0.1-0.2 mg/kg/j per os continu pendant 4-8 semaines, puis dose d'entretien 0.03-0.1 mg/kg/j. (4) Maladie de Waldenström : 0.1-0.2 mg/kg/j per os continu pendant 6-12 mois. (5) Polyglobulie de Vaquez : 6-10 mg/j pendant 10-14 jours, puis dose d'entretien 2-6 mg/sem. (6) Hors AMM — syndrome néphrotique corticorésistant : 0.1-0.2 mg/kg/j per os pendant 8-12 semaines. Dose maximale cumulée recommandée : &lt; 6 mg/kg (au-delà, risque de leucémie secondaire majeur).</w:t>
      </w:r>
    </w:p>
    <w:p>
      <w:pPr>
        <w:pStyle w:val="ListBullet"/>
      </w:pPr>
      <w:r>
        <w:t>Enfant : Syndrome néphrotique idiopathique corticorésistant : 0.1-0.2 mg/kg/j per os pendant 8 semaines. Dose maximale cumulée : &lt; 8 mg/kg.</w:t>
      </w:r>
    </w:p>
    <w:p>
      <w:pPr>
        <w:pStyle w:val="ListBullet"/>
      </w:pPr>
      <w:r>
        <w:t>Durée : Variable selon indication et tolérance — LLC : 6-12 cycles espacés de 4-6 semaines ; lymphomes indolents : 4-12 mois ; maladie de Waldenström : 6-12 mois.</w:t>
      </w:r>
    </w:p>
    <w:p>
      <w:pPr>
        <w:pStyle w:val="ListBullet"/>
      </w:pPr>
      <w:r>
        <w:t>Moment de la prise : Per os en une prise matinale unique, à jeun ou au cours d'un repas léger (réduit toxicité gastrique), avec hydratation orale abondante (1.5-2 L/j). Administrer de préférence le matin pour éviter une nycturie d'aplasie.</w:t>
      </w:r>
    </w:p>
    <w:p>
      <w:r/>
      <w:r>
        <w:rPr>
          <w:b/>
        </w:rPr>
        <w:t>Arbitrage et Bénéfices des Formes Galéniques :</w:t>
      </w:r>
      <w:r/>
    </w:p>
    <w:p>
      <w:r>
        <w:t>Le chlorambucil est disponible en Algérie uniquement sous forme orale (comprimé pelliculé 2 mg, LEUKERAN). Pas de forme IV. Avantages de la forme orale : autonomie du patient, observance aisée, traitement ambulatoire possible (après initiation hospitalière), économie de coûts (pas d'hospitalisation), qualité de vie supérieure chez sujet âgé. Inconvénients : biodisponibilité variable (56-100 %, moyenne 75 %), nécessité d'adaptation de dose, surveillance hebdomadaire NFS pendant les 4 premières semaines (pas de perfusion mais risque d'aplasie retardée), observance patient cruciale (risque de surdosage accidentel en cas de confusion posologique — comprimés à 2 mg doivent être comptés avec attention). Le comprimé pelliculé facilite la déglutition (sujet âgé LLC). Pour les doses fractionnaires (0.5 mg/kg = 1.5 comprimés pour 60 kg), la sécabilité du comprimé doit être précise. LEUKERAN est le seul produit commercialisé, sans alternative générique disponible en Algérie — donc pas de problème de substitution.</w:t>
      </w:r>
    </w:p>
    <w:p>
      <w:r/>
      <w:r>
        <w:rPr>
          <w:b/>
        </w:rPr>
        <w:t>Instructions et Conseils au Patient :</w:t>
      </w:r>
      <w:r/>
    </w:p>
    <w:p>
      <w:pPr>
        <w:pStyle w:val="ListBullet"/>
      </w:pPr>
      <w:r>
        <w:t>Communication au comptoir : (1) Information claire au patient : il s'agit d'un médicament anticancéreux oral, à prendre à heure fixe le matin, en une prise unique, avec un grand verre d'eau. (2) Hydratation orale 2 L/j minimum entre les cures. (3) Surveillance NFS-plaquettes hebdomadaire pendant les 4 premières semaines, puis mensuelle. (4) Prévenir le patient des signes d'alerte à signaler immédiatement : fièvre ≥ 38.5 °C (urgence infectieuse), saignements (gingivorragies, épistaxis, pétéchies), fatigue intense (aplasie), ictère (atteinte hépatique), éruption cutanée (allergie). (5) Prévenir alopécie rare, nausées modérées (antiémétique si besoin), risque de second cancer à long terme (surveillance hématologique prolongée 10-15 ans). (6) Contraception obligatoire pendant et 6 mois après traitement (les deux partenaires). (7) Cryopréservation gamétique préalable obligatoire. (8) Éviter vaccins vivants atténués pendant et 6 mois après traitement. (9) Coordonnées du service oncologue référent et de l'urgence hospitalière. (10) Conservation à T° &lt; 25 °C, à l'abri de l'humidité et de la lumière, hors de portée des enfants. Manipulation à mains nues déconseillée (port de gants recommandé si personne enceinte manipule).</w:t>
      </w:r>
    </w:p>
    <w:p>
      <w:pPr>
        <w:pStyle w:val="ListBullet"/>
      </w:pPr>
      <w:r>
        <w:t>Mode d'utilisation pratique : (1) Comprimés à avaler entiers avec grand verre d'eau, à heure fixe le matin. (2) Ne pas écraser ni croquer (pelliculage protecteur). (3) En cas d'oubli &lt; 12 h → prise immédiate ; oubli &gt; 12 h → ne pas doubler la dose suivante. (4) En cas de vomissement dans l'heure suivant la prise → consulter le service oncologue référent (ne pas reprendre automatiquement). (5) Hydratation orale abondante. (6) Éviter jus de pamplemousse. (7) Élimination des emballages souillés (boîte, blister) selon circuit cytotoxique si chimiothérapie — sinon poubelle ménagère pour emballages propres. (8) Éviter la manipulation des comprimés par femme enceinte (port de gants recommandé).</w:t>
      </w:r>
    </w:p>
    <w:p>
      <w:r/>
      <w:r>
        <w:rPr>
          <w:b/>
        </w:rPr>
        <w:t>Notes, Règles d'Or &amp; Pièges au Comptoir :</w:t>
      </w:r>
      <w:r/>
    </w:p>
    <w:p>
      <w:pPr>
        <w:pStyle w:val="ListBullet"/>
      </w:pPr>
      <w:r>
        <w:t>Piège classique : (1) Nadir hématologique retardé à 21-28 jours — surveillance prolongée 4 semaines après chaque cure (sinon risque d'aplasie méconnue). (2) Myélosuppression cumulative — adaptation de dose nécessaire entre cures selon NFS. (3) Risque de leucémie aiguë myéloïde secondaire à long terme (10-15 ans post-traitement) — surveillance hématologique annuelle prolongée. (4) Confusion possible avec le cyclophosphamide oral (FAMISAS, ENDOXAN comprimé) — chlorambucil ≠ cyclophosphamide, ne pas substituer. (5) Surdosage accidentel (comprimés 2 mg — comptage précis nécessaire). (6) Vaccins vivants contre-indiqués pendant et 6 mois après traitement. (7) Patiente femme enceinte à risque tératogène majeur — contraception stricte. (8) Syndrome de lyse tumorale possible en cas de masse tumorale élevée (LLC hyperleucocytaire &gt; 100 G/L).</w:t>
      </w:r>
    </w:p>
    <w:p>
      <w:pPr>
        <w:pStyle w:val="ListBullet"/>
      </w:pPr>
      <w:r>
        <w:t>Règle de prise : Per os matinale unique, hydratation orale 2 L/j, surveillance NFS-plaquettes hebdomadaire 4 semaines puis mensuelle, contraception obligatoire 6 mois post-traitement, surveillance long terme NFS annuelle pour second cancer.</w:t>
      </w:r>
    </w:p>
    <w:p>
      <w:pPr>
        <w:pStyle w:val="ListBullet"/>
      </w:pPr>
      <w:r>
        <w:t>Préparation et Conservation : Comprimés pelliculés à 2 mg, conservation 3 ans à T° &lt; 25 °C, à l'abri de l'humidité et de la lumière, hors de portée des enfants. Ne pas écraser ni croquer. Manipulation avec gants recommandée si personne enceinte.</w:t>
      </w:r>
    </w:p>
    <w:p>
      <w:pPr>
        <w:pStyle w:val="ListBullet"/>
      </w:pPr>
      <w:r>
        <w:t>Piège du surdosage / Substitution : (1) Confusion chlorambucil ↔ cyclophosphamide oral (structures proches, noms commerciaux LEUKERAN vs ENDOXAN, FAMISAS) — vérification systématique de la DCI. (2) Surdosage accidentel par mauvais comptage des comprimés à 2 mg — rappeler au patient de tenir un carnet de prise. (3) Substitution LEUKERAN ↔ générique : non applicable (pas d'alternative disponible en Algérie). (4) Chlorambucil et autres alkylants associés — risque carcinogénèse majeur. (5) Manipulation à risque pour le personnel soignant (femmes enceintes en particulier) — port de gants obligatoire pour la dispensation. (6) Risque de second cancer à long terme — surveillance hématologique prolongée (NFS annuelle 10-15 ans).</w:t>
      </w:r>
    </w:p>
    <w:p>
      <w:pPr>
        <w:pStyle w:val="Heading3"/>
      </w:pPr>
      <w:r>
        <w:t>4. DCI : Busulfan (Seule)</w:t>
      </w:r>
    </w:p>
    <w:p>
      <w:r/>
      <w:r>
        <w:rPr>
          <w:b/>
        </w:rPr>
        <w:t>Liste des Catégories :</w:t>
      </w:r>
      <w:r>
        <w:t xml:space="preserve"> Cytotoxique — Antinéoplasique — Agent alkylant — Alkylsulfonate — Liste I — Médicament à prescription hospitalière stricte (unité de greffe de moelle).</w:t>
      </w:r>
    </w:p>
    <w:p>
      <w:r>
        <w:t>Le busulfan est l'unique représentant clinique de la sous-classe des alkylsulfonates, découvert en 1953 par Haddow et Timmis. Sa structure est celle d'un diéthersulfonate (1,4-butanediol diméthanesulfonate) qui, contrairement aux moutardes azotées, ne forme pas d'ion aziridinium mais alkylise l'ADN par SN2 au niveau de la N7-guanine, formant des ponts inter-brins. Son tropisme myéloïde électif explique son utilisation historique dans la leucémie myéloïde chronique et son rôle actuel majeur en conditionnement myéloablatif avant greffe de cellules souches hématopoïétiques (protocoles BuCy2 et BuFlu).</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BUSULFAN ACCORD</w:t>
            </w:r>
          </w:p>
        </w:tc>
        <w:tc>
          <w:tcPr>
            <w:tcW w:type="dxa" w:w="1559"/>
          </w:tcPr>
          <w:p>
            <w:r>
              <w:rPr>
                <w:sz w:val="20"/>
              </w:rPr>
              <w:t>Accord Healthcare Limited</w:t>
            </w:r>
          </w:p>
        </w:tc>
        <w:tc>
          <w:tcPr>
            <w:tcW w:type="dxa" w:w="1559"/>
          </w:tcPr>
          <w:p>
            <w:r>
              <w:rPr>
                <w:sz w:val="20"/>
              </w:rPr>
              <w:t>Solution pour perfusion IV 6 mg/mL</w:t>
            </w:r>
          </w:p>
        </w:tc>
        <w:tc>
          <w:tcPr>
            <w:tcW w:type="dxa" w:w="1559"/>
          </w:tcPr>
          <w:p>
            <w:r>
              <w:rPr>
                <w:sz w:val="20"/>
              </w:rPr>
              <w:t>B/8 flacons de 10 mL</w:t>
            </w:r>
          </w:p>
        </w:tc>
        <w:tc>
          <w:tcPr>
            <w:tcW w:type="dxa" w:w="1559"/>
          </w:tcPr>
          <w:p>
            <w:r>
              <w:rPr>
                <w:sz w:val="20"/>
              </w:rPr>
              <w:t>Liste I</w:t>
            </w:r>
          </w:p>
        </w:tc>
        <w:tc>
          <w:tcPr>
            <w:tcW w:type="dxa" w:w="1559"/>
          </w:tcPr>
          <w:p>
            <w:r>
              <w:rPr>
                <w:sz w:val="20"/>
              </w:rPr>
              <w:t>Actif</w:t>
            </w:r>
          </w:p>
        </w:tc>
      </w:tr>
      <w:tr>
        <w:tc>
          <w:tcPr>
            <w:tcW w:type="dxa" w:w="1559"/>
          </w:tcPr>
          <w:p>
            <w:r>
              <w:rPr>
                <w:sz w:val="20"/>
              </w:rPr>
              <w:t>PMS BUSULFAN</w:t>
            </w:r>
          </w:p>
        </w:tc>
        <w:tc>
          <w:tcPr>
            <w:tcW w:type="dxa" w:w="1559"/>
          </w:tcPr>
          <w:p>
            <w:r>
              <w:rPr>
                <w:sz w:val="20"/>
              </w:rPr>
              <w:t>Pharmascience Inc</w:t>
            </w:r>
          </w:p>
        </w:tc>
        <w:tc>
          <w:tcPr>
            <w:tcW w:type="dxa" w:w="1559"/>
          </w:tcPr>
          <w:p>
            <w:r>
              <w:rPr>
                <w:sz w:val="20"/>
              </w:rPr>
              <w:t>Solution à diluer pour perfusion 6 mg/mL</w:t>
            </w:r>
          </w:p>
        </w:tc>
        <w:tc>
          <w:tcPr>
            <w:tcW w:type="dxa" w:w="1559"/>
          </w:tcPr>
          <w:p>
            <w:r>
              <w:rPr>
                <w:sz w:val="20"/>
              </w:rPr>
              <w:t>B/8 flacons</w:t>
            </w:r>
          </w:p>
        </w:tc>
        <w:tc>
          <w:tcPr>
            <w:tcW w:type="dxa" w:w="1559"/>
          </w:tcPr>
          <w:p>
            <w:r>
              <w:rPr>
                <w:sz w:val="20"/>
              </w:rPr>
              <w:t>Liste I</w:t>
            </w:r>
          </w:p>
        </w:tc>
        <w:tc>
          <w:tcPr>
            <w:tcW w:type="dxa" w:w="1559"/>
          </w:tcPr>
          <w:p>
            <w:r>
              <w:rPr>
                <w:sz w:val="20"/>
              </w:rPr>
              <w:t>Actif</w:t>
            </w:r>
          </w:p>
        </w:tc>
      </w:tr>
      <w:tr>
        <w:tc>
          <w:tcPr>
            <w:tcW w:type="dxa" w:w="1559"/>
          </w:tcPr>
          <w:p>
            <w:r>
              <w:rPr>
                <w:sz w:val="20"/>
              </w:rPr>
              <w:t>BUSILVEX (R)</w:t>
            </w:r>
          </w:p>
        </w:tc>
        <w:tc>
          <w:tcPr>
            <w:tcW w:type="dxa" w:w="1559"/>
          </w:tcPr>
          <w:p>
            <w:r>
              <w:rPr>
                <w:sz w:val="20"/>
              </w:rPr>
              <w:t>Pierre Fabre Médicament</w:t>
            </w:r>
          </w:p>
        </w:tc>
        <w:tc>
          <w:tcPr>
            <w:tcW w:type="dxa" w:w="1559"/>
          </w:tcPr>
          <w:p>
            <w:r>
              <w:rPr>
                <w:sz w:val="20"/>
              </w:rPr>
              <w:t>Solution à diluer pour perfusion IV 6 mg/mL (60 mg/10 mL)</w:t>
            </w:r>
          </w:p>
        </w:tc>
        <w:tc>
          <w:tcPr>
            <w:tcW w:type="dxa" w:w="1559"/>
          </w:tcPr>
          <w:p>
            <w:r>
              <w:rPr>
                <w:sz w:val="20"/>
              </w:rPr>
              <w:t>B/8 flacons de 10 mL</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Alkylsulfonate (diéthersulfonate bifonctionnel), alkylant cycle-non-spécifique.</w:t>
      </w:r>
    </w:p>
    <w:p>
      <w:pPr>
        <w:pStyle w:val="ListBullet"/>
      </w:pPr>
      <w:r>
        <w:t>Mécanisme d'action : Le busulfan (1,4-butanediol diméthanesulfonate) est un alkylant bifonctionnel qui, contrairement aux moutardes azotées, ne cyclise pas en ion aziridinium. Il alkylise l'ADN par substitution nucléophile bimoléculaire (SN2), libérant un groupement méthanesulfonate à chaque réaction. La double fonction alkylante permet la formation de ponts inter-brins (interstrand cross-links) au niveau de la N7-guanine, lésions cytotoxiques bloquant la réplication et la transcription, déclenchant l'apoptose p53-dépendante. Son tropisme électif pour les cellules souches hématopoïétiques myéloïdes (surtout à faible dose) est expliqué par une captation cellulaire préférentielle et une accumulation dans la moelle osseuse. À haute dose (conditionnement de greffe), il est myéloablatif (destruction complète de la moelle osseuse). Le busulfan franchit la barrière hémato-encéphalique (concentrations LCR/plasma ≈ 1), expliquant sa neurotoxicité convulsivante à haute dose.</w:t>
      </w:r>
    </w:p>
    <w:p>
      <w:r/>
      <w:r>
        <w:rPr>
          <w:b/>
        </w:rPr>
        <w:t>Profil Pharmacologique :</w:t>
      </w:r>
      <w:r/>
    </w:p>
    <w:p>
      <w:pPr>
        <w:pStyle w:val="ListBullet"/>
      </w:pPr>
      <w:r>
        <w:t>Indications : (1) Conditionnement myéloablatif avant greffe de cellules souches hématopoïétiques allogénique ou autologue — protocole BuCy2 (busulfan 4 mg/kg/j J-7 à J-4 IV + cyclophosphamide 60 mg/kg/j J-3 à J-2) ou protocole BuFlu (busulfan IV + fludarabine 30 mg/m²/j) pour leucémies aiguës myéloïdes, lymphoblastiques, myélodysplasies, lymphomes, myélome, hémoglobinopathies (drépanocytose, thalassémie), déficits immunitaires combinés, maladies métaboliques héréditaires (maladie de Hurler). (2) Historiquement : leucémie myéloïde chronique (LMC) en cas de résistance/intolérance à l'imatinib et autres inhibiteurs de tyrosine kinase (situation devenue exceptionnelle). (3) Polyglobulie de Vaquez en cas de résistance à l'hydroxyurée (rarement utilisé). (4) Thrombocythémie essentielle réfractaire. (5) Hors AMM : certaines maladies de stockage (maladie de Gaucher type 1 — usage exceptionnel).</w:t>
      </w:r>
    </w:p>
    <w:p>
      <w:pPr>
        <w:pStyle w:val="ListBullet"/>
      </w:pPr>
      <w:r>
        <w:t>Contre-indications : Hypersensibilité au busulfan ou aux excipients ; grossesse et allaitement (CI absolue — tératogène, mutagène) ; insuffisance hépatique sévère ; antécédent de convulsions non contrôlées ; myélosuppression sévère pré-existante (sauf si le but recherché est l'aplasie en conditionnement) ; infection évolutive non contrôlée ; obstruction des voies biliaires ; maladie veino-occlusive hépatique préexistante ; vaccination vivante atténuée contemporaine.</w:t>
      </w:r>
    </w:p>
    <w:p>
      <w:pPr>
        <w:pStyle w:val="ListBullet"/>
      </w:pPr>
      <w:r>
        <w:t>Effets Indésirables : (a) Neurologique : convulsions tonicocloniques généralisées (incidence 5-15 % à haute dose sans prophylaxie — dosis-dépendantes, survenue 24 h après début cure) — prévention systématique par phénobarbital (dose de charge 5 mg/kg IV puis 1-2 mg/kg/j), lévétiracétam (500-1000 mg/12 h), ou clonazépam. Encéphalopathie, somnolence, vertiges. (b) Hépatique : maladie veino-occlusive hépatique (VOD/SOS — sinusoidal obstruction syndrome), incidence 10-30 % selon protocole, caractérisée par hépatomégalie douloureuse, ascite, ictère, prise de poids, hyperbilirubinémie, thrombopénie réfractaire — pronostic sévère (mortalité 20-50 %), prévention par défibrotide (prophylactique à partir de 6.25 mg/kg/6h), ursochol, surveillance échographique hépatique. (c) Pulmonaire : fibrose pulmonaire (« busulfan lung »), rare mais redoutable, survenant 8 mois à 10 ans après traitement (incidence 1-6 %), manifestations : toux sèche, dyspnée progressive, infiltrats interstitiels bilatéraux, syndrome restrictif à l'EFR, hypoxémie — évolution souvent fatale malgré corticothérapie, arrêt tabac, oxygénothérapie. (d) Hématologique : myélosuppression profonde et prolongée — recherche d'aplasie complète (but thérapeutique en conditionnement), nadir 7-14 jours post-cure, récupération 3-6 semaines après greffe (si greffe efficace). Thrombopénie sévère, neutropénie profonde — risque infectieux majeur (bactériémies, fongémies, aspergillose, pneumocystose). (e) Digestif : mucite sévère (5-10 % à haute dose), nausées/vomissements modérés (level 2-3), anorexie, diarrhée, pancréatite rare. (f) Cardiologique : péricardite, tamponnade rare, hypotension transitoire (perfusions rapides). (g) Endocrinien : hypogonadisme (azoospermie 100 % chez homme, aménorrhée 100 % chez femme), insuffisance surrénalienne, hypothyroïdie, retard de croissance chez enfant. (h) Cutané : hyperpigmentation cutanée et muqueuse (Addison-like), alopécie modérée, éruptions. (i) Métabolique : cachexie, hyperuricémie (syndrome de lyse tumorale), hypokaliémie. (j) Carcinogénèse : second cancers à long terme (leucémies secondaires, tumeurs solides), surtout en association à irradiation corporelle totale. (k) Ophtalmologique : cataracte (à long terme, surtout si association à corticoïdes). (l) Rénal : néphropathie tubulaire, hémorragie vésicale rare.</w:t>
      </w:r>
    </w:p>
    <w:p>
      <w:r/>
      <w:r>
        <w:rPr>
          <w:b/>
        </w:rPr>
        <w:t>Prévention et Gestion des Effets Indésirables :</w:t>
      </w:r>
      <w:r/>
    </w:p>
    <w:p>
      <w:pPr>
        <w:pStyle w:val="ListBullet"/>
      </w:pPr>
      <w:r>
        <w:t>Mesures Préventives : (1) Prophylaxie anti-convulsivante systématique 24 h avant, pendant et 7 jours après fin de cure — phénobarbital IV (5 mg/kg dose de charge puis 1-2 mg/kg/j), lévétiracétam IV (500-1000 mg/12 h), ou clonazépam. (2) Surveillance ECG, EEG, ionogramme, fonction hépatique (ASAT-ALAT-bilirubine-GGT), échographie hépatique quotidienne pendant cure et 21 jours post-greffe. (3) Défibrotide prophylactique (6.25 mg/kg/6h IV) en cas de risque élevé de VOD (greffe allogénique, maladie hépatique préexistante, protocole BuCy2). (4) Monitoring pharmacocinétique (PK-guided dosing) recommandé — dosage du busulfan plasmatique à H0, H1, H4, H6, H8 de la première perfusion, calcul de l'AUC, adaptation de dose pour AUC cible 900-1500 µM·min (concentration résiduelle 600-900 ng/mL). (5) Hydratation IV abondante (3 L/m²/24 h) pendant cure. (6) Surveillance NFS-plaquettes quotidienne (aplasie attendue), prophylaxie antibiotique, antifongique, antivirale systématique pendant l'aplasie (bacille Gram négatif, pneumocystose, aspergillose, CMV). (7) Support transfusionnel (CGR phénotypés CMV négatifs, plaquettes, PFC) en cas d'anémie, thrombopénie ou saignement. (8) Cryopréservation gamétique pré-thérapeutique obligatoire (stérilité quasi constante). (9) Surveillance EFR (recherche fibrose pulmonaire), scanner thoracique mensuel post-greffe 1 an. (10) Prévention syndrome de lyse tumorale (allopurinol ou rasburicase) si masse tumorale élevée (leucémie hyperleucocytaire). (11) Prévention nausea/vomissements par anti-5HT3 + corticoïde. (12) Soins de bouche (bains de bouche antiseptiques, bismuth) pour prévenir mucite.</w:t>
      </w:r>
    </w:p>
    <w:p>
      <w:pPr>
        <w:pStyle w:val="ListBullet"/>
      </w:pPr>
      <w:r>
        <w:t>Conduite à Tenir : (1) Si convulsions → arrêt immédiat du busulfan, benzodiazépines IV (lorazépam 4 mg ou diazépam 10 mg), surveillance réanimation, EEG, contrôle BRC, majoration de la prophylaxie anti-convulsivante (phénobarbital IV dose de charge). (2) Si VOD (douleur hypochondre droit, hépatomégalie, ictère, ascite, prise de poids, hyperbilirubinémie &gt; 30 µmol/L) → défibrotide IV 6.25 mg/kg/6h (traitement curatif), arrêt hépatotoxiques associés, surveillance ICU, ALT (albumine), albumine IV, paracentèse si ascite tendue, dialyse si IRA. (3) Si fibrose pulmonaire (toux, dyspnée) → corticothérapie IV (méthylprednisolone 1-2 mg/kg/j), arrêt tabac, oxygénothérapie, suivi pneumologique spécialisé. (4) Si neutropénie fébrile (PNN &lt; 0.5 G/L + T° ≥ 38.5 °C) → hémocultures, antibiothérapie empirique large spectre IV (céfépime + amikacine ou meropenem), G-CSF, surveillance ICU. (5) Si mucite sévère (OMS grade 3-4) → nutrition parentérale, antalgiques morphiniques IV, bains de bouche antiseptiques, sucralfate. (6) Si hypotension → arrêt transitoire, remplissage, surveillance hémodynamique.</w:t>
      </w:r>
    </w:p>
    <w:p>
      <w:r/>
      <w:r>
        <w:rPr>
          <w:b/>
        </w:rPr>
        <w:t>Interactions Importantes :</w:t>
      </w:r>
      <w:r/>
    </w:p>
    <w:p>
      <w:pPr>
        <w:pStyle w:val="ListBullet"/>
      </w:pPr>
      <w:r>
        <w:t>Busulfan + Itraconazole, kétoconazole, fluconazole (inhibiteurs CYP3A4) : augmentation de l'AUC du busulfan de 20-40 % → toxicité hépatique, convulsions, VOD majorées — réduction de dose de 25 % ou éviter.</w:t>
      </w:r>
    </w:p>
    <w:p>
      <w:pPr>
        <w:pStyle w:val="ListBullet"/>
      </w:pPr>
      <w:r>
        <w:t>Busulfan + Phénytoïne, phénobarbital (inducteurs CYP3A4) : diminution de l'AUC du busulfan de 15-30 % → efficacité réduite — surveillance PK, augmentation de dose si nécessaire.</w:t>
      </w:r>
    </w:p>
    <w:p>
      <w:pPr>
        <w:pStyle w:val="ListBullet"/>
      </w:pPr>
      <w:r>
        <w:t>Busulfan + Cyclophosphamide (protocole BuCy2) : risque de VOD majoré (hépatotoxicité synergique), surveillance hépatique renforcée, ordre d'administration (busulfan avant cyclophosphamide pour limiter toxicité).</w:t>
      </w:r>
    </w:p>
    <w:p>
      <w:pPr>
        <w:pStyle w:val="ListBullet"/>
      </w:pPr>
      <w:r>
        <w:t>Busulfan + Fludarabine (protocole BuFlu) : moins de VOD qu'avec cyclophosphamide, tolérance supérieure — protocole de référence actuel.</w:t>
      </w:r>
    </w:p>
    <w:p>
      <w:pPr>
        <w:pStyle w:val="ListBullet"/>
      </w:pPr>
      <w:r>
        <w:t>Busulfan + Metronidazole : augmentation de l'AUC du busulfan (inhibition CYP3A4) → éviter.</w:t>
      </w:r>
    </w:p>
    <w:p>
      <w:pPr>
        <w:pStyle w:val="ListBullet"/>
      </w:pPr>
      <w:r>
        <w:t>Busulfan + Paracétamol : diminution de la clairance du busulfan de 20 % (inhibition glucuronoconjugaison) — éviter paracétamol 72 h avant et pendant cure.</w:t>
      </w:r>
    </w:p>
    <w:p>
      <w:pPr>
        <w:pStyle w:val="ListBullet"/>
      </w:pPr>
      <w:r>
        <w:t>Busulfan + Aminosides, vancomycine : néphrotoxicité additive rare (busulfan peu néphrotoxique mais surveillance).</w:t>
      </w:r>
    </w:p>
    <w:p>
      <w:pPr>
        <w:pStyle w:val="ListBullet"/>
      </w:pPr>
      <w:r>
        <w:t>Busulfan + Vaccins vivants atténués : risque de maladie vaccinale généralisée — CI absolue pendant et 6 mois après greffe.</w:t>
      </w:r>
    </w:p>
    <w:p>
      <w:pPr>
        <w:pStyle w:val="ListBullet"/>
      </w:pPr>
      <w:r>
        <w:t>Busulfan + Thiopurines (azathioprine, 6-mercaptopurine) : risque de myélosuppression synergique, hépatotoxicité majorée.</w:t>
      </w:r>
    </w:p>
    <w:p>
      <w:pPr>
        <w:pStyle w:val="ListBullet"/>
      </w:pPr>
      <w:r>
        <w:t>Busulfan + Anticoagulants oraux : modification de l'anticoagulation (aplasie, atteinte hépatique) — surveillance INR, préférer HBPM.</w:t>
      </w:r>
    </w:p>
    <w:p>
      <w:r/>
      <w:r>
        <w:rPr>
          <w:b/>
        </w:rPr>
        <w:t>Grossesse et Allaitement :</w:t>
      </w:r>
      <w:r/>
    </w:p>
    <w:p>
      <w:pPr>
        <w:pStyle w:val="ListBullet"/>
      </w:pPr>
      <w:r>
        <w:t>Grossesse : CI absolue à toutes les phases de la grossesse (CRAT — embryo-létale et tératogène — malformations squelettiques, cérébrales, palatines, urogénitales, retards de croissance, avortements spontanés, stérilité fœtale). Le busulfan est utilisé en conditionnement de greffe qui induit une stérilité définitive quasi constante — contraception inutile après greffe (mais obligatoire pendant 6 mois post-greffe en raison du risque théorique de récupération ovarienne partielle). Test de grossesse pré-thérapeutique systématique chez toute femme en âge de procréer. En cas de désir de grossesse ultérieure, les patientes doivent être informées de la quasi-certitude de stérilité après conditionnement myéloablatif et orientées vers don d'ovocytes ou adoption. Chez l'homme, azoospermie définitive quasi constante après conditionnement.</w:t>
      </w:r>
    </w:p>
    <w:p>
      <w:pPr>
        <w:pStyle w:val="ListBullet"/>
      </w:pPr>
      <w:r>
        <w:t>Allaitement : CI absolue. Le busulfan passe dans le lait maternel à des concentrations significatives. Risque de myélosuppression, de carcinogénèse, de mutagénicité à long terme chez le nourrisson. Interruption définitive de l'allaitement avant le conditionnement (le plus souvent la patiente est déjà en aplasie post-greffe).</w:t>
      </w:r>
    </w:p>
    <w:p>
      <w:pPr>
        <w:pStyle w:val="ListBullet"/>
      </w:pPr>
      <w:r>
        <w:t>Précisions : Cryopréservation gamétique pré-thérapeutique systématique obligatoire chez l'homme (congélation sperme) et la femme jeune (consultation PMA — préservation tissulaire ovarienne avant conditionnement myéloablatif, car la récupération ovarienne est quasi nulle après greffe). Information claire au patient et à son conjoint sur la quasi-certitude de stérilité définitive après conditionnement par busulfan.</w:t>
      </w:r>
    </w:p>
    <w:p>
      <w:r/>
      <w:r>
        <w:rPr>
          <w:b/>
        </w:rPr>
        <w:t>Posologie et Mode d'administration (Standard) :</w:t>
      </w:r>
      <w:r/>
    </w:p>
    <w:p>
      <w:pPr>
        <w:pStyle w:val="ListBullet"/>
      </w:pPr>
      <w:r>
        <w:t>Adulte : (1) Conditionnement myéloablatif — protocole BuCy2 : busulfan 0.8 mg/kg/4h (poids idéal si obésité &gt; 130 % IMC) IV en perfusion 2 h, toutes les 6 h × 16 doses (4 jours), J-7 à J-4, suivi cyclophosphamide 60 mg/kg/j J-3 et J-2. (2) Protocole BuFlu : busulfan 0.8 mg/kg/6h IV × 16 doses (4 jours) + fludarabine 30 mg/m²/j J-6 à J-2. (3) Dose recommandée selon PK : AUC cible 900-1500 µM·min par dose, adaptation de dose à J2 selon PK de J1 (réduction ou augmentation 10-20 %). (4) Forme pédiatrique : 1.1 mg/kg/6h × 16 doses (enfant &gt; 12 kg), 1.0 mg/kg/6h × 16 doses (enfant &lt; 12 kg) — dose plus élevée en raison d'une clairance accrue chez l'enfant. (5) Forme orale historique (LMC, Vaquez) : 2-6 mg/j per os pendant 2-6 semaines, dose d'entretien 1-3 mg/sem (aujourd'hui abandonnée au profit de la forme IV en conditionnement).</w:t>
      </w:r>
    </w:p>
    <w:p>
      <w:pPr>
        <w:pStyle w:val="ListBullet"/>
      </w:pPr>
      <w:r>
        <w:t>Enfant : Conditionnement myéloablatif : 1.0-1.1 mg/kg/6h IV × 16 doses (4 jours) en perfusion 2 h. PK-guided dosing recommandé. Surveillance identique à l'adulte.</w:t>
      </w:r>
    </w:p>
    <w:p>
      <w:pPr>
        <w:pStyle w:val="ListBullet"/>
      </w:pPr>
      <w:r>
        <w:t>Durée : 4 jours consécutifs (16 doses IV), suivi du cyclophosphamide ou de la fludarabine selon protocole, puis repos 24 h (J-1) et greffe de cellules souches à J0.</w:t>
      </w:r>
    </w:p>
    <w:p>
      <w:pPr>
        <w:pStyle w:val="ListBullet"/>
      </w:pPr>
      <w:r>
        <w:t>Moment de la prise : Hospitalier exclusif (unité de greffe de moelle protégée Laminar air flow — chambre stérile). Perfusion IV en 2 h toutes les 6 h × 16 doses, hydratation IV concomitante 3 L/m²/24 h, prophylaxie anti-convulsivante 24 h avant et 7 jours après fin de cure, surveillance ICU.</w:t>
      </w:r>
    </w:p>
    <w:p>
      <w:r/>
      <w:r>
        <w:rPr>
          <w:b/>
        </w:rPr>
        <w:t>Arbitrage et Bénéfices des Formes Galéniques :</w:t>
      </w:r>
      <w:r/>
    </w:p>
    <w:p>
      <w:r>
        <w:t>Le busulfan est disponible en Algérie uniquement sous forme injectable (solution à diluer pour perfusion IV, 6 mg/mL — 10 mL par flacon, boîte de 8 flacons). Pas de forme orale commercialisée en Algérie (la forme orale Myleran® n'est plus disponible). L'arbitrage se fait entre les spécialités disponibles : BUSULFAN ACCORD (Accord Healthcare) et PMS BUSULFAN (Pharmascience), toutes deux à 6 mg/mL, sont bioéquivalentes. BUSILVEX (Pierre Fabre, retiré du marché algérien) était la marque princeps historique. La forme IV présente plusieurs avantages par rapport à la forme orale historique : (1) biodisponibilité 100 % (vs 47-100 %, moyenne 80 % pour forme orale, avec variabilité interindividuelle majeure), (2) PK plus prévisible, permettant un PK-guided dosing fiable, (3) tolérance hépatique meilleure (VOD réduite), (4) administration en milieu hospitalier spécialisé uniquement. Inconvénients : (1) nécessité d'un accès veineux central, (2) volume de perfusion important (10 mL par flacon à diluer 10x), (3) coût élevé. La solution reconstituée se conserve 8 h à T° ambiante, 12 h à 4 °C (à diluer immédiatement dans G5% ou NaCl 0.9 % selon protocole, concentration finale recommandée 0.5 mg/mL — dilution 1:10).</w:t>
      </w:r>
    </w:p>
    <w:p>
      <w:r/>
      <w:r>
        <w:rPr>
          <w:b/>
        </w:rPr>
        <w:t>Instructions et Conseils au Patient :</w:t>
      </w:r>
      <w:r/>
    </w:p>
    <w:p>
      <w:pPr>
        <w:pStyle w:val="ListBullet"/>
      </w:pPr>
      <w:r>
        <w:t>Communication au comptoir : (1) Information claire au patient : traitement exclusivement hospitalier, nécessite hospitalisation en unité de greffe de moelle (chambre stérile LAF) pendant 4-6 semaines. (2) Prévenir le patient des effets indésirables majeurs : convulsions (prophylaxie systématique), maladie veino-occlusive hépatique (douleur hypochondre droit, ictère, ascite — prévention défibrotide), fibrose pulmonaire (toux, dyspnée), stérilité définitive quasi constante, second cancers à long terme. (3) Aplasie médullaire profonde (but recherché) — surveillance en ICU, transfusions répétées, antibiothérapie prophylactique. (4) Prévenir le patient de la nécessité de préserver le gamètes avant traitement (cryopréservation obligatoire). (5) Contraception inutile post-greffe (stérilité quasi constante) mais obligatoire 6 mois post-greffe. (6) Suivi à long terme (5-10 ans) pour surveillance second cancers, fibrose pulmonaire, endocrinienne. (7) Coordonnées de l'unité de greffe et de l'urgence hospitalière. (8) Préparation psychologique intensive du patient et de l'entourage.</w:t>
      </w:r>
    </w:p>
    <w:p>
      <w:pPr>
        <w:pStyle w:val="ListBullet"/>
      </w:pPr>
      <w:r>
        <w:t>Mode d'utilisation pratique : (1) Préparation centralisée en PUI hospitalière en ZAC, manipulation par personnel formé (EPI complet : double gants nitrile, masque FFP2, lunettes de protection, blouse chimio, charlotte). (2) Reconstitution avec diluant (NaCl 0.9 % ou G5% selon RCP), concentration 0.5 mg/mL (dilution 1:10). (3) Dilution secondaire dans G5% ou NaCl 0.9 % selon protocole, perfusion IV en 2 h toutes les 6 h × 16 doses. (4) Hydratation IV concomitante 3 L/m²/24 h. (5) Prophylaxie anti-convulsivante (phénobarbital ou lévétiracétam) 24 h avant et 7 jours après fin de cure. (6) Surveillance ICU : ECG, EEG, ionogramme, fonction hépatique, échographie hépatique quotidienne. (7) PK-guided dosing à J2 selon AUC. (8) Élimination des déchets cytotoxiques selon circuit dédié (sac jaune cytotoxique, incinération).</w:t>
      </w:r>
    </w:p>
    <w:p>
      <w:r/>
      <w:r>
        <w:rPr>
          <w:b/>
        </w:rPr>
        <w:t>Notes, Règles d'Or &amp; Pièges au Comptoir :</w:t>
      </w:r>
      <w:r/>
    </w:p>
    <w:p>
      <w:pPr>
        <w:pStyle w:val="ListBullet"/>
      </w:pPr>
      <w:r>
        <w:t>Piège classique : (1) Convulsions à haute dose sans prophylaxie — systématiquement prévenir par phénobarbital ou lévétiracétam 24 h avant et 7 jours après fin de cure. (2) Maladie veino-occlusive hépatique (VOD) — surveillance hépatique quotidienne (ASAT-ALAT-bilirubine, échographie), défibrotide prophylactique en cas de risque élevé. (3) Fibrose pulmonaire retardée (« busulfan lung ») — suivi pneumologique 5-10 ans post-greffe. (4) PK-guided dosing obligatoire — adaptation de dose selon AUC cible (réduction si AUC &gt; 1500 µM·min, augmentation si AUC &lt; 900 µM·min). (5) Variabilité interindividuelle majeure — surveillance PK systématique. (6) Stérilité définitive quasi constante — cryopréservation gamétique préalable obligatoire. (7) Aplasie profonde et prolongée — surveillance ICU, transfusions, antibiothérapie prophylactique. (8) Vaccins vivants contre-indiqués pendant et 6 mois après greffe. (9) Interaction avec itraconazole, kétoconazole (inhibiteurs CYP3A4) → augmentation toxicité. (10) Interaction avec paracétamol → diminution clairance busulfan.</w:t>
      </w:r>
    </w:p>
    <w:p>
      <w:pPr>
        <w:pStyle w:val="ListBullet"/>
      </w:pPr>
      <w:r>
        <w:t>Règle de prise : Hospitalier exclusif (unité de greffe), perfusion IV en 2 h toutes les 6 h × 16 doses, hydratation IV 3 L/m²/24 h, prophylaxie anti-convulsivante 24 h avant et 7 jours après fin de cure, surveillance ICU, PK-guided dosing, contraception inutile post-greffe mais obligatoire 6 mois.</w:t>
      </w:r>
    </w:p>
    <w:p>
      <w:pPr>
        <w:pStyle w:val="ListBullet"/>
      </w:pPr>
      <w:r>
        <w:t>Préparation et Conservation : Solution à diluer pour perfusion IV 6 mg/mL (60 mg/10 mL), 8 flacons par boîte. Reconstitution avec diluant (NaCl 0.9 % ou G5%), dilution secondaire à 0.5 mg/mL. Stabilité 8 h à T° ambiante, 12 h à 4 °C (mais usage immédiat recommandé). Conservation flacons non reconstitués : 3 ans à T° &lt; 25 °C, à l'abri de la lumière.</w:t>
      </w:r>
    </w:p>
    <w:p>
      <w:pPr>
        <w:pStyle w:val="ListBullet"/>
      </w:pPr>
      <w:r>
        <w:t>Piège du surdosage / Substitution : (1) Substitution BUSULFAN ACCORD ↔ PMS BUSULFAN : bioéquivalence démontrée, surveillance PK identique. (2) BUSILVEX (R) retiré du marché algérien — ne plus prescrire. (3) Confusion possible avec buspirone (anxiolytique) — ne pas substituer. (4) Surdosage accidentel (calcul de dose selon poids idéal, surveillance PK) — risque convulsions, VOD, aplasie prolongée. (5) Manipulation à risque pour le personnel soignant (femmes enceintes en particulier) — port d'EPI obligatoire, circuits dédiés. (6) Risque de second cancer à long terme (leucémies secondaires, tumeurs solides) — surveillance hématologique prolongée 10-15 ans.</w:t>
      </w:r>
    </w:p>
    <w:p>
      <w:pPr>
        <w:pStyle w:val="Heading3"/>
      </w:pPr>
      <w:r>
        <w:t>5. DCI : Melphalan (Seule)</w:t>
      </w:r>
    </w:p>
    <w:p>
      <w:r/>
      <w:r>
        <w:rPr>
          <w:b/>
        </w:rPr>
        <w:t>Liste des Catégories :</w:t>
      </w:r>
      <w:r>
        <w:t xml:space="preserve"> Cytotoxique — Antinéoplasique — Agent alkylant — Moutarde phénalanine — Liste I — Médicament à prescription hospitalière stricte (forme IV haute dose).</w:t>
      </w:r>
    </w:p>
    <w:p>
      <w:r>
        <w:t>Le melphalan (L-PAM, melphalanum) est l'unique représentant de la sous-classe des moutardes phénalanines. Conçu en 1953 par Bergel et Stock pour cibler les cellules mélaniques en exploitant la voie de capture des précurseurs de la mélanine (acide aminé phénylalanine greffé sur la moutarde azotée), son ciblage initial s'est révélé décevant. Cependant, le melphalan a démontré une remarquable activité anti-myélomateuse qui en fait un pilier du traitement du myélome multiple depuis les années 1960.</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ALKERAN</w:t>
            </w:r>
          </w:p>
        </w:tc>
        <w:tc>
          <w:tcPr>
            <w:tcW w:type="dxa" w:w="1559"/>
          </w:tcPr>
          <w:p>
            <w:r>
              <w:rPr>
                <w:sz w:val="20"/>
              </w:rPr>
              <w:t>Aspen Pharma Trading Limited</w:t>
            </w:r>
          </w:p>
        </w:tc>
        <w:tc>
          <w:tcPr>
            <w:tcW w:type="dxa" w:w="1559"/>
          </w:tcPr>
          <w:p>
            <w:r>
              <w:rPr>
                <w:sz w:val="20"/>
              </w:rPr>
              <w:t>Comprimé pelliculé 2 mg</w:t>
            </w:r>
          </w:p>
        </w:tc>
        <w:tc>
          <w:tcPr>
            <w:tcW w:type="dxa" w:w="1559"/>
          </w:tcPr>
          <w:p>
            <w:r>
              <w:rPr>
                <w:sz w:val="20"/>
              </w:rPr>
              <w:t>B/25</w:t>
            </w:r>
          </w:p>
        </w:tc>
        <w:tc>
          <w:tcPr>
            <w:tcW w:type="dxa" w:w="1559"/>
          </w:tcPr>
          <w:p>
            <w:r>
              <w:rPr>
                <w:sz w:val="20"/>
              </w:rPr>
              <w:t>Liste I</w:t>
            </w:r>
          </w:p>
        </w:tc>
        <w:tc>
          <w:tcPr>
            <w:tcW w:type="dxa" w:w="1559"/>
          </w:tcPr>
          <w:p>
            <w:r>
              <w:rPr>
                <w:sz w:val="20"/>
              </w:rPr>
              <w:t>Actif</w:t>
            </w:r>
          </w:p>
        </w:tc>
      </w:tr>
      <w:tr>
        <w:tc>
          <w:tcPr>
            <w:tcW w:type="dxa" w:w="1559"/>
          </w:tcPr>
          <w:p>
            <w:r>
              <w:rPr>
                <w:sz w:val="20"/>
              </w:rPr>
              <w:t>ALKERAN TM</w:t>
            </w:r>
          </w:p>
        </w:tc>
        <w:tc>
          <w:tcPr>
            <w:tcW w:type="dxa" w:w="1559"/>
          </w:tcPr>
          <w:p>
            <w:r>
              <w:rPr>
                <w:sz w:val="20"/>
              </w:rPr>
              <w:t>Aspen Pharma Trading Limited</w:t>
            </w:r>
          </w:p>
        </w:tc>
        <w:tc>
          <w:tcPr>
            <w:tcW w:type="dxa" w:w="1559"/>
          </w:tcPr>
          <w:p>
            <w:r>
              <w:rPr>
                <w:sz w:val="20"/>
              </w:rPr>
              <w:t>Poudre et solvant pour solution pour perfusion IV 50 mg/10 mL</w:t>
            </w:r>
          </w:p>
        </w:tc>
        <w:tc>
          <w:tcPr>
            <w:tcW w:type="dxa" w:w="1559"/>
          </w:tcPr>
          <w:p>
            <w:r>
              <w:rPr>
                <w:sz w:val="20"/>
              </w:rPr>
              <w:t>B/1 flacon poudre + 1 flacon solvant 10 mL</w:t>
            </w:r>
          </w:p>
        </w:tc>
        <w:tc>
          <w:tcPr>
            <w:tcW w:type="dxa" w:w="1559"/>
          </w:tcPr>
          <w:p>
            <w:r>
              <w:rPr>
                <w:sz w:val="20"/>
              </w:rPr>
              <w:t>Liste I</w:t>
            </w:r>
          </w:p>
        </w:tc>
        <w:tc>
          <w:tcPr>
            <w:tcW w:type="dxa" w:w="1559"/>
          </w:tcPr>
          <w:p>
            <w:r>
              <w:rPr>
                <w:sz w:val="20"/>
              </w:rPr>
              <w:t>Actif</w:t>
            </w:r>
          </w:p>
        </w:tc>
      </w:tr>
    </w:tbl>
    <w:p/>
    <w:p>
      <w:r/>
      <w:r>
        <w:rPr>
          <w:b/>
        </w:rPr>
        <w:t>Sous-classe et Mécanisme d'action :</w:t>
      </w:r>
      <w:r/>
    </w:p>
    <w:p>
      <w:pPr>
        <w:pStyle w:val="ListBullet"/>
      </w:pPr>
      <w:r>
        <w:t>Sous-classe : Moutarde phénalanine (L-phenylalanine mustard, L-PAM), alkylant bifonctionnel direct (pas de promédicament).</w:t>
      </w:r>
    </w:p>
    <w:p>
      <w:pPr>
        <w:pStyle w:val="ListBullet"/>
      </w:pPr>
      <w:r>
        <w:t>Mécanisme d'action : Le melphalan est conçu comme une molécule bifonctionnelle portant deux groupes chloroéthylamine sur un squelette phénylalanine (acide aminé). Il subit une cyclisation spontanée en ion aziridinium hautement électrophile, sans nécessiter d'activation hépatique (à la différence du cyclophosphamide et de l'ifosfamide). L'ion aziridinium alkylise l'ADN au niveau de la N7-guanine, formant des ponts inter-brins (interstrand cross-links) et intra-brins (intrastrand cross-links), lésions cytotoxiques bloquant la réplication et la transcription, déclenchant l'apoptose p53-dépendante. Le résidu phénylalanine permet une captation cellulaire par les transporteurs d'acides aminés neutres (LAT1, ASCT2), ce qui explique une certaine accumulation dans les cellules tumorales à métabolisme aminé élevé (myélome, lymphocytes B). L'action est cycle-non-spécifique, efficace sur les cellules en G0. Le melphalan est considéré comme l'un des alkylants les plus puissants (effet dose-réponse marqué en haute dose), justifiant son usage à haute dose en conditionnement de greffe autologue dans le myélome.</w:t>
      </w:r>
    </w:p>
    <w:p>
      <w:r/>
      <w:r>
        <w:rPr>
          <w:b/>
        </w:rPr>
        <w:t>Profil Pharmacologique :</w:t>
      </w:r>
      <w:r/>
    </w:p>
    <w:p>
      <w:pPr>
        <w:pStyle w:val="ListBullet"/>
      </w:pPr>
      <w:r>
        <w:t>Indications : (1) Myélome multiple — protocole MP (melphalan 9 mg/m²/j J1-J4 + prednisone 100 mg/j J1-J4 toutes les 6 semaines × 6-12 cures) chez sujet âgé non éligible à l'autogreffe. (2) Myélome multiple — protocole VMP (bortézomib + melphalan + prednisone). (3) Myélome multiple — protocole MPT (melphalan + prednisone + thalidomide). (4) Conditionnement avant autogreffe de cellules souches périphériques dans le myélome multiple : melphalan haute dose 200 mg/m² IV en une perfusion unique J-2. (5) Amylose AL systémique — protocole MDex (melphalan haute dose 140 mg/m² + dexaméthasone) chez sujet âge &lt; 65-70 ans éligible. (6) Hors AMM : cancers de l'ovaire (réfractaires), cancer du sein métastatique, polyglobulie de Vaquez réfractaire, neuroblastome avancé chez enfant (protocole COJEC), sarcome d'Ewing métastatique.</w:t>
      </w:r>
    </w:p>
    <w:p>
      <w:pPr>
        <w:pStyle w:val="ListBullet"/>
      </w:pPr>
      <w:r>
        <w:t>Contre-indications : Hypersensibilité au melphalan ou aux excipients ; myélosuppression sévère pré-existante (sauf si le but recherché est l'aplasie en conditionnement) ; grossesse et allaitement (CI absolue — tératogène, mutagène) ; infection évolutive non contrôlée ; vaccination vivante atténuée contemporaine ; insuffisance rénale sévère (ClCr &lt; 30 mL/min) pour les hautes doses (adaptation requise) ; insuffisance hépatique sévère.</w:t>
      </w:r>
    </w:p>
    <w:p>
      <w:pPr>
        <w:pStyle w:val="ListBullet"/>
      </w:pPr>
      <w:r>
        <w:t>Effets Indésirables : (a) Hématologique : myélosuppression profonde et prolongée — nadir leucopénie à 14-21 jours (forme orale) ou 7-14 jours (forme IV), récupération 3-5 semaines après forme orale, 3-4 semaines après forme IV haute dose (aplasie attendue en conditionnement). Thrombopénie (nadir 10-17 jours), anémie. Aplasie médullaire sévère en conditionnement (but recherché) nécessitant greffe de cellules souches. Risque infectieux majeur (bactériémies, fongémies, aspergillose, pneumocystose), hémorragique (thrombopénie sévère). (b) Digestif : mucite sévère (notamment en haute dose IV — incidence 50-80 %, grade 3-4 OMS), nausées/vomissements modérés à sévères (level 2-3), diarrhée, anorexie, hépatotoxicité (élévation transaminases, maladie veino-occlusive hépatique rare en monothérapie mais possible en association), pancréatite rare. (c) Gonadique : stérilité — azoospermie quasi constante chez l'homme après haute dose (cryopréservation sperme préalable obligatoire), aménorrhée souvent définitive chez la femme après 30 ans et haute dose (cryopréservation ovocytaire préalable). (d) Carcinogénèse : risque majeur de syndrome myélodysplasique (SMD) et de leucémie aiguë myéloïde secondaire (incidence 1-3 % à 5-10 ans post-traitement, leucémogénicité dose-dépendante et accrue en association à la radiothérapie ou aux inhibiteurs topoisomérase II). (e) Pulmonaire : pneumopathie interstitielle, fibrose pulmonaire rare (à hautes doses cumulées). (f) Cutané : alopécie (totale à haute dose, généralement réversible), rash, urticaire, hypersensibilité (anaphylaxie rare). (g) Cardiologique : rare (insuffisance cardiaque en cas d'association à la doxorubicine). (h) Rénal : néphropathie tubulaire rare, syndrome de lyse tumorale en cas de masse tumorale élevée. (i) Neurologique : neuropathie périphérique rare. (j) Métabolique : hyperuricémie (syndrome de lyse tumorale), hypokaliémie. (k) Allergique : réactions d'hypersensibilité (incidence 2-5 % surtout après plusieurs cures IV — rash, bronchospasme, anaphylaxie).</w:t>
      </w:r>
    </w:p>
    <w:p>
      <w:r/>
      <w:r>
        <w:rPr>
          <w:b/>
        </w:rPr>
        <w:t>Prévention et Gestion des Effets Indésirables :</w:t>
      </w:r>
      <w:r/>
    </w:p>
    <w:p>
      <w:pPr>
        <w:pStyle w:val="ListBullet"/>
      </w:pPr>
      <w:r>
        <w:t>Mesures Préventives : (1) Surveillance NFS-plaquettes hebdomadaire pendant cure, puis mensuelle pendant et 4 semaines après arrêt. (2) Adaptation de dose selon tolérance hématologique — réduction 25-50 % si PNN &lt; 1.5 G/L ou plaquettes &lt; 75 G/L, arrêt si PNN &lt; 0.5 G/L ou plaquettes &lt; 50 G/L. (3) Prophylaxie antibactérienne, antifongique, antivirale systématique pendant l'aplasie post-autogreffe (céfépime, levofloxacine, aciclovir, fluconazole, cotrimoxazole pour pneumocystose). (4) Support transfusionnel (CGR CMV négatifs phénotypés, plaquettes, PFC) en cas d'anémie, thrombopénie ou saignement. (5) Prévention mucite en haute dose — cryothérapie buccale (suce glacée pendant et 30 min après perfusion), bains de bouche antiseptiques, sucralfate, nutrition parentérale si mucite grade 3-4, antalgiques morphiniques IV (patient-controlled analgesia). (6) Prévention nausea/vomissements par anti-5HT3 (ondansétron) + corticoïde (dexaméthasone). (7) Cryopréservation gamétique pré-thérapeutique systématique obligatoire (congélation sperme chez homme, préservation ovocytaire ou tissulaire ovarienne chez femme jeune). (8) Surveillance fonction hépatique (ASAT-ALAT-bilirubine-GGT) mensuelle. (9) Prévention syndrome de lyse tumorale (allopurinol ou rasburicase) si masse tumorale élevée. (10) Surveillance à long terme (10-15 ans) pour second cancer hématologique (NFS annuelle). (11) Pour haute dose IV — surveillance ICU : scope, ECG, ionogramme, créatinine, fonction hépatique quotidienne. (12) G-CSF (filgrastim 5 µg/kg/j à J5 post-greffe) pour accélérer la récupération hématologique.</w:t>
      </w:r>
    </w:p>
    <w:p>
      <w:pPr>
        <w:pStyle w:val="ListBullet"/>
      </w:pPr>
      <w:r>
        <w:t>Conduite à Tenir : (1) Si neutropénie fébrile (PNN &lt; 0.5 G/L + T° ≥ 38.5 °C) → hémocultures, antibiothérapie empirique large spectre IV (céfépime + amikacine ou meropenem), G-CSF, surveillance ICU. (2) Si mucite sévère (grade 3-4) → nutrition parentérale, antalgiques morphiniques IV, bains de bouche antiseptiques, sucralfate. (3) Si réaction d'hypersensibilité (rash, bronchospasme, hypotension) → arrêt immédiat du melphalan, antihistaminiques IV, corticoïdes IV, adrénaline si anaphylaxie. (4) Si maladie veino-occlusive hépatique (VOD) → défibrotide IV, arrêt hépatotoxiques, surveillance ICU. (5) Si syndrome de lyse tumorale → hydratation IV, allopurinol ou rasburicase, alcalinisation urinaire, surveillance ICU. (6) Si allergie récidivante → désensibilisation possible selon protocole spécifique, ou alternative thérapeutique.</w:t>
      </w:r>
    </w:p>
    <w:p>
      <w:r/>
      <w:r>
        <w:rPr>
          <w:b/>
        </w:rPr>
        <w:t>Interactions Importantes :</w:t>
      </w:r>
      <w:r/>
    </w:p>
    <w:p>
      <w:pPr>
        <w:pStyle w:val="ListBullet"/>
      </w:pPr>
      <w:r>
        <w:t>Melphalan + Vaccins vivants atténués (BCG, fièvre jaune, ROR, varicelle) : risque de maladie vaccinale généralisée — CI absolue pendant et 6 mois après traitement.</w:t>
      </w:r>
    </w:p>
    <w:p>
      <w:pPr>
        <w:pStyle w:val="ListBullet"/>
      </w:pPr>
      <w:r>
        <w:t>Melphalan + Cyclosporine : néphrotoxicité additive, augmentation de l'AUC du melphalan (inhibition de la clairance rénale) → surveillance rénale et hématologique, réduction de dose si nécessaire.</w:t>
      </w:r>
    </w:p>
    <w:p>
      <w:pPr>
        <w:pStyle w:val="ListBullet"/>
      </w:pPr>
      <w:r>
        <w:t>Melphalan + Cisplatine : néphrotoxicité synergique, myélosuppression additive → surveillance rénale et hématologique.</w:t>
      </w:r>
    </w:p>
    <w:p>
      <w:pPr>
        <w:pStyle w:val="ListBullet"/>
      </w:pPr>
      <w:r>
        <w:t>Melphalan + Corticoïdes (prednisone, dexaméthasone) : association synergique (protocole MP, MDex) — bonne tolérance, pas d'interaction significative.</w:t>
      </w:r>
    </w:p>
    <w:p>
      <w:pPr>
        <w:pStyle w:val="ListBullet"/>
      </w:pPr>
      <w:r>
        <w:t>Melphalan + Bortézomib : association synergique (protocole VMP), neurotoxicité additive (bortézomib) — surveillance neurologique.</w:t>
      </w:r>
    </w:p>
    <w:p>
      <w:pPr>
        <w:pStyle w:val="ListBullet"/>
      </w:pPr>
      <w:r>
        <w:t>Melphalan + Thalidomide, lénalidomide : association synergique (protocole MPT, MPR), risque thrombotique majeur — prophylaxie anticoagulante systématique (HBPM).</w:t>
      </w:r>
    </w:p>
    <w:p>
      <w:pPr>
        <w:pStyle w:val="ListBullet"/>
      </w:pPr>
      <w:r>
        <w:t>Melphalan + Carmustine, étoposide, BCNU (protocole BEAM) : association en conditionnement de greffe, myélosuppression synergique, surveillance ICU.</w:t>
      </w:r>
    </w:p>
    <w:p>
      <w:pPr>
        <w:pStyle w:val="ListBullet"/>
      </w:pPr>
      <w:r>
        <w:t>Melphalan + Anticoagulants oraux : modification de l'anticoagulation (myélosuppression) — surveillance INR, préférer HBPM.</w:t>
      </w:r>
    </w:p>
    <w:p>
      <w:pPr>
        <w:pStyle w:val="ListBullet"/>
      </w:pPr>
      <w:r>
        <w:t>Melphalan + Aminosides, diurétiques : néphrotoxicité additive rare (melphalan peu néphrotoxique mais surveillance si association).</w:t>
      </w:r>
    </w:p>
    <w:p>
      <w:pPr>
        <w:pStyle w:val="ListBullet"/>
      </w:pPr>
      <w:r>
        <w:t>Melphalan + Inhibiteurs topoisomérase II (anthracyclines, étoposide) : risque de leucémie secondaire majoré (carcinogénèse synergique) — surveillance hématologique prolongée.</w:t>
      </w:r>
    </w:p>
    <w:p>
      <w:r/>
      <w:r>
        <w:rPr>
          <w:b/>
        </w:rPr>
        <w:t>Grossesse et Allaitement :</w:t>
      </w:r>
      <w:r/>
    </w:p>
    <w:p>
      <w:pPr>
        <w:pStyle w:val="ListBullet"/>
      </w:pPr>
      <w:r>
        <w:t>Grossesse : CI absolue à toutes les phases de la grossesse (CRAT — embryo-létale au 1er trimestre, tératogène à toutes les phases — malformations squelettiques, palatines, digitales, cérébrales, retards de croissance, avortements spontanés). Le melphalan est l'un des alkylants les plus tératogènes (potentiel mutagène élevé). Test de grossesse pré-thérapeutique systématique chez toute femme en âge de procréer. Contraception efficace obligatoire pendant et 6 mois après la fin du traitement (les deux partenaires). En cas de cancer diagnostiqué pendant la grossesse → interruption médicale de grossesse à discuter en équipe pluridisciplinaire (oncologue-obstétricien), ou traitement différé après accouchement si possible, ou choix d'un protocole sans melphalan. En cas de désir de grossesse ultérieure, orientation systématique vers consultation PMA (stérilité quasi constante après haute dose IV).</w:t>
      </w:r>
    </w:p>
    <w:p>
      <w:pPr>
        <w:pStyle w:val="ListBullet"/>
      </w:pPr>
      <w:r>
        <w:t>Allaitement : CI absolue. Le melphalan passe dans le lait maternel à des concentrations significatives. Risque de myélosuppression, de carcinogénèse, de mutagénicité à long terme chez le nourrisson. Interruption définitive de l'allaitement avant la première cure (souvent la patiente est déjà en aplasie post-greffe en cas d'autogreffe).</w:t>
      </w:r>
    </w:p>
    <w:p>
      <w:pPr>
        <w:pStyle w:val="ListBullet"/>
      </w:pPr>
      <w:r>
        <w:t>Précisions : Cryopréservation gamétique pré-thérapeutique systématique obligatoire chez l'homme (cryoconservation sperme) et la femme jeune (consultation PMA — préservation ovocytaire ou tissulaire ovarienne avant conditionnement par melphalan haute dose, car récupération ovarienne quasi nulle après 200 mg/m²). Information claire au patient et à son conjoint sur la quasi-certitude de stérilité définitive après conditionnement par melphalan haute dose.</w:t>
      </w:r>
    </w:p>
    <w:p>
      <w:r/>
      <w:r>
        <w:rPr>
          <w:b/>
        </w:rPr>
        <w:t>Posologie et Mode d'administration (Standard) :</w:t>
      </w:r>
      <w:r/>
    </w:p>
    <w:p>
      <w:pPr>
        <w:pStyle w:val="ListBullet"/>
      </w:pPr>
      <w:r>
        <w:t>Adulte : (1) Myélome multiple — protocole MP (sujet âgé non éligible à autogreffe) : melphalan 9 mg/m²/j J1-J4 per os (en une prise matinale à jeun) + prednisone 100 mg/j J1-J4, cure toutes les 6 semaines × 6-12 cures. (2) Myélome multiple — protocole VMP : melphalan 9 mg/m²/j J1-J4 + prednisone 60 mg/m²/j J1-J4 + bortézomib 1.3 mg/m²/j J1, J4, J8, J11, J22, J25, J29, J32 (cycle 1) puis J1, J8, J15, J22 (cycles 2-9), cure toutes les 5 semaines × 9 cycles. (3) Myélome multiple — protocole MPT : melphalan 0.25 mg/kg/j J1-J4 + prednisone 2 mg/kg J1-J4 + thalidomide 100 mg/j continu, cure toutes les 6 semaines × 6-12 cycles. (4) Conditionnement avant autogreffe de cellules souches périphériques dans le myélome : melphalan haute dose 200 mg/m² IV en une perfusion unique de 30 min dans 250 mL G5%, J-2, hydratation IV abondante concomitante. (5) Amylose AL — protocole MDex : melphalan haute dose 140 mg/m² IV + dexaméthasone 40 mg/j J1-J4, en autogreffe. (6) Forme orale dose standard : 0.15-0.25 mg/kg/j pendant 4-7 jours, cure toutes les 4-6 semaines, dose maximale par cure 0.25 mg/kg/j × 7 jours.</w:t>
      </w:r>
    </w:p>
    <w:p>
      <w:pPr>
        <w:pStyle w:val="ListBullet"/>
      </w:pPr>
      <w:r>
        <w:t>Enfant : Neuroblastome avancé (protocole COJEC) : melphalan haute dose 100-180 mg/m² IV en association avec étoposide et carboplatine, en conditionnement avant autogreffe. Sarcome d'Ewing métastatique : melphalan haute dose en conditionnement.</w:t>
      </w:r>
    </w:p>
    <w:p>
      <w:pPr>
        <w:pStyle w:val="ListBullet"/>
      </w:pPr>
      <w:r>
        <w:t>Durée : Variable selon indication — myélome (protocole oral) : 6-12 cycles espacés de 5-6 semaines ; conditionnement autogreffe : 1 dose unique à J-2 ; amylose AL : 1 dose unique.</w:t>
      </w:r>
    </w:p>
    <w:p>
      <w:pPr>
        <w:pStyle w:val="ListBullet"/>
      </w:pPr>
      <w:r>
        <w:t>Moment de la prise : (1) Forme orale : à jeun (1 h avant ou 2 h après repas) en raison de la diminution de biodisponibilité par alimentation lactée (calcium chélation), prise matinale unique. Hydratation orale abondante (1.5-2 L/j). (2) Forme IV haute dose : hospitalier exclusif (unité de greffe protégée LAF), perfusion IV en 30 min dans 250 mL G5% à J-2, hydratation IV concomitante 3 L/m²/24 h, surveillance ICU.</w:t>
      </w:r>
    </w:p>
    <w:p>
      <w:r/>
      <w:r>
        <w:rPr>
          <w:b/>
        </w:rPr>
        <w:t>Arbitrage et Bénéfices des Formes Galéniques :</w:t>
      </w:r>
      <w:r/>
    </w:p>
    <w:p>
      <w:r>
        <w:t>Le melphalan est disponible en Algérie en deux formes galéniques : (1) comprimé pelliculé 2 mg (ALKERAN) — pour les protocoles oraux (MP, MPT, VMP) en ambulatoire après initiation hospitalière ; (2) poudre et solvant pour solution pour perfusion IV 50 mg/10 mL (ALKERAN TM) — pour les hautes doses en conditionnement de greffe autologue (myélome, amylose AL). L'arbitrage se fait selon l'indication et la dose : (a) forme orale pour protocoles myélomateux classiques chez sujet âgé non éligible à l'autogreffe (efficacité modérée, tolérance hématologique acceptable, autonomie du patient) ; (2) forme IV haute dose pour conditionnement avant autogreffe (efficacité maximale, toxicité majeure — aplasie, mucite, stérilité — nécessitant hospitalisation ICU). Avantages de la forme orale : observance, qualité de vie, coût moindre. Inconvénients : biodisponibilité faible (25-90 %, moyenne 60 %) et variable, diminution par alimentation lactée, nécessité d'adaptation de dose selon NFS. Avantages de la forme IV : biodisponibilité 100 %, dose predictible, pics plasmatiques élevés (efficacité cytotoxique maximale). Inconvénients : hospitalisation ICU, toxicité majeure (mucite, aplasie), stérilité définitive quasi constante. Les deux formes ne sont pas substituables (indications différentes). Le melphalan orale est historiquement le seul alkylant oral actif dans le myélome (avec le cyclophosphamide), aujourd'hui supplanté en partie par les inhibiteurs du protéasome (bortézomib) et les immunomodulateurs (thalidomide, lénalidomide). Le melphalan haute dose IV reste le standard de conditionnement avant autogreffe dans le myélome.</w:t>
      </w:r>
    </w:p>
    <w:p>
      <w:r/>
      <w:r>
        <w:rPr>
          <w:b/>
        </w:rPr>
        <w:t>Instructions et Conseils au Patient :</w:t>
      </w:r>
      <w:r/>
    </w:p>
    <w:p>
      <w:pPr>
        <w:pStyle w:val="ListBullet"/>
      </w:pPr>
      <w:r>
        <w:t>Communication au comptoir : (1) Information claire au patient : pour la forme orale, médicament anticancéreux oral à prendre à jeun le matin (1 h avant petit-déjeuner ou 2 h après), en une prise unique, avec un grand verre d'eau. Éviter produits lactés dans les 2 h autour de la prise (diminution de la biodisponibilité par calcium chélation). (2) Surveillance NFS-plaquetres hebdomadaire pendant cure, puis mensuelle. (3) Prévenir le patient des signes d'alerte : fièvre ≥ 38.5 °C (urgence infectieuse), saignements (gingivorragies, épistaxis, pétéchies), fatigue intense (aplasie), ictère (atteinte hépatique), mucite sévère (douleurs buccales, dysphagie), éruption cutanée (allergie). (4) Prévenir alopécie (réversible à l'arrêt), nausées modérées (antiémétique si besoin), stérilité définitive quasi constante (cryopréservation gamétique préalable obligatoire), risque de second cancer à long terme (surveillance hématologique prolongée 10-15 ans). (5) Contraception obligatoire pendant et 6 mois après traitement (les deux partenaires). (6) Pour la forme IV haute dose : hospitalisation ICU en unité de greffe, surveillance 24/24 h, transfusions répétées, antibiothérapie prophylactique. (7) Coordonnées du service oncologue référent et de l'urgence hospitalière. (8) Conservation à T° &lt; 25 °C, à l'abri de l'humidité et de la lumière, hors de portée des enfants.</w:t>
      </w:r>
    </w:p>
    <w:p>
      <w:pPr>
        <w:pStyle w:val="ListBullet"/>
      </w:pPr>
      <w:r>
        <w:t>Mode d'utilisation pratique : (1) Forme orale : comprimés à avaler entiers à jeun avec grand verre d'eau, à heure fixe le matin. Éviter produits lactés 1 h avant et 2 h après prise. Ne pas écraser ni croquer. En cas d'oubli &lt; 12 h → prise immédiate ; oubli &gt; 12 h → ne pas doubler la dose suivante. En cas de vomissement &lt; 1 h → consulter oncologue référent. (2) Forme IV : préparation centralisée en PUI hospitalière en ZAC, manipulation par personnel formé (EPI complet). Reconstitution avec solvant fourni (10 mL pour 50 mg), dilution secondaire dans 250 mL G5% (à l'EXCLUSION de NaCl 0.9 % — précipitation), perfusion IV en 30 min, hydratation IV concomitante 3 L/m²/24 h. (3) Élimination des déchets cytotoxiques selon circuit dédié (sac jaune cytotoxique, incinération). (4) Manipulation des comprimés à mains nues déconseillée (port de gants recommandé si personne enceinte manipule).</w:t>
      </w:r>
    </w:p>
    <w:p>
      <w:r/>
      <w:r>
        <w:rPr>
          <w:b/>
        </w:rPr>
        <w:t>Notes, Règles d'Or &amp; Pièges au Comptoir :</w:t>
      </w:r>
      <w:r/>
    </w:p>
    <w:p>
      <w:pPr>
        <w:pStyle w:val="ListBullet"/>
      </w:pPr>
      <w:r>
        <w:t>Piège classique : (1) Diminution de la biodisponibilité par alimentation lactée — prise à jeun obligatoire (1 h avant ou 2 h après repas, éviter lait et produits laitiers dans les 2 h autour de la prise). (2) Myélosuppression profonde et prolongée (nadir 14-21 jours) — surveillance prolongée 4 semaines après chaque cure. (3) Mucite sévère en haute dose IV (incidence 50-80 %) — prévention par cryothérapie buccale, bains de bouche, sucralfate. (4) Réactions d'hypersensibilité (rash, bronchospasme) surtout après plusieurs cures IV — arrêt immédiat, antihistaminiques IV, corticoïdes. (5) Stérilité définitive quasi constante après haute dose — cryopréservation gamétique préalable obligatoire. (6) Précipitation avec NaCl 0.9 % — dilution OBLIGATOIRE dans G5% pour la forme IV. (7) Risque de leucémie aiguë myéloïde secondaire à long terme (10-15 ans post-traitement) — surveillance hématologique annuelle prolongée. (8) Vaccins vivants contre-indiqués pendant et 6 mois après traitement. (9) Patiente femme enceinte à risque tératogène majeur — contraception stricte. (10) Syndrome de lyse tumorale possible en cas de masse tumorale élevée.</w:t>
      </w:r>
    </w:p>
    <w:p>
      <w:pPr>
        <w:pStyle w:val="ListBullet"/>
      </w:pPr>
      <w:r>
        <w:t>Règle de prise : Forme orale à jeun matinale, hydratation orale 2 L/j, surveillance NFS-plaquettes hebdomadaire puis mensuelle, contraception obligatoire 6 mois post-traitement, surveillance long terme NFS annuelle pour second cancer. Forme IV haute dose : hospitalisation ICU, dilution dans G5% EXCLUSIVEMENT (pas de NaCl), perfusion 30 min, hydratation IV abondante, surveillance 24/24.</w:t>
      </w:r>
    </w:p>
    <w:p>
      <w:pPr>
        <w:pStyle w:val="ListBullet"/>
      </w:pPr>
      <w:r>
        <w:t>Préparation et Conservation : (1) Comprimés pelliculés 2 mg — conservation 3 ans à T° &lt; 25 °C, à l'abri de l'humidité et de la lumière, hors de portée des enfants. Ne pas écraser. (2) Poudre et solvant pour solution injectable 50 mg/10 mL — reconstitution avec solvant fourni (10 mL pour 50 mg), dilution secondaire dans 250 mL G5% (PAS de NaCl 0.9 % — précipitation), perfusion IV en 30 min. Stabilité 1 h à T° ambiante après reconstitution (usage immédiat obligatoire). Conservation flacons non reconstitués : 3 ans à T° &lt; 25 °C, à l'abri de la lumière.</w:t>
      </w:r>
    </w:p>
    <w:p>
      <w:pPr>
        <w:pStyle w:val="ListBullet"/>
      </w:pPr>
      <w:r>
        <w:t>Piège du surdosage / Substitution : (1) Confusion melphalan ↔ chlorambucil (structures proches, noms commerciaux ALKERAN vs LEUKERAN, indications voisines LLC/myélome) — vérification systématique de la DCI. (2) Confusion forme orale ↔ forme IV (ALKERAN comprimés 2 mg vs ALKERAN TM poudre 50 mg/10 mL) — vérification du dosage et de la voie d'administration. (3) Surdosage accidentel (comprimés 2 mg — comptage précis nécessaire). (4) Substitution ALKERAN ↔ générique : non applicable (pas d'alternative disponible en Algérie). (5) Précipitation avec NaCl 0.9 % (erreur de dilution) — DILUTION DANS G5% EXCLUSIVEMENT. (6) Manipulation à risque pour le personnel soignant (femmes enceintes en particulier) — port d'EPI obligatoire. (7) Risque de second cancer à long terme (leucémies myélomonocytaires, syndromes myélodysplasiques) — surveillance hématologique prolongée 10-15 ans (NFS annuelle).</w:t>
      </w:r>
    </w:p>
    <w:p>
      <w:pPr>
        <w:pStyle w:val="Heading3"/>
      </w:pPr>
      <w:r>
        <w:t>6. DCI : Carmustine (Seule)</w:t>
      </w:r>
    </w:p>
    <w:p>
      <w:r/>
      <w:r>
        <w:rPr>
          <w:b/>
        </w:rPr>
        <w:t>Liste des Catégories :</w:t>
      </w:r>
      <w:r>
        <w:t xml:space="preserve"> Cytotoxique — Antinéoplasique — Agent alkylant — Nitrosourée — Liste I — Médicament à prescription hospitalière stricte.</w:t>
      </w:r>
    </w:p>
    <w:p>
      <w:r>
        <w:t>La carmustine (BCNU, bis-chloroéthylnitrosourée) est l'unique nitrosourée disponible en Algérie. Découverte en 1963, elle est caractérisée par une double action alkylante et carbamoylante, une liposolubilité élevée permettant le passage de la barrière hémato-encéphalique, et une toxicité cumulative retardée (fibrose pulmonaire, myélosuppression à 4-6 semaines). Historiquement pilier du traitement des gliomes malins en complément de la chirurgie et de la radiothérapie, son usage a régressé avec l'arrivée du témozolomide mais elle reste une option de seconde ligne ou en association dans certains protocoles de lymphome et de myélome.</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CONSIUM (R)</w:t>
            </w:r>
          </w:p>
        </w:tc>
        <w:tc>
          <w:tcPr>
            <w:tcW w:type="dxa" w:w="1559"/>
          </w:tcPr>
          <w:p>
            <w:r>
              <w:rPr>
                <w:sz w:val="20"/>
              </w:rPr>
              <w:t>Emcure Pharmaceuticals Ltd</w:t>
            </w:r>
          </w:p>
        </w:tc>
        <w:tc>
          <w:tcPr>
            <w:tcW w:type="dxa" w:w="1559"/>
          </w:tcPr>
          <w:p>
            <w:r>
              <w:rPr>
                <w:sz w:val="20"/>
              </w:rPr>
              <w:t>Poudre pour solution injectable IV 100 mg/flacon</w:t>
            </w:r>
          </w:p>
        </w:tc>
        <w:tc>
          <w:tcPr>
            <w:tcW w:type="dxa" w:w="1559"/>
          </w:tcPr>
          <w:p>
            <w:r>
              <w:rPr>
                <w:sz w:val="20"/>
              </w:rPr>
              <w:t>B/1 flacon de poudre</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Nitrosourée (N-nitroso-N-(2-chloroéthyl)-N'-cyclohexylurée, BCNU), alkylant et carbamylant bifonctionnel, cycle-non-spécifique (actif sur cellules en G0).</w:t>
      </w:r>
    </w:p>
    <w:p>
      <w:pPr>
        <w:pStyle w:val="ListBullet"/>
      </w:pPr>
      <w:r>
        <w:t>Mécanisme d'action : La carmustine possède deux mécanismes d'action originaux distincts : (1) Fonction alkylante — les groupes chloroéthyle libèrent spontanément des ions chloroéthyl-ammonium qui forment des ponts inter-brins ADN (interstrand cross-links) au niveau de la O6-guanine, accessoirement de la N7-guanine et N3-adénine. Cette alkylation à la O6-guanine est particulièrement cytotoxique car elle est réparée par la MGMT (O6-méthylguanine-ADN-méthyltransférase) — d'où l'intérêt potentiel des tumeurs à MGMT méthylé (silencié). (2) Fonction carbamoylante — libération spontanée d'isocyanate qui carbamyle les résidus cystéine des protéines cellulaires, inhibant notamment la DNA polymérase, la glutathion réductase et la réparation de l'ADN. Cette double action explique l'activité sur les cellules quiescentes (G0), y compris les cellules souches tumorales, ainsi que la synergie avec la radiothérapie (inhibition de la réparation des lésions radio-induites). La liposolubilité élevée (logP ≈ 1.5) permet le passage de la barrière hémato-encéphalique (BHE), expliquant son activité dans les tumeurs cérébrales primitives (gliomes, médulloblastomes) et les métastases cérébrales.</w:t>
      </w:r>
    </w:p>
    <w:p>
      <w:r/>
      <w:r>
        <w:rPr>
          <w:b/>
        </w:rPr>
        <w:t>Profil Pharmacologique :</w:t>
      </w:r>
      <w:r/>
    </w:p>
    <w:p>
      <w:pPr>
        <w:pStyle w:val="ListBullet"/>
      </w:pPr>
      <w:r>
        <w:t>Indications : (1) Tumeurs cérébrales primitives — glioblastome multiforme en complément de chirurgie et radiothérapie (alternative au témozolomide si indisponible ou en rechute), astrocytome anaplasique, médulloblastome, oligodendrogliome anaplasique, ependymome. (2) Lymphome hodgkinien réfractaire ou en rechute (protocole BEAM en conditionnement de greffe autologue : BCNU, Etoposide, Aracytine, Melphalan). (3) Lymphome non-Hodgkinien en rechute (protocole DHAP, ESHAP, ICE). (4) Myélome multiple en rechute (protocole VBMCP ou M2). (5) Hors AMM : mélanome métastatique (en association), tumeurs neuroendocrines, cancers du poumon (PCNSCL en protocole cisplatine-BCNU). (6) Forme locale — implants (wafer GLIADEL) en peropératoire de glioblastome (non disponible en Algérie).</w:t>
      </w:r>
    </w:p>
    <w:p>
      <w:pPr>
        <w:pStyle w:val="ListBullet"/>
      </w:pPr>
      <w:r>
        <w:t>Contre-indications : Hypersensibilité à la carmustine ou aux excipients ; myélosuppression sévère pré-existante (sauf si le but recherché est l'aplasie en conditionnement) ; grossesse et allaitement (CI absolue — tératogène, mutagène) ; infection évolutive non contrôlée ; insuffisance respiratoire pré-existante (risque de fibrose pulmonaire majoré) ; insuffisance hépatique sévère ; vaccination vivante atténuée contemporaine ; antécédent de pneumopathie interstitielle ; doses cumulées &gt; 1200-1400 mg/m² (risque fibrose pulmonaire majeur).</w:t>
      </w:r>
    </w:p>
    <w:p>
      <w:pPr>
        <w:pStyle w:val="ListBullet"/>
      </w:pPr>
      <w:r>
        <w:t>Effets Indésirables : (a) Hématologique : myélosuppression retardée et cumulative — nadir thrombopénie à 4-6 semaines (caractéristique des nitrosourées), nadir leucopénie à 3-5 semaines, anémie. Risque d'aplasie médullaire prolongée (5-7 semaines après cure) — d'où intervalle de 6 semaines entre cures. Cumulative toxicity : doses cumulées &gt; 1000 mg/m² → toxicité hématologique majeure. (b) Pulmonaire : fibrose pulmonaire (« BCNU lung ») — toxicité cumulative dose-dépendante (incidence 5-20 %), survenant pour doses cumulées supérieures 1200-1400 mg/m², mais possible à plus basse dose chez sujet prédisposé. Manifestations : toux sèche, dyspnée progressive, infiltrats interstitiels bilatéraux, syndrome restrictif à l'EFR, hypoxémie, parfois pneumopathie interstitielle aiguë. Évolution souvent fatale (mortalité 20-50 %) malgré arrêt immédiat et corticothérapie IV. Surveillance EFR systématique avant chaque cure (CVF, DLCO). (c) Digestif : nausées/vomissements sévères (level 3-4 — émétisante majeure), mucite, anorexie, diarrhée, hépatotoxicité (élévation transaminases, hépatite cholestatique), pancréatite rare. (d) Rénal : néphrotoxicité tubulaire et glomérulaire à doses cumulées (élévation créatinine, syndrome de Fanconi rare). (e) Neurologique : encéphalopathie transitoire possible (par passage BHE), vertiges, ataxie, somnolence. (f) Cutané : hyperpigmentation locale au point d'injection (extravasation — risque de nécrose cutanée), rash, alopécie modérée. (g) Veineux : irritation veineuse locale, douleur à l'injection, thrombophlébite (la carmustine est en solution éthanol-polyéthylène glycol, irritante veineuse). (h) Cardiologique : tachycardie, hypotension transitoire (perfusions rapides), rarement insuffisance cardiaque. (i) Carcinogénèse : risque de second cancer à long terme (leucémies secondaires, syndromes myélodysplasiques), surtout en association à radiothérapie ou autres alkylants. (j) Gonadique : stérilité — azoospermie chez l'homme, aménorrhée chez la femme (parfois définitive selon dose cumulée). (k) Métabolique : acidose métabolique, hyperuricémie (syndrome de lyse tumorale). (l) Ophtalmologique : névrite optique rare.</w:t>
      </w:r>
    </w:p>
    <w:p>
      <w:r/>
      <w:r>
        <w:rPr>
          <w:b/>
        </w:rPr>
        <w:t>Prévention et Gestion des Effets Indésirables :</w:t>
      </w:r>
      <w:r/>
    </w:p>
    <w:p>
      <w:pPr>
        <w:pStyle w:val="ListBullet"/>
      </w:pPr>
      <w:r>
        <w:t>Mesures Préventives : (1) Surveillance NFS-plaquettes hebdomadaire pendant les 6 premières semaines après chaque cure, puis mensuelle. (2) Surveillance EFR (CVF, DLCO, gaz du sang) avant chaque cure, scanner thoracique mensuel si doses cumulées &gt; 600 mg/m². (3) Surveillance fonction hépatique (ASAT-ALAT-bilirubine-GGT) et rénale (créatinine, ionogramme) avant chaque cure. (4) Limiter la dose cumulée à 1200-1400 mg/m² maximum (au-delà, risque fibrose pulmonaire majeur). (5) Prévention nausea/vomissements par anti-5HT3 (ondansétron 8 mg IV) + corticoïde (dexaméthasone 20 mg IV) ± aprépitant (125 mg J1) en raison de l'émétisation level 3-4. (6) Cryopréservation gamétique pré-thérapeutique systématique (azoospermie, aménorrhée risque). (7) Surveillance ECG, scope pendant perfusion (hypotension transitoire possible). (8) Prévention syndrome de lyse tumorale (allopurinol ou rasburicase) si masse tumorale élevée. (9) Éviter l'extravasation (risque nécrose cutanée) — voie veineuse centrale préférable, perfusion lente 1-2 h dans 250 mL G5%. (10) Prévention pneumocystose si lymphopénie CD4 &lt; 200/mm³ (cotrimoxazole 400/80 mg 3j/sem). (11) Vaccinations à jour avant traitement (pneumocoque, grippe, COVID-19) — vaccins vivants contre-indiqués pendant et 6 mois après. (12) Prophylaxie antifongique (fluconazole) et antivirale (aciclovir) si aplasie post-BEAM.</w:t>
      </w:r>
    </w:p>
    <w:p>
      <w:pPr>
        <w:pStyle w:val="ListBullet"/>
      </w:pPr>
      <w:r>
        <w:t>Conduite à Tenir : (1) Si fibrose pulmonaire (toux, dyspnée, hypoxémie, infiltrats interstitiels) → arrêt immédiat et définitif de la carmustine, corticothérapie IV (méthylprednisolone 1-2 mg/kg/j), oxygénothérapie, suivi pneumologique spécialisé, antibiothérapie prophylactique si surinfection. (2) Si myélosuppression sévère (PNN &lt; 0.5 G/L, plaquettes &lt; 25 G/L) → G-CSF, transfusions plaquettaires, antibiothérapie prophylactique, surveillance ICU. (3) Si extravasation → arrêt immédiat, aspiration, infiltration locale de corticoïdes (hydrocortisone) ou bicarbonate, pansement gras, surveillance cutanée rapprochée (chirurgie plastique si nécrose). (4) Si hépatotoxicité (ASAT-ALAT &gt; 5x LSN) → arrêt transitoire, surveillance hépatique rapprochée. (5) Si réaction d'hypersensibilité → arrêt, antihistaminiques IV, corticoïdes IV. (6) Si syndrome de lyse tumorale → hydratation IV, allopurinol/rasburicase, surveillance ICU.</w:t>
      </w:r>
    </w:p>
    <w:p>
      <w:r/>
      <w:r>
        <w:rPr>
          <w:b/>
        </w:rPr>
        <w:t>Interactions Importantes :</w:t>
      </w:r>
      <w:r/>
    </w:p>
    <w:p>
      <w:pPr>
        <w:pStyle w:val="ListBullet"/>
      </w:pPr>
      <w:r>
        <w:t>Carmustine + Cimétidine, ranitidine : augmentation de la myélosuppression (inhibition de la métabolisation hépatique) — surveillance hématologique.</w:t>
      </w:r>
    </w:p>
    <w:p>
      <w:pPr>
        <w:pStyle w:val="ListBullet"/>
      </w:pPr>
      <w:r>
        <w:t>Carmustine + Phénytoïne : diminution de l'efficacité de la phénytoïne (induction enzymatique par carmustine) — surveillance taux phénytoïneémie.</w:t>
      </w:r>
    </w:p>
    <w:p>
      <w:pPr>
        <w:pStyle w:val="ListBullet"/>
      </w:pPr>
      <w:r>
        <w:t>Carmustine + Amphotéricine B : néphrotoxicité additive majeure — surveillance créatinine, éviter si possible.</w:t>
      </w:r>
    </w:p>
    <w:p>
      <w:pPr>
        <w:pStyle w:val="ListBullet"/>
      </w:pPr>
      <w:r>
        <w:t>Carmustine + Aminosides, cisplatine, sels de platine : néphrotoxicité et ototoxicité additives — surveillance créatinine et audition.</w:t>
      </w:r>
    </w:p>
    <w:p>
      <w:pPr>
        <w:pStyle w:val="ListBullet"/>
      </w:pPr>
      <w:r>
        <w:t>Carmustine + Digoxine : diminution de l'absorption de la digoxine (altération muqueuse digestive) — surveillance digoxinémie.</w:t>
      </w:r>
    </w:p>
    <w:p>
      <w:pPr>
        <w:pStyle w:val="ListBullet"/>
      </w:pPr>
      <w:r>
        <w:t>Carmustine + Vaccins vivants atténués : risque de maladie vaccinale généralisée — CI absolue pendant et 6 mois après traitement.</w:t>
      </w:r>
    </w:p>
    <w:p>
      <w:pPr>
        <w:pStyle w:val="ListBullet"/>
      </w:pPr>
      <w:r>
        <w:t>Carmustine + Autres alkylants (cyclophosphamide, melphalan, busulfan) : risque majeur de myélosuppression cumulative, carcinogénèse additive.</w:t>
      </w:r>
    </w:p>
    <w:p>
      <w:pPr>
        <w:pStyle w:val="ListBullet"/>
      </w:pPr>
      <w:r>
        <w:t>Carmustine + Inhibiteurs topoisomérase II (anthracyclines, étoposide) : risque de leucémie secondaire majoré.</w:t>
      </w:r>
    </w:p>
    <w:p>
      <w:pPr>
        <w:pStyle w:val="ListBullet"/>
      </w:pPr>
      <w:r>
        <w:t>Carmustine + Radiothérapie : synergie (inhibition de la réparation de l'ADN radio-induit) — utilisée en protocole BEAM+cervical, mais risque de toxicité tissulaire majorée.</w:t>
      </w:r>
    </w:p>
    <w:p>
      <w:pPr>
        <w:pStyle w:val="ListBullet"/>
      </w:pPr>
      <w:r>
        <w:t>Carmustine + Anticoagulants oraux : modification de l'anticoagulation (myélosuppression) — surveillance INR.</w:t>
      </w:r>
    </w:p>
    <w:p>
      <w:pPr>
        <w:pStyle w:val="ListBullet"/>
      </w:pPr>
      <w:r>
        <w:t>Carmustine + Allopurinol : augmentation de la myélosuppression (inhibition de la métabolisation) — surveillance NFS.</w:t>
      </w:r>
    </w:p>
    <w:p>
      <w:r/>
      <w:r>
        <w:rPr>
          <w:b/>
        </w:rPr>
        <w:t>Grossesse et Allaitement :</w:t>
      </w:r>
      <w:r/>
    </w:p>
    <w:p>
      <w:pPr>
        <w:pStyle w:val="ListBullet"/>
      </w:pPr>
      <w:r>
        <w:t>Grossesse : CI absolue à toutes les phases de la grossesse (CRAT — embryo-létale au 1er trimestre, tératogène à toutes les phases — malformations squelettiques, cérébrales, palatines, urogénitales, retards de croissance, avortements spontanés). Test de grossesse pré-thérapeutique systématique chez toute femme en âge de procréer. Contraception efficace obligatoire pendant et 6 mois après la fin du traitement (les deux partenaires). La carmustine étant un alkylant puissant avec passage placentaire documenté, elle ne doit jamais être utilisée pendant la grossesse. En cas de cancer diagnostiqué pendant la grossesse → avis oncologie/obstétrique multidisciplinaire, traitement différé après accouchement si possible, ou choix d'un protocole sans carmustine.</w:t>
      </w:r>
    </w:p>
    <w:p>
      <w:pPr>
        <w:pStyle w:val="ListBullet"/>
      </w:pPr>
      <w:r>
        <w:t>Allaitement : CI absolue. La carmustine passe dans le lait maternel à des concentrations significatives (en raison de sa liposolubilité élevée). Risque de myélosuppression, de neurotoxicité, de carcinogénèse à long terme chez le nourrisson. Interruption définitive de l'allaitement avant la première cure.</w:t>
      </w:r>
    </w:p>
    <w:p>
      <w:pPr>
        <w:pStyle w:val="ListBullet"/>
      </w:pPr>
      <w:r>
        <w:t>Précisions : Cryopréservation gamétique pré-thérapeutique systématique obligatoire chez l'homme (congélation sperme) et la femme jeune (consultation PMA — préservation ovocytaire ou tissulaire ovarienne) en raison du risque de stérilité (azoospermie chez 30-50 % des hommes après dose cumulée 600 mg/m², aménorrhée chez 30-50 % des femmes après dose cumulée 600 mg/m²). Information claire au patient et à son conjoint sur le risque de stérilité après traitement.</w:t>
      </w:r>
    </w:p>
    <w:p>
      <w:r/>
      <w:r>
        <w:rPr>
          <w:b/>
        </w:rPr>
        <w:t>Posologie et Mode d'administration (Standard) :</w:t>
      </w:r>
      <w:r/>
    </w:p>
    <w:p>
      <w:pPr>
        <w:pStyle w:val="ListBullet"/>
      </w:pPr>
      <w:r>
        <w:t>Adulte : (1) Tumeurs cérébrales — monochimiothérapie : 150-200 mg/m² IV en perfusion de 1-2 h, toutes les 6-8 semaines (intervalle obligatoire en raison du nadir thrombocytaire retardé à 4-6 semaines). Dose maximale par cure 200 mg/m². Dose cumulée maximale recommandée 1200-1400 mg/m² (au-delà, risque fibrose pulmonaire majeur). (2) Lymphome hodgkinien réfractaire — protocole BEAM en conditionnement de greffe autologue : BCNU 300 mg/m² J-7 + Etoposide 200 mg/m² J-6 à J-3 + Aracytine (cytarabine) 200 mg/m²/12h J-6 à J-3 + Melphalan 140 mg/m² J-2. (3) Myélome multiple — protocole VBMCP ou M2 : BCNU 20 mg/m² J1 IV + Vincristine + Cyclophosphamide + Melphalan + Prednisone. (4) Hors AMM — mélanome métastatique en association : BCNU 150 mg/m² J1 IV + cisplatine + dacarbazine, toutes les 4-6 semaines.</w:t>
      </w:r>
    </w:p>
    <w:p>
      <w:pPr>
        <w:pStyle w:val="ListBullet"/>
      </w:pPr>
      <w:r>
        <w:t>Enfant : Tumeurs cérébrales pédiatriques (médulloblastome, ependymome) : 100-150 mg/m²/J IV en perfusion 1-2 h, toutes les 6 semaines. Adaptation selon tolérance hématologique et pulmonaire. Limite dose cumulée 600 mg/m² chez enfant (risque fibrose pulmonaire plus précoce).</w:t>
      </w:r>
    </w:p>
    <w:p>
      <w:pPr>
        <w:pStyle w:val="ListBullet"/>
      </w:pPr>
      <w:r>
        <w:t>Durée : Variable selon indication — tumeurs cérébrales : 4-6 cures espacées de 6-8 semaines ; protocole BEAM : 1 cure unique en conditionnement ; myélome : 6-12 cures espacées de 5-6 semaines.</w:t>
      </w:r>
    </w:p>
    <w:p>
      <w:pPr>
        <w:pStyle w:val="ListBullet"/>
      </w:pPr>
      <w:r>
        <w:t>Moment de la prise : Hospitalier exclusif (service oncologie médicale ou unité de greffe protégée LAF), perfusion IV en 1-2 h dans 250 mL G5% (la carmustine est en solution éthanol-PEG, dilution obligatoire pour réduire l'irritation veineuse). Voie veineuse centrale préférable (risque d'extravasation et de nécrose). Hydratation IV concomitante 2-3 L/m²/24 h. Surveillance ICU : scope, ECG, pression artérielle pendant perfusion.</w:t>
      </w:r>
    </w:p>
    <w:p>
      <w:r/>
      <w:r>
        <w:rPr>
          <w:b/>
        </w:rPr>
        <w:t>Arbitrage et Bénéfices des Formes Galéniques :</w:t>
      </w:r>
      <w:r/>
    </w:p>
    <w:p>
      <w:r>
        <w:t>La carmustine est disponible en Algérie uniquement sous forme injectable (poudre pour solution injectable IV 100 mg/flacon, CONSIUM — état RETIRÉ du marché algérien à la date d'Avril 2026). Pas de forme orale ni d'implant (wafer GLIADEL) disponibles en Algérie. La carmustine est un médicament en solution hydroalcoolique (éthanol + polyéthylène glycol) après reconstitution, ce qui explique son irritation veineuse locale. La dilution secondaire dans G5% (PAS de NaCl 0.9 % — précipitation possible avec PEG) est obligatoire. Le recours à une voie veineuse centrale (cathéter central, PICC) est recommandé pour éviter l'extravasation. La spécialité CONSIUM étant retirée du marché algérien, l'approvisionnement en carmustine est actuellement compromis — les praticiens algériens doivent recourir à l'importation exceptionnelle ou se tourner vers des alternatives thérapeutiques (témozolomide pour les gliomes, autres protocoles sans BCNU pour les lymphomes). L'usage de la carmustine a nettement régressé en oncologie moderne (développement du témozolomide pour les gliomes, du protocole R-ICE pour les lymphomes en rechute sans BCNU), mais elle reste une option de seconde ligne ou en association dans le protocole BEAM (conditionnement de greffe autologue dans le lymphome hodgkinien réfractaire).</w:t>
      </w:r>
    </w:p>
    <w:p>
      <w:r/>
      <w:r>
        <w:rPr>
          <w:b/>
        </w:rPr>
        <w:t>Instructions et Conseils au Patient :</w:t>
      </w:r>
      <w:r/>
    </w:p>
    <w:p>
      <w:pPr>
        <w:pStyle w:val="ListBullet"/>
      </w:pPr>
      <w:r>
        <w:t>Communication au comptoir : (1) Information claire au patient : traitement exclusivement hospitalier (service oncologie médicale ou unité de greffe protégée LAF), nécessite hospitalisation de jour ou court séjour (1-3 jours) par cure. (2) Prévenir le patient des effets indésirables majeurs : fibrose pulmonaire (toux, dyspnée — arrêt immédiat si symptômes respiratoires), myélosuppression retardée à 4-6 semaines (fièvre, saignements — urgence infectieuse et hémorragique), nausées/vomissements sévères (gérés par antiémétiques), risque de second cancer à long terme (surveillance hématologique prolongée 10-15 ans), stérilité (cryopréservation gamétique préalable obligatoire). (3) Prévenir fièvre (≥ 38.5 °C) et tout signe respiratoire (toux, dyspnée) → consulter en urgence. (4) Surveillance NFS-plaquettes hebdomadaire pendant 6 semaines après chaque cure. (5) Surveillance EFR (CVF, DLCO) avant chaque cure. (6) Contraception obligatoire pendant et 6 mois après traitement (les deux partenaires). (7) Coordonnées du service oncologue référent et de l'urgence hospitalière. (8) Conservation à T° &lt; 25 °C, à l'abri de la lumière, hors de portée des enfants.</w:t>
      </w:r>
    </w:p>
    <w:p>
      <w:pPr>
        <w:pStyle w:val="ListBullet"/>
      </w:pPr>
      <w:r>
        <w:t>Mode d'utilisation pratique : (1) Préparation centralisée en PUI hospitalière en ZAC, manipulation par personnel formé (EPI complet : double gants nitrile, masque FFP2, lunettes de protection, blouse chimio, charlotte). (2) Reconstitution avec 3 mL d'alcool stérile puis dilution secondaire dans 250 mL G5% (PAS de NaCl 0.9 % — précipitation possible). (3) Perfuser en 1-2 h par voie veineuse centrale (risque d'extravasation et de nécrose cutanée). (4) Hydratation IV concomitante 2-3 L/m²/24 h. (5) Surveillance ICU : scope, ECG, pression artérielle pendant perfusion (hypotension transitoire possible). (6) Prévention nausea/vomissements par anti-5HT3 + corticoïde ± aprépitant. (7) Élimination des déchets cytotoxiques selon circuit dédié (sac jaune cytotoxique, incinération).</w:t>
      </w:r>
    </w:p>
    <w:p>
      <w:r/>
      <w:r>
        <w:rPr>
          <w:b/>
        </w:rPr>
        <w:t>Notes, Règles d'Or &amp; Pièges au Comptoir :</w:t>
      </w:r>
      <w:r/>
    </w:p>
    <w:p>
      <w:pPr>
        <w:pStyle w:val="ListBullet"/>
      </w:pPr>
      <w:r>
        <w:t>Piège classique : (1) Fibrose pulmonaire (« BCNU lung ») — toxicité cumulative dose-dépendante (doses cumulées &gt; 1200-1400 mg/m²) — surveillance EFR systématique avant chaque cure (CVF, DLCO), arrêt immédiat si symptômes respiratoires (toux, dyspnée). (2) Myélosuppression retardée à 4-6 semaines — surveillance prolongée 6 semaines après chaque cure, intervalle de 6 semaines obligatoire entre cures. (3) Émétisation level 3-4 — prévention systématique par anti-5HT3 + corticoïde ± aprépitant. (4) Dilution dans G5% EXCLUSIVEMENT (précipitation avec NaCl 0.9 %). (5) Voie veineuse centrale préférable (risque d'extravasation et de nécrose cutanée). (6) CONSIUM retiré du marché algérien — approvisionnement compromis, alternatives thérapeutiques à discuter. (7) Vaccins vivants contre-indiqués pendant et 6 mois après traitement. (8) Patiente femme enceinte à risque tératogène majeur — contraception stricte. (9) Risque de second cancer à long terme (leucémies secondaires) — surveillance hématologique prolongée 10-15 ans.</w:t>
      </w:r>
    </w:p>
    <w:p>
      <w:pPr>
        <w:pStyle w:val="ListBullet"/>
      </w:pPr>
      <w:r>
        <w:t>Règle de prise : Hospitalier exclusif, perfusion IV en 1-2 h par voie veineuse centrale, hydratation IV 2-3 L/m²/24 h, surveillance ICU, surveillance NFS-plaquettes hebdomadaire 6 semaines après cure, surveillance EFR avant chaque cure, contraception obligatoire 6 mois post-traitement, limite dose cumulée 1200-1400 mg/m².</w:t>
      </w:r>
    </w:p>
    <w:p>
      <w:pPr>
        <w:pStyle w:val="ListBullet"/>
      </w:pPr>
      <w:r>
        <w:t>Préparation et Conservation : Poudre lyophilisée 100 mg/flacon, reconstitution avec 3 mL alcool stérile puis dilution secondaire dans 250 mL G5% (PAS de NaCl 0.9 %). Stabilité 8 h à T° ambiante, 24 h à 4 °C après reconstitution (usage immédiat recommandé). Conservation flacons non reconstitués : 3 ans à T° &lt; 8 °C (réfrigérateur), à l'abri de la lumière (à vérifier RCP CONSIUM).</w:t>
      </w:r>
    </w:p>
    <w:p>
      <w:pPr>
        <w:pStyle w:val="ListBullet"/>
      </w:pPr>
      <w:r>
        <w:t>Piège du surdosage / Substitution : (1) CONSIUM retiré du marché algérien — ne plus prescrire, rechercher alternatives thérapeutiques. (2) Précipitation avec NaCl 0.9 % (erreur de dilution) — DILUTION DANS G5% EXCLUSIVEMENT. (3) Voie veineuse périphérique — risque d'extravasation et de nécrose cutanée — préférer voie veineuse centrale. (4) Surdosage (dose &gt; 200 mg/m²/cure ou dose cumulée &gt; 1400 mg/m²) — risque fibrose pulmonaire majeure. (5) Manipulation à risque pour le personnel soignant (femmes enceintes en particulier) — port d'EPI obligatoire. (6) Risque de second cancer à long terme (leucémies myélomonocytaires, syndromes myélodysplasiques) — surveillance hématologique prolongée 10-15 ans.</w:t>
      </w:r>
    </w:p>
    <w:p>
      <w:pPr>
        <w:pStyle w:val="Heading3"/>
      </w:pPr>
      <w:r>
        <w:t>7. DCI : Dacarbazine (Seule)</w:t>
      </w:r>
    </w:p>
    <w:p>
      <w:r/>
      <w:r>
        <w:rPr>
          <w:b/>
        </w:rPr>
        <w:t>Liste des Catégories :</w:t>
      </w:r>
      <w:r>
        <w:t xml:space="preserve"> Cytotoxique — Antinéoplasique — Agent alkylant — Triazine — Liste I — Médicament à prescription hospitalière stricte.</w:t>
      </w:r>
    </w:p>
    <w:p>
      <w:r>
        <w:t>La dacarbazine (DTIC, 5-(3,3-diméthyl-1-triazeno)imidazole-4-carboxamide) est le plus ancien représentant de la sous-classe des triazines alkylantes, découverte en 1959 par Shealy et collaborateurs. Promédicament nécessitant une activation hépatique par CYP1A2 et CYP2E1 en MTIC (5-(3-méthyl-1-triazeno)imidazole-4-carboxamide), qui se décompose spontanément en méthyldiazonium — agent méthylant actif. Son indication cardinale est le mélanome métastatique (en association ou en monothérapie), mais elle reste aussi utilisée dans la maladie de Hodgkin (protocole ABVD), les sarcomes des tissus mous (protocole MAID) et certains neuroblastomes.</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DTI</w:t>
            </w:r>
          </w:p>
        </w:tc>
        <w:tc>
          <w:tcPr>
            <w:tcW w:type="dxa" w:w="1559"/>
          </w:tcPr>
          <w:p>
            <w:r>
              <w:rPr>
                <w:sz w:val="20"/>
              </w:rPr>
              <w:t>Korea United Pharm Inc</w:t>
            </w:r>
          </w:p>
        </w:tc>
        <w:tc>
          <w:tcPr>
            <w:tcW w:type="dxa" w:w="1559"/>
          </w:tcPr>
          <w:p>
            <w:r>
              <w:rPr>
                <w:sz w:val="20"/>
              </w:rPr>
              <w:t>Poudre pour solution à diluer pour perfusion IV 100 mg</w:t>
            </w:r>
          </w:p>
        </w:tc>
        <w:tc>
          <w:tcPr>
            <w:tcW w:type="dxa" w:w="1559"/>
          </w:tcPr>
          <w:p>
            <w:r>
              <w:rPr>
                <w:sz w:val="20"/>
              </w:rPr>
              <w:t>B/10 flacons</w:t>
            </w:r>
          </w:p>
        </w:tc>
        <w:tc>
          <w:tcPr>
            <w:tcW w:type="dxa" w:w="1559"/>
          </w:tcPr>
          <w:p>
            <w:r>
              <w:rPr>
                <w:sz w:val="20"/>
              </w:rPr>
              <w:t>Liste I</w:t>
            </w:r>
          </w:p>
        </w:tc>
        <w:tc>
          <w:tcPr>
            <w:tcW w:type="dxa" w:w="1559"/>
          </w:tcPr>
          <w:p>
            <w:r>
              <w:rPr>
                <w:sz w:val="20"/>
              </w:rPr>
              <w:t>Actif</w:t>
            </w:r>
          </w:p>
        </w:tc>
      </w:tr>
      <w:tr>
        <w:tc>
          <w:tcPr>
            <w:tcW w:type="dxa" w:w="1559"/>
          </w:tcPr>
          <w:p>
            <w:r>
              <w:rPr>
                <w:sz w:val="20"/>
              </w:rPr>
              <w:t>DETICENE (R)</w:t>
            </w:r>
          </w:p>
        </w:tc>
        <w:tc>
          <w:tcPr>
            <w:tcW w:type="dxa" w:w="1559"/>
          </w:tcPr>
          <w:p>
            <w:r>
              <w:rPr>
                <w:sz w:val="20"/>
              </w:rPr>
              <w:t>Aventis</w:t>
            </w:r>
          </w:p>
        </w:tc>
        <w:tc>
          <w:tcPr>
            <w:tcW w:type="dxa" w:w="1559"/>
          </w:tcPr>
          <w:p>
            <w:r>
              <w:rPr>
                <w:sz w:val="20"/>
              </w:rPr>
              <w:t>Poudre pour solution injectable 100 mg</w:t>
            </w:r>
          </w:p>
        </w:tc>
        <w:tc>
          <w:tcPr>
            <w:tcW w:type="dxa" w:w="1559"/>
          </w:tcPr>
          <w:p>
            <w:r>
              <w:rPr>
                <w:sz w:val="20"/>
              </w:rPr>
              <w:t>B/10 flacons</w:t>
            </w:r>
          </w:p>
        </w:tc>
        <w:tc>
          <w:tcPr>
            <w:tcW w:type="dxa" w:w="1559"/>
          </w:tcPr>
          <w:p>
            <w:r>
              <w:rPr>
                <w:sz w:val="20"/>
              </w:rPr>
              <w:t>Liste I</w:t>
            </w:r>
          </w:p>
        </w:tc>
        <w:tc>
          <w:tcPr>
            <w:tcW w:type="dxa" w:w="1559"/>
          </w:tcPr>
          <w:p>
            <w:r>
              <w:rPr>
                <w:sz w:val="20"/>
              </w:rPr>
              <w:t>Non Renouvelable</w:t>
            </w:r>
          </w:p>
        </w:tc>
      </w:tr>
      <w:tr>
        <w:tc>
          <w:tcPr>
            <w:tcW w:type="dxa" w:w="1559"/>
          </w:tcPr>
          <w:p>
            <w:r>
              <w:rPr>
                <w:sz w:val="20"/>
              </w:rPr>
              <w:t>DACARBAZINE (R)</w:t>
            </w:r>
          </w:p>
        </w:tc>
        <w:tc>
          <w:tcPr>
            <w:tcW w:type="dxa" w:w="1559"/>
          </w:tcPr>
          <w:p>
            <w:r>
              <w:rPr>
                <w:sz w:val="20"/>
              </w:rPr>
              <w:t>Therabel Pharma S.A.</w:t>
            </w:r>
          </w:p>
        </w:tc>
        <w:tc>
          <w:tcPr>
            <w:tcW w:type="dxa" w:w="1559"/>
          </w:tcPr>
          <w:p>
            <w:r>
              <w:rPr>
                <w:sz w:val="20"/>
              </w:rPr>
              <w:t>Poudre pour solution injectable 100 mg</w:t>
            </w:r>
          </w:p>
        </w:tc>
        <w:tc>
          <w:tcPr>
            <w:tcW w:type="dxa" w:w="1559"/>
          </w:tcPr>
          <w:p>
            <w:r>
              <w:rPr>
                <w:sz w:val="20"/>
              </w:rPr>
              <w:t>B/10 flacons</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Triazine alkylante (imidotétrazine), promédicament à activation hépatique.</w:t>
      </w:r>
    </w:p>
    <w:p>
      <w:pPr>
        <w:pStyle w:val="ListBullet"/>
      </w:pPr>
      <w:r>
        <w:t>Mécanisme d'action : La dacarbazine est elle-même un promédicament inactif in vitro. Elle subit une activation hépatique par le cytochrome P450 (CYP1A2 principalement, accessoirement CYP2E1) en MTIC (5-(3-méthyl-1-triazeno)imidazole-4-carboxamide), qui se décompose spontanément (dégradation non enzymatique à pH physiologique) en méthyldiazonium (CH3-N=N+), agent méthylant actif. Le méthyldiazonium alkylise l'ADN en position O6-guanine (→ O6-méthylguanine, lésion cytotoxique majeure), accessoirement en N7-guanine et N3-adénine. Cette méthylation, si elle n'est pas réparée par la MGMT (O6-méthylguanine-ADN-méthyltransférase — enzyme suicide qui élimine le groupe méthyle de l'O6-guanine), déclenche un mésappariement avec la thymine lors de la réplication suivante, déclenchant la voie de réparation mésappariement (MMR — mismatch repair). L'échec de cette réparation aboutit à des cassures double-brin et à l'apoptose par la voie p53 et caspases. Les tumeurs avec MGMT méthylée (silenciée) sont particulièrement sensibles à la dacarbazine (et au témozolomide). La dacarbazine est cycle-spécifique (actif sur cellules en phase S).</w:t>
      </w:r>
    </w:p>
    <w:p>
      <w:r/>
      <w:r>
        <w:rPr>
          <w:b/>
        </w:rPr>
        <w:t>Profil Pharmacologique :</w:t>
      </w:r>
      <w:r/>
    </w:p>
    <w:p>
      <w:pPr>
        <w:pStyle w:val="ListBullet"/>
      </w:pPr>
      <w:r>
        <w:t>Indications : (1) Mélanome métastatique ou inopérable — en monothérapie ou en association (protocole CVD — Cisplatine, Vinblastine, Dacarbazine ; protocole BOLD — Bléomycine, Oncovin (vincristine), Lomustine (CCNU), Dacarbazine ; protocole Dartmouth — cisplatine + carmustine + tamoxifène + dacarbazine). Indication en perte de vitesse en raison du développement de l'immunothérapie (anti-PD-1 nivolumab/pembrolizumab, anti-CTLA-4 ipilimumab) et des anti-BRAF (vémurafénib, dabrafénib) pour les mélanomes BRAF V600 mutés. (2) Maladie de Hodgkin — protocole ABVD (Adriamycine/doxorubicine 25 mg/m² J1, J15 + Bléomycine 10 UI/m² J1, J15 + Vinblastine 6 mg/m² J1, J15 + Dacarbazine 375 mg/m² J1, J15, cure toutes les 4 semaines × 6-8 cycles) — protocole de référence historique, aujourd'hui concurrencé par le protocole escalated BEACOPP chez sujet jeune à haut risque. (3) Sarcomes des tissus mous (adulte) — protocole MAID (Mesna, Adriamycine, Ifosfamide, Dacarbazine) ou protocole AIM (Adriamycine, Ifosfamide, Mesna) si pas de dacarbazine. (4) Neuroblastome avancé (protocole COJEC en induction). (5) Hors AMM : tumeurs neuroendocrines bien différenciées (en association), pheochromocytome métastatique, mastocytose systémique.</w:t>
      </w:r>
    </w:p>
    <w:p>
      <w:pPr>
        <w:pStyle w:val="ListBullet"/>
      </w:pPr>
      <w:r>
        <w:t>Contre-indications : Hypersensibilité à la dacarbazine ou aux excipients ; myélosuppression sévère pré-existante (PNN &lt; 1.5 G/L, plaquettes &lt; 100 G/L) ; grossesse et allaitement (CI absolue — tératogène, mutagène) ; infection évolutive non contrôlée ; vaccination vivante atténuée contemporaine ; insuffisance hépatique sévère (métabolisation hépatique) ; insuffisance rénale sévère (ClCr &lt; 30 mL/min).</w:t>
      </w:r>
    </w:p>
    <w:p>
      <w:pPr>
        <w:pStyle w:val="ListBullet"/>
      </w:pPr>
      <w:r>
        <w:t>Effets Indésirables : (a) Digestif : nausées/vomissements SÉVÈRES (level 3-4 — la dacarbazine est classée émétisante de niveau 4, parmi les plus émétisantes avec le cisplatine) — prévention obligatoire par anti-5HT3 (ondansétron 8 mg IV) + corticoïde (dexaméthasone 20 mg IV) ± aprépitant (125 mg J1) ± olanzapine (5-10 mg J1-J4). Anorexie, mucite, diarrhée, hépatotoxicité (élévation transaminases, hépatite cytolytique, hépatotoxicité veino-occlusive rare mais possible), pancréatite rare. (b) Hématologique : myélosuppression — nadir leucopénie à 21-25 jours, thrombopénie à 16-21 jours, anémie. Récupération 4-5 semaines. Risque infectieux et hémorragique. (c) Cutané : flush (« flushing-like reaction ») — réaction érythémateuse du visage et du cou pendant la perfusion, disparaissant à l'arrêt (effet vasomoteur direct). Photosensibilité (sensibilité accrue au soleil — protection solaire obligatoire). Hyperpigmentation locale au point d'injection. Alopécie modérée. (d) Veineux : douleur et brûlure au point d'injection, thrombophlébite (la dacarbazine est irritante veineuse) — voie veineuse centrale préférable pour perfusions prolongées. Extravasation — risque de nécrose cutanée. (e) Syndrome pseudo-grippal : fièvre, myalgies, frissons, asthénie (24-48 h après perfusion, résolutif en 2-3 jours). (f) Neurologique : neuropathie périphérique rare, paresthésies, convulsions exceptionnelles. (g) Rénal : néphropathie tubulaire rare, syndrome de lyse tumorale en cas de masse tumorale élevée. (h) Carcinogénèse : risque de second cancer à long terme (leucémies secondaires, syndromes myélodysplasiques), surtout en association à radiothérapie ou autres alkylants. (i) Gonadique : stérilité — azoospermie chez l'homme, aménorrhée chez la femme (parfois définitive selon dose cumulée). (j) Métabolique : hyperuricémie (syndrome de lyse tumorale). (k) Allergique : réactions d'hypersensibilité (rash, urticaire, bronchospasme, anaphylaxie) rares.</w:t>
      </w:r>
    </w:p>
    <w:p>
      <w:r/>
      <w:r>
        <w:rPr>
          <w:b/>
        </w:rPr>
        <w:t>Prévention et Gestion des Effets Indésirables :</w:t>
      </w:r>
      <w:r/>
    </w:p>
    <w:p>
      <w:pPr>
        <w:pStyle w:val="ListBullet"/>
      </w:pPr>
      <w:r>
        <w:t>Mesures Préventives : (1) Prévention nausea/vomissements systématique et renforcée (émétisation level 4) — protocole triple : anti-5HT3 (ondansétron 8 mg IV ou granisétron 1 mg IV) + corticoïde (dexaméthasone 20 mg IV) + aprépitant (125 mg J1 per os puis 80 mg J2-J3 per os) ± olanzapine (5-10 mg J1-J4 per os). Surveillance de l'efficacité antiémétique. (2) Surveillance NFS-plaquettes hebdomadaire pendant les 4 premières semaines, puis mensuelle. (3) Surveillance fonction hépatique (ASAT-ALAT-bilirubine-GGT) et rénale (créatinine, ionogramme) avant chaque cure. (4) Éviter l'extravasation (risque nécrose cutanée) — voie veineuse centrale préférable pour perfusions prolongées, surveillance du point d'injection. (5) Hydratation IV 2-3 L/m²/24 h pendant cure. (6) Prévention syndrome de lyse tumorale (allopurinol ou rasburicase) si masse tumorale élevée (mélanome volumineux, sarcome). (7) Cryopréservation gamétique pré-thérapeutique systématique (azoospermie, aménorrhée risque). (8) Protection solaire rigoureuse (écran solaire SPF 50+, vêtements couvrants) en raison de la photosensibilité. (9) Surveillance EFR et scanner thoracique si doses cumulées élevées. (10) Prévention pneumocystose si lymphopénie CD4 &lt; 200/mm³ (cotrimoxazole). (11) Vaccinations à jour avant traitement — vaccins vivants contre-indiqués pendant et 6 mois après. (12) Surveillance à long terme (10-15 ans) pour second cancer (NFS annuelle).</w:t>
      </w:r>
    </w:p>
    <w:p>
      <w:pPr>
        <w:pStyle w:val="ListBullet"/>
      </w:pPr>
      <w:r>
        <w:t>Conduite à Tenir : (1) Si vomiting persistant malgré antiémétiques → adjonction d'olanzapine 5-10 mg per os J1-J4, ou changement d'anti-5HT3 (palonosétron 0.25 mg IV). (2) Si extravasation → arrêt immédiat, aspiration, infiltration locale de corticoïdes (hydrocortisone) ou bicarbonate, pansement gras, surveillance cutanée rapprochée (chirurgie plastique si nécrose). (3) Si réaction flush → ralentir la perfusion, surveillance hémodynamique (généralement bénin, résolutif à l'arrêt). (4) Si neutropénie fébrile (PNN &lt; 0.5 G/L + T° ≥ 38.5 °C) → hémocultures, antibiothérapie empirique large spectre IV (céfépime + amikacine), G-CSF. (5) Si syndrome de lyse tumorale → hydratation IV, allopurinol/rasburicase, alcalinisation urinaire, surveillance ICU. (6) Si réaction d'hypersensibilité → arrêt immédiat, antihistaminiques IV, corticoïdes IV, adrénaline si anaphylaxie.</w:t>
      </w:r>
    </w:p>
    <w:p>
      <w:r/>
      <w:r>
        <w:rPr>
          <w:b/>
        </w:rPr>
        <w:t>Interactions Importantes :</w:t>
      </w:r>
      <w:r/>
    </w:p>
    <w:p>
      <w:pPr>
        <w:pStyle w:val="ListBullet"/>
      </w:pPr>
      <w:r>
        <w:t>Dacarbazine + Vaccins vivants atténués (BCG, fièvre jaune, ROR, varicelle) : risque de maladie vaccinale généralisée — CI absolue pendant et 6 mois après traitement.</w:t>
      </w:r>
    </w:p>
    <w:p>
      <w:pPr>
        <w:pStyle w:val="ListBullet"/>
      </w:pPr>
      <w:r>
        <w:t>Dacarbazine + Allopurinol : augmentation de la myélosuppression (inhibition de la métabolisation hépatique) — surveillance NFS.</w:t>
      </w:r>
    </w:p>
    <w:p>
      <w:pPr>
        <w:pStyle w:val="ListBullet"/>
      </w:pPr>
      <w:r>
        <w:t>Dacarbazine + Phénytoïne : diminution de l'efficacité de la phénytoïne (induction enzymatique) — surveillance taux phénytoïnémie.</w:t>
      </w:r>
    </w:p>
    <w:p>
      <w:pPr>
        <w:pStyle w:val="ListBullet"/>
      </w:pPr>
      <w:r>
        <w:t>Dacarbazine + Anticoagulants oraux (warfarine) : potentialisation de l'anticoagulation (myélosuppression + modification flore intestinale vit K) — surveillance INR.</w:t>
      </w:r>
    </w:p>
    <w:p>
      <w:pPr>
        <w:pStyle w:val="ListBullet"/>
      </w:pPr>
      <w:r>
        <w:t>Dacarbazine + Heparines, antiagrégants : risque hémorragique majoré (thrombopénie) — surveillance plaquettes.</w:t>
      </w:r>
    </w:p>
    <w:p>
      <w:pPr>
        <w:pStyle w:val="ListBullet"/>
      </w:pPr>
      <w:r>
        <w:t>Dacarbazine + Aminosides, cisplatine, sels de platine : néphrotoxicité additive — surveillance créatinine.</w:t>
      </w:r>
    </w:p>
    <w:p>
      <w:pPr>
        <w:pStyle w:val="ListBullet"/>
      </w:pPr>
      <w:r>
        <w:t>Dacarbazine + Inhibiteurs CYP1A2 (fluvoxamine, ciprofloxacine, théophylline) : augmentation de l'AUC de la dacarbazine (diminution de la métabolisation hépatique) → toxicité accrue — surveillance clinique.</w:t>
      </w:r>
    </w:p>
    <w:p>
      <w:pPr>
        <w:pStyle w:val="ListBullet"/>
      </w:pPr>
      <w:r>
        <w:t>Dacarbazine + Inducteurs CYP1A2 (tabac, omeprazole, brocoli) : diminution de l'AUC de la dacarbazine → efficacité réduite — surveillance clinique.</w:t>
      </w:r>
    </w:p>
    <w:p>
      <w:pPr>
        <w:pStyle w:val="ListBullet"/>
      </w:pPr>
      <w:r>
        <w:t>Dacarbazine + Doxorubicine (protocole ABVD) : association synergique, cardiotoxicité additive (doxorubicine) — surveillance ECG, ETT.</w:t>
      </w:r>
    </w:p>
    <w:p>
      <w:pPr>
        <w:pStyle w:val="ListBullet"/>
      </w:pPr>
      <w:r>
        <w:t>Dacarbazine + Vinblastine (protocole ABVD) : association synergique, neurotoxicité additive (vinblastine) — surveillance neurologique.</w:t>
      </w:r>
    </w:p>
    <w:p>
      <w:pPr>
        <w:pStyle w:val="ListBullet"/>
      </w:pPr>
      <w:r>
        <w:t>Dacarbazine + Cisplatine (protocole CVD) : néphrotoxicité additive — surveillance créatinine.</w:t>
      </w:r>
    </w:p>
    <w:p>
      <w:pPr>
        <w:pStyle w:val="ListBullet"/>
      </w:pPr>
      <w:r>
        <w:t>Dacarbazine + Bléomycine (protocole ABVD) : association synergique, toxicité pulmonaire additive (bléomycine) — surveillance EFR, scanner thoracique.</w:t>
      </w:r>
    </w:p>
    <w:p>
      <w:r/>
      <w:r>
        <w:rPr>
          <w:b/>
        </w:rPr>
        <w:t>Grossesse et Allaitement :</w:t>
      </w:r>
      <w:r/>
    </w:p>
    <w:p>
      <w:pPr>
        <w:pStyle w:val="ListBullet"/>
      </w:pPr>
      <w:r>
        <w:t>Grossesse : CI absolue à toutes les phases de la grossesse (CRAT — embryo-létale au 1er trimestre, tératogène et mutagène à toutes les phases — malformations squelettiques, cérébrales, palatines, urogénitales, retards de croissance, avortements spontanés). Test de grossesse pré-thérapeutique systématique chez toute femme en âge de procréer. Contraception efficace obligatoire pendant et 6 mois après la fin du traitement (les deux partenaires). La dacarbazine traverse le placenta (concentration fœtale ≈ 30 % maternelle). En cas de cancer diagnostiqué pendant la grossesse → avis oncologie/obstétrique multidisciplinaire, traitement différé après accouchement si possible, ou choix d'un protocole sans dacarbazine (le protocole ABVD est ainsi contre-indiqué pendant la grossesse ; alternative ABVD préférentiellement en 2e-3e trimestre ou traitement différé selon terme).</w:t>
      </w:r>
    </w:p>
    <w:p>
      <w:pPr>
        <w:pStyle w:val="ListBullet"/>
      </w:pPr>
      <w:r>
        <w:t>Allaitement : CI absolue. La dacarbazine passe dans le lait maternel à des concentrations significatives. Risque de myélosuppression, de carcinogénèse, de mutagénicité à long terme chez le nourrisson. Interruption définitive de l'allaitement avant la première cure.</w:t>
      </w:r>
    </w:p>
    <w:p>
      <w:pPr>
        <w:pStyle w:val="ListBullet"/>
      </w:pPr>
      <w:r>
        <w:t>Précisions : Cryopréservation gamétique pré-thérapeutique systématique obligatoire chez l'homme (congélation sperme) et la femme jeune (consultation PMA — préservation ovocytaire ou tissulaire ovarienne) en raison du risque de stérilité (azoospermie chez 30-50 % des hommes après dose cumulée 1500 mg/m², aménorrhée chez 30-50 % des femmes après dose cumulée 1500 mg/m²). Information claire au patient et à son conjoint sur le risque de stérilité après traitement.</w:t>
      </w:r>
    </w:p>
    <w:p>
      <w:r/>
      <w:r>
        <w:rPr>
          <w:b/>
        </w:rPr>
        <w:t>Posologie et Mode d'administration (Standard) :</w:t>
      </w:r>
      <w:r/>
    </w:p>
    <w:p>
      <w:pPr>
        <w:pStyle w:val="ListBullet"/>
      </w:pPr>
      <w:r>
        <w:t>Adulte : (1) Mélanome métastatique — monothéthérapie : 250 mg/m²/J IV en perfusion de 30 min à 1 h dans 250 mL G5% ou NaCl 0.9 %, J1-J5, cure toutes les 3-4 semaines × 4-6 cures ; ou 850-1000 mg/m² IV en perfusion de 1 h, J1, cure toutes les 3-4 semaines × 4-6 cures. (2) Mélanome — protocole CVD : Cisplatine 50 mg/m² J1, J22 + Vinblastine 5 mg/m² J1-J5 + Dacarbazine 200 mg/m²/J IV en perfusion 30 min J1-J5, cure toutes les 3-4 semaines × 4-6 cycles. (3) Maladie de Hodgkin — protocole ABVD : Adriamycine (doxorubicine) 25 mg/m² IV J1 + Bléomycine 10 UI/m² IV J1 + Vinblastine 6 mg/m² IV J1 + Dacarbazine 375 mg/m² IV en perfusion 30 min J1 + Adriamycine 25 mg/m² IV J15 + Bléomycine 10 UI/m² J15 + Vinblastine 6 mg/m² J15 + Dacarbazine 375 mg/m² J15, cure toutes les 4 semaines × 6-8 cycles. (4) Sarcomes des tissus mous — protocole MAID : Mesna 1500 mg/m²/24h perfusion continue J1-J3 + Adriamycine 20 mg/m²/24h perfusion continue J1-J3 + Ifosfamide 2500 mg/m²/24h perfusion continue J1-J3 + Dacarbazine 300 mg/m²/24h perfusion continue J1-J3, cure toutes les 3 semaines × 6 cycles. (5) Hors AMM — tumeurs neuroendocrines bien différenciées : 200 mg/m²/J IV J1-J5, cure toutes les 4 semaines.</w:t>
      </w:r>
    </w:p>
    <w:p>
      <w:pPr>
        <w:pStyle w:val="ListBullet"/>
      </w:pPr>
      <w:r>
        <w:t>Enfant : Neuroblastome avancé (protocole COJEC) : 200 mg/m²/J IV en perfusion 1 h, J1-J5 selon protocole. Adaptation selon tolérance hématologique.</w:t>
      </w:r>
    </w:p>
    <w:p>
      <w:pPr>
        <w:pStyle w:val="ListBullet"/>
      </w:pPr>
      <w:r>
        <w:t>Durée : Variable selon indication — mélanome : 4-6 cures espacées de 3-4 semaines ; maladie de Hodgkin : 6-8 cures espacées de 4 semaines ; sarcomes : 6 cures espacées de 3 semaines.</w:t>
      </w:r>
    </w:p>
    <w:p>
      <w:pPr>
        <w:pStyle w:val="ListBullet"/>
      </w:pPr>
      <w:r>
        <w:t>Moment de la prise : Hospitalier exclusif (service oncologie médicale, hôpital de jour), perfusion IV en 30 min à 1 h dans 250 mL G5% ou NaCl 0.9 % selon protocole. Hydratation IV concomitante 2-3 L/m²/24 h. Surveillance : scope, ECG, pression artérielle pendant perfusion (risque flush). Prévention nausea/vomissements renforcée (level 4).</w:t>
      </w:r>
    </w:p>
    <w:p>
      <w:r/>
      <w:r>
        <w:rPr>
          <w:b/>
        </w:rPr>
        <w:t>Arbitrage et Bénéfices des Formes Galéniques :</w:t>
      </w:r>
      <w:r/>
    </w:p>
    <w:p>
      <w:r>
        <w:t>La dacarbazine est disponible en Algérie uniquement sous forme injectable (poudre pour solution à diluer pour perfusion IV 100 mg/flacon). Pas de forme orale. La spécialité active est DTI (Korea United Pharm Inc), avec 10 flacons par boîte. DETICENE (Aventis, état NON RENOUVELABLE) et DACARBAZINE Therabel (R, retiré du marché) sont les formes historiques princeps. La dacarbazine est une molécule instable en solution — la reconstitution doit être suivie d'une dilution immédiate et de l'administration dans les 30 min à 2 h selon le diluant (stabilité réduite à la lumière — protection de la tubulure par opaque film recommandée). L'usage hospitalier exclusif en PUI en ZAC est obligatoire. Avantages de la forme IV : biodisponibilité 100 %, contrôle du pic plasmatique, surveillance médicale immédiate. Inconvénient : hospitalisation de jour, manipulation à risque pour le personnel soignant. La dacarbazine étant aujourd'hui supplantée en oncologie moderne par le témozolomide pour les gliomes et par l'immunothérapie (anti-PD-1, anti-CTLA-4) pour le mélanome, son usage est en régression en Algérie mais reste standard dans le protocole ABVD (maladie de Hodgkin) et MAID (sarcomes).</w:t>
      </w:r>
    </w:p>
    <w:p>
      <w:r/>
      <w:r>
        <w:rPr>
          <w:b/>
        </w:rPr>
        <w:t>Instructions et Conseils au Patient :</w:t>
      </w:r>
      <w:r/>
    </w:p>
    <w:p>
      <w:pPr>
        <w:pStyle w:val="ListBullet"/>
      </w:pPr>
      <w:r>
        <w:t>Communication au comptoir : (1) Information claire au patient : traitement exclusivement hospitalier (service oncologie médicale, hôpital de jour), nécessite cure en 1-5 jours selon protocole. (2) Prévenir le patient des effets indésirables majeurs : nausées/vomissements sévères (prévention systématique par antiémétiques — le patient doit signaler tout vomiting persistant pour adaptation), fièvre et douleurs musculaires 24-48 h après perfusion (syndrome pseudo-grippal, résolutif en 2-3 jours), photosensibilité (protection solaire obligatoire SPF 50+, vêtements couvrants), flush pendant la perfusion (réaction érythémateuse visage-cou, bénigne, disparaissant à l'arrêt), myélosuppression retardée (fièvre, saignements — urgence infectieuse et hémorragique), risque de second cancer à long terme (surveillance hématologique prolongée 10-15 ans), stérilité (cryopréservation gamétique préalable obligatoire). (3) Prévenir fièvre (≥ 38.5 °C) → consulter en urgence. (4) Surveillance NFS-plaquettes hebdomadaire pendant les 4 premières semaines après cure. (5) Surveillance fonction hépatique (ASAT-ALAT-bilirubine-GGT) avant chaque cure. (6) Contraception obligatoire pendant et 6 mois après traitement (les deux partenaires). (7) Éviter l'exposition au soleil pendant et 1 mois après traitement (photosensibilité). (8) Coordonnées du service oncologue référent et de l'urgence hospitalière.</w:t>
      </w:r>
    </w:p>
    <w:p>
      <w:pPr>
        <w:pStyle w:val="ListBullet"/>
      </w:pPr>
      <w:r>
        <w:t>Mode d'utilisation pratique : (1) Préparation centralisée en PUI hospitalière en ZAC, manipulation par personnel formé (EPI complet : double gants nitrile, masque FFP2, lunettes de protection, blouse chimio, charlotte). (2) Reconstitution avec 10-20 mL NaCl 0.9 % ou eau PPI (concentration 10 mg/mL), dilution secondaire dans 250 mL G5% ou NaCl 0.9 % selon protocole. (3) La solution reconstituée est photo-sensible — protection de la tubulure par opaque film (aluminium) recommandée, administration dans les 30 min à 2 h. (4) Perfuser en 30 min à 1 h par voie veineuse périphérique ou centrale (préférable pour perfusions prolongées en raison du risque d'irritation veineuse). (5) Hydratation IV concomitante 2-3 L/m²/24 h. (6) Surveillance scope, ECG, pression artérielle pendant perfusion. (7) Prévention nausea/vomissements renforcée (level 4) — protocole triple. (8) Élimination des déchets cytotoxiques selon circuit dédié.</w:t>
      </w:r>
    </w:p>
    <w:p>
      <w:r/>
      <w:r>
        <w:rPr>
          <w:b/>
        </w:rPr>
        <w:t>Notes, Règles d'Or &amp; Pièges au Comptoir :</w:t>
      </w:r>
      <w:r/>
    </w:p>
    <w:p>
      <w:pPr>
        <w:pStyle w:val="ListBullet"/>
      </w:pPr>
      <w:r>
        <w:t>Piège classique : (1) Émétisation level 4 — prévention systématique et renforcée par protocole triple (anti-5HT3 + corticoïde + aprépitant ± olanzapine). Surveillance de l'efficacité antiémétique. (2) Instabilité de la solution reconstituée (photo-sensible) — protection opaque de la tubulure, administration immédiate dans les 30 min à 2 h. (3) Flush pendant la perfusion — ralentir la perfusion, surveillance hémodynamique (généralement bénin). (4) Photosensibilité — protection solaire obligatoire SPF 50+ pendant et 1 mois après traitement. (5) Myélosuppression retardée (nadir 21-25 jours) — surveillance prolongée 4 semaines après chaque cure. (6) Extravasation — risque de nécrose cutanée — voie veineuse centrale préférable pour perfusions prolongées. (7) Syndrome de lyse tumorale possible en cas de masse tumorale élevée (mélanome volumineux, sarcome). (8) Vaccins vivants contre-indiqués pendant et 6 mois après traitement. (9) Patiente femme enceinte à risque tératogène majeur — contraception stricte. (10) Risque de second cancer à long terme (leucémies myélomonocytaires) — surveillance hématologique prolongée 10-15 ans.</w:t>
      </w:r>
    </w:p>
    <w:p>
      <w:pPr>
        <w:pStyle w:val="ListBullet"/>
      </w:pPr>
      <w:r>
        <w:t>Règle de prise : Hospitalier exclusif, perfusion IV en 30 min à 1 h dans 250 mL G5% ou NaCl 0.9 %, hydratation IV 2-3 L/m²/24 h, prévention nausea/vomissements renforcée (level 4), surveillance NFS-plaquettes hebdomadaire 4 semaines après cure, protection solaire SPF 50+, contraception obligatoire 6 mois post-traitement, surveillance long terme NFS annuelle pour second cancer.</w:t>
      </w:r>
    </w:p>
    <w:p>
      <w:pPr>
        <w:pStyle w:val="ListBullet"/>
      </w:pPr>
      <w:r>
        <w:t>Préparation et Conservation : Poudre lyophilisée 100 mg/flacon, reconstitution avec 10-20 mL NaCl 0.9 % ou eau PPI (concentration 10 mg/mL). Solution reconstituée photo-sensible — protection opaque, administration immédiate dans les 30 min à 2 h. Dilution secondaire dans 250 mL G5% ou NaCl 0.9 %. Stabilité 8 h à T° ambiante, 24 h à 4 °C à l'abri de la lumière (mais usage immédiat recommandé). Conservation flacons non reconstitués : 3 ans à T° &lt; 25 °C, à l'abri de la lumière.</w:t>
      </w:r>
    </w:p>
    <w:p>
      <w:pPr>
        <w:pStyle w:val="ListBullet"/>
      </w:pPr>
      <w:r>
        <w:t>Piège du surdosage / Substitution : (1) Confusion dacarbazine ↔ témozolomide (structures proches, mécanisme commun par MTIC, mais voies d'administration et indications différentes) — vérification systématique de la DCI. (2) Substitution DTI ↔ DETICENE ↔ DACARBAZINE Therabel : DTI est la seule spécialité active en Algérie. (3) Instabilité de la solution (photo-sensible) — protection opaque obligatoire, administration immédiate. (4) Surdosage (dose &gt; 1000 mg/m²/cure) — risque myélosuppression majeure. (5) Manipulation à risque pour le personnel soignant (femmes enceintes en particulier) — port d'EPI obligatoire. (6) Risque de second cancer à long terme (leucémies myélomonocytaires) — surveillance hématologique prolongée 10-15 ans (NFS annuelle).</w:t>
      </w:r>
    </w:p>
    <w:p>
      <w:pPr>
        <w:pStyle w:val="Heading3"/>
      </w:pPr>
      <w:r>
        <w:t>8. DCI : Témozolomide (Seule)</w:t>
      </w:r>
    </w:p>
    <w:p>
      <w:r/>
      <w:r>
        <w:rPr>
          <w:b/>
        </w:rPr>
        <w:t>Liste des Catégories :</w:t>
      </w:r>
      <w:r>
        <w:t xml:space="preserve"> Cytotoxique — Antinéoplasique — Agent alkylant — Triazine — Prodrogue orale — Liste I — Médicament à prescription hospitalière (initiation) puis suivi ville possible.</w:t>
      </w:r>
    </w:p>
    <w:p>
      <w:r>
        <w:t>Le témozolomide (Temodal®) est le deuxième représentant des triazines alkylantes, découvert en 1984 par Stevens et collaborateurs. Prodrogue orale de petite taille (194 Da), il subit à pH physiologique une dégradation chimique spontanée (non enzymatique) en MTIC (5-(3-méthyl-1-triazeno)imidazole-4-carboxamide) — le même métabolite actif que la dacarbazine, mais généré sans activation hépatique. Sa biodisponibilité orale est proche de 100 %, il traverse la barrière hémato-encéphalique (rapport LCR/plasma 30-40 %), et sa tolérance est nettement supérieure à la dacarbazine (moindre toxicité émétisante). Son indication princeps est le glioblastome multiforme (protocole Stupp).</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TEGOZOL</w:t>
            </w:r>
          </w:p>
        </w:tc>
        <w:tc>
          <w:tcPr>
            <w:tcW w:type="dxa" w:w="1559"/>
          </w:tcPr>
          <w:p>
            <w:r>
              <w:rPr>
                <w:sz w:val="20"/>
              </w:rPr>
              <w:t>Hikma Pharma Algeria</w:t>
            </w:r>
          </w:p>
        </w:tc>
        <w:tc>
          <w:tcPr>
            <w:tcW w:type="dxa" w:w="1559"/>
          </w:tcPr>
          <w:p>
            <w:r>
              <w:rPr>
                <w:sz w:val="20"/>
              </w:rPr>
              <w:t>Gélule 20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TEGOZOL</w:t>
            </w:r>
          </w:p>
        </w:tc>
        <w:tc>
          <w:tcPr>
            <w:tcW w:type="dxa" w:w="1559"/>
          </w:tcPr>
          <w:p>
            <w:r>
              <w:rPr>
                <w:sz w:val="20"/>
              </w:rPr>
              <w:t>Hikma Pharma Algeria</w:t>
            </w:r>
          </w:p>
        </w:tc>
        <w:tc>
          <w:tcPr>
            <w:tcW w:type="dxa" w:w="1559"/>
          </w:tcPr>
          <w:p>
            <w:r>
              <w:rPr>
                <w:sz w:val="20"/>
              </w:rPr>
              <w:t>Gélule 100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TEGOZOL</w:t>
            </w:r>
          </w:p>
        </w:tc>
        <w:tc>
          <w:tcPr>
            <w:tcW w:type="dxa" w:w="1559"/>
          </w:tcPr>
          <w:p>
            <w:r>
              <w:rPr>
                <w:sz w:val="20"/>
              </w:rPr>
              <w:t>Hikma Pharma Algeria</w:t>
            </w:r>
          </w:p>
        </w:tc>
        <w:tc>
          <w:tcPr>
            <w:tcW w:type="dxa" w:w="1559"/>
          </w:tcPr>
          <w:p>
            <w:r>
              <w:rPr>
                <w:sz w:val="20"/>
              </w:rPr>
              <w:t>Gélule 250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TEMOZOLOMIDE BIOPHARM</w:t>
            </w:r>
          </w:p>
        </w:tc>
        <w:tc>
          <w:tcPr>
            <w:tcW w:type="dxa" w:w="1559"/>
          </w:tcPr>
          <w:p>
            <w:r>
              <w:rPr>
                <w:sz w:val="20"/>
              </w:rPr>
              <w:t>Biopharm</w:t>
            </w:r>
          </w:p>
        </w:tc>
        <w:tc>
          <w:tcPr>
            <w:tcW w:type="dxa" w:w="1559"/>
          </w:tcPr>
          <w:p>
            <w:r>
              <w:rPr>
                <w:sz w:val="20"/>
              </w:rPr>
              <w:t>Gélule 100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TEMOZOLOMIDE BIOPHRM</w:t>
            </w:r>
          </w:p>
        </w:tc>
        <w:tc>
          <w:tcPr>
            <w:tcW w:type="dxa" w:w="1559"/>
          </w:tcPr>
          <w:p>
            <w:r>
              <w:rPr>
                <w:sz w:val="20"/>
              </w:rPr>
              <w:t>Biopharm</w:t>
            </w:r>
          </w:p>
        </w:tc>
        <w:tc>
          <w:tcPr>
            <w:tcW w:type="dxa" w:w="1559"/>
          </w:tcPr>
          <w:p>
            <w:r>
              <w:rPr>
                <w:sz w:val="20"/>
              </w:rPr>
              <w:t>Gélule 250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TEMOZOLOMIDE DEMOCEDES</w:t>
            </w:r>
          </w:p>
        </w:tc>
        <w:tc>
          <w:tcPr>
            <w:tcW w:type="dxa" w:w="1559"/>
          </w:tcPr>
          <w:p>
            <w:r>
              <w:rPr>
                <w:sz w:val="20"/>
              </w:rPr>
              <w:t>Democedes Pharma Algérie</w:t>
            </w:r>
          </w:p>
        </w:tc>
        <w:tc>
          <w:tcPr>
            <w:tcW w:type="dxa" w:w="1559"/>
          </w:tcPr>
          <w:p>
            <w:r>
              <w:rPr>
                <w:sz w:val="20"/>
              </w:rPr>
              <w:t>Gélule 20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TEMOZOLOMIDE DEMOCEDES</w:t>
            </w:r>
          </w:p>
        </w:tc>
        <w:tc>
          <w:tcPr>
            <w:tcW w:type="dxa" w:w="1559"/>
          </w:tcPr>
          <w:p>
            <w:r>
              <w:rPr>
                <w:sz w:val="20"/>
              </w:rPr>
              <w:t>Democedes Pharma Algérie</w:t>
            </w:r>
          </w:p>
        </w:tc>
        <w:tc>
          <w:tcPr>
            <w:tcW w:type="dxa" w:w="1559"/>
          </w:tcPr>
          <w:p>
            <w:r>
              <w:rPr>
                <w:sz w:val="20"/>
              </w:rPr>
              <w:t>Gélule 100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TEMOZOLOMIDE DEMOCEDES</w:t>
            </w:r>
          </w:p>
        </w:tc>
        <w:tc>
          <w:tcPr>
            <w:tcW w:type="dxa" w:w="1559"/>
          </w:tcPr>
          <w:p>
            <w:r>
              <w:rPr>
                <w:sz w:val="20"/>
              </w:rPr>
              <w:t>Democedes Pharma Algérie</w:t>
            </w:r>
          </w:p>
        </w:tc>
        <w:tc>
          <w:tcPr>
            <w:tcW w:type="dxa" w:w="1559"/>
          </w:tcPr>
          <w:p>
            <w:r>
              <w:rPr>
                <w:sz w:val="20"/>
              </w:rPr>
              <w:t>Gélule 250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TEMOSIDE-20</w:t>
            </w:r>
          </w:p>
        </w:tc>
        <w:tc>
          <w:tcPr>
            <w:tcW w:type="dxa" w:w="1559"/>
          </w:tcPr>
          <w:p>
            <w:r>
              <w:rPr>
                <w:sz w:val="20"/>
              </w:rPr>
              <w:t>Cipla Limited</w:t>
            </w:r>
          </w:p>
        </w:tc>
        <w:tc>
          <w:tcPr>
            <w:tcW w:type="dxa" w:w="1559"/>
          </w:tcPr>
          <w:p>
            <w:r>
              <w:rPr>
                <w:sz w:val="20"/>
              </w:rPr>
              <w:t>Gélule 20 mg</w:t>
            </w:r>
          </w:p>
        </w:tc>
        <w:tc>
          <w:tcPr>
            <w:tcW w:type="dxa" w:w="1559"/>
          </w:tcPr>
          <w:p>
            <w:r>
              <w:rPr>
                <w:sz w:val="20"/>
              </w:rPr>
              <w:t>B/5</w:t>
            </w:r>
          </w:p>
        </w:tc>
        <w:tc>
          <w:tcPr>
            <w:tcW w:type="dxa" w:w="1559"/>
          </w:tcPr>
          <w:p>
            <w:r>
              <w:rPr>
                <w:sz w:val="20"/>
              </w:rPr>
              <w:t>Liste I</w:t>
            </w:r>
          </w:p>
        </w:tc>
        <w:tc>
          <w:tcPr>
            <w:tcW w:type="dxa" w:w="1559"/>
          </w:tcPr>
          <w:p>
            <w:r>
              <w:rPr>
                <w:sz w:val="20"/>
              </w:rPr>
              <w:t>Actif</w:t>
            </w:r>
          </w:p>
        </w:tc>
      </w:tr>
      <w:tr>
        <w:tc>
          <w:tcPr>
            <w:tcW w:type="dxa" w:w="1559"/>
          </w:tcPr>
          <w:p>
            <w:r>
              <w:rPr>
                <w:sz w:val="20"/>
              </w:rPr>
              <w:t>TEMOSIDE 100 (R)</w:t>
            </w:r>
          </w:p>
        </w:tc>
        <w:tc>
          <w:tcPr>
            <w:tcW w:type="dxa" w:w="1559"/>
          </w:tcPr>
          <w:p>
            <w:r>
              <w:rPr>
                <w:sz w:val="20"/>
              </w:rPr>
              <w:t>Cipla Limited</w:t>
            </w:r>
          </w:p>
        </w:tc>
        <w:tc>
          <w:tcPr>
            <w:tcW w:type="dxa" w:w="1559"/>
          </w:tcPr>
          <w:p>
            <w:r>
              <w:rPr>
                <w:sz w:val="20"/>
              </w:rPr>
              <w:t>Gélule 100 mg</w:t>
            </w:r>
          </w:p>
        </w:tc>
        <w:tc>
          <w:tcPr>
            <w:tcW w:type="dxa" w:w="1559"/>
          </w:tcPr>
          <w:p>
            <w:r>
              <w:rPr>
                <w:sz w:val="20"/>
              </w:rPr>
              <w:t>B/5</w:t>
            </w:r>
          </w:p>
        </w:tc>
        <w:tc>
          <w:tcPr>
            <w:tcW w:type="dxa" w:w="1559"/>
          </w:tcPr>
          <w:p>
            <w:r>
              <w:rPr>
                <w:sz w:val="20"/>
              </w:rPr>
              <w:t>Liste I</w:t>
            </w:r>
          </w:p>
        </w:tc>
        <w:tc>
          <w:tcPr>
            <w:tcW w:type="dxa" w:w="1559"/>
          </w:tcPr>
          <w:p>
            <w:r>
              <w:rPr>
                <w:sz w:val="20"/>
              </w:rPr>
              <w:t>Non Renouvelable</w:t>
            </w:r>
          </w:p>
        </w:tc>
      </w:tr>
      <w:tr>
        <w:tc>
          <w:tcPr>
            <w:tcW w:type="dxa" w:w="1559"/>
          </w:tcPr>
          <w:p>
            <w:r>
              <w:rPr>
                <w:sz w:val="20"/>
              </w:rPr>
              <w:t>TEMOSIDE 250 (R)</w:t>
            </w:r>
          </w:p>
        </w:tc>
        <w:tc>
          <w:tcPr>
            <w:tcW w:type="dxa" w:w="1559"/>
          </w:tcPr>
          <w:p>
            <w:r>
              <w:rPr>
                <w:sz w:val="20"/>
              </w:rPr>
              <w:t>Cipla Limited</w:t>
            </w:r>
          </w:p>
        </w:tc>
        <w:tc>
          <w:tcPr>
            <w:tcW w:type="dxa" w:w="1559"/>
          </w:tcPr>
          <w:p>
            <w:r>
              <w:rPr>
                <w:sz w:val="20"/>
              </w:rPr>
              <w:t>Gélule 250 mg</w:t>
            </w:r>
          </w:p>
        </w:tc>
        <w:tc>
          <w:tcPr>
            <w:tcW w:type="dxa" w:w="1559"/>
          </w:tcPr>
          <w:p>
            <w:r>
              <w:rPr>
                <w:sz w:val="20"/>
              </w:rPr>
              <w:t>B/5</w:t>
            </w:r>
          </w:p>
        </w:tc>
        <w:tc>
          <w:tcPr>
            <w:tcW w:type="dxa" w:w="1559"/>
          </w:tcPr>
          <w:p>
            <w:r>
              <w:rPr>
                <w:sz w:val="20"/>
              </w:rPr>
              <w:t>Liste I</w:t>
            </w:r>
          </w:p>
        </w:tc>
        <w:tc>
          <w:tcPr>
            <w:tcW w:type="dxa" w:w="1559"/>
          </w:tcPr>
          <w:p>
            <w:r>
              <w:rPr>
                <w:sz w:val="20"/>
              </w:rPr>
              <w:t>Non Renouvelable</w:t>
            </w:r>
          </w:p>
        </w:tc>
      </w:tr>
    </w:tbl>
    <w:p/>
    <w:p>
      <w:r/>
      <w:r>
        <w:rPr>
          <w:b/>
        </w:rPr>
        <w:t>Sous-classe et Mécanisme d'action :</w:t>
      </w:r>
      <w:r/>
    </w:p>
    <w:p>
      <w:pPr>
        <w:pStyle w:val="ListBullet"/>
      </w:pPr>
      <w:r>
        <w:t>Sous-classe : Triazine alkylante (imidotétrazine), prodrogue orale à dégradation chimique spontanée (non enzymatique), cycle-spécifique (actif sur cellules en phase S).</w:t>
      </w:r>
    </w:p>
    <w:p>
      <w:pPr>
        <w:pStyle w:val="ListBullet"/>
      </w:pPr>
      <w:r>
        <w:t>Mécanisme d'action : Le témozolomide est une prodrogue orale stable à pH acide gastrique (gélules gastrorésistantes), qui se dégrade spontanément à pH physiologique (7.4) en MTIC (5-(3-méthyl-1-triazeno)imidazole-4-carboxamide) — le même métabolite actif que la dacarbazine. La différence majeure est que le témozolomide ne nécessite pas d'activation hépatique (dégradation non enzymatique), ce qui explique sa pharmacocinétique prédictible et sa tolérance supérieure. Le MTIC se décompose en méthyldiazonium (CH3-N=N+), agent méthylant actif qui alkylise l'ADN en position O6-guanine (→ O6-méthylguanine, lésion cytotoxique majeure), accessoirement en N7-guanine (70 % des lésions) et N3-adénine (9 % des lésions). Cette méthylation, si elle n'est pas réparée par la MGMT (O6-méthylguanine-ADN-méthyltransférase — enzyme suicide qui élimine le groupe méthyle de l'O6-guanine), déclenche un mésappariement avec la thymine lors de la réplication suivante, déclenchant la voie de réparation mésappariement (MMR). L'échec de cette réparation aboutit à des cassures double-brin et à l'apoptose par la voie p53 et caspases. Les tumeurs avec MGMT méthylée (silenciée) sont particulièrement sensibles au témozolomide (prédicteur de réponse). Le témozolomide est cycle-spécifique (actif sur cellules en phase S), mais sa courte demi-vie (1.8 h) impose une administration continue ou répétée pour atteindre une cytotoxicité significative. Le schéma standard 5 jours/28 jours permet un nadir hématologique à J21-28, avec récupération à J35 (début du cycle suivant).</w:t>
      </w:r>
    </w:p>
    <w:p>
      <w:r/>
      <w:r>
        <w:rPr>
          <w:b/>
        </w:rPr>
        <w:t>Profil Pharmacologique :</w:t>
      </w:r>
      <w:r/>
    </w:p>
    <w:p>
      <w:pPr>
        <w:pStyle w:val="ListBullet"/>
      </w:pPr>
      <w:r>
        <w:t>Indications : (1) Glioblastome multiforme (GBM) nouvellement diagnostiqué — protocole STUPP : témozolomide 75 mg/m²/j per os pendant 42 jours concomitants à la radiothérapie externe (60 Gy en 30 fractions), puis 6 cycles d'entretien témozolomide 150-200 mg/m²/j J1-J5 per os, cure toutes les 4 semaines. Indication de référence depuis l'étude de Stupp et al. (NEJM 2005). (2) Glioblastome multiforme en rechute ou en progression — témozolomide 150-200 mg/m²/j J1-J5 per os, cure toutes les 4 semaines. (3) Astrocytome anaplasique (grade III OMS) en rechute ou en progression après radiothérapie — témozolomide 150-200 mg/m²/j J1-J5 per os, cure toutes les 4 semaines. (4) Astrocytome de bas grade (grade II OMS) en progression ou transformé — témozolomide 150-200 mg/m²/j J1-J5 per os, cure toutes les 4 semaines. (5) Mélanome métastatique — alternative à la dacarbazine en monothérapie : 150-200 mg/m²/j J1-J5 per os, cure toutes les 4 semaines (aujourd'hui supplanté par l'immunothérapie anti-PD-1 et les anti-BRAF/MEK). (6) Hors AMM — tumeurs neuroendocrines bien différenciées (protocole CAPTEM — capecitabine + témozolomide), lymphome primitif du SNC (protocole MATILDE), lymphome du SNC en rechute, gliomes du tronc cérébral (enfant), tumeurs germinales germinales du SNC (protocole GET), cancer du poumon à petites cellules en rechute, gliomatose cérébrale, métastases cérébrales multiples.</w:t>
      </w:r>
    </w:p>
    <w:p>
      <w:pPr>
        <w:pStyle w:val="ListBullet"/>
      </w:pPr>
      <w:r>
        <w:t>Contre-indications : Hypersensibilité au témozolomide ou à la dacarbazine (réactivité croisée) ou aux excipients ; myélosuppression sévère pré-existante (PNN &lt; 1.5 G/L, plaquettes &lt; 100 G/L) ; grossesse et allaitement (CI absolue — tératogène, mutagène) ; infection évolutive non contrôlée ; vaccination vivante atténuée contemporaine ; insuffisance rénale sévère (ClCr &lt; 30 mL/min) — adaptation requise ; insuffisance hépatique sévère.</w:t>
      </w:r>
    </w:p>
    <w:p>
      <w:pPr>
        <w:pStyle w:val="ListBullet"/>
      </w:pPr>
      <w:r>
        <w:t>Effets Indésirables : (a) Hématologique : myélosuppression — nadir thrombopénie à J21-28 (caractéristique — d'où schéma 5 jours/28 jours), nadir leucopénie/neutropénie à J21-28, anémie. Risque infectieux et hémorragique. Lymphopénie (notamment lymphopénie CD4 &lt; 200/mm³ chez 30-50 % des patients — d'où prophylaxie pneumocystose systématique par cotrimoxazole 400/80 mg 3j/sem pendant la phase concomitante radio-témozolomide et les 6 cycles d'entretien). (b) Digestif : nausées/vomissements modérés (level 2 — moins émétisants que la dacarbazine en raison de la dégradation progressive), prévention par anti-5HT3 (ondansétron 8 mg IV 30 min avant la 1re prise de chaque cycle). Constipation, diarrhée, anorexie, mucite modérée. Hépatotoxicité (élévation transaminases, hépatite cytolytique rare mais possible — surveillance ASAT-ALAT-bilirubine avant chaque cycle). (c) Neurologique : fatigue très fréquente (60-80 % des patients, dose-dépendante, parfois profonde), céphalées, somnolence, vertiges, convulsions (en rapport avec la tumeur cérébrale sous-jacente plutôt que le témozolomide lui-même). (d) Cutané : rash maculo-papuleux (incidence 10-15 %), prurit, photosensibilité modérée, alopécie modérée (rare, en raison du schéma discontinu). (e) Infectieux : pneumocystose pulmonaire à Pneumocystis jirovecii (incidence 5-10 % sans prophylaxie, principalement pendant la phase concomitante radio-témozolomide) — prophylaxie systématique par cotrimoxazole 400/80 mg 3j/sem pendant la phase concomitante et 1 mois après la fin du traitement. Herpes zoster, CMV réactivation (lymphopénie CD4). (f) Métabolique : hyperglycémie (en raison de la corticothérapie associée), hyperuricémie (syndrome de lyse tumorale rare en raison de la masse tumorale habituellement modérée). (g) Carcinogénèse : risque de second cancer à long terme (leucémies myélomonocytaires, syndromes myélodysplasiques), surtout en association à radiothérapie. (h) Gonadique : stérilité — azoospermie chez l'homme, aménorrhée chez la femme (parfois définitive selon dose cumulée). (i) Pulmonaire : pneumopathie interstitielle rare, pneumocystose (cf. supra). (j) Allergique : réactions d'hypersensibilité (rash, urticaire, anaphylaxie) rares.</w:t>
      </w:r>
    </w:p>
    <w:p>
      <w:r/>
      <w:r>
        <w:rPr>
          <w:b/>
        </w:rPr>
        <w:t>Prévention et Gestion des Effets Indésirables :</w:t>
      </w:r>
      <w:r/>
    </w:p>
    <w:p>
      <w:pPr>
        <w:pStyle w:val="ListBullet"/>
      </w:pPr>
      <w:r>
        <w:t>Mesures Préventives : (1) Surveillance NFS-plaquettes hebdomadaire pendant la phase concomitante radio-témozolomide (75 mg/m²/j pendant 42 jours), puis avant chaque cycle (à J1 et J21) et à J21 de chaque cycle d'entretien. Adaptation de dose selon tolérance hématologique : dose 100 mg/m²/j si PNN 1.0-1.5 G/L ou plaquettes 50-100 G/L, arrêt si PNN &lt; 1.0 G/L ou plaquettes &lt; 50 G/L, reprise à dose réduite (100 mg/m²/j) à récupération (PNN &gt; 1.5 G/L et plaquettes &gt; 100 G/L). (2) Surveillance fonction hépatique (ASAT-ALAT-bilirubine-GGT) avant chaque cycle. (3) Prévention nausea/vomissements par anti-5HT3 (ondansétron 8 mg IV 30 min avant la 1re prise de chaque cycle) + corticoïde (dexaméthasone 8 mg IV) si besoin (level 2). (4) Prophylaxie pneumocystose systématique par cotrimoxazole 400/80 mg 3j/sem pendant la phase concomitante radio-témozolomide (75 mg/m²/j pendant 42 jours) et pendant 1 mois après la fin du traitement (ou jusqu'à CD4 &gt; 200/mm³). Alternative : pentamidine aérosol 300 mg/4 sem en cas de contre-indication au cotrimoxazole. (5) Surveillance lymphocytes CD4 mensuelle pendant traitement. (6) Cryopréservation gamétique pré-thérapeutique systématique (azoospermie, aménorrhée risque). (7) Protection solaire modérée (SPF 30+) en raison de la photosensibilité. (8) Prévention syndrome de lyse tumorale rare (allopurinol si masse tumorale élevée). (9) Vaccinations à jour avant traitement (pneumocoque, grippe, COVID-19) — vaccins vivants contre-indiqués pendant et 6 mois après. (10) Surveillance à long terme (10-15 ans) pour second cancer (NFS annuelle). (11) Prévention de la fatigue : activité physique adaptée, sommeil, soutien psychologique.</w:t>
      </w:r>
    </w:p>
    <w:p>
      <w:pPr>
        <w:pStyle w:val="ListBullet"/>
      </w:pPr>
      <w:r>
        <w:t>Conduite à Tenir : (1) Si neutropénie fébrile (PNN &lt; 0.5 G/L + T° ≥ 38.5 °C) → hospitalisation, hémocultures, antibiothérapie empirique large spectre IV, G-CSF. (2) Si thrombopénie sévère (plaquettes &lt; 25 G/L) → transfusion plaquettaire prophylactique, arrêt transitoire, surveillance hémorragique. (3) Si pneumocystose pulmonaire (toux, dyspnée, fièvre, hypoxémie, infiltrats interstitiels bilatéraux) → cotrimoxazole IV forte dose (15-20 mg/kg/j TMP en 3-4 perfusions), corticothérapie IV si hypoxémie sévère (PaO2 &lt; 70 mmHg), oxygénothérapie, surveillance ICU. (4) Si hépatotoxicité (ASAT-ALAT &gt; 3x LSN, bilirubine &gt; 1.5x LSN) → arrêt transitoire, surveillance hépatique rapprochée, recherche autres causes (virus, médicaments associés). (5) Si réaction cutanée grave (syndrome de Stevens-Johnson, DRESS, syndrome de Lyell) → arrêt définitif, dermato-urgence. (6) Si vomiting persistant malgré antiémétiques → adjonction d'olanzapine 5-10 mg per os J1-J5, ou changement d'anti-5HT3 (palonosétron). (7) Si réaction d'hypersensibilité → arrêt immédiat, antihistaminiques IV, corticoïdes IV, adrénaline si anaphylaxie.</w:t>
      </w:r>
    </w:p>
    <w:p>
      <w:r/>
      <w:r>
        <w:rPr>
          <w:b/>
        </w:rPr>
        <w:t>Interactions Importantes :</w:t>
      </w:r>
      <w:r/>
    </w:p>
    <w:p>
      <w:pPr>
        <w:pStyle w:val="ListBullet"/>
      </w:pPr>
      <w:r>
        <w:t>Témozolomide + Vaccins vivants atténués (BCG, fièvre jaune, ROR, varicelle) : risque de maladie vaccinale généralisée — CI absolue pendant et 6 mois après traitement.</w:t>
      </w:r>
    </w:p>
    <w:p>
      <w:pPr>
        <w:pStyle w:val="ListBullet"/>
      </w:pPr>
      <w:r>
        <w:t>Témozolomide + Anticoagulants oraux (warfarine) : potentialisation de l'anticoagulation (myélosuppression + modification flore intestinale vit K) — surveillance INR.</w:t>
      </w:r>
    </w:p>
    <w:p>
      <w:pPr>
        <w:pStyle w:val="ListBullet"/>
      </w:pPr>
      <w:r>
        <w:t>Témozolomide + Antiagrégants plaquettaires (aspirine, clopidogrel) : risque hémorragique majoré (thrombopénie) — surveillance plaquettes, arrêt transitoire si thrombopénie &lt; 50 G/L.</w:t>
      </w:r>
    </w:p>
    <w:p>
      <w:pPr>
        <w:pStyle w:val="ListBullet"/>
      </w:pPr>
      <w:r>
        <w:t>Témozolomide + Héparines (HBPM, héparine non fractionnée) : risque hémorragique majoré (thrombopénie) — surveillance plaquettes.</w:t>
      </w:r>
    </w:p>
    <w:p>
      <w:pPr>
        <w:pStyle w:val="ListBullet"/>
      </w:pPr>
      <w:r>
        <w:t>Témozolomide + AINS (ibuprofène, kétoprofène) : risque hémorragique majoré (thrombopénie + effets AINS sur plaquettes) — surveillance plaquettes.</w:t>
      </w:r>
    </w:p>
    <w:p>
      <w:pPr>
        <w:pStyle w:val="ListBullet"/>
      </w:pPr>
      <w:r>
        <w:t>Témozolomide + Valproate de sodium : diminution de la biodisponibilité du témozolomide (inhibition de la dégradation enzymatique) — surveillance clinique et adaptation de dose.</w:t>
      </w:r>
    </w:p>
    <w:p>
      <w:pPr>
        <w:pStyle w:val="ListBullet"/>
      </w:pPr>
      <w:r>
        <w:t>Témozolomide + Corticoïdes (dexaméthasone, prednisone) : association fréquente (œdème cérébral) — surveillance glycémie (corticoïde), diminution de la dose de corticoïde pendant la chimiothérapie pour éviter une immunosuppression excessive.</w:t>
      </w:r>
    </w:p>
    <w:p>
      <w:pPr>
        <w:pStyle w:val="ListBullet"/>
      </w:pPr>
      <w:r>
        <w:t>Témozolomide + Phénytoïne : surveillance taux phénytoïnémie (le témozolomide peut modifier la pharmacocinétique de la phénytoïne).</w:t>
      </w:r>
    </w:p>
    <w:p>
      <w:pPr>
        <w:pStyle w:val="ListBullet"/>
      </w:pPr>
      <w:r>
        <w:t>Témozolomide + Cotrimoxazole : risque de myélosuppression additive (le cotrimoxazole en prophylaxie pneumocystose à faible dose 3j/sem est généralement bien toléré, mais surveillance NFS renforcée).</w:t>
      </w:r>
    </w:p>
    <w:p>
      <w:pPr>
        <w:pStyle w:val="ListBullet"/>
      </w:pPr>
      <w:r>
        <w:t>Témozolomide + Autres alkylants (carmustine, lomustine, BCNU) : risque de myélosuppression cumulative, carcinogénèse additive.</w:t>
      </w:r>
    </w:p>
    <w:p>
      <w:pPr>
        <w:pStyle w:val="ListBullet"/>
      </w:pPr>
      <w:r>
        <w:t>Témozolomide + Radiothérapie : synergie (inhibition de la réparation de l'ADN radio-induit) — utilisée en protocole Stupp, mais risque de toxicité hématologique majorée (lymphopénie profonde).</w:t>
      </w:r>
    </w:p>
    <w:p>
      <w:pPr>
        <w:pStyle w:val="ListBullet"/>
      </w:pPr>
      <w:r>
        <w:t>Témozolomide + Capecitabine (protocole CAPTEM) : association synergique dans les tumeurs neuroendocrines, myélosuppression additive — surveillance NFS.</w:t>
      </w:r>
    </w:p>
    <w:p>
      <w:pPr>
        <w:pStyle w:val="ListBullet"/>
      </w:pPr>
      <w:r>
        <w:t>Témozolomide + Inhibiteurs topoisomérase II (anthracyclines, étoposide) : risque de leucémie secondaire majoré.</w:t>
      </w:r>
    </w:p>
    <w:p>
      <w:pPr>
        <w:pStyle w:val="ListBullet"/>
      </w:pPr>
      <w:r>
        <w:t>Témozolomide + Inhibiteurs de la PARP (olaparib, niraparib) : potentialisation de la cytotoxicité (inhibition de la réparation de l'ADN) — protocoles expérimentaux dans le glioblastome MGMT méthylé.</w:t>
      </w:r>
    </w:p>
    <w:p>
      <w:r/>
      <w:r>
        <w:rPr>
          <w:b/>
        </w:rPr>
        <w:t>Grossesse et Allaitement :</w:t>
      </w:r>
      <w:r/>
    </w:p>
    <w:p>
      <w:pPr>
        <w:pStyle w:val="ListBullet"/>
      </w:pPr>
      <w:r>
        <w:t>Grossesse : CI absolue à toutes les phases de la grossesse (CRAT — embryo-létale au 1er trimestre, tératogène et mutagène à toutes les phases — malformations squelettiques, cérébrales, palatines, urogénitales, retards de croissance, avortements spontanés). Le témozolomide est un alkylant puissant avec passage placentaire documenté. Test de grossesse pré-thérapeutique systématique chez toute femme en âge de procréer. Contraception efficace obligatoire pendant et 6 mois après la fin du traitement (les deux partenaires). En cas de cancer cérébral diagnostiqué pendant la grossesse → avis oncologie/obstétrique multidisciplinaire, traitement différé après accouchement si possible (selon le type de tumeur et le terme), ou choix d'un protocole sans témozolomide en 1er ou 2e trimestre. En raison de la majorité des glioblastomes survenant à un âge avancé (médiane 64 ans), la question de la grossesse est rare, mais doit être systématiquement abordée chez la femme jeune avec astrocytome de bas grade ou anaplasique.</w:t>
      </w:r>
    </w:p>
    <w:p>
      <w:pPr>
        <w:pStyle w:val="ListBullet"/>
      </w:pPr>
      <w:r>
        <w:t>Allaitement : CI absolue. Le témozolomide passe dans le lait maternel à des concentrations significatives (en raison de sa liposolubilité modérée et de sa petite taille moléculaire). Risque de myélosuppression, de carcinogénèse, de mutagénicité à long terme chez le nourrisson. Interruption définitive de l'allaitement avant la première cure.</w:t>
      </w:r>
    </w:p>
    <w:p>
      <w:pPr>
        <w:pStyle w:val="ListBullet"/>
      </w:pPr>
      <w:r>
        <w:t>Précisions : Cryopréservation gamétique pré-thérapeutique systématique obligatoire chez l'homme (congélation sperme) et la femme jeune (consultation PMA — préservation ovocytaire ou tissulaire ovarienne) en raison du risque de stérilité (azoospermie chez 30-50 % des hommes après dose cumulée 3000 mg/m², aménorrhée chez 30-50 % des femmes après dose cumulée 3000 mg/m²). Information claire au patient et à son conjoint sur le risque de stérilité après traitement.</w:t>
      </w:r>
    </w:p>
    <w:p>
      <w:r/>
      <w:r>
        <w:rPr>
          <w:b/>
        </w:rPr>
        <w:t>Posologie et Mode d'administration (Standard) :</w:t>
      </w:r>
      <w:r/>
    </w:p>
    <w:p>
      <w:pPr>
        <w:pStyle w:val="ListBullet"/>
      </w:pPr>
      <w:r>
        <w:t>Adulte : (1) Glioblastome multiforme nouvellement diagnostiqué — protocole STUPP : Phase concomitante radio-témozolomide : témozolomide 75 mg/m²/j per os pendant 42 jours concomitants à la radiothérapie externe (60 Gy en 30 fractions de 2 Gy, 5 jours/sem pendant 6 semaines), puis intervalle de 4 semaines (repos), puis 6 cycles d'entretien : témozolomide 150 mg/m²/j J1-J5 per os au 1er cycle, augmentation à 200 mg/m²/j J1-J5 per os dès le 2e cycle si tolérance hématologique acceptable (PNN &gt; 1.5 G/L, plaquettes &gt; 100 G/L à J21 du 1er cycle), cure toutes les 4 semaines × 6 cycles. Dose maximale par cycle 200 mg/m²/j J1-J5. (2) Glioblastome multiforme en rechute ou progression, astrocytome anaplasique ou de bas grade en progression : témozolomide 150-200 mg/m²/j J1-J5 per os, cure toutes les 4 semaines × 6-12 cycles. (3) Mélanome métastatique : témozolomide 150-200 mg/m²/j J1-J5 per os, cure toutes les 4 semaines × 6-12 cycles (aujourd'hui supplanté par l'immunothérapie). (4) Hors AMM — tumeurs neuroendocrines (protocole CAPTEM) : capecitabine 750 mg/m²/12h per os J1-J14 + témozolomide 200 mg/m²/j J10-J15, cure toutes les 4 semaines × 6 cycles.</w:t>
      </w:r>
    </w:p>
    <w:p>
      <w:pPr>
        <w:pStyle w:val="ListBullet"/>
      </w:pPr>
      <w:r>
        <w:t>Enfant : Gliomes pédiatriques (gliome du tronc cérébral, gliome de bas grade en progression) : 75 mg/m²/j per os en continu pendant 12 mois (alternatif au protocole Stupp adapté), ou 150-200 mg/m²/j J1-J5 per os, cure toutes les 4 semaines.</w:t>
      </w:r>
    </w:p>
    <w:p>
      <w:pPr>
        <w:pStyle w:val="ListBullet"/>
      </w:pPr>
      <w:r>
        <w:t>Durée : Variable selon indication — glioblastome (protocole Stupp) : phase concomitante 42 jours + 6 cycles d'entretien (24 semaines) ; astrocytome anaplasique ou de bas grade : 6-12 cycles ; mélanome : 6-12 cycles ; tumeurs neuroendocrines : 6 cycles.</w:t>
      </w:r>
    </w:p>
    <w:p>
      <w:pPr>
        <w:pStyle w:val="ListBullet"/>
      </w:pPr>
      <w:r>
        <w:t>Moment de la prise : (1) Per os en une prise matinale unique à jeun (1 h avant ou 2 h après repas — la biodisponibilité est diminuée par alimentation), à heure fixe (préférable le matin en raison de la fatigue et de la tolérance hématologique). (2) Prise quotidienne pendant 5 jours consécutifs (J1-J5), à débuter à J1 du cycle (cycle = 28 jours). (3) Hydratation orale abondante (1.5-2 L/j). (4) Prévention nausea/vomissements par anti-5HT3 (ondansétron 8 mg IV 30 min avant la 1re prise de chaque cycle). (5) Prophylaxie pneumocystose par cotrimoxazole 400/80 mg 3j/sem pendant la phase concomitante radio-témozolomide et 1 mois après fin de traitement. (6) Administration en ambulatoire après initiation hospitalière (consultation oncologie médicale), surveillance NFS-plaquettes hebdomadaire pendant la phase concomitante, puis avant chaque cycle (à J1 et J21).</w:t>
      </w:r>
    </w:p>
    <w:p>
      <w:r/>
      <w:r>
        <w:rPr>
          <w:b/>
        </w:rPr>
        <w:t>Arbitrage et Bénéfices des Formes Galéniques :</w:t>
      </w:r>
      <w:r/>
    </w:p>
    <w:p>
      <w:r>
        <w:t>Le témozolomide est disponible en Algérie sous forme orale (gélules à 20 mg, 100 mg et 250 mg) chez trois laboratoires concurrents : HIKMA PHARMA ALGERIA (TEGOZOL), BIOPHARM (TEMOZOLOMIDE BIOPHARM), et DEMOCEDES PHARMA ALGERIE (TEMOZOLOMIDE DEMOCEDES). Les formes CIPLA (TEMOSIDE-20, TEMOSIDE 100, TEMOSIDE 250) sont en état NON RENOUVELABLE ou RETIRÉ du marché algérien. Pas de forme IV disponible en Algérie. Avantages de la forme orale : biodisponibilité proche de 100 % (non affectée par alimentation lactée, contrairement au melphalan), autonomie du patient, traitement ambulatoire possible (après initiation hospitalière), qualité de vie supérieure, économie de coûts (pas d'hospitalisation), schéma 5 jours/28 jours simple. Inconvénients : observance patient cruciale (comptage des gélules obligatoire), surveillance hebdomadaire NFS pendant la phase concomitante radio-témozolomide, nécessité de doses précises (calcul selon surface corporelle — les 3 dosages 20/100/250 mg permettent une adaptation fine). L'arbitrage entre les dosages se fait selon la dose quotidienne à administrer (calcul mg/m² × surface corporelle) : par exemple, pour un patient de 1.8 m² à 200 mg/m²/j = 360 mg/j → 1 gélule 250 mg + 1 gélule 100 mg + 1 gélule 20 mg = 370 mg (arrondi). Le pharmacien d'officine joue un rôle clé dans la vérification du calcul de dose, l'observance, la surveillance des effets indésirables et l'information du patient.</w:t>
      </w:r>
    </w:p>
    <w:p>
      <w:r/>
      <w:r>
        <w:rPr>
          <w:b/>
        </w:rPr>
        <w:t>Instructions et Conseils au Patient :</w:t>
      </w:r>
      <w:r/>
    </w:p>
    <w:p>
      <w:pPr>
        <w:pStyle w:val="ListBullet"/>
      </w:pPr>
      <w:r>
        <w:t>Communication au comptoir : (1) Information claire au patient : il s'agit d'un médicament anticancéreux oral à prendre à jeun le matin (1 h avant petit-déjeuner ou 2 h après), en une prise unique, pendant 5 jours consécutifs (J1-J5) par cycle de 28 jours. (2) Hydratation orale abondante (1.5-2 L/j). (3) Surveillance NFS-plaquettes hebdomadaire pendant la phase concomitante radio-témozolomide (42 jours), puis avant chaque cycle d'entretien (à J1 et J21). (4) Prévenir le patient des signes d'alerte à signaler immédiatement : fièvre (≥ 38.5 °C — urgence infectieuse), saignements (gingivorragies, épistaxis, pétéchies — urgence hémorragique), fatigue intense (aplasie), ictère (atteinte hépatique), toux et dyspnée (pneumocystose possible), éruption cutanée (allergie). (5) Prévenir nausea/vomissements modérés (antiémétique si besoin), fatigue très fréquente (60-80 %), prophylaxie pneumocystose par cotrimoxazole 3j/sem pendant la phase concomitante radio-témozolomide. (6) Prévenir alopécie modérée (réversible), risque de second cancer à long terme (surveillance hématologique prolongée 10-15 ans), stérilité (cryopréservation gamétique préalable obligatoire). (7) Contraception obligatoire pendant et 6 mois après traitement (les deux partenaires). (8) Éviter vaccins vivants atténués pendant et 6 mois après traitement. (9) Éviter la consommation d'alcool (hépatotoxicité additive). (10) Coordonnées du service oncologue référent et de l'urgence hospitalière. (11) Conservation à T° &lt; 25 °C, à l'abri de l'humidité et de la lumière, hors de portée des enfants. (12) Tenir un carnet de prise (J1-J5 par cycle) et un carnet de surveillance NFS.</w:t>
      </w:r>
    </w:p>
    <w:p>
      <w:pPr>
        <w:pStyle w:val="ListBullet"/>
      </w:pPr>
      <w:r>
        <w:t>Mode d'utilisation pratique : (1) Gélules à avaler entières avec un grand verre d'eau, à heure fixe le matin à jeun (1 h avant petit-déjeuner ou 2 h après). (2) Ne pas écraser, croquer ou ouvrir les gélules (risque d'irritation gastrique, perte d'efficacité, contact cutané avec cytotoxique pour manipulateur). (3) En cas d'oubli &lt; 12 h → prise immédiate ; oubli &gt; 12 h → ne pas doubler la dose suivante, signaler au service oncologue référent. (4) En cas de vomissement &lt; 1 h → consulter le service oncologue référent (ne pas reprendre automatiquement). (5) Hydratation orale abondante (1.5-2 L/j). (6) Éviter jus de pamplemousse (inhibition CYP3A4). (7) Éviter produits lactés dans les 2 h autour de la prise (diminution de la biodisponibilité). (8) Prévention nausea/vomissements par anti-5HT3 30 min avant la 1re prise de chaque cycle. (9) Prophylaxie pneumocystose par cotrimoxazole 3j/sem pendant la phase concomitante radio-témozolomide et 1 mois après. (10) Élimination des emballages souillés (boîte, blister) selon circuit cytotoxique si chimiothérapie — sinon poubelle ménagère pour emballages propres. (11) Manipulation à mains nues déconseillée (port de gants recommandé si personne enceinte manipule).</w:t>
      </w:r>
    </w:p>
    <w:p>
      <w:r/>
      <w:r>
        <w:rPr>
          <w:b/>
        </w:rPr>
        <w:t>Notes, Règles d'Or &amp; Pièges au Comptoir :</w:t>
      </w:r>
      <w:r/>
    </w:p>
    <w:p>
      <w:pPr>
        <w:pStyle w:val="ListBullet"/>
      </w:pPr>
      <w:r>
        <w:t>Piège classique : (1) Calcul de dose selon surface corporelle — nécessité de combiner plusieurs dosages (20/100/250 mg) pour atteindre la dose quotidienne. Vérification systématique par 2 préparateurs (ou par le patient et son entourage). (2) Schéma 5 jours/28 jours — importance de l'observance rigoureuse (J1-J5 par cycle de 28 jours), ne pas prolonger au-delà de J5. (3) Lymphopénie CD4 profonde (30-50 % des patients) — prophylaxie pneumocystose systématique par cotrimoxazole 3j/sem pendant la phase concomitante radio-témozolomide et 1 mois après. (4) Biodisponibilité diminuée par alimentation lactée (calcium chélation) — prise à jeun obligatoire. (5) Myélosuppression retardée (nadir J21-28) — surveillance prolongée 4 semaines après chaque cycle, intervalle de 28 jours obligatoire entre cycles. (6) Hépatotoxicité possible — surveillance ASAT-ALAT-bilirubine avant chaque cycle. (7) Vaccins vivants contre-indiqués pendant et 6 mois après traitement. (8) Patiente femme enceinte à risque tératogène majeur — contraception stricte. (9) Risque de second cancer à long terme (leucémies myélomonocytaires) — surveillance hématologique prolongée 10-15 ans (NFS annuelle). (10) Réactivité croisée avec la dacarbazine (structure MTIC commune) — allergie à l'un = CI à l'autre. (11) Substitution entre TEGOZOL, TEMOZOLOMIDE BIOPHARM, TEMOZOLOMIDE DEMOCEDES : bioéquivalence démontrée, surveillance identique. (12) Formes CIPLA (TEMOSIDE) en état NON RENOUVELABLE — ne plus délivrer.</w:t>
      </w:r>
    </w:p>
    <w:p>
      <w:pPr>
        <w:pStyle w:val="ListBullet"/>
      </w:pPr>
      <w:r>
        <w:t>Règle de prise : Per os matinale unique à jeun, hydratation orale 2 L/j, surveillance NFS-plaquettes hebdomadaire pendant la phase concomitante radio-témozolomide puis avant chaque cycle (J1 et J21), prophylaxie pneumocystose par cotrimoxazole 3j/sem, contraception obligatoire 6 mois post-traitement, surveillance long terme NFS annuelle pour second cancer.</w:t>
      </w:r>
    </w:p>
    <w:p>
      <w:pPr>
        <w:pStyle w:val="ListBullet"/>
      </w:pPr>
      <w:r>
        <w:t>Préparation et Conservation : Gélules à 20 mg, 100 mg, 250 mg, conservation 3 ans à T° &lt; 25 °C, à l'abri de l'humidité et de la lumière, hors de portée des enfants. Ne pas écraser ni croquer. Manipulation avec gants recommandée si personne enceinte.</w:t>
      </w:r>
    </w:p>
    <w:p>
      <w:pPr>
        <w:pStyle w:val="ListBullet"/>
      </w:pPr>
      <w:r>
        <w:t>Piège du surdosage / Substitution : (1) Confusion témozolomide ↔ dacarbazine (structures proches, mécanisme commun par MTIC, mais voies d'administration et indications différentes) — vérification systématique de la DCI. (2) Confusion entre dosages (20 mg ↔ 100 mg ↔ 250 mg) — risque de surdosage ou sous-dosage majeur, vérification systématique par 2 préparateurs. (3) Substitution TEGOZOL ↔ TEMOZOLOMIDE BIOPHARM ↔ TEMOZOLOMIDE DEMOCEDES : bioéquivalence démontrée, surveillance identique. (4) Formes CIPLA (TEMOSIDE) en état NON RENOUVELABLE ou RETIRÉ — ne plus délivrer. (5) Surdosage accidentel (mauvais comptage des gélules) — rappeler au patient de tenir un carnet de prise. (6) Manipulation à risque pour le personnel soignant (femmes enceintes en particulier) — port de gants obligatoire pour la dispensation. (7) Risque de second cancer à long terme (leucémies myélomonocytaires, syndromes myélodysplasiques) — surveillance hématologique prolongée 10-15 ans (NFS annuelle). (8) Réactivité croisée avec la dacarbazine — allergie à l'un = CI à l'autre.</w:t>
      </w:r>
    </w:p>
    <w:p>
      <w:pPr>
        <w:pStyle w:val="Heading3"/>
      </w:pPr>
      <w:r>
        <w:t>9. DCI : Cisplatine (Seule)</w:t>
      </w:r>
    </w:p>
    <w:p>
      <w:r/>
      <w:r>
        <w:rPr>
          <w:b/>
        </w:rPr>
        <w:t>Liste des Catégories :</w:t>
      </w:r>
      <w:r>
        <w:t xml:space="preserve"> Cytotoxique — Antinéoplasique — Agent alkylant de platine — Sel de platine de première génération — Complexe de coordination platine-Pt(II) — Liste I — Médicament à prescription hospitalière stricte.</w:t>
      </w:r>
    </w:p>
    <w:p>
      <w:r>
        <w:t>Le cisplatine (cis-diamminedichloroplatine II, CDDP) est le plus ancien et le plus puissant des sels de platine, découvert en 1965 par Barnett Rosenberg (Michigan State University). Premier sel commercialisé en 1978, il a révolutionné le traitement des cancers du testicule (taux de guérison passant de 5-10 % à 95 %). Sa néphrotoxicité dose-cumulative-dépendante, son ototoxicité et son émétisation level 4 en font une molécule exigeante mais irremplaçable. Il forme des adduits de platine intra-brins 1,2-d(GpG) au niveau de l'ADN, lésions cytotoxiques bloquant la réplication et déclenchant l'apoptose.</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CYTOPLATIN-10 (R)</w:t>
            </w:r>
          </w:p>
        </w:tc>
        <w:tc>
          <w:tcPr>
            <w:tcW w:type="dxa" w:w="1559"/>
          </w:tcPr>
          <w:p>
            <w:r>
              <w:rPr>
                <w:sz w:val="20"/>
              </w:rPr>
              <w:t>Cipla Limited</w:t>
            </w:r>
          </w:p>
        </w:tc>
        <w:tc>
          <w:tcPr>
            <w:tcW w:type="dxa" w:w="1559"/>
          </w:tcPr>
          <w:p>
            <w:r>
              <w:rPr>
                <w:sz w:val="20"/>
              </w:rPr>
              <w:t>Solution injectable pour perfusion IV 0.5 mg/mL (10 mg/20 mL)</w:t>
            </w:r>
          </w:p>
        </w:tc>
        <w:tc>
          <w:tcPr>
            <w:tcW w:type="dxa" w:w="1559"/>
          </w:tcPr>
          <w:p>
            <w:r>
              <w:rPr>
                <w:sz w:val="20"/>
              </w:rPr>
              <w:t>B/1 flacon 20 mL</w:t>
            </w:r>
          </w:p>
        </w:tc>
        <w:tc>
          <w:tcPr>
            <w:tcW w:type="dxa" w:w="1559"/>
          </w:tcPr>
          <w:p>
            <w:r>
              <w:rPr>
                <w:sz w:val="20"/>
              </w:rPr>
              <w:t>Liste I</w:t>
            </w:r>
          </w:p>
        </w:tc>
        <w:tc>
          <w:tcPr>
            <w:tcW w:type="dxa" w:w="1559"/>
          </w:tcPr>
          <w:p>
            <w:r>
              <w:rPr>
                <w:sz w:val="20"/>
              </w:rPr>
              <w:t>Non Renouvelable</w:t>
            </w:r>
          </w:p>
        </w:tc>
      </w:tr>
      <w:tr>
        <w:tc>
          <w:tcPr>
            <w:tcW w:type="dxa" w:w="1559"/>
          </w:tcPr>
          <w:p>
            <w:r>
              <w:rPr>
                <w:sz w:val="20"/>
              </w:rPr>
              <w:t>CYTOPLATIN-50 (R)</w:t>
            </w:r>
          </w:p>
        </w:tc>
        <w:tc>
          <w:tcPr>
            <w:tcW w:type="dxa" w:w="1559"/>
          </w:tcPr>
          <w:p>
            <w:r>
              <w:rPr>
                <w:sz w:val="20"/>
              </w:rPr>
              <w:t>Cipla Limited</w:t>
            </w:r>
          </w:p>
        </w:tc>
        <w:tc>
          <w:tcPr>
            <w:tcW w:type="dxa" w:w="1559"/>
          </w:tcPr>
          <w:p>
            <w:r>
              <w:rPr>
                <w:sz w:val="20"/>
              </w:rPr>
              <w:t>Solution injectable pour perfusion IV 1 mg/mL (50 mg/50 mL)</w:t>
            </w:r>
          </w:p>
        </w:tc>
        <w:tc>
          <w:tcPr>
            <w:tcW w:type="dxa" w:w="1559"/>
          </w:tcPr>
          <w:p>
            <w:r>
              <w:rPr>
                <w:sz w:val="20"/>
              </w:rPr>
              <w:t>B/1 flacon 50 mL</w:t>
            </w:r>
          </w:p>
        </w:tc>
        <w:tc>
          <w:tcPr>
            <w:tcW w:type="dxa" w:w="1559"/>
          </w:tcPr>
          <w:p>
            <w:r>
              <w:rPr>
                <w:sz w:val="20"/>
              </w:rPr>
              <w:t>Liste I</w:t>
            </w:r>
          </w:p>
        </w:tc>
        <w:tc>
          <w:tcPr>
            <w:tcW w:type="dxa" w:w="1559"/>
          </w:tcPr>
          <w:p>
            <w:r>
              <w:rPr>
                <w:sz w:val="20"/>
              </w:rPr>
              <w:t>Non Renouvelable</w:t>
            </w:r>
          </w:p>
        </w:tc>
      </w:tr>
      <w:tr>
        <w:tc>
          <w:tcPr>
            <w:tcW w:type="dxa" w:w="1559"/>
          </w:tcPr>
          <w:p>
            <w:r>
              <w:rPr>
                <w:sz w:val="20"/>
              </w:rPr>
              <w:t>CISPLATINE MYLAN (R)</w:t>
            </w:r>
          </w:p>
        </w:tc>
        <w:tc>
          <w:tcPr>
            <w:tcW w:type="dxa" w:w="1559"/>
          </w:tcPr>
          <w:p>
            <w:r>
              <w:rPr>
                <w:sz w:val="20"/>
              </w:rPr>
              <w:t>Mylan</w:t>
            </w:r>
          </w:p>
        </w:tc>
        <w:tc>
          <w:tcPr>
            <w:tcW w:type="dxa" w:w="1559"/>
          </w:tcPr>
          <w:p>
            <w:r>
              <w:rPr>
                <w:sz w:val="20"/>
              </w:rPr>
              <w:t>Solution injectable à diluer pour perfusion IV 1 mg/mL (10 mg/10 mL - 25 mg/25 mL - 50 mg/50 mL)</w:t>
            </w:r>
          </w:p>
        </w:tc>
        <w:tc>
          <w:tcPr>
            <w:tcW w:type="dxa" w:w="1559"/>
          </w:tcPr>
          <w:p>
            <w:r>
              <w:rPr>
                <w:sz w:val="20"/>
              </w:rPr>
              <w:t>Flacon 10 mL - 25 mL - 50 mL</w:t>
            </w:r>
          </w:p>
        </w:tc>
        <w:tc>
          <w:tcPr>
            <w:tcW w:type="dxa" w:w="1559"/>
          </w:tcPr>
          <w:p>
            <w:r>
              <w:rPr>
                <w:sz w:val="20"/>
              </w:rPr>
              <w:t>Liste I</w:t>
            </w:r>
          </w:p>
        </w:tc>
        <w:tc>
          <w:tcPr>
            <w:tcW w:type="dxa" w:w="1559"/>
          </w:tcPr>
          <w:p>
            <w:r>
              <w:rPr>
                <w:sz w:val="20"/>
              </w:rPr>
              <w:t>Non Renouvelable</w:t>
            </w:r>
          </w:p>
        </w:tc>
      </w:tr>
      <w:tr>
        <w:tc>
          <w:tcPr>
            <w:tcW w:type="dxa" w:w="1559"/>
          </w:tcPr>
          <w:p>
            <w:r>
              <w:rPr>
                <w:sz w:val="20"/>
              </w:rPr>
              <w:t>CISPLATIN (R)</w:t>
            </w:r>
          </w:p>
        </w:tc>
        <w:tc>
          <w:tcPr>
            <w:tcW w:type="dxa" w:w="1559"/>
          </w:tcPr>
          <w:p>
            <w:r>
              <w:rPr>
                <w:sz w:val="20"/>
              </w:rPr>
              <w:t>Arab Pharmaceutical Manufacturing</w:t>
            </w:r>
          </w:p>
        </w:tc>
        <w:tc>
          <w:tcPr>
            <w:tcW w:type="dxa" w:w="1559"/>
          </w:tcPr>
          <w:p>
            <w:r>
              <w:rPr>
                <w:sz w:val="20"/>
              </w:rPr>
              <w:t>Poudre pour solution injectable 25 mg/50 mL</w:t>
            </w:r>
          </w:p>
        </w:tc>
        <w:tc>
          <w:tcPr>
            <w:tcW w:type="dxa" w:w="1559"/>
          </w:tcPr>
          <w:p>
            <w:r>
              <w:rPr>
                <w:sz w:val="20"/>
              </w:rPr>
              <w:t>Flacon 50 mL</w:t>
            </w:r>
          </w:p>
        </w:tc>
        <w:tc>
          <w:tcPr>
            <w:tcW w:type="dxa" w:w="1559"/>
          </w:tcPr>
          <w:p>
            <w:r>
              <w:rPr>
                <w:sz w:val="20"/>
              </w:rPr>
              <w:t>Liste I</w:t>
            </w:r>
          </w:p>
        </w:tc>
        <w:tc>
          <w:tcPr>
            <w:tcW w:type="dxa" w:w="1559"/>
          </w:tcPr>
          <w:p>
            <w:r>
              <w:rPr>
                <w:sz w:val="20"/>
              </w:rPr>
              <w:t>Retiré</w:t>
            </w:r>
          </w:p>
        </w:tc>
      </w:tr>
      <w:tr>
        <w:tc>
          <w:tcPr>
            <w:tcW w:type="dxa" w:w="1559"/>
          </w:tcPr>
          <w:p>
            <w:r>
              <w:rPr>
                <w:sz w:val="20"/>
              </w:rPr>
              <w:t>CISPLATYL (R)</w:t>
            </w:r>
          </w:p>
        </w:tc>
        <w:tc>
          <w:tcPr>
            <w:tcW w:type="dxa" w:w="1559"/>
          </w:tcPr>
          <w:p>
            <w:r>
              <w:rPr>
                <w:sz w:val="20"/>
              </w:rPr>
              <w:t>Rhône Poulenc Rorer</w:t>
            </w:r>
          </w:p>
        </w:tc>
        <w:tc>
          <w:tcPr>
            <w:tcW w:type="dxa" w:w="1559"/>
          </w:tcPr>
          <w:p>
            <w:r>
              <w:rPr>
                <w:sz w:val="20"/>
              </w:rPr>
              <w:t>Lyophilisat et solvant pour solution injectable 25 mg/flacon (25 mg/25 mL)</w:t>
            </w:r>
          </w:p>
        </w:tc>
        <w:tc>
          <w:tcPr>
            <w:tcW w:type="dxa" w:w="1559"/>
          </w:tcPr>
          <w:p>
            <w:r>
              <w:rPr>
                <w:sz w:val="20"/>
              </w:rPr>
              <w:t>B/1 flacon poudre + 1 ampoule solvant 25 mL</w:t>
            </w:r>
          </w:p>
        </w:tc>
        <w:tc>
          <w:tcPr>
            <w:tcW w:type="dxa" w:w="1559"/>
          </w:tcPr>
          <w:p>
            <w:r>
              <w:rPr>
                <w:sz w:val="20"/>
              </w:rPr>
              <w:t>Liste I</w:t>
            </w:r>
          </w:p>
        </w:tc>
        <w:tc>
          <w:tcPr>
            <w:tcW w:type="dxa" w:w="1559"/>
          </w:tcPr>
          <w:p>
            <w:r>
              <w:rPr>
                <w:sz w:val="20"/>
              </w:rPr>
              <w:t>Retiré</w:t>
            </w:r>
          </w:p>
        </w:tc>
      </w:tr>
      <w:tr>
        <w:tc>
          <w:tcPr>
            <w:tcW w:type="dxa" w:w="1559"/>
          </w:tcPr>
          <w:p>
            <w:r>
              <w:rPr>
                <w:sz w:val="20"/>
              </w:rPr>
              <w:t>BLASTOLEM (R)</w:t>
            </w:r>
          </w:p>
        </w:tc>
        <w:tc>
          <w:tcPr>
            <w:tcW w:type="dxa" w:w="1559"/>
          </w:tcPr>
          <w:p>
            <w:r>
              <w:rPr>
                <w:sz w:val="20"/>
              </w:rPr>
              <w:t>Lemery SA de CV</w:t>
            </w:r>
          </w:p>
        </w:tc>
        <w:tc>
          <w:tcPr>
            <w:tcW w:type="dxa" w:w="1559"/>
          </w:tcPr>
          <w:p>
            <w:r>
              <w:rPr>
                <w:sz w:val="20"/>
              </w:rPr>
              <w:t>Solution injectable 25 mg/25 mL</w:t>
            </w:r>
          </w:p>
        </w:tc>
        <w:tc>
          <w:tcPr>
            <w:tcW w:type="dxa" w:w="1559"/>
          </w:tcPr>
          <w:p>
            <w:r>
              <w:rPr>
                <w:sz w:val="20"/>
              </w:rPr>
              <w:t>B/1 flacon 25 mL</w:t>
            </w:r>
          </w:p>
        </w:tc>
        <w:tc>
          <w:tcPr>
            <w:tcW w:type="dxa" w:w="1559"/>
          </w:tcPr>
          <w:p>
            <w:r>
              <w:rPr>
                <w:sz w:val="20"/>
              </w:rPr>
              <w:t>Liste I</w:t>
            </w:r>
          </w:p>
        </w:tc>
        <w:tc>
          <w:tcPr>
            <w:tcW w:type="dxa" w:w="1559"/>
          </w:tcPr>
          <w:p>
            <w:r>
              <w:rPr>
                <w:sz w:val="20"/>
              </w:rPr>
              <w:t>Retiré</w:t>
            </w:r>
          </w:p>
        </w:tc>
      </w:tr>
      <w:tr>
        <w:tc>
          <w:tcPr>
            <w:tcW w:type="dxa" w:w="1559"/>
          </w:tcPr>
          <w:p>
            <w:r>
              <w:rPr>
                <w:sz w:val="20"/>
              </w:rPr>
              <w:t>CISPLATIN EBEWE (R)</w:t>
            </w:r>
          </w:p>
        </w:tc>
        <w:tc>
          <w:tcPr>
            <w:tcW w:type="dxa" w:w="1559"/>
          </w:tcPr>
          <w:p>
            <w:r>
              <w:rPr>
                <w:sz w:val="20"/>
              </w:rPr>
              <w:t>Ebewe Pharma Ges mbh Nfg KG</w:t>
            </w:r>
          </w:p>
        </w:tc>
        <w:tc>
          <w:tcPr>
            <w:tcW w:type="dxa" w:w="1559"/>
          </w:tcPr>
          <w:p>
            <w:r>
              <w:rPr>
                <w:sz w:val="20"/>
              </w:rPr>
              <w:t>Concentré pour solution injectable pour perfusion IV 0.5 mg/mL (25 mg/50 mL) - (50 mg/100 mL)</w:t>
            </w:r>
          </w:p>
        </w:tc>
        <w:tc>
          <w:tcPr>
            <w:tcW w:type="dxa" w:w="1559"/>
          </w:tcPr>
          <w:p>
            <w:r>
              <w:rPr>
                <w:sz w:val="20"/>
              </w:rPr>
              <w:t>B/1 flacon 50 mL - 100 mL</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Sel de platine de première génération (complexe de coordination platine(II) carré plan — cis-[Pt(NH3)2Cl2]), pseudo-alkylant bifonctionnel, cycle-non-spécifique (actif sur cellules en G0).</w:t>
      </w:r>
    </w:p>
    <w:p>
      <w:pPr>
        <w:pStyle w:val="ListBullet"/>
      </w:pPr>
      <w:r>
        <w:t>Mécanisme d'action : Le cisplatine est un complexe de coordination platine(II) carré plan avec deux groupes ammine (NH3) en position cis et deux groupes chlorure. En milieu extracellulaire riche en chlorure (~100 mM), la structure reste neutre et stable. En pénétrant dans la cellule, où la concentration en chlorure est faible (~4 mM), les chlorures sont remplacés par des molécules d'eau, formant un complexe [Pt(NH3)2(H2O)2]2+ cationique hautement électrophile. Ce complexe réagit avec les groupes nucléophiles de l'ADN, en particulier la N7 de la guanine, formant des adduits de platine intra-brins (intrastrand cross-links, 90 % des lésions — principalement 1,2-d(GpG) et 1,2-d(ApG), accessoirement 1,3-d(GpXpG)) et, à un moindre degré, des adduits inter-brins (interstrand cross-links, 5-10 %) et des adduits ADN-protéines. Ces adduits déforment l'ADN (cintrage de 30-50° du double hélice), bloquent la réplication et la transcription, et déclenchent l'apoptose par activation de p53, de la voie intrinsèque mitochondriale (cytochrome c, caspase 9) et de la voie extrinsèque (FAS, caspase 8). La réparation des adduits de platine se fait par le système NER (nucleotide excision repair) — d'où la résistance accrue des tumeurs à NER augmentée (test ERCC1). Le cisplatine est cycle-non-spécifique mais son efficacité est maximale sur cellules en phase S. La cytotoxicité est concentration-dépendante (contrairement aux antimétabolites temps-dépendants). Le cisplatine ne traverse pas significativement la barrière hémato-encéphalique (BHE) — d'où son utilisation limitée dans les tumeurs cérébrales.</w:t>
      </w:r>
    </w:p>
    <w:p>
      <w:r/>
      <w:r>
        <w:rPr>
          <w:b/>
        </w:rPr>
        <w:t>Profil Pharmacologique :</w:t>
      </w:r>
      <w:r/>
    </w:p>
    <w:p>
      <w:pPr>
        <w:pStyle w:val="ListBullet"/>
      </w:pPr>
      <w:r>
        <w:t>Indications : (1) Cancer du testicule — protocole BEP (Bléomycine, Etoposide, Cisplatine) en 1re ligne métastatique ou adjuvant, protocole EP (Etoposide, Cisplatine) si bléomycine contre-indiquée, protocole TIP (Paclitaxel, Ifosfamide, Cisplatine) en rechute. Taux de guérison historique de 5-10 % (avant cisplatine) à 95 % (avec cisplatine) — pilier du traitement curatif. (2) Cancer de l'ovaire — protocole carboplatine-paclitaxel en 1re ligne (cisplatine aujourd'hui supplanté par carboplatine en raison de la tolérance), mais cisplatine utilisé en 2e ligne ou en protocole IP (intraperitoneal). (3) Cancer du poumon non à petites cellules (PCNSCL) — protocole cisplatine-pémetrexed (non épidermoïde), cisplatine-gemcitabine (épidermoïde), cisplatine-docétaxel (2e ligne). (4) Cancer du poumon à petites cellules (PCPC) — protocole cisplatine-étoposide (protocole EP) en 1re ligne. (5) Cancer de la vessie — protocole GC (gemcitabine, cisplatine) en 1re ligne métastatique, protocole MVAC (methotrexate, vinblastine, adriamycine, cisplatine) historique, protocole dose-dense MVAC. (6) Cancer de la tête et du cou — protocole TPF (docetaxel, cisplatine, 5-FU) en induction, cisplatine en perfusion hebdomadaire concomitante à la radiothérapie. (7) Cancer de l'estomac — protocole EOX (épirubicine, oxaliplatine, capecitabine) ou DCF (docetaxel, cisplatine, 5-FU). (8) Cancer du col utérin — protocole cisplatine-paclitaxel en 1re ligne métastatique ou en perfusion hebdomadaire concomitante à la radiothérapie. (9) Cancer de l'oesophage — protocole cisplatine-5FU ou cisplatine-paclitaxel. (10) Ostéosarcome (protocole MAP — methotrexate haute dose, adriamycine, cisplatine). (11) Sarcomes des tissus mous (protocole AIM, MAID). (12) Hors AMM — mésothéliome pleural (protocole cisplatine-pémetrexed), cholangiocarcinome.</w:t>
      </w:r>
    </w:p>
    <w:p>
      <w:pPr>
        <w:pStyle w:val="ListBullet"/>
      </w:pPr>
      <w:r>
        <w:t>Contre-indications : Hypersensibilité au cisplatine ou aux autres sels de platine (carboplatine, oxaliplatine) ou aux excipients ; myélosuppression sévère pré-existante (sauf si le but recherché est l'aplasie en conditionnement) ; insuffisance rénale pré-existante (ClCr &lt; 60 mL/min — contre-indication relative, à discuter) ; audition altérée pré-existante (surdité, hypoacousie) ; neuropathie périphérique pré-existante ; grossesse et allaitement (CI absolue — tératogène, mutagène) ; infection évolutive non contrôlée ; déshydratation ; hydronéphrose ; vaccination vivante atténuée contemporaine.</w:t>
      </w:r>
    </w:p>
    <w:p>
      <w:pPr>
        <w:pStyle w:val="ListBullet"/>
      </w:pPr>
      <w:r>
        <w:t>Effets Indésirables : (a) Rénal : néphrotoxicité tubulaire dose-cumulative-dépendante — lésion tubulo-interstitielle avec nécrose tubulaire aiguë, syndrome de Fanconi (hypokaliémie, hypomagnésémie, hypocalcémie, hyperuricémie, acidose tubulaire), protéinurie tubulaire, hématurie microscopique. Incidence 30-50 % à doses cumulées &gt; 600-700 mg/m². Prévention systématique par hydratation IV abondante (3 L/m²/24 h avant, pendant et 24 h après perfusion) + diurèse forcée (mannitol 10-20 g IV ou furosémide 20 mg IV après hydratation). Surveillance créatinine, ionogramme (K, Mg, Ca, PO4) avant chaque cure. (b) Auditif : ototoxicité cumulative — atteinte des cellules ciliées externes de la cochlée, surdité de perception des hautes fréquences (4000-8000 Hz), acouphènes. Incidence 30-60 % à doses cumulées &gt; 600 mg/m², plus fréquente chez enfant et sujet âgé. Surveillance audiométrie tonale (hautes fréquences) avant traitement puis toutes les 2 cures. (c) Neurologique : neurotoxicité périphérique sensitive dose-cumulative — neuropathie sensitive distale (extrémités, stocking-glove), paresthésies, dysesthésies, troubles proprioceptifs (Lhermitte sign — décharge électrique dans le dos à la flexion du cou). Incidence 30-50 % à doses cumulées &gt; 300-500 mg/m², parfois irréversible. Surveillance neurologique avant chaque cure, arrêt ou réduction si neurotoxicité grade 2-3. (d) Digestif : nausées/vomissements SÉVÈRES (level 4 — émétisante majeure, parmi les plus émétisantes avec la dacarbazine), prévention obligatoire par anti-5HT3 (ondansétron 8 mg IV) + corticoïde (dexaméthasone 20 mg IV) ± aprépitant (125 mg J1) ± olanzapine (5-10 mg J1-J4). Mucite, anorexie, diarrhée, hépatotoxicité (élévation transaminases), pancréatite rare. (e) Hématologique : myélosuppression modérée — nadir leucopénie à 10-14 jours, thrombopénie à 14-21 jours, anémie (souvent cumulative, nécessitant transfusions ou ESA). (f) Électrolytique : hypomagnésémie (quasi constante — supplémentation IV systématique MgSO4 1-2 g/24h), hypokaliémie, hypocalcémie, hyponatrémie (SIADH possible). (g) Veineux : irritation veineuse locale, nécrose en cas d'extravasation (la solution est hypertonique, à diluer dans NaCl 0.9 % EXCLUSIVEMENT — pas de G5%). (h) Cutané : rash, hypersensibilité (anaphylaxie rare après plusieurs cures), alopécie modérée. (i) Cardiologique : troubles du rythme (en rapport avec troubles électrolytiques), insuffisance cardiaque rare, infarctus myocardique rare. (j) Carcinogénèse : risque de leucémie secondaire à long terme (surtout en association à radiothérapie). (k) Gonadique : stérilité — azoospermie chez l'homme (souvent définitive, à doses cumulées &gt; 400 mg/m²), aménorrhée chez la femme (parfois définitive). (l) Métabolique : syndrome de lyse tumorale en cas de masse tumorale élevée. (m) Pulmonaire : pneumopathie interstitielle rare, fibrose pulmonaire. (n) Ophtalmologique : névrite optique rare, trouble vision des couleurs.</w:t>
      </w:r>
    </w:p>
    <w:p>
      <w:r/>
      <w:r>
        <w:rPr>
          <w:b/>
        </w:rPr>
        <w:t>Prévention et Gestion des Effets Indésirables :</w:t>
      </w:r>
      <w:r/>
    </w:p>
    <w:p>
      <w:pPr>
        <w:pStyle w:val="ListBullet"/>
      </w:pPr>
      <w:r>
        <w:t>Mesures Préventives : (1) Hydratation IV abondante systématique — 3 L/m²/24 h (ou 1.5 L/m²/12 h avant et 12 h après perfusion) en NaCl 0.9 % + KCl 20-40 mEq/L + MgSO4 1-2 g/L, objectif diurèse &gt; 100 mL/h. (2) Diurèse forcée par mannitol 10-20 g IV (250 mL mannitol 10 % en 30 min avant cisplatine) ou furosémide 20 mg IV après hydratation (si cardiaque). (3) Surveillance créatinine, ionogramme (K, Mg, Ca, PO4, Na) avant chaque cure, à J2-J3 post-cure, et hebdomadaire pendant cures. (4) Supplémentation magnésienne IV systématique (MgSO4 1-2 g/24 h) en cas d'hypomagnésémie. (5) Surveillance audiométrie tonale (hautes fréquences 4000-8000 Hz) avant traitement puis toutes les 2 cures. (6) Surveillance neurologique avant chaque cure (examen neurologique périphérique, Lhermitte sign). (7) Prévention nausea/vomissements renforcée (level 4) — protocole triple : anti-5HT3 (ondansétron 8 mg IV) + corticoïde (dexaméthasone 20 mg IV) + aprépitant (125 mg J1 per os puis 80 mg J2-J3 per os) ± olanzapine (5-10 mg J1-J4 per os). (8) Surveillance NFS-plaquettes hebdomadaire pendant cures, transfusions de CGR ou plaquettes si besoin. (9) Cryopréservation gamétique pré-thérapeutique systématique (azoospermie, aménorrhée risque). (10) Prévention syndrome de lyse tumorale (allopurinol ou rasburicase) si masse tumorale élevée (testicule volumineux, PCPC). (11) Limite de dose cumulée : 600-700 mg/m² maximum (au-delà, risque neurotoxicité et ototoxicité majeures). (12) Adaptation de dose selon ClCr : ClCr 50-60 mL/min → dose 75 %, ClCr 30-50 mL/min → dose 50 %, ClCr &lt; 30 mL/min → contre-indication. (13) Surveillance ECG si antécédent cardiaque. (14) Voie veineuse centrale préférable (risque d'extravasation et de nécrose). (15) Vaccinations à jour avant traitement — vaccins vivants contre-indiqués pendant et 6 mois après. (16) Surveillance à long terme (10-15 ans) pour second cancer (NFS annuelle).</w:t>
      </w:r>
    </w:p>
    <w:p>
      <w:pPr>
        <w:pStyle w:val="ListBullet"/>
      </w:pPr>
      <w:r>
        <w:t>Conduite à Tenir : (1) Si insuffisance rénale aiguë (créatinine &gt; 2x LSN, oligurie) → arrêt immédiat, hydratation IV renforcée, surveillance ICU, dialyse si IRA sévère. (2) Si surdité ou acouphènes majeurs → arrêt définitif, suivi ORL spécialisé, appareillage auditif si besoin. (3) Si neurotoxicité grade 2-3 (paresthésies invalidantes, troubles proprioceptifs) → arrêt transitoire ou définitif, suivi neurologique, antidépresseurs tricycliques (amitriptyline) ou gabapentine pour douleurs neuropathiques. (4) Si vomiting persistant malgré antiémétiques → adjonction d'olanzapine 5-10 mg per os J1-J4, ou changement d'anti-5HT3 (palonosétron 0.25 mg IV). (5) Si hypomagnésémie sévère (Mg &lt; 0.5 mmol/L, hypocalcémie, tétanie, convulsions) → MgSO4 IV 4-6 g en 4 h, surveillance ECG, surveillance ICU. (6) Si neutropénie fébrile (PNN &lt; 0.5 G/L + T° ≥ 38.5 °C) → hospitalisation, hémocultures, antibiothérapie empirique large spectre IV, G-CSF. (7) Si extravasation → arrêt immédiat, aspiration, infiltration locale de sodium thiosulfate (1/6 M) en cas de cisplatine, pansement gras, surveillance cutanée rapprochée. (8) Si réaction d'hypersensibilité → arrêt immédiat, antihistaminiques IV, corticoïdes IV, adrénaline si anaphylaxie. (9) Si syndrome de lyse tumorale → hydratation IV, allopurinol/rasburicase, alcalinisation urinaire, surveillance ICU.</w:t>
      </w:r>
    </w:p>
    <w:p>
      <w:r/>
      <w:r>
        <w:rPr>
          <w:b/>
        </w:rPr>
        <w:t>Interactions Importantes :</w:t>
      </w:r>
      <w:r/>
    </w:p>
    <w:p>
      <w:pPr>
        <w:pStyle w:val="ListBullet"/>
      </w:pPr>
      <w:r>
        <w:t>Cisplatine + Aminosides (gentamicine, amikacine, néomycine) : néphrotoxicité et ototoxicité additives majeures — CI absolue ou surveillance renforcée.</w:t>
      </w:r>
    </w:p>
    <w:p>
      <w:pPr>
        <w:pStyle w:val="ListBullet"/>
      </w:pPr>
      <w:r>
        <w:t>Cisplatine + Diurétiques de l'anse (furosémide, bumétanide) : néphrotoxicité et ototoxicité additives — surveillance ICU, hydratation renforcée. Furosémide à utiliser avec prudence après hydratation.</w:t>
      </w:r>
    </w:p>
    <w:p>
      <w:pPr>
        <w:pStyle w:val="ListBullet"/>
      </w:pPr>
      <w:r>
        <w:t>Cisplatine + Autres néphrotoxiques (amphotéricine B, cyclosporine, tacrolimus, AINS) : néphrotoxicité additive — surveillance créatinine, éviter si possible.</w:t>
      </w:r>
    </w:p>
    <w:p>
      <w:pPr>
        <w:pStyle w:val="ListBullet"/>
      </w:pPr>
      <w:r>
        <w:t>Cisplatine + Ototoxiques (vancomycine, macrolides, salicylés, quinine) : ototoxicité additive — surveillance audiométrie.</w:t>
      </w:r>
    </w:p>
    <w:p>
      <w:pPr>
        <w:pStyle w:val="ListBullet"/>
      </w:pPr>
      <w:r>
        <w:t>Cisplatine + Neurotoxiques (vincristine, vinblastine, taxanes, bortézomib, oxaliplatine) : neurotoxicité additive — surveillance neurologique, arrêt si neurotoxicité grade 3.</w:t>
      </w:r>
    </w:p>
    <w:p>
      <w:pPr>
        <w:pStyle w:val="ListBullet"/>
      </w:pPr>
      <w:r>
        <w:t>Cisplatine + Paclitaxel, docétaxel : neurotoxicité additive — ordre d'administration (cisplatine après taxane pour limiter neurotoxicité).</w:t>
      </w:r>
    </w:p>
    <w:p>
      <w:pPr>
        <w:pStyle w:val="ListBullet"/>
      </w:pPr>
      <w:r>
        <w:t>Cisplatine + Phénytoïne : diminution de l'absorption de la phénytoïne (altération muqueuse digestive) — surveillance taux phénytoïnémie, augmentation de dose si besoin.</w:t>
      </w:r>
    </w:p>
    <w:p>
      <w:pPr>
        <w:pStyle w:val="ListBullet"/>
      </w:pPr>
      <w:r>
        <w:t>Cisplatine + Anticoagulants oraux (warfarine) : potentialisation de l'anticoagulation (myélosuppression + modification flore intestinale vit K) — surveillance INR.</w:t>
      </w:r>
    </w:p>
    <w:p>
      <w:pPr>
        <w:pStyle w:val="ListBullet"/>
      </w:pPr>
      <w:r>
        <w:t>Cisplatine + Vaccins vivants atténués : risque de maladie vaccinale généralisée — CI absolue pendant et 6 mois après traitement.</w:t>
      </w:r>
    </w:p>
    <w:p>
      <w:pPr>
        <w:pStyle w:val="ListBullet"/>
      </w:pPr>
      <w:r>
        <w:t>Cisplatine + Topotécan, étoposide : myélosuppression additive — surveillance NFS.</w:t>
      </w:r>
    </w:p>
    <w:p>
      <w:pPr>
        <w:pStyle w:val="ListBullet"/>
      </w:pPr>
      <w:r>
        <w:t>Cisplatine + Radiothérapie : synergie (inhibition de la réparation de l'ADN radio-induit) — utilisée en concomitant (radiochimiothérapie cancers tête-cou, col utérin, poumon, vessie), mais risque de toxicité hématologique et muqueuse majorée.</w:t>
      </w:r>
    </w:p>
    <w:p>
      <w:pPr>
        <w:pStyle w:val="ListBullet"/>
      </w:pPr>
      <w:r>
        <w:t>Cisplatine + Pémétrexed : association synergique (protocole cisplatine-pémetrexed), supplémentation acide folique + vitamine B12 obligatoire.</w:t>
      </w:r>
    </w:p>
    <w:p>
      <w:pPr>
        <w:pStyle w:val="ListBullet"/>
      </w:pPr>
      <w:r>
        <w:t>Cisplatine + Bléomycine, étoposide (protocole BEP) : association synergique, surveillance rénale, pulmonaire (bléomycine), hématologique.</w:t>
      </w:r>
    </w:p>
    <w:p>
      <w:pPr>
        <w:pStyle w:val="ListBullet"/>
      </w:pPr>
      <w:r>
        <w:t>Cisplatine + Bleu de trypan, émodine : diminution de l'efficacité du cisplatine — éviter.</w:t>
      </w:r>
    </w:p>
    <w:p>
      <w:pPr>
        <w:pStyle w:val="ListBullet"/>
      </w:pPr>
      <w:r>
        <w:t>Cisplatine + Pyridoxine, vitamine B6 : diminution de l'efficacité du cisplatine — éviter en cas de chimiothérapie curative.</w:t>
      </w:r>
    </w:p>
    <w:p>
      <w:r/>
      <w:r>
        <w:rPr>
          <w:b/>
        </w:rPr>
        <w:t>Grossesse et Allaitement :</w:t>
      </w:r>
      <w:r/>
    </w:p>
    <w:p>
      <w:pPr>
        <w:pStyle w:val="ListBullet"/>
      </w:pPr>
      <w:r>
        <w:t>Grossesse : CI absolue à toutes les phases de la grossesse (CRAT — embryo-létale au 1er trimestre, tératogène, mutagène, fœtotoxique à toutes les phases — malformations majeures : squelettiques, cérébrales, palatines, oculaires, urogénitales, cardiaques ; retards de croissance ; avortements spontanés ; surdité fœtale par ototoxicité transplacentaire). Test de grossesse pré-thérapeutique systématique chez toute femme en âge de procréer. Contraception efficace obligatoire pendant et 6 mois après la fin du traitement (les deux partenaires). Le cisplatine traverse le placenta (concentration fœtale ≈ 50 % maternelle) et s'accumule dans les tissus fœtaux. En cas de cancer diagnostiqué pendant la grossesse → avis oncologie/obstétrique multidisciplinaire, interruption médicale de grossesse à discuter (1er trimestre), ou traitement différé après accouchement si possible, ou choix d'un protocole sans cisplatine (le protocole BEP pour les tumeurs germinales est ainsi contre-indiqué pendant la grossesse ; alternatives à discuter : carboplatine-étoposide en 2e-3e trimestre selon terme).</w:t>
      </w:r>
    </w:p>
    <w:p>
      <w:pPr>
        <w:pStyle w:val="ListBullet"/>
      </w:pPr>
      <w:r>
        <w:t>Allaitement : CI absolue. Le cisplatine passe dans le lait maternel à des concentrations significatives (en raison de sa forte liaison protéique et de sa petite taille moléculaire). Risque de myélosuppression, d'ototoxicité (surdité), de néphrotoxicité, de carcinogénèse à long terme chez le nourrisson. Interruption définitive de l'allaitement avant la première cure.</w:t>
      </w:r>
    </w:p>
    <w:p>
      <w:pPr>
        <w:pStyle w:val="ListBullet"/>
      </w:pPr>
      <w:r>
        <w:t>Précisions : Cryopréservation gamétique pré-thérapeutique systématique obligatoire chez l'homme (congélation sperme — azoospermie quasi constante après dose cumulée 400 mg/m²) et la femme jeune (consultation PMA — préservation ovocytaire ou tissulaire ovarienne, aménorrhée souvent définitive après dose cumulée 600 mg/m²). Information claire au patient et à son conjoint sur le risque élevé de stérilité après traitement.</w:t>
      </w:r>
    </w:p>
    <w:p>
      <w:r/>
      <w:r>
        <w:rPr>
          <w:b/>
        </w:rPr>
        <w:t>Posologie et Mode d'administration (Standard) :</w:t>
      </w:r>
      <w:r/>
    </w:p>
    <w:p>
      <w:pPr>
        <w:pStyle w:val="ListBullet"/>
      </w:pPr>
      <w:r>
        <w:t>Adulte : (1) Cancer du testicule — protocole BEP : Bléomycine 30 UI J1, J8, J15 + Etoposide 100 mg/m²/J J1-J5 + Cisplatine 20 mg/m²/J IV en perfusion 30 min à 1 h dans 250 mL NaCl 0.9 % J1-J5, cure toutes les 3 semaines × 3-4 cycles. (2) Cancer du testicule — protocole EP : Etoposide 100 mg/m²/J J1-J5 + Cisplatine 20 mg/m²/J IV J1-J5, cure toutes les 3 semaines × 4 cycles. (3) Cancer de l'ovaire — protocole cisplatine-cyclophosphamide : Cisplatine 75-100 mg/m² IV J1 + Cyclophosphamide 600-750 mg/m² IV J1, cure toutes les 3 semaines × 6 cycles (aujourd'hui supplanté par carboplatine-paclitaxel). (4) PCNSCL — protocole cisplatine-pémetrexed : Cisplatine 75 mg/m² IV J1 + Pemetrexed 500 mg/m² IV J1, cure toutes les 3 semaines × 4-6 cycles (supplémentation acide folique 350-1000 µg/j per os + vitamine B12 1000 µg IM/9 sem obligatoire). (5) PCPC — protocole EP : Etoposide 100 mg/m²/J J1-J3 + Cisplatine 25 mg/m²/J IV J1-J3, cure toutes les 3 semaines × 4-6 cycles. (6) Cancer de la vessie — protocole GC : Gemcitabine 1000 mg/m² J1, J8, J15 + Cisplatine 70 mg/m² IV J1 ou J2, cure toutes les 4 semaines × 4-6 cycles. (7) Cancer de la tête et du cou — protocole TPF : Docetaxel 75 mg/m² J1 + Cisplatine 75-100 mg/m² IV J1 + 5-FU 750 mg/m²/24h perfusion continue J1-J5, cure toutes les 3 semaines × 3-4 cycles ; ou cisplatine 40 mg/m² IV hebdomadaire concomitant à la radiothérapie (6-7 cures). (8) Cancer du col utérin — cisplatine 40 mg/m² IV hebdomadaire concomitant à la radiothérapie (5-6 cures). (9) Ostéosarcome — protocole MAP : Methotrexate haute dose 12 g/m² J1, J8, J29, J36 + Adriamycine 25 mg/m²/J J1-J3 + Cisplatine 100 mg/m² IV J1 (ou 60 mg/m²/J J1-J2), cure selon protocole EURAMOS-1. Dose maximale cumulée recommandée : 600-700 mg/m².</w:t>
      </w:r>
    </w:p>
    <w:p>
      <w:pPr>
        <w:pStyle w:val="ListBullet"/>
      </w:pPr>
      <w:r>
        <w:t>Enfant : Ostéosarcome (protocole EURAMOS-1), neuroblastome (protocole COJEC), tumeurs germinales : 50-100 mg/m²/cure selon protocole, surveillance identique à l'adulte.</w:t>
      </w:r>
    </w:p>
    <w:p>
      <w:pPr>
        <w:pStyle w:val="ListBullet"/>
      </w:pPr>
      <w:r>
        <w:t>Durée : Variable selon indication — protocole BEP : 3-4 cures espacées de 3 semaines ; protocole EP : 4 cycles espacés de 3 semaines ; radiochimiothérapie concomitante : 5-7 cures hebdomadaires.</w:t>
      </w:r>
    </w:p>
    <w:p>
      <w:pPr>
        <w:pStyle w:val="ListBullet"/>
      </w:pPr>
      <w:r>
        <w:t>Moment de la prise : Hospitalier exclusif (service oncologie médicale, hôpital de jour ou hospitalisation complète), perfusion IV en 30 min à 1 h dans 250 mL NaCl 0.9 % (PAS de G5% — précipitation), hydratation IV préalable (1.5-3 L en 3-6 h) + diurèse forcée (mannitol ou furosémide), hydratation post-perfusion 24 h (3 L/m²/24 h), surveillance ICU : scope, ECG, pression artérielle, diurèse horaire. Prévention nausea/vomissements renforcée (level 4).</w:t>
      </w:r>
    </w:p>
    <w:p>
      <w:r/>
      <w:r>
        <w:rPr>
          <w:b/>
        </w:rPr>
        <w:t>Arbitrage et Bénéfices des Formes Galéniques :</w:t>
      </w:r>
      <w:r/>
    </w:p>
    <w:p>
      <w:r>
        <w:t>Le cisplatine est disponible en Algérie uniquement sous forme injectable (solution pour perfusion IV à 0.5 mg/mL ou 1 mg/mL, dosages 10 mg/20 mL, 25 mg/25 mL, 25 mg/50 mL, 50 mg/50 mL, 50 mg/100 mL). Toutes les spécialités sont en état NON RENOUVELABLE (CYTOPLATIN-10, CYTOPLATIN-50, CISPLATINE MYLAN) ou RETIRÉ (CISPLATIN, CISPLATYL, BLASTOLEM, CISPLATIN EBEWE) du marché algérien à la date d'Avril 2026 — ce qui soulève une alerte sur l'approvisionnement en cisplatine pour les patients algériens nécessitant ce traitement curatif (notamment cancer du testicule). Les praticiens algériens doivent recourir à l'importation exceptionnelle ou se tourner vers le carboplatine (alternative pour la plupart des indications, mais inférieur au cisplatine dans le cancer du testicule et la radiochimiothérapie concomitante). Le cisplatine est une solution hypertonique (chlorure de sodium à 0.9 % comme véhicule), nécessitant une dilution secondaire dans NaCl 0.9 % EXCLUSIVEMENT (précipitation avec G5% en raison de la dégradation du cisplatine en milieu glucosé). La solution reconstituée se conserve 24 h à T° ambiante, 7 j à 4 °C (mais usage immédiat recommandé). Le recours à une voie veineuse centrale (cathéter central, PICC) est recommandé en raison du risque d'extravasation et de nécrose cutanée. L'usage hospitalier exclusif en PUI en ZAC est obligatoire.</w:t>
      </w:r>
    </w:p>
    <w:p>
      <w:r/>
      <w:r>
        <w:rPr>
          <w:b/>
        </w:rPr>
        <w:t>Instructions et Conseils au Patient :</w:t>
      </w:r>
      <w:r/>
    </w:p>
    <w:p>
      <w:pPr>
        <w:pStyle w:val="ListBullet"/>
      </w:pPr>
      <w:r>
        <w:t>Communication au comptoir : (1) Information claire au patient : traitement exclusivement hospitalier (service oncologie médicale, hospitalisation complète ou hôpital de jour), nécessite hydratation IV préalable obligatoire (3-6 h avant perfusion) et post-perfusion (24 h) pour prévenir la néphrotoxicité. (2) Prévenir le patient des effets indésirables majeurs : néphrotoxicité (surveillance créatinine avant chaque cure, hydratation IV abondante, supplémentation magnésienne), ototoxicité (surdité, acouphènes — surveillance audiométrie avant traitement puis toutes les 2 cures), neurotoxicité périphérique (paresthésies extrémités — surveillance neurologique avant chaque cure, arrêt si neurotoxicité grade 2-3), nausées/vomissements sévères (prévention systématique par antiémétiques — le patient doit signaler tout vomiting persistant pour adaptation), myélosuppression (fièvre, saignements — urgence infectieuse et hémorragique), hypomagnésémie (crampes, tétanie — supplémentation IV systématique), stérilité (cryopréservation gamétique préalable obligatoire), risque de second cancer à long terme (surveillance hématologique prolongée 10-15 ans). (3) Prévenir fièvre (≥ 38.5 °C), dyspnée, trouble auditif, paresthésies invalidantes → consulter en urgence. (4) Surveillance NFS-plaquettes, créatinine, ionogramme (K, Mg, Ca, PO4), ASAT-ALAT avant chaque cure et hebdomadaire pendant cures. (5) Surveillance audiométrie avant traitement puis toutes les 2 cures. (6) Surveillance neurologique avant chaque cure. (7) Contraception obligatoire pendant et 6 mois après traitement (les deux partenaires). (8) Éviter vaccins vivants atténués pendant et 6 mois après traitement. (9) Coordonnées du service oncologue référent et de l'urgence hospitalière. (10) Conservation à T° &lt; 25 °C, à l'abri de la lumière, hors de portée des enfants.</w:t>
      </w:r>
    </w:p>
    <w:p>
      <w:pPr>
        <w:pStyle w:val="ListBullet"/>
      </w:pPr>
      <w:r>
        <w:t>Mode d'utilisation pratique : (1) Préparation centralisée en PUI hospitalière en ZAC, manipulation par personnel formé (EPI complet : double gants nitrile, masque FFP2, lunettes de protection, blouse chimio, charlotte). (2) Dilution secondaire dans 250-500 mL NaCl 0.9 % EXCLUSIVEMENT (PAS de G5% — précipitation). (3) Solution reconstituée à conserver à l'abri de la lumière, administration immédiate dans les 24 h. (4) Perfuser en 30 min à 1 h par voie veineuse centrale (risque d'extravasation et de nécrose cutanée). (5) Hydratation IV préalable 1.5-3 L en 3-6 h (NaCl 0.9 % + KCl + MgSO4), diurèse forcée (mannitol 10-20 g IV ou furosémide 20 mg IV après hydratation), hydratation post-perfusion 3 L/m²/24 h. (6) Surveillance ICU : scope, ECG, pression artérielle, diurèse horaire (objectif &gt; 100 mL/h). (7) Prévention nausea/vomissements renforcée (level 4) — protocole triple. (8) Supplémentation magnésienne IV systématique (MgSO4 1-2 g/24 h). (9) Élimination des déchets cytotoxiques selon circuit dédié.</w:t>
      </w:r>
    </w:p>
    <w:p>
      <w:r/>
      <w:r>
        <w:rPr>
          <w:b/>
        </w:rPr>
        <w:t>Notes, Règles d'Or &amp; Pièges au Comptoir :</w:t>
      </w:r>
      <w:r/>
    </w:p>
    <w:p>
      <w:pPr>
        <w:pStyle w:val="ListBullet"/>
      </w:pPr>
      <w:r>
        <w:t>Piège classique : (1) Néphrotoxicité cumulative — hydratation IV abondante systématique (3 L/m²/24 h), diurèse forcée (mannitol), surveillance créatinine avant chaque cure, adaptation de dose selon ClCr. (2) Ototoxicité cumulative — surveillance audiométrie avant traitement puis toutes les 2 cures, arrêt si surdité. (3) Neurotoxicité cumulative — surveillance neurologique avant chaque cure, arrêt si neurotoxicité grade 2-3. (4) Émétisation level 4 — prévention systématique par protocole triple (anti-5HT3 + corticoïde + aprépitant ± olanzapine). (5) Hypomagnésémie quasi constante — supplémentation IV systématique (MgSO4 1-2 g/24 h), surveillance Mg avant chaque cure. (6) Précipitation avec G5% — DILUTION DANS NaCl 0.9 % EXCLUSIVEMENT. (7) Extravasation — nécrose cutanée — voie veineuse centrale préférable. (8) Toutes les spécialités en état NON RENOUVELABLE ou RETIRÉ du marché algérien — alerte sur l'approvisionnement en cisplatine, alternatives à discuter (carboplatine). (9) Vaccins vivants contre-indiqués pendant et 6 mois après traitement. (10) Patiente femme enceinte à risque tératogène majeur — contraception stricte. (11) Risque de second cancer à long terme — surveillance hématologique prolongée 10-15 ans. (12) Stérilité quasi constante chez l'homme (cryopréservation sperme préalable obligatoire).</w:t>
      </w:r>
    </w:p>
    <w:p>
      <w:pPr>
        <w:pStyle w:val="ListBullet"/>
      </w:pPr>
      <w:r>
        <w:t>Règle de prise : Hospitalier exclusif, hydratation IV préalable et post-perfusion abondante, diurèse forcée, dilution dans NaCl 0.9 % EXCLUSIVEMENT (pas de G5%), voie veineuse centrale préférable, surveillance ICU (scope, ECG, pression artérielle, diurèse horaire), prévention nausea/vomissements renforcée (level 4), supplémentation magnésienne IV systématique, surveillance NFS/créatinine/audiométrie/neurologie avant chaque cure, contraception obligatoire 6 mois post-traitement, surveillance long terme NFS annuelle pour second cancer.</w:t>
      </w:r>
    </w:p>
    <w:p>
      <w:pPr>
        <w:pStyle w:val="ListBullet"/>
      </w:pPr>
      <w:r>
        <w:t>Préparation et Conservation : Solution injectable pour perfusion IV à 0.5 mg/mL ou 1 mg/mL (10 mg/20 mL, 25 mg/25 mL, 25 mg/50 mL, 50 mg/50 mL, 50 mg/100 mL). Dilution secondaire dans 250-500 mL NaCl 0.9 % EXCLUSIVEMENT (PAS de G5% — précipitation). Stabilité 24 h à T° ambiante à l'abri de la lumière, 7 j à 4 °C (mais usage immédiat recommandé). Conservation flacons non ouverts : 3 ans à T° &lt; 25 °C, à l'abri de la lumière.</w:t>
      </w:r>
    </w:p>
    <w:p>
      <w:pPr>
        <w:pStyle w:val="ListBullet"/>
      </w:pPr>
      <w:r>
        <w:t>Piège du surdosage / Substitution : (1) Confusion cisplatine ↔ carboplatine ↔ oxaliplatine (structures proches, mécanismes communs, mais toxicités et posologies différentes) — vérification systématique de la DCI. (2) Dilution dans NaCl 0.9 % EXCLUSIVEMENT (précipitation avec G5%) — vérification systématique du diluant. (3) Substitution cisplatine ↔ carboplatine (équivalence par formule de Calvert selon AUC) : non recommandée pour les cancers du testicule (cisplatine supérieur) et la radiochimiothérapie concomitante (cisplatine radiosensibilisant supérieur). (4) Surdosage (dose &gt; 120 mg/m²/cure ou dose cumulée &gt; 700 mg/m²) — risque néphrotoxicité, ototoxicité, neurotoxicité majeures. (5) Manipulation à risque pour le personnel soignant (femmes enceintes en particulier) — port d'EPI obligatoire. (6) Risque de second cancer à long terme (leucémies myélomonocytaires) — surveillance hématologique prolongée 10-15 ans (NFS annuelle). (7) Approvisionnement compromis en Algérie (toutes les spécialités en état NON RENOUVELABLE ou RETIRÉ) — alternatives à discuter avec oncologue.</w:t>
      </w:r>
    </w:p>
    <w:p>
      <w:pPr>
        <w:pStyle w:val="Heading3"/>
      </w:pPr>
      <w:r>
        <w:t>10. DCI : Carboplatine (Seule)</w:t>
      </w:r>
    </w:p>
    <w:p>
      <w:r/>
      <w:r>
        <w:rPr>
          <w:b/>
        </w:rPr>
        <w:t>Liste des Catégories :</w:t>
      </w:r>
      <w:r>
        <w:t xml:space="preserve"> Cytotoxique — Antinéoplasique — Agent alkylant de platine — Sel de platine de deuxième génération — Complexe de coordination platine-Pt(II) — Liste I — Médicament à prescription hospitalière stricte.</w:t>
      </w:r>
    </w:p>
    <w:p>
      <w:r>
        <w:t>Le carboplatine (CBDCA, paraplatine®) est le sel de platine de deuxième génération, commercialisé en 1989. Analogue du cisplatine avec substitution des deux ions chlorure par un ligand cyclobutane-dicarboxylate (CBDCA), il présente une amélioration nette de la tolérance : moins de néphrotoxicité, moins de neurotoxicité, moins d'émétisation. En contrepartie, sa myélosuppression (notamment thrombopénie) est plus marquée et plus prolongée. Son dosage se fait par la formule de Calvert selon le débit de filtration glomérulaire (DFG) : dose (mg) = AUC cible × (DFG + 25).</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CYTOCARB (R)</w:t>
            </w:r>
          </w:p>
        </w:tc>
        <w:tc>
          <w:tcPr>
            <w:tcW w:type="dxa" w:w="1559"/>
          </w:tcPr>
          <w:p>
            <w:r>
              <w:rPr>
                <w:sz w:val="20"/>
              </w:rPr>
              <w:t>Cipla Limited</w:t>
            </w:r>
          </w:p>
        </w:tc>
        <w:tc>
          <w:tcPr>
            <w:tcW w:type="dxa" w:w="1559"/>
          </w:tcPr>
          <w:p>
            <w:r>
              <w:rPr>
                <w:sz w:val="20"/>
              </w:rPr>
              <w:t>Solution injectable pour perfusion IV 10 mg/mL (150 mg/15 mL ou 450 mg/45 mL)</w:t>
            </w:r>
          </w:p>
        </w:tc>
        <w:tc>
          <w:tcPr>
            <w:tcW w:type="dxa" w:w="1559"/>
          </w:tcPr>
          <w:p>
            <w:r>
              <w:rPr>
                <w:sz w:val="20"/>
              </w:rPr>
              <w:t>B/1 flacon 15 mL ou 45 mL</w:t>
            </w:r>
          </w:p>
        </w:tc>
        <w:tc>
          <w:tcPr>
            <w:tcW w:type="dxa" w:w="1559"/>
          </w:tcPr>
          <w:p>
            <w:r>
              <w:rPr>
                <w:sz w:val="20"/>
              </w:rPr>
              <w:t>Liste I</w:t>
            </w:r>
          </w:p>
        </w:tc>
        <w:tc>
          <w:tcPr>
            <w:tcW w:type="dxa" w:w="1559"/>
          </w:tcPr>
          <w:p>
            <w:r>
              <w:rPr>
                <w:sz w:val="20"/>
              </w:rPr>
              <w:t>Non Renouvelable</w:t>
            </w:r>
          </w:p>
        </w:tc>
      </w:tr>
      <w:tr>
        <w:tc>
          <w:tcPr>
            <w:tcW w:type="dxa" w:w="1559"/>
          </w:tcPr>
          <w:p>
            <w:r>
              <w:rPr>
                <w:sz w:val="20"/>
              </w:rPr>
              <w:t>CARBOPLATINE MYLAN (R)</w:t>
            </w:r>
          </w:p>
        </w:tc>
        <w:tc>
          <w:tcPr>
            <w:tcW w:type="dxa" w:w="1559"/>
          </w:tcPr>
          <w:p>
            <w:r>
              <w:rPr>
                <w:sz w:val="20"/>
              </w:rPr>
              <w:t>Mylan</w:t>
            </w:r>
          </w:p>
        </w:tc>
        <w:tc>
          <w:tcPr>
            <w:tcW w:type="dxa" w:w="1559"/>
          </w:tcPr>
          <w:p>
            <w:r>
              <w:rPr>
                <w:sz w:val="20"/>
              </w:rPr>
              <w:t>Solution injectable pour perfusion IV 10 mg/mL (50 mg/5 mL - 150 mg/15 mL - 450 mg/45 mL)</w:t>
            </w:r>
          </w:p>
        </w:tc>
        <w:tc>
          <w:tcPr>
            <w:tcW w:type="dxa" w:w="1559"/>
          </w:tcPr>
          <w:p>
            <w:r>
              <w:rPr>
                <w:sz w:val="20"/>
              </w:rPr>
              <w:t>B/1 flacon 5 mL - 15 mL - 45 mL</w:t>
            </w:r>
          </w:p>
        </w:tc>
        <w:tc>
          <w:tcPr>
            <w:tcW w:type="dxa" w:w="1559"/>
          </w:tcPr>
          <w:p>
            <w:r>
              <w:rPr>
                <w:sz w:val="20"/>
              </w:rPr>
              <w:t>Liste I</w:t>
            </w:r>
          </w:p>
        </w:tc>
        <w:tc>
          <w:tcPr>
            <w:tcW w:type="dxa" w:w="1559"/>
          </w:tcPr>
          <w:p>
            <w:r>
              <w:rPr>
                <w:sz w:val="20"/>
              </w:rPr>
              <w:t>Non Renouvelable</w:t>
            </w:r>
          </w:p>
        </w:tc>
      </w:tr>
      <w:tr>
        <w:tc>
          <w:tcPr>
            <w:tcW w:type="dxa" w:w="1559"/>
          </w:tcPr>
          <w:p>
            <w:r>
              <w:rPr>
                <w:sz w:val="20"/>
              </w:rPr>
              <w:t>PARAPLATINE (R)</w:t>
            </w:r>
          </w:p>
        </w:tc>
        <w:tc>
          <w:tcPr>
            <w:tcW w:type="dxa" w:w="1559"/>
          </w:tcPr>
          <w:p>
            <w:r>
              <w:rPr>
                <w:sz w:val="20"/>
              </w:rPr>
              <w:t>Bristol Myers Squibb</w:t>
            </w:r>
          </w:p>
        </w:tc>
        <w:tc>
          <w:tcPr>
            <w:tcW w:type="dxa" w:w="1559"/>
          </w:tcPr>
          <w:p>
            <w:r>
              <w:rPr>
                <w:sz w:val="20"/>
              </w:rPr>
              <w:t>Solution injectable IV 10 mg/mL (50 mg/5 mL)</w:t>
            </w:r>
          </w:p>
        </w:tc>
        <w:tc>
          <w:tcPr>
            <w:tcW w:type="dxa" w:w="1559"/>
          </w:tcPr>
          <w:p>
            <w:r>
              <w:rPr>
                <w:sz w:val="20"/>
              </w:rPr>
              <w:t>B/1 flacon</w:t>
            </w:r>
          </w:p>
        </w:tc>
        <w:tc>
          <w:tcPr>
            <w:tcW w:type="dxa" w:w="1559"/>
          </w:tcPr>
          <w:p>
            <w:r>
              <w:rPr>
                <w:sz w:val="20"/>
              </w:rPr>
              <w:t>Liste I</w:t>
            </w:r>
          </w:p>
        </w:tc>
        <w:tc>
          <w:tcPr>
            <w:tcW w:type="dxa" w:w="1559"/>
          </w:tcPr>
          <w:p>
            <w:r>
              <w:rPr>
                <w:sz w:val="20"/>
              </w:rPr>
              <w:t>Retiré</w:t>
            </w:r>
          </w:p>
        </w:tc>
      </w:tr>
      <w:tr>
        <w:tc>
          <w:tcPr>
            <w:tcW w:type="dxa" w:w="1559"/>
          </w:tcPr>
          <w:p>
            <w:r>
              <w:rPr>
                <w:sz w:val="20"/>
              </w:rPr>
              <w:t>PARAPLATINE (R)</w:t>
            </w:r>
          </w:p>
        </w:tc>
        <w:tc>
          <w:tcPr>
            <w:tcW w:type="dxa" w:w="1559"/>
          </w:tcPr>
          <w:p>
            <w:r>
              <w:rPr>
                <w:sz w:val="20"/>
              </w:rPr>
              <w:t>Bristol Myers Squibb</w:t>
            </w:r>
          </w:p>
        </w:tc>
        <w:tc>
          <w:tcPr>
            <w:tcW w:type="dxa" w:w="1559"/>
          </w:tcPr>
          <w:p>
            <w:r>
              <w:rPr>
                <w:sz w:val="20"/>
              </w:rPr>
              <w:t>Solution injectable pour perfusion IV 150 mg/15 mL</w:t>
            </w:r>
          </w:p>
        </w:tc>
        <w:tc>
          <w:tcPr>
            <w:tcW w:type="dxa" w:w="1559"/>
          </w:tcPr>
          <w:p>
            <w:r>
              <w:rPr>
                <w:sz w:val="20"/>
              </w:rPr>
              <w:t>Flacon 15 mL</w:t>
            </w:r>
          </w:p>
        </w:tc>
        <w:tc>
          <w:tcPr>
            <w:tcW w:type="dxa" w:w="1559"/>
          </w:tcPr>
          <w:p>
            <w:r>
              <w:rPr>
                <w:sz w:val="20"/>
              </w:rPr>
              <w:t>Liste I</w:t>
            </w:r>
          </w:p>
        </w:tc>
        <w:tc>
          <w:tcPr>
            <w:tcW w:type="dxa" w:w="1559"/>
          </w:tcPr>
          <w:p>
            <w:r>
              <w:rPr>
                <w:sz w:val="20"/>
              </w:rPr>
              <w:t>Retiré</w:t>
            </w:r>
          </w:p>
        </w:tc>
      </w:tr>
      <w:tr>
        <w:tc>
          <w:tcPr>
            <w:tcW w:type="dxa" w:w="1559"/>
          </w:tcPr>
          <w:p>
            <w:r>
              <w:rPr>
                <w:sz w:val="20"/>
              </w:rPr>
              <w:t>PARAPLATINE (R)</w:t>
            </w:r>
          </w:p>
        </w:tc>
        <w:tc>
          <w:tcPr>
            <w:tcW w:type="dxa" w:w="1559"/>
          </w:tcPr>
          <w:p>
            <w:r>
              <w:rPr>
                <w:sz w:val="20"/>
              </w:rPr>
              <w:t>Bristol Myers Squibb</w:t>
            </w:r>
          </w:p>
        </w:tc>
        <w:tc>
          <w:tcPr>
            <w:tcW w:type="dxa" w:w="1559"/>
          </w:tcPr>
          <w:p>
            <w:r>
              <w:rPr>
                <w:sz w:val="20"/>
              </w:rPr>
              <w:t>Solution injectable pour perfusion IV 450 mg/45 mL</w:t>
            </w:r>
          </w:p>
        </w:tc>
        <w:tc>
          <w:tcPr>
            <w:tcW w:type="dxa" w:w="1559"/>
          </w:tcPr>
          <w:p>
            <w:r>
              <w:rPr>
                <w:sz w:val="20"/>
              </w:rPr>
              <w:t>Flacon 45 mL</w:t>
            </w:r>
          </w:p>
        </w:tc>
        <w:tc>
          <w:tcPr>
            <w:tcW w:type="dxa" w:w="1559"/>
          </w:tcPr>
          <w:p>
            <w:r>
              <w:rPr>
                <w:sz w:val="20"/>
              </w:rPr>
              <w:t>Liste I</w:t>
            </w:r>
          </w:p>
        </w:tc>
        <w:tc>
          <w:tcPr>
            <w:tcW w:type="dxa" w:w="1559"/>
          </w:tcPr>
          <w:p>
            <w:r>
              <w:rPr>
                <w:sz w:val="20"/>
              </w:rPr>
              <w:t>Retiré</w:t>
            </w:r>
          </w:p>
        </w:tc>
      </w:tr>
      <w:tr>
        <w:tc>
          <w:tcPr>
            <w:tcW w:type="dxa" w:w="1559"/>
          </w:tcPr>
          <w:p>
            <w:r>
              <w:rPr>
                <w:sz w:val="20"/>
              </w:rPr>
              <w:t>CARBOPLATINE EBEWE (R)</w:t>
            </w:r>
          </w:p>
        </w:tc>
        <w:tc>
          <w:tcPr>
            <w:tcW w:type="dxa" w:w="1559"/>
          </w:tcPr>
          <w:p>
            <w:r>
              <w:rPr>
                <w:sz w:val="20"/>
              </w:rPr>
              <w:t>Ebewe Pharma</w:t>
            </w:r>
          </w:p>
        </w:tc>
        <w:tc>
          <w:tcPr>
            <w:tcW w:type="dxa" w:w="1559"/>
          </w:tcPr>
          <w:p>
            <w:r>
              <w:rPr>
                <w:sz w:val="20"/>
              </w:rPr>
              <w:t>Solution pour perfusion IV 10 mg/mL (50 mg/5 mL - 150 mg/15 mL - 450 mg/45 mL)</w:t>
            </w:r>
          </w:p>
        </w:tc>
        <w:tc>
          <w:tcPr>
            <w:tcW w:type="dxa" w:w="1559"/>
          </w:tcPr>
          <w:p>
            <w:r>
              <w:rPr>
                <w:sz w:val="20"/>
              </w:rPr>
              <w:t>Flacon 5 mL - 15 mL - 45 mL</w:t>
            </w:r>
          </w:p>
        </w:tc>
        <w:tc>
          <w:tcPr>
            <w:tcW w:type="dxa" w:w="1559"/>
          </w:tcPr>
          <w:p>
            <w:r>
              <w:rPr>
                <w:sz w:val="20"/>
              </w:rPr>
              <w:t>Liste I</w:t>
            </w:r>
          </w:p>
        </w:tc>
        <w:tc>
          <w:tcPr>
            <w:tcW w:type="dxa" w:w="1559"/>
          </w:tcPr>
          <w:p>
            <w:r>
              <w:rPr>
                <w:sz w:val="20"/>
              </w:rPr>
              <w:t>Retiré</w:t>
            </w:r>
          </w:p>
        </w:tc>
      </w:tr>
      <w:tr>
        <w:tc>
          <w:tcPr>
            <w:tcW w:type="dxa" w:w="1559"/>
          </w:tcPr>
          <w:p>
            <w:r>
              <w:rPr>
                <w:sz w:val="20"/>
              </w:rPr>
              <w:t>BLASTOCAR B (R)</w:t>
            </w:r>
          </w:p>
        </w:tc>
        <w:tc>
          <w:tcPr>
            <w:tcW w:type="dxa" w:w="1559"/>
          </w:tcPr>
          <w:p>
            <w:r>
              <w:rPr>
                <w:sz w:val="20"/>
              </w:rPr>
              <w:t>Lemery</w:t>
            </w:r>
          </w:p>
        </w:tc>
        <w:tc>
          <w:tcPr>
            <w:tcW w:type="dxa" w:w="1559"/>
          </w:tcPr>
          <w:p>
            <w:r>
              <w:rPr>
                <w:sz w:val="20"/>
              </w:rPr>
              <w:t>Solution injectable 150 mg</w:t>
            </w:r>
          </w:p>
        </w:tc>
        <w:tc>
          <w:tcPr>
            <w:tcW w:type="dxa" w:w="1559"/>
          </w:tcPr>
          <w:p>
            <w:r>
              <w:rPr>
                <w:sz w:val="20"/>
              </w:rPr>
              <w:t>B/1 flacon</w:t>
            </w:r>
          </w:p>
        </w:tc>
        <w:tc>
          <w:tcPr>
            <w:tcW w:type="dxa" w:w="1559"/>
          </w:tcPr>
          <w:p>
            <w:r>
              <w:rPr>
                <w:sz w:val="20"/>
              </w:rPr>
              <w:t>Liste I</w:t>
            </w:r>
          </w:p>
        </w:tc>
        <w:tc>
          <w:tcPr>
            <w:tcW w:type="dxa" w:w="1559"/>
          </w:tcPr>
          <w:p>
            <w:r>
              <w:rPr>
                <w:sz w:val="20"/>
              </w:rPr>
              <w:t>Retiré</w:t>
            </w:r>
          </w:p>
        </w:tc>
      </w:tr>
      <w:tr>
        <w:tc>
          <w:tcPr>
            <w:tcW w:type="dxa" w:w="1559"/>
          </w:tcPr>
          <w:p>
            <w:r>
              <w:rPr>
                <w:sz w:val="20"/>
              </w:rPr>
              <w:t>BLASTOCAR B (R)</w:t>
            </w:r>
          </w:p>
        </w:tc>
        <w:tc>
          <w:tcPr>
            <w:tcW w:type="dxa" w:w="1559"/>
          </w:tcPr>
          <w:p>
            <w:r>
              <w:rPr>
                <w:sz w:val="20"/>
              </w:rPr>
              <w:t>Lemery</w:t>
            </w:r>
          </w:p>
        </w:tc>
        <w:tc>
          <w:tcPr>
            <w:tcW w:type="dxa" w:w="1559"/>
          </w:tcPr>
          <w:p>
            <w:r>
              <w:rPr>
                <w:sz w:val="20"/>
              </w:rPr>
              <w:t>Solution injectable 450 mg/45 mL</w:t>
            </w:r>
          </w:p>
        </w:tc>
        <w:tc>
          <w:tcPr>
            <w:tcW w:type="dxa" w:w="1559"/>
          </w:tcPr>
          <w:p>
            <w:r>
              <w:rPr>
                <w:sz w:val="20"/>
              </w:rPr>
              <w:t>B/1 flacon</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Sel de platine de deuxième génération (complexe de coordination platine(II) — cis-[Pt(NH3)2(CBDCA)] où CBDCA = cyclobutane-1,1-dicarboxylate), pseudo-alkylant bifonctionnel, cycle-non-spécifique.</w:t>
      </w:r>
    </w:p>
    <w:p>
      <w:pPr>
        <w:pStyle w:val="ListBullet"/>
      </w:pPr>
      <w:r>
        <w:t>Mécanisme d'action : Le carboplatine est un analogue du cisplatine, avec substitution des deux ions chlorure par un ligand cyclobutane-1,1-dicarboxylate (CBDCA) bidentate. En milieu intracellulaire (faible concentration en chlorure), le ligand CBDCA est progressivement hydrolysé (plus lentement que les chlorures du cisplatine), formant le même complexe cationique [Pt(NH3)2(H2O)2]2+ que le cisplatine. Ce complexe réagit avec les groupes nucléophiles de l'ADN, en particulier la N7 de la guanine, formant les mêmes adduits de platine intra-brins (intrastrand cross-links, principalement 1,2-d(GpG) et 1,2-d(ApG)) que le cisplatine. La lenteur d'hydrolyse du ligand CBDCA explique la cinétique plus lente d'action du carboplatine, sa demi-vie plasmatique plus longue (2-3 h vs 30-50 min pour le cisplatine), et une partie de sa tolérance supérieure (pics plasmatiques moins élevés, moins de toxicité aiguë). Le mécanisme cytotoxique est identique à celui du cisplatine (apoptose p53-dépendante, voie mitochondriale, réparation par NER). Il existe une résistance croisée complète entre cisplatine et carboplatine (mutation de p53, augmentation de NER, augmentation de la réparation par recombinaison homologue), ce qui explique leur non-cumul d'efficacité en cas d'échec de l'un. Le carboplatine ne traverse pas significativement la BHE.</w:t>
      </w:r>
    </w:p>
    <w:p>
      <w:r/>
      <w:r>
        <w:rPr>
          <w:b/>
        </w:rPr>
        <w:t>Profil Pharmacologique :</w:t>
      </w:r>
      <w:r/>
    </w:p>
    <w:p>
      <w:pPr>
        <w:pStyle w:val="ListBullet"/>
      </w:pPr>
      <w:r>
        <w:t>Indications : (1) Cancer de l'ovaire — protocole carboplatine-paclitaxel (CP) en 1re ligne métastatique ou adjuvant : Carboplatine AUC 5-6 IV J1 + Paclitaxel 175 mg/m² IV J1, cure toutes les 3 semaines × 6 cycles (protocole de référence actuel). (2) Cancer de l'ovaire — protocole carboplatine-gemcitabine en rechute sensible au platine. (3) Cancer de l'ovaire — protocole carboplatine-PLD (doxorubicine liposomale pegylée) en rechute. (4) Cancer du poumon non à petites cellules (PCNSCL) — protocole carboplatine-paclitaxel hebdomadaire (protocole usuel chez sujet âgé &gt; 70 ans ou PS 2) : Carboplatine AUC 6 IV J1 + Paclitaxel 90 mg/m² IV J1, J8, J15, cure toutes les 4 semaines × 4 cycles. (5) PCNSCL — protocole carboplatine-pémétrexed (non épidermoïde). (6) Cancer du poumon à petites cellules (PCPC) — protocole carboplatine-étoposide en 1re ligne chez sujet âgé ou fragile. (7) Cancer du sein métastatique (triple-négatif) — protocole carboplatine-paclitaxel. (8) Cancer du col utérin — protocole carboplatine-paclitaxel en 1re ligne métastatique ou en rechute. (9) Cancer de la vessie — protocole carboplatine-gemcitabine en 1re ligne chez sujet inéligible au cisplatine (ClCr &lt; 60 mL/min, audition altérée, neuropathie pré-existante). (10) Tumeurs germinales testiculaires — protocole carboplatine en monochimiothérapie pour séminome de stade I (carboplatine AUC 7 IV J1, 1 cycle unique) en alternative à la radiothérapie adjuvante. (11) Hors AMM — cancer de l'endomètre (protocole carboplatine-paclitaxel), cancer de l'oesophage, thymome.</w:t>
      </w:r>
    </w:p>
    <w:p>
      <w:pPr>
        <w:pStyle w:val="ListBullet"/>
      </w:pPr>
      <w:r>
        <w:t>Contre-indications : Hypersensibilité au carboplatine ou aux autres sels de platine (cisplatine, oxaliplatine) ou aux excipients ; myélosuppression sévère pré-existante (PNN &lt; 2 G/L, plaquettes &lt; 100 G/L) ; insuffisance rénale sévère (DFG &lt; 20 mL/min — adaptation obligatoire par formule de Calvert) ; grossesse et allaitement (CI absolue — tératogène, mutagène) ; infection évolutive non contrôlée ; hémorragie évolutive ; vaccination vivante atténuée contemporaine ; antécédent de réaction d'hypersensibilité sévère au cisplatine (réactivité croisée possible).</w:t>
      </w:r>
    </w:p>
    <w:p>
      <w:pPr>
        <w:pStyle w:val="ListBullet"/>
      </w:pPr>
      <w:r>
        <w:t>Effets Indésirables : (a) Hématologique : myélosuppression MARQUÉE et PROLONGÉE — thrombopénie (nadir à J15-21, parfois profonde &lt; 25 G/L, récupération à J28-35), neutropénie (nadir à J14-21), anémie (souvent cumulative, nécessitant transfusions ou ESA). Risque hémorragique et infectieux majeur en cas de thrombopénie profonde. Surveillance NFS-plaquettes hebdomadaire obligatoire, adaptation de dose selon nadir du cycle précédent (réduction 25 % si nadir plaquettes &lt; 25 G/L ou nadir PNN &lt; 0.5 G/L). (b) Digestif : nausées/vomissements MODÉRÉS (level 2 — nettement moins émétisants que le cisplatine, prévention par anti-5HT3 simple suffisant). Anorexie, mucite, diarrhée, hépatotoxicité (élévation transaminases), pancréatite rare. (c) Neurologique : neurotoxicité périphérique FAIBLE (incidence 5-10 %, nettement inférieure au cisplatine) — paresthésies distales modérées, rarement invalidantes. (d) Auditif : ototoxicité FAIBLE (incidence 5-10 %, surtout chez sujet âgé ou prédisposé). (e) Rénal : néphrotoxicité FAIBLE (incidence 5-10 %, nettement inférieure au cisplatine) — tubulopathie modérée, syndrome de Fanconi rare. Pas d'hydratation IV systématique nécessaire (à la différence du cisplatine). (f) Électrolytique : hypomagnésémie modérée (incidence 10-20 %, moins sévère que le cisplatine). (g) Allergique : réactions d'hypersensibilité (incidence 1-5 %, plus fréquentes après plusieurs cures — rash, urticaire, bronchospasme, anaphylaxie). Prémédication par antihistaminiques et corticoïdes recommandée à partir de la 7e cure. (h) Cutané : rash, alopécie modérée, hypersensibilité. (i) Veineux : irritation veineuse locale (la solution est moins irritante que le cisplatine — perfusion veineuse périphérique possible). (j) Carcinogénèse : risque de leucémie secondaire à long terme (inférieur au cisplatine mais possible). (k) Gonadique : stérilité — azoospermie chez l'homme, aménorrhée chez la femme (parfois définitive selon dose cumulée). (l) Métabolique : syndrome de lyse tumorale rare en cas de masse tumorale élevée. (m) Pulmonaire : pneumopathie interstitielle rare.</w:t>
      </w:r>
    </w:p>
    <w:p>
      <w:r/>
      <w:r>
        <w:rPr>
          <w:b/>
        </w:rPr>
        <w:t>Prévention et Gestion des Effets Indésirables :</w:t>
      </w:r>
      <w:r/>
    </w:p>
    <w:p>
      <w:pPr>
        <w:pStyle w:val="ListBullet"/>
      </w:pPr>
      <w:r>
        <w:t>Mesures Préventives : (1) Calcul de la dose par formule de Calvert selon le débit de filtration glomérulaire (DFG) et l'AUC cible : dose (mg) = AUC cible × (DFG + 25). AUC cible variable selon indication : AUC 5-6 en 1re ligne, AUC 4-5 en association avec paclitaxel (réduction risque thrombopénie), AUC 7 en monochimiothérapie séminome stade I. DFG estimé par formule de Cockcroft (poids, âge, créatinine) ou mesuré par clairance de la créatinine urinaire 24 h. (2) Surveillance NFS-plaquettes hebdomadaire pendant cures, puis mensuelle. (3) Adaptation de dose selon nadir du cycle précédent — réduction 25 % si nadir plaquettes &lt; 25 G/L ou nadir PNN &lt; 0.5 G/L, maintien dose si nadir acceptable, augmentation 25 % si nadir plaquettes &gt; 100 G/L et PNN &gt; 1.5 G/L (selon indication et tolérance). (4) Surveillance créatinine et ionogramme (K, Mg, Ca, PO4) avant chaque cure. (5) Prévention nausea/vomissements par anti-5HT3 simple (ondansétron 8 mg IV) ± corticoïde (dexaméthasone 8 mg IV). (6) Prémédication par antihistaminiques (diphénhydramine 50 mg IV) + corticoïde (hydrocortisone 100 mg IV) à partir de la 7e cure (risque allergique majoré). (7) Cryopréservation gamétique pré-thérapeutique systématique (azoospermie, aménorrhée risque). (8) Prévention syndrome de lyse tumorale (allopurinol) si masse tumorale élevée. (9) Vaccinations à jour avant traitement — vaccins vivants contre-indiqués pendant et 6 mois après. (10) Surveillance à long terme (10-15 ans) pour second cancer (NFS annuelle).</w:t>
      </w:r>
    </w:p>
    <w:p>
      <w:pPr>
        <w:pStyle w:val="ListBullet"/>
      </w:pPr>
      <w:r>
        <w:t>Conduite à Tenir : (1) Si thrombopénie sévère (plaquettes &lt; 25 G/L) → transfusion plaquettaire prophylactique, arrêt transitoire, surveillance hémorragique. (2) Si neutropénie fébrile (PNN &lt; 0.5 G/L + T° ≥ 38.5 °C) → hospitalisation, hémocultures, antibiothérapie empirique large spectre IV, G-CSF. (3) Si réaction d'hypersensibilité (rash, bronchospasme, hypotension) → arrêt immédiat du carboplatine, antihistaminiques IV, corticoïdes IV, adrénaline si anaphylaxie. Désensibilisation possible selon protocole spécifique en milieu spécialisé. (4) Si neurotoxicité grade 2-3 (paresthésies invalidantes) → arrêt transitoire, suivi neurologique, gabapentine pour douleurs neuropathiques. (5) Si hypomagnésémie (Mg &lt; 0.5 mmol/L) → MgSO4 IV, surveillance ECG. (6) Si syndrome de lyse tumorale → hydratation IV, allopurinol/rasburicase, surveillance ICU. (7) Adaptation de dose selon fonction rénale — formule de Calvert (réduction DFG → réduction dose proportionnelle).</w:t>
      </w:r>
    </w:p>
    <w:p>
      <w:r/>
      <w:r>
        <w:rPr>
          <w:b/>
        </w:rPr>
        <w:t>Interactions Importantes :</w:t>
      </w:r>
      <w:r/>
    </w:p>
    <w:p>
      <w:pPr>
        <w:pStyle w:val="ListBullet"/>
      </w:pPr>
      <w:r>
        <w:t>Carboplatine + Paclitaxel : association synergique (protocole CP), neurotoxicité additive (paclitaxel), myélosuppression additive — ordre d'administration (carboplatine après paclitaxel pour limiter myélosuppression), surveillance NFS et neurologique.</w:t>
      </w:r>
    </w:p>
    <w:p>
      <w:pPr>
        <w:pStyle w:val="ListBullet"/>
      </w:pPr>
      <w:r>
        <w:t>Carboplatine + Aminosides, diurétiques de l'anse : néphrotoxicité et ototoxicité additives (moins que cisplatine mais surveillance) — surveillance créatinine et audiométrie si association.</w:t>
      </w:r>
    </w:p>
    <w:p>
      <w:pPr>
        <w:pStyle w:val="ListBullet"/>
      </w:pPr>
      <w:r>
        <w:t>Carboplatine + Phénytoïne : diminution de l'absorption de la phénytoïne — surveillance taux phénytoïnémie.</w:t>
      </w:r>
    </w:p>
    <w:p>
      <w:pPr>
        <w:pStyle w:val="ListBullet"/>
      </w:pPr>
      <w:r>
        <w:t>Carboplatine + Anticoagulants oraux (warfarine) : potentialisation de l'anticoagulation (myélosuppression) — surveillance INR.</w:t>
      </w:r>
    </w:p>
    <w:p>
      <w:pPr>
        <w:pStyle w:val="ListBullet"/>
      </w:pPr>
      <w:r>
        <w:t>Carboplatine + Vaccins vivants atténués : risque de maladie vaccinale généralisée — CI absolue pendant et 6 mois après traitement.</w:t>
      </w:r>
    </w:p>
    <w:p>
      <w:pPr>
        <w:pStyle w:val="ListBullet"/>
      </w:pPr>
      <w:r>
        <w:t>Carboplatine + Autres sels de platine (cisplatine, oxaliplatine) : résistance croisée complète — pas de cumul d'efficacité en cas d'échec de l'un.</w:t>
      </w:r>
    </w:p>
    <w:p>
      <w:pPr>
        <w:pStyle w:val="ListBullet"/>
      </w:pPr>
      <w:r>
        <w:t>Carboplatine + Radiothérapie : synergie (inhibition de la réparation de l'ADN radio-induit) — utilisée en concomitant, mais risque de myélosuppression majorée.</w:t>
      </w:r>
    </w:p>
    <w:p>
      <w:pPr>
        <w:pStyle w:val="ListBullet"/>
      </w:pPr>
      <w:r>
        <w:t>Carboplatine + Cyclophosphamide, ifosfamide : myélosuppression additive — surveillance NFS.</w:t>
      </w:r>
    </w:p>
    <w:p>
      <w:pPr>
        <w:pStyle w:val="ListBullet"/>
      </w:pPr>
      <w:r>
        <w:t>Carboplatine + Étoposide (protocole CE) : association synergique, myélosuppression additive — surveillance NFS.</w:t>
      </w:r>
    </w:p>
    <w:p>
      <w:pPr>
        <w:pStyle w:val="ListBullet"/>
      </w:pPr>
      <w:r>
        <w:t>Carboplatine + Pémétrexed : association synergique (PCNSCL), supplémentation acide folique + vitamine B12 obligatoire.</w:t>
      </w:r>
    </w:p>
    <w:p>
      <w:pPr>
        <w:pStyle w:val="ListBullet"/>
      </w:pPr>
      <w:r>
        <w:t>Carboplatine + Gemcitabine : association synergique (cancer de l'ovaire en rechute, cancer de la vessie), myélosuppression additive — adaptation de dose gemcitabine (réduction si nadir bas).</w:t>
      </w:r>
    </w:p>
    <w:p>
      <w:pPr>
        <w:pStyle w:val="ListBullet"/>
      </w:pPr>
      <w:r>
        <w:t>Carboplatine + Doxorubicine liposomale pegylée (PLD) : association synergique (cancer de l'ovaire en rechute), myélosuppression additive — surveillance NFS.</w:t>
      </w:r>
    </w:p>
    <w:p>
      <w:r/>
      <w:r>
        <w:rPr>
          <w:b/>
        </w:rPr>
        <w:t>Grossesse et Allaitement :</w:t>
      </w:r>
      <w:r/>
    </w:p>
    <w:p>
      <w:pPr>
        <w:pStyle w:val="ListBullet"/>
      </w:pPr>
      <w:r>
        <w:t>Grossesse : CI absolue à toutes les phases de la grossesse (CRAT — embryo-létale au 1er trimestre, tératogène, mutagène, fœtotoxique à toutes les phases — malformations majeures : squelettiques, cérébrales, palatines, oculaires, urogénitales ; retards de croissance ; avortements spontanés). Test de grossesse pré-thérapeutique systématique chez toute femme en âge de procréer. Contraception efficace obligatoire pendant et 6 mois après la fin du traitement (les deux partenaires). Le carboplatine traverse le placenta (concentration fœtale ≈ 50 % maternelle). En cas de cancer diagnostiqué pendant la grossesse → avis oncologie/obstétrique multidisciplinaire, traitement différé après accouchement si possible, ou choix d'un protocole sans carboplatine.</w:t>
      </w:r>
    </w:p>
    <w:p>
      <w:pPr>
        <w:pStyle w:val="ListBullet"/>
      </w:pPr>
      <w:r>
        <w:t>Allaitement : CI absolue. Le carboplatine passe dans le lait maternel à des concentrations significatives. Risque de myélosuppression, de carcinogénèse, de mutagénicité à long terme chez le nourrisson. Interruption définitive de l'allaitement avant la première cure.</w:t>
      </w:r>
    </w:p>
    <w:p>
      <w:pPr>
        <w:pStyle w:val="ListBullet"/>
      </w:pPr>
      <w:r>
        <w:t>Précisions : Cryopréservation gamétique pré-thérapeutique systématique obligatoire chez l'homme (congélation sperme) et la femme jeune (consultation PMA — préservation ovocytaire ou tissulaire ovarienne) en raison du risque de stérilité (azoospermie chez 30-50 % des hommes après dose cumulée 1500 mg/m², aménorrhée chez 30-50 % des femmes après dose cumulée 1500 mg/m²). Information claire au patient et à son conjoint sur le risque de stérilité après traitement.</w:t>
      </w:r>
    </w:p>
    <w:p>
      <w:r/>
      <w:r>
        <w:rPr>
          <w:b/>
        </w:rPr>
        <w:t>Posologie et Mode d'administration (Standard) :</w:t>
      </w:r>
      <w:r/>
    </w:p>
    <w:p>
      <w:pPr>
        <w:pStyle w:val="ListBullet"/>
      </w:pPr>
      <w:r>
        <w:t>Adulte : (1) Cancer de l'ovaire — protocole CP (carboplatine-paclitaxel) : Carboplatine AUC 5-6 IV J1 (calcul par formule de Calvert : dose = AUC × (DFG + 25)) + Paclitaxel 175 mg/m² IV J1, cure toutes les 3 semaines × 6 cycles. (2) PCNSCL sujet âgé — protocole hebdomadaire : Carboplatine AUC 6 IV J1 + Paclitaxel 90 mg/m² IV J1, J8, J15, cure toutes les 4 semaines × 4 cycles. (3) PCPC — protocole CE : Carboplatine AUC 5-6 IV J1 + Etoposide 100 mg/m²/J IV J1-J3, cure toutes les 3 semaines × 4-6 cycles. (4) Cancer de la vessie — protocole carboplatine-gemcitabine : Carboplatine AUC 4-5 IV J1 + Gemcitabine 1000 mg/m² IV J1, J8, J15, cure toutes les 4 semaines × 4-6 cycles (chez sujet inéligible au cisplatine). (5) Séminome testiculaire stade I — Carboplatine AUC 7 IV J1, 1 cycle unique (alternative à la radiothérapie adjuvante). (6) Cancer du col utérin — protocole carboplatine-paclitaxel : Carboplatine AUC 5 IV J1 + Paclitaxel 175 mg/m² IV J1, cure toutes des 3 semaines × 6 cycles.</w:t>
      </w:r>
    </w:p>
    <w:p>
      <w:pPr>
        <w:pStyle w:val="ListBullet"/>
      </w:pPr>
      <w:r>
        <w:t>Enfant : Neuroblastome, tumeurs germinales : 400-600 mg/m²/cure selon protocole, surveillance identique à l'adulte.</w:t>
      </w:r>
    </w:p>
    <w:p>
      <w:pPr>
        <w:pStyle w:val="ListBullet"/>
      </w:pPr>
      <w:r>
        <w:t>Durée : Variable selon indication — cancer de l'ovaire : 6 cycles espacés de 3 semaines ; PCNSCL : 4 cycles espacés de 4 semaines ; PCPC : 4-6 cycles espacés de 3 semaines ; séminome stade I : 1 cycle unique.</w:t>
      </w:r>
    </w:p>
    <w:p>
      <w:pPr>
        <w:pStyle w:val="ListBullet"/>
      </w:pPr>
      <w:r>
        <w:t>Moment de la prise : Hospitalier exclusif (service oncologie médicale, hôpital de jour), perfusion IV en 30 min à 1 h dans 250-500 mL G5% ou NaCl 0.9 % (selon RCP). Pas d'hydratation IV systématique nécessaire (à la différence du cisplatine — le carboplatine étant moins néphrotoxique). Surveillance : scope, ECG, pression artérielle pendant perfusion. Prévention nausea/vomissements par anti-5HT3 simple.</w:t>
      </w:r>
    </w:p>
    <w:p>
      <w:r/>
      <w:r>
        <w:rPr>
          <w:b/>
        </w:rPr>
        <w:t>Arbitrage et Bénéfices des Formes Galéniques :</w:t>
      </w:r>
      <w:r/>
    </w:p>
    <w:p>
      <w:r>
        <w:t>Le carboplatine est disponible en Algérie sous forme injectable (solution pour perfusion IV à 10 mg/mL, dosages 50 mg/5 mL, 150 mg/15 mL, 450 mg/45 mL). Toutes les spécialités sont en état NON RENOUVELABLE (CYTOCARB, CARBOPLATINE MYLAN) ou RETIRÉ (PARAPLATINE, CARBOPLATINE EBEWE, BLASTOCAR B) du marché algérien à la date d'Avril 2026 — ce qui soulève une alerte similaire au cisplatine sur l'approvisionnement en carboplatine pour les patients algériens nécessitant ce traitement (notamment cancer de l'ovaire, cancer du poumon, cancer du col utérin). Les praticiens algériens doivent recourir à l'importation exceptionnelle. Avantages du carboplatine par rapport au cisplatine : (1) néphrotoxicité moindre (pas d'hydratation IV systématique, utilisation possible chez insuffisant rénal modéré), (2) ototoxicité moindre, (3) neurotoxicité moindre, (4) émétisation moindre (level 2 vs level 4), (5) administration en hôpital de jour (pas d'hospitalisation complète), (6) calcul de dose par formule de Calvert (PK predictible), (7) perfusion plus courte (30-60 min vs 1-2 h pour le cisplatine). Inconvénients : (1) myélosuppression plus marquée (thrombopénie profonde), (2) efficacité légèrement inférieure au cisplatine dans le cancer du testicule et la radiochimiothérapie concomitante (cisplatine radiosensibilisant supérieur). L'arbitrage cisplatine ↔ carboplatine se fait selon l'indication (cisplatine pour cancer du testicule et radiochimiothérapie, carboplatine pour cancer de l'ovaire, PCNSCL sujet âgé, cancer du col utérin) et la tolérance (carboplatine chez sujet âgé, insuffisant rénal, neuropathie pré-existante). La solution reconstituée se conserve 24 h à T° ambiante, 7 j à 4 °C (mais usage immédiat recommandé). L'usage hospitalier exclusif en PUI en ZAC est obligatoire.</w:t>
      </w:r>
    </w:p>
    <w:p>
      <w:r/>
      <w:r>
        <w:rPr>
          <w:b/>
        </w:rPr>
        <w:t>Instructions et Conseils au Patient :</w:t>
      </w:r>
      <w:r/>
    </w:p>
    <w:p>
      <w:pPr>
        <w:pStyle w:val="ListBullet"/>
      </w:pPr>
      <w:r>
        <w:t>Communication au comptoir : (1) Information claire au patient : traitement exclusivement hospitalier (service oncologie médicale, hôpital de jour), perfusion IV en 30-60 min, hydratation IV non systématique (à la différence du cisplatine). (2) Prévenir le patient des effets indésirables majeurs : thrombopénie (risque hémorragique — surveillance NFS-plaquettes hebdomadaire, signes d'alerte : gingivorragies, épistaxis, pétéchies), neutropénie (fièvre — urgence infectieuse), anémie (fatigue, pâleur — transfusions), allergies (rash, bronchospasme — à signaler surtout à partir de la 7e cure), neurotoxicité modérée (paresthésies extrémités — surveillance neurologique), hypomagnésémie (crampes — surveillance ionogramme), stérilité (cryopréservation gamétique préalable obligatoire), risque de second cancer à long terme (surveillance hématologique prolongée 10-15 ans). (3) Prévenir fièvre (≥ 38.5 °C) et tout signe hémorragique → consulter en urgence. (4) Surveillance NFS-plaquettes, créatinine, ionogramme avant chaque cure et hebdomadaire pendant cures. (5) Prémédication par antihistaminiques + corticoïdes à partir de la 7e cure (risque allergique majoré). (6) Contraception obligatoire pendant et 6 mois après traitement (les deux partenaires). (7) Éviter vaccins vivants atténués pendant et 6 mois après traitement. (8) Coordonnées du service oncologue référent et de l'urgence hospitalière. (9) Conservation à T° &lt; 25 °C, à l'abri de la lumière, hors de portée des enfants.</w:t>
      </w:r>
    </w:p>
    <w:p>
      <w:pPr>
        <w:pStyle w:val="ListBullet"/>
      </w:pPr>
      <w:r>
        <w:t>Mode d'utilisation pratique : (1) Préparation centralisée en PUI hospitalière en ZAC, manipulation par personnel formé (EPI complet : double gants nitrile, masque FFP2, lunettes de protection, blouse chimio, charlotte). (2) Dilution secondaire dans 250-500 mL G5% ou NaCl 0.9 % selon RCP. (3) Solution reconstituée à conserver à l'abri de la lumière, administration immédiate dans les 24 h. (4) Perfuser en 30-60 min par voie veineuse périphérique ou centrale (moins irritante que le cisplatine). (5) Pas d'hydratation IV systématique nécessaire. (6) Surveillance scope, ECG, pression artérielle pendant perfusion. (7) Prévention nausea/vomissements par anti-5HT3 simple. (8) Prémédication antihistaminique + corticoïde à partir de la 7e cure. (9) Élimination des déchets cytotoxiques selon circuit dédié.</w:t>
      </w:r>
    </w:p>
    <w:p>
      <w:r/>
      <w:r>
        <w:rPr>
          <w:b/>
        </w:rPr>
        <w:t>Notes, Règles d'Or &amp; Pièges au Comptoir :</w:t>
      </w:r>
      <w:r/>
    </w:p>
    <w:p>
      <w:pPr>
        <w:pStyle w:val="ListBullet"/>
      </w:pPr>
      <w:r>
        <w:t>Piège classique : (1) Calcul de dose par formule de Calvert (dose = AUC × (DFG + 25)) — nécessité d'estimer précisément le DFG (clairance créatinine 24 h idéalement, formule de Cockcroft acceptable). Erreur de calcul = surdosage (thrombopénie profonde) ou sous-dosage (inefficacité). Vérification systématique par 2 préparateurs. (2) Thrombopénie profonde (nadir J15-21, parfois &lt; 25 G/L) — surveillance NFS-plaquettes hebdomadaire, transfusions prophylactiques, adaptation de dose selon nadir du cycle précédent. (3) Allergies à partir de la 7e cure (rash, bronchospasme, anaphylaxie) — prémédication antihistaminique + corticoïde systématique, désensibilisation possible. (4) Résistance croisée complète avec le cisplatine et l'oxaliplatine — pas de cumul d'efficacité en cas d'échec de l'un. (5) Toutes les spécialités en état NON RENOUVELABLE ou RETIRÉ du marché algérien — alerte sur l'approvisionnement en carboplatine, alternatives à discuter. (6) Vaccins vivants contre-indiqués pendant et 6 mois après traitement. (7) Patiente femme enceinte à risque tératogène majeur — contraception stricte. (8) Risque de second cancer à long terme — surveillance hématologique prolongée 10-15 ans. (9) Stérilité (cryopréservation gamétique préalable obligatoire).</w:t>
      </w:r>
    </w:p>
    <w:p>
      <w:pPr>
        <w:pStyle w:val="ListBullet"/>
      </w:pPr>
      <w:r>
        <w:t>Règle de prise : Hospitalier exclusif (hôpital de jour), perfusion IV en 30-60 min dans G5% ou NaCl 0.9 %, calcul de dose par formule de Calvert (dose = AUC × (DFG + 25)), surveillance NFS-plaquettes hebdomadaire (nadir J15-21), adaptation de dose selon nadir, prémédication antihistaminique + corticoïde à partir de la 7e cure, contraception obligatoire 6 mois post-traitement, surveillance long terme NFS annuelle pour second cancer.</w:t>
      </w:r>
    </w:p>
    <w:p>
      <w:pPr>
        <w:pStyle w:val="ListBullet"/>
      </w:pPr>
      <w:r>
        <w:t>Préparation et Conservation : Solution injectable pour perfusion IV à 10 mg/mL (50 mg/5 mL, 150 mg/15 mL, 450 mg/45 mL). Dilution secondaire dans 250-500 mL G5% ou NaCl 0.9 % selon RCP. Stabilité 24 h à T° ambiante à l'abri de la lumière, 7 j à 4 °C (mais usage immédiat recommandé). Conservation flacons non ouverts : 3 ans à T° &lt; 25 °C, à l'abri de la lumière.</w:t>
      </w:r>
    </w:p>
    <w:p>
      <w:pPr>
        <w:pStyle w:val="ListBullet"/>
      </w:pPr>
      <w:r>
        <w:t>Piège du surdosage / Substitution : (1) Confusion carboplatine ↔ cisplatine ↔ oxaliplatine (structures proches, mécanismes communs, mais toxicités et posologies différentes) — vérification systématique de la DCI. (2) Erreur de calcul de dose par formule de Calvert (estimation imprécise du DFG) — vérification systématique par 2 préparateurs, contrôle biologique de la créatinine. (3) Substitution carboplatine ↔ cisplatine (équivalence par formule de Calvert selon AUC) : non recommandée pour les cancers du testicule (cisplatine supérieur) et la radiochimiothérapie concomitante (cisplatine radiosensibilisant supérieur). (4) Surdosage (erreur de calcul AUC, dose &gt; AUC 7-8) — risque thrombopénie profonde, transfusions, surveillance ICU. (5) Manipulation à risque pour le personnel soignant (femmes enceintes en particulier) — port d'EPI obligatoire. (6) Risque de second cancer à long terme (leucémies myélomonocytaires) — surveillance hématologique prolongée 10-15 ans (NFS annuelle). (7) Approvisionnement compromis en Algérie (toutes les spécialités en état NON RENOUVELABLE ou RETIRÉ) — alternatives à discuter avec oncologue.</w:t>
      </w:r>
    </w:p>
    <w:p>
      <w:pPr>
        <w:pStyle w:val="Heading3"/>
      </w:pPr>
      <w:r>
        <w:t>11. DCI : Oxaliplatine (Seule)</w:t>
      </w:r>
    </w:p>
    <w:p>
      <w:r/>
      <w:r>
        <w:rPr>
          <w:b/>
        </w:rPr>
        <w:t>Liste des Catégories :</w:t>
      </w:r>
      <w:r>
        <w:t xml:space="preserve"> Cytotoxique — Antinéoplasique — Agent alkylant de platine — Sel de platine de troisième génération — Complexe de coordination platine-Pt(II) — Liste I — Médicament à prescription hospitalière stricte.</w:t>
      </w:r>
    </w:p>
    <w:p>
      <w:r>
        <w:t>L'oxaliplatine (Eloxatin®, eloxatine) est le sel de platine de troisième génération, commercialisé en 1996. Caractérisé par un ligand diaminocyclohexane (DACH) à la place des deux ammines du cisplatine et un ligand oxalate à la place des chlorures, il présente une activité sur les cellules résistantes au cisplatine (réparation NER accrue contournée par l'encombrement stérique DACH), une neurotoxicité aiguë déclenchée par le froid, et une indication princeps dans les cancers colorectaux (protocoles FOLFOX, CAPOX, FLOT).</w:t>
      </w:r>
    </w:p>
    <w:p>
      <w:r/>
      <w:r>
        <w:rPr>
          <w:b/>
        </w:rPr>
        <w:t>Médicaments disponibles en Algérie (Marques, Laboratoires, Formes et Dosages)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OXALIPLATINE MYLAN</w:t>
            </w:r>
          </w:p>
        </w:tc>
        <w:tc>
          <w:tcPr>
            <w:tcW w:type="dxa" w:w="1559"/>
          </w:tcPr>
          <w:p>
            <w:r>
              <w:rPr>
                <w:sz w:val="20"/>
              </w:rPr>
              <w:t>Mylan SAS</w:t>
            </w:r>
          </w:p>
        </w:tc>
        <w:tc>
          <w:tcPr>
            <w:tcW w:type="dxa" w:w="1559"/>
          </w:tcPr>
          <w:p>
            <w:r>
              <w:rPr>
                <w:sz w:val="20"/>
              </w:rPr>
              <w:t>Poudre pour solution pour perfusion IV 50 mg/flacon (5 mg/mL de solution reconstituée)</w:t>
            </w:r>
          </w:p>
        </w:tc>
        <w:tc>
          <w:tcPr>
            <w:tcW w:type="dxa" w:w="1559"/>
          </w:tcPr>
          <w:p>
            <w:r>
              <w:rPr>
                <w:sz w:val="20"/>
              </w:rPr>
              <w:t>B/1 flacon de poudre</w:t>
            </w:r>
          </w:p>
        </w:tc>
        <w:tc>
          <w:tcPr>
            <w:tcW w:type="dxa" w:w="1559"/>
          </w:tcPr>
          <w:p>
            <w:r>
              <w:rPr>
                <w:sz w:val="20"/>
              </w:rPr>
              <w:t>Liste I</w:t>
            </w:r>
          </w:p>
        </w:tc>
        <w:tc>
          <w:tcPr>
            <w:tcW w:type="dxa" w:w="1559"/>
          </w:tcPr>
          <w:p>
            <w:r>
              <w:rPr>
                <w:sz w:val="20"/>
              </w:rPr>
              <w:t>Actif</w:t>
            </w:r>
          </w:p>
        </w:tc>
      </w:tr>
      <w:tr>
        <w:tc>
          <w:tcPr>
            <w:tcW w:type="dxa" w:w="1559"/>
          </w:tcPr>
          <w:p>
            <w:r>
              <w:rPr>
                <w:sz w:val="20"/>
              </w:rPr>
              <w:t>OXALIPLATINE MYLAN</w:t>
            </w:r>
          </w:p>
        </w:tc>
        <w:tc>
          <w:tcPr>
            <w:tcW w:type="dxa" w:w="1559"/>
          </w:tcPr>
          <w:p>
            <w:r>
              <w:rPr>
                <w:sz w:val="20"/>
              </w:rPr>
              <w:t>Mylan SAS</w:t>
            </w:r>
          </w:p>
        </w:tc>
        <w:tc>
          <w:tcPr>
            <w:tcW w:type="dxa" w:w="1559"/>
          </w:tcPr>
          <w:p>
            <w:r>
              <w:rPr>
                <w:sz w:val="20"/>
              </w:rPr>
              <w:t>Poudre pour solution pour perfusion IV 100 mg/flacon (5 mg/mL de solution reconstituée)</w:t>
            </w:r>
          </w:p>
        </w:tc>
        <w:tc>
          <w:tcPr>
            <w:tcW w:type="dxa" w:w="1559"/>
          </w:tcPr>
          <w:p>
            <w:r>
              <w:rPr>
                <w:sz w:val="20"/>
              </w:rPr>
              <w:t>B/1 flacon de poudre</w:t>
            </w:r>
          </w:p>
        </w:tc>
        <w:tc>
          <w:tcPr>
            <w:tcW w:type="dxa" w:w="1559"/>
          </w:tcPr>
          <w:p>
            <w:r>
              <w:rPr>
                <w:sz w:val="20"/>
              </w:rPr>
              <w:t>Liste I</w:t>
            </w:r>
          </w:p>
        </w:tc>
        <w:tc>
          <w:tcPr>
            <w:tcW w:type="dxa" w:w="1559"/>
          </w:tcPr>
          <w:p>
            <w:r>
              <w:rPr>
                <w:sz w:val="20"/>
              </w:rPr>
              <w:t>Actif</w:t>
            </w:r>
          </w:p>
        </w:tc>
      </w:tr>
      <w:tr>
        <w:tc>
          <w:tcPr>
            <w:tcW w:type="dxa" w:w="1559"/>
          </w:tcPr>
          <w:p>
            <w:r>
              <w:rPr>
                <w:sz w:val="20"/>
              </w:rPr>
              <w:t>OXIPLAT 50</w:t>
            </w:r>
          </w:p>
        </w:tc>
        <w:tc>
          <w:tcPr>
            <w:tcW w:type="dxa" w:w="1559"/>
          </w:tcPr>
          <w:p>
            <w:r>
              <w:rPr>
                <w:sz w:val="20"/>
              </w:rPr>
              <w:t>Sun Pharmaceuticals Industries Ltd</w:t>
            </w:r>
          </w:p>
        </w:tc>
        <w:tc>
          <w:tcPr>
            <w:tcW w:type="dxa" w:w="1559"/>
          </w:tcPr>
          <w:p>
            <w:r>
              <w:rPr>
                <w:sz w:val="20"/>
              </w:rPr>
              <w:t>Concentré à diluer pour perfusion IV 50 mg/flacon (5 mg/mL ou 50 mg/10 mL)</w:t>
            </w:r>
          </w:p>
        </w:tc>
        <w:tc>
          <w:tcPr>
            <w:tcW w:type="dxa" w:w="1559"/>
          </w:tcPr>
          <w:p>
            <w:r>
              <w:rPr>
                <w:sz w:val="20"/>
              </w:rPr>
              <w:t>B/1 flacon concentré 10 mL</w:t>
            </w:r>
          </w:p>
        </w:tc>
        <w:tc>
          <w:tcPr>
            <w:tcW w:type="dxa" w:w="1559"/>
          </w:tcPr>
          <w:p>
            <w:r>
              <w:rPr>
                <w:sz w:val="20"/>
              </w:rPr>
              <w:t>Liste I</w:t>
            </w:r>
          </w:p>
        </w:tc>
        <w:tc>
          <w:tcPr>
            <w:tcW w:type="dxa" w:w="1559"/>
          </w:tcPr>
          <w:p>
            <w:r>
              <w:rPr>
                <w:sz w:val="20"/>
              </w:rPr>
              <w:t>Actif</w:t>
            </w:r>
          </w:p>
        </w:tc>
      </w:tr>
      <w:tr>
        <w:tc>
          <w:tcPr>
            <w:tcW w:type="dxa" w:w="1559"/>
          </w:tcPr>
          <w:p>
            <w:r>
              <w:rPr>
                <w:sz w:val="20"/>
              </w:rPr>
              <w:t>OXIPLAT 100</w:t>
            </w:r>
          </w:p>
        </w:tc>
        <w:tc>
          <w:tcPr>
            <w:tcW w:type="dxa" w:w="1559"/>
          </w:tcPr>
          <w:p>
            <w:r>
              <w:rPr>
                <w:sz w:val="20"/>
              </w:rPr>
              <w:t>Sun Pharmaceuticals Industries Ltd</w:t>
            </w:r>
          </w:p>
        </w:tc>
        <w:tc>
          <w:tcPr>
            <w:tcW w:type="dxa" w:w="1559"/>
          </w:tcPr>
          <w:p>
            <w:r>
              <w:rPr>
                <w:sz w:val="20"/>
              </w:rPr>
              <w:t>Concentré à diluer pour perfusion IV 100 mg/flacon (5 mg/mL ou 100 mg/20 mL)</w:t>
            </w:r>
          </w:p>
        </w:tc>
        <w:tc>
          <w:tcPr>
            <w:tcW w:type="dxa" w:w="1559"/>
          </w:tcPr>
          <w:p>
            <w:r>
              <w:rPr>
                <w:sz w:val="20"/>
              </w:rPr>
              <w:t>B/1 flacon concentré 20 mL</w:t>
            </w:r>
          </w:p>
        </w:tc>
        <w:tc>
          <w:tcPr>
            <w:tcW w:type="dxa" w:w="1559"/>
          </w:tcPr>
          <w:p>
            <w:r>
              <w:rPr>
                <w:sz w:val="20"/>
              </w:rPr>
              <w:t>Liste I</w:t>
            </w:r>
          </w:p>
        </w:tc>
        <w:tc>
          <w:tcPr>
            <w:tcW w:type="dxa" w:w="1559"/>
          </w:tcPr>
          <w:p>
            <w:r>
              <w:rPr>
                <w:sz w:val="20"/>
              </w:rPr>
              <w:t>Actif</w:t>
            </w:r>
          </w:p>
        </w:tc>
      </w:tr>
      <w:tr>
        <w:tc>
          <w:tcPr>
            <w:tcW w:type="dxa" w:w="1559"/>
          </w:tcPr>
          <w:p>
            <w:r>
              <w:rPr>
                <w:sz w:val="20"/>
              </w:rPr>
              <w:t>XLATIN</w:t>
            </w:r>
          </w:p>
        </w:tc>
        <w:tc>
          <w:tcPr>
            <w:tcW w:type="dxa" w:w="1559"/>
          </w:tcPr>
          <w:p>
            <w:r>
              <w:rPr>
                <w:sz w:val="20"/>
              </w:rPr>
              <w:t>Laboratoires Accure Labs Pvt. Ltd</w:t>
            </w:r>
          </w:p>
        </w:tc>
        <w:tc>
          <w:tcPr>
            <w:tcW w:type="dxa" w:w="1559"/>
          </w:tcPr>
          <w:p>
            <w:r>
              <w:rPr>
                <w:sz w:val="20"/>
              </w:rPr>
              <w:t>Solution à diluer pour perfusion IV (50 mg/10 mL ou 100 mg/20 mL)</w:t>
            </w:r>
          </w:p>
        </w:tc>
        <w:tc>
          <w:tcPr>
            <w:tcW w:type="dxa" w:w="1559"/>
          </w:tcPr>
          <w:p>
            <w:r>
              <w:rPr>
                <w:sz w:val="20"/>
              </w:rPr>
              <w:t>B/1 flacon 10 mL ou B/1 flacon 20 mL</w:t>
            </w:r>
          </w:p>
        </w:tc>
        <w:tc>
          <w:tcPr>
            <w:tcW w:type="dxa" w:w="1559"/>
          </w:tcPr>
          <w:p>
            <w:r>
              <w:rPr>
                <w:sz w:val="20"/>
              </w:rPr>
              <w:t>Liste I</w:t>
            </w:r>
          </w:p>
        </w:tc>
        <w:tc>
          <w:tcPr>
            <w:tcW w:type="dxa" w:w="1559"/>
          </w:tcPr>
          <w:p>
            <w:r>
              <w:rPr>
                <w:sz w:val="20"/>
              </w:rPr>
              <w:t>Actif</w:t>
            </w:r>
          </w:p>
        </w:tc>
      </w:tr>
      <w:tr>
        <w:tc>
          <w:tcPr>
            <w:tcW w:type="dxa" w:w="1559"/>
          </w:tcPr>
          <w:p>
            <w:r>
              <w:rPr>
                <w:sz w:val="20"/>
              </w:rPr>
              <w:t>OXALIPLATIN EBEWE (R)</w:t>
            </w:r>
          </w:p>
        </w:tc>
        <w:tc>
          <w:tcPr>
            <w:tcW w:type="dxa" w:w="1559"/>
          </w:tcPr>
          <w:p>
            <w:r>
              <w:rPr>
                <w:sz w:val="20"/>
              </w:rPr>
              <w:t>Ebewe Pharma Ges.m.b.H. Nfg.KG</w:t>
            </w:r>
          </w:p>
        </w:tc>
        <w:tc>
          <w:tcPr>
            <w:tcW w:type="dxa" w:w="1559"/>
          </w:tcPr>
          <w:p>
            <w:r>
              <w:rPr>
                <w:sz w:val="20"/>
              </w:rPr>
              <w:t>Poudre pour solution injectable IV 5 mg/mL (ou 50 mg/10 mL et 100 mg/20 mL)</w:t>
            </w:r>
          </w:p>
        </w:tc>
        <w:tc>
          <w:tcPr>
            <w:tcW w:type="dxa" w:w="1559"/>
          </w:tcPr>
          <w:p>
            <w:r>
              <w:rPr>
                <w:sz w:val="20"/>
              </w:rPr>
              <w:t>B/1 flacon 10 mL ou 20 mL</w:t>
            </w:r>
          </w:p>
        </w:tc>
        <w:tc>
          <w:tcPr>
            <w:tcW w:type="dxa" w:w="1559"/>
          </w:tcPr>
          <w:p>
            <w:r>
              <w:rPr>
                <w:sz w:val="20"/>
              </w:rPr>
              <w:t>Liste I</w:t>
            </w:r>
          </w:p>
        </w:tc>
        <w:tc>
          <w:tcPr>
            <w:tcW w:type="dxa" w:w="1559"/>
          </w:tcPr>
          <w:p>
            <w:r>
              <w:rPr>
                <w:sz w:val="20"/>
              </w:rPr>
              <w:t>Non Renouvelable</w:t>
            </w:r>
          </w:p>
        </w:tc>
      </w:tr>
      <w:tr>
        <w:tc>
          <w:tcPr>
            <w:tcW w:type="dxa" w:w="1559"/>
          </w:tcPr>
          <w:p>
            <w:r>
              <w:rPr>
                <w:sz w:val="20"/>
              </w:rPr>
              <w:t>ENTIA (R)</w:t>
            </w:r>
          </w:p>
        </w:tc>
        <w:tc>
          <w:tcPr>
            <w:tcW w:type="dxa" w:w="1559"/>
          </w:tcPr>
          <w:p>
            <w:r>
              <w:rPr>
                <w:sz w:val="20"/>
              </w:rPr>
              <w:t>Lemery</w:t>
            </w:r>
          </w:p>
        </w:tc>
        <w:tc>
          <w:tcPr>
            <w:tcW w:type="dxa" w:w="1559"/>
          </w:tcPr>
          <w:p>
            <w:r>
              <w:rPr>
                <w:sz w:val="20"/>
              </w:rPr>
              <w:t>Lyophilisat pour perfusion IV 50 mg</w:t>
            </w:r>
          </w:p>
        </w:tc>
        <w:tc>
          <w:tcPr>
            <w:tcW w:type="dxa" w:w="1559"/>
          </w:tcPr>
          <w:p>
            <w:r>
              <w:rPr>
                <w:sz w:val="20"/>
              </w:rPr>
              <w:t>B/1 flacon de poudre</w:t>
            </w:r>
          </w:p>
        </w:tc>
        <w:tc>
          <w:tcPr>
            <w:tcW w:type="dxa" w:w="1559"/>
          </w:tcPr>
          <w:p>
            <w:r>
              <w:rPr>
                <w:sz w:val="20"/>
              </w:rPr>
              <w:t>Liste I</w:t>
            </w:r>
          </w:p>
        </w:tc>
        <w:tc>
          <w:tcPr>
            <w:tcW w:type="dxa" w:w="1559"/>
          </w:tcPr>
          <w:p>
            <w:r>
              <w:rPr>
                <w:sz w:val="20"/>
              </w:rPr>
              <w:t>Retiré</w:t>
            </w:r>
          </w:p>
        </w:tc>
      </w:tr>
      <w:tr>
        <w:tc>
          <w:tcPr>
            <w:tcW w:type="dxa" w:w="1559"/>
          </w:tcPr>
          <w:p>
            <w:r>
              <w:rPr>
                <w:sz w:val="20"/>
              </w:rPr>
              <w:t>ENTIA (R)</w:t>
            </w:r>
          </w:p>
        </w:tc>
        <w:tc>
          <w:tcPr>
            <w:tcW w:type="dxa" w:w="1559"/>
          </w:tcPr>
          <w:p>
            <w:r>
              <w:rPr>
                <w:sz w:val="20"/>
              </w:rPr>
              <w:t>Lemery</w:t>
            </w:r>
          </w:p>
        </w:tc>
        <w:tc>
          <w:tcPr>
            <w:tcW w:type="dxa" w:w="1559"/>
          </w:tcPr>
          <w:p>
            <w:r>
              <w:rPr>
                <w:sz w:val="20"/>
              </w:rPr>
              <w:t>Lyophilisat pour perfusion IV 100 mg</w:t>
            </w:r>
          </w:p>
        </w:tc>
        <w:tc>
          <w:tcPr>
            <w:tcW w:type="dxa" w:w="1559"/>
          </w:tcPr>
          <w:p>
            <w:r>
              <w:rPr>
                <w:sz w:val="20"/>
              </w:rPr>
              <w:t>B/1 flacon</w:t>
            </w:r>
          </w:p>
        </w:tc>
        <w:tc>
          <w:tcPr>
            <w:tcW w:type="dxa" w:w="1559"/>
          </w:tcPr>
          <w:p>
            <w:r>
              <w:rPr>
                <w:sz w:val="20"/>
              </w:rPr>
              <w:t>Liste I</w:t>
            </w:r>
          </w:p>
        </w:tc>
        <w:tc>
          <w:tcPr>
            <w:tcW w:type="dxa" w:w="1559"/>
          </w:tcPr>
          <w:p>
            <w:r>
              <w:rPr>
                <w:sz w:val="20"/>
              </w:rPr>
              <w:t>Retiré</w:t>
            </w:r>
          </w:p>
        </w:tc>
      </w:tr>
      <w:tr>
        <w:tc>
          <w:tcPr>
            <w:tcW w:type="dxa" w:w="1559"/>
          </w:tcPr>
          <w:p>
            <w:r>
              <w:rPr>
                <w:sz w:val="20"/>
              </w:rPr>
              <w:t>PHARMAXATIN-50 (R)</w:t>
            </w:r>
          </w:p>
        </w:tc>
        <w:tc>
          <w:tcPr>
            <w:tcW w:type="dxa" w:w="1559"/>
          </w:tcPr>
          <w:p>
            <w:r>
              <w:rPr>
                <w:sz w:val="20"/>
              </w:rPr>
              <w:t>Biovital</w:t>
            </w:r>
          </w:p>
        </w:tc>
        <w:tc>
          <w:tcPr>
            <w:tcW w:type="dxa" w:w="1559"/>
          </w:tcPr>
          <w:p>
            <w:r>
              <w:rPr>
                <w:sz w:val="20"/>
              </w:rPr>
              <w:t>Poudre lyophilisée pour solution injectable pour perfusion IV 50 mg/flacon</w:t>
            </w:r>
          </w:p>
        </w:tc>
        <w:tc>
          <w:tcPr>
            <w:tcW w:type="dxa" w:w="1559"/>
          </w:tcPr>
          <w:p>
            <w:r>
              <w:rPr>
                <w:sz w:val="20"/>
              </w:rPr>
              <w:t>B/1 flacon de poudre</w:t>
            </w:r>
          </w:p>
        </w:tc>
        <w:tc>
          <w:tcPr>
            <w:tcW w:type="dxa" w:w="1559"/>
          </w:tcPr>
          <w:p>
            <w:r>
              <w:rPr>
                <w:sz w:val="20"/>
              </w:rPr>
              <w:t>Liste I</w:t>
            </w:r>
          </w:p>
        </w:tc>
        <w:tc>
          <w:tcPr>
            <w:tcW w:type="dxa" w:w="1559"/>
          </w:tcPr>
          <w:p>
            <w:r>
              <w:rPr>
                <w:sz w:val="20"/>
              </w:rPr>
              <w:t>Retiré</w:t>
            </w:r>
          </w:p>
        </w:tc>
      </w:tr>
      <w:tr>
        <w:tc>
          <w:tcPr>
            <w:tcW w:type="dxa" w:w="1559"/>
          </w:tcPr>
          <w:p>
            <w:r>
              <w:rPr>
                <w:sz w:val="20"/>
              </w:rPr>
              <w:t>PHARMAXATIN-100 (R)</w:t>
            </w:r>
          </w:p>
        </w:tc>
        <w:tc>
          <w:tcPr>
            <w:tcW w:type="dxa" w:w="1559"/>
          </w:tcPr>
          <w:p>
            <w:r>
              <w:rPr>
                <w:sz w:val="20"/>
              </w:rPr>
              <w:t>Biovital</w:t>
            </w:r>
          </w:p>
        </w:tc>
        <w:tc>
          <w:tcPr>
            <w:tcW w:type="dxa" w:w="1559"/>
          </w:tcPr>
          <w:p>
            <w:r>
              <w:rPr>
                <w:sz w:val="20"/>
              </w:rPr>
              <w:t>Poudre lyophilisée pour solution injectable pour perfusion IV 100 mg/flacon</w:t>
            </w:r>
          </w:p>
        </w:tc>
        <w:tc>
          <w:tcPr>
            <w:tcW w:type="dxa" w:w="1559"/>
          </w:tcPr>
          <w:p>
            <w:r>
              <w:rPr>
                <w:sz w:val="20"/>
              </w:rPr>
              <w:t>B/1 flacon de poudre</w:t>
            </w:r>
          </w:p>
        </w:tc>
        <w:tc>
          <w:tcPr>
            <w:tcW w:type="dxa" w:w="1559"/>
          </w:tcPr>
          <w:p>
            <w:r>
              <w:rPr>
                <w:sz w:val="20"/>
              </w:rPr>
              <w:t>Liste I</w:t>
            </w:r>
          </w:p>
        </w:tc>
        <w:tc>
          <w:tcPr>
            <w:tcW w:type="dxa" w:w="1559"/>
          </w:tcPr>
          <w:p>
            <w:r>
              <w:rPr>
                <w:sz w:val="20"/>
              </w:rPr>
              <w:t>Retiré</w:t>
            </w:r>
          </w:p>
        </w:tc>
      </w:tr>
      <w:tr>
        <w:tc>
          <w:tcPr>
            <w:tcW w:type="dxa" w:w="1559"/>
          </w:tcPr>
          <w:p>
            <w:r>
              <w:rPr>
                <w:sz w:val="20"/>
              </w:rPr>
              <w:t>ELOXATINE (R)</w:t>
            </w:r>
          </w:p>
        </w:tc>
        <w:tc>
          <w:tcPr>
            <w:tcW w:type="dxa" w:w="1559"/>
          </w:tcPr>
          <w:p>
            <w:r>
              <w:rPr>
                <w:sz w:val="20"/>
              </w:rPr>
              <w:t>Sanofi Aventis France</w:t>
            </w:r>
          </w:p>
        </w:tc>
        <w:tc>
          <w:tcPr>
            <w:tcW w:type="dxa" w:w="1559"/>
          </w:tcPr>
          <w:p>
            <w:r>
              <w:rPr>
                <w:sz w:val="20"/>
              </w:rPr>
              <w:t>Lyophilisat pour perfusion + solvant à diluer pour perfusion IV 50 mg/flacon (5 mg/mL)</w:t>
            </w:r>
          </w:p>
        </w:tc>
        <w:tc>
          <w:tcPr>
            <w:tcW w:type="dxa" w:w="1559"/>
          </w:tcPr>
          <w:p>
            <w:r>
              <w:rPr>
                <w:sz w:val="20"/>
              </w:rPr>
              <w:t>B/1 flacon lyophilisat + 1 flacon solvant 10 mL</w:t>
            </w:r>
          </w:p>
        </w:tc>
        <w:tc>
          <w:tcPr>
            <w:tcW w:type="dxa" w:w="1559"/>
          </w:tcPr>
          <w:p>
            <w:r>
              <w:rPr>
                <w:sz w:val="20"/>
              </w:rPr>
              <w:t>Liste I</w:t>
            </w:r>
          </w:p>
        </w:tc>
        <w:tc>
          <w:tcPr>
            <w:tcW w:type="dxa" w:w="1559"/>
          </w:tcPr>
          <w:p>
            <w:r>
              <w:rPr>
                <w:sz w:val="20"/>
              </w:rPr>
              <w:t>Retiré</w:t>
            </w:r>
          </w:p>
        </w:tc>
      </w:tr>
      <w:tr>
        <w:tc>
          <w:tcPr>
            <w:tcW w:type="dxa" w:w="1559"/>
          </w:tcPr>
          <w:p>
            <w:r>
              <w:rPr>
                <w:sz w:val="20"/>
              </w:rPr>
              <w:t>ELOXATINE (R)</w:t>
            </w:r>
          </w:p>
        </w:tc>
        <w:tc>
          <w:tcPr>
            <w:tcW w:type="dxa" w:w="1559"/>
          </w:tcPr>
          <w:p>
            <w:r>
              <w:rPr>
                <w:sz w:val="20"/>
              </w:rPr>
              <w:t>Sanofi Aventis France</w:t>
            </w:r>
          </w:p>
        </w:tc>
        <w:tc>
          <w:tcPr>
            <w:tcW w:type="dxa" w:w="1559"/>
          </w:tcPr>
          <w:p>
            <w:r>
              <w:rPr>
                <w:sz w:val="20"/>
              </w:rPr>
              <w:t>Lyophilisat pour perfusion + solvant à diluer pour perfusion IV 100 mg/flacon (5 mg/mL)</w:t>
            </w:r>
          </w:p>
        </w:tc>
        <w:tc>
          <w:tcPr>
            <w:tcW w:type="dxa" w:w="1559"/>
          </w:tcPr>
          <w:p>
            <w:r>
              <w:rPr>
                <w:sz w:val="20"/>
              </w:rPr>
              <w:t>B/1 flacon lyophilisat + 1 flacon solvant 20 mL</w:t>
            </w:r>
          </w:p>
        </w:tc>
        <w:tc>
          <w:tcPr>
            <w:tcW w:type="dxa" w:w="1559"/>
          </w:tcPr>
          <w:p>
            <w:r>
              <w:rPr>
                <w:sz w:val="20"/>
              </w:rPr>
              <w:t>Liste I</w:t>
            </w:r>
          </w:p>
        </w:tc>
        <w:tc>
          <w:tcPr>
            <w:tcW w:type="dxa" w:w="1559"/>
          </w:tcPr>
          <w:p>
            <w:r>
              <w:rPr>
                <w:sz w:val="20"/>
              </w:rPr>
              <w:t>Retiré</w:t>
            </w:r>
          </w:p>
        </w:tc>
      </w:tr>
    </w:tbl>
    <w:p/>
    <w:p>
      <w:r/>
      <w:r>
        <w:rPr>
          <w:b/>
        </w:rPr>
        <w:t>Sous-classe et Mécanisme d'action :</w:t>
      </w:r>
      <w:r/>
    </w:p>
    <w:p>
      <w:pPr>
        <w:pStyle w:val="ListBullet"/>
      </w:pPr>
      <w:r>
        <w:t>Sous-classe : Sel de platine de troisième génération (complexe de coordination platine(II) — [Pt(DACH)(oxalate)] où DACH = trans-1,2-diaminocyclohexane), pseudo-alkylant bifonctionnel, cycle-non-spécifique.</w:t>
      </w:r>
    </w:p>
    <w:p>
      <w:pPr>
        <w:pStyle w:val="ListBullet"/>
      </w:pPr>
      <w:r>
        <w:t>Mécanisme d'action : L'oxaliplatine est un complexe de coordination platine(II) avec un ligand diaminocyclohexane (DACH) à la place des deux ammines du cisplatine, et un ligand oxalate (bidentate) à la place des chlorures. En milieu intracellulaire (faible concentration en chlorure), le ligand oxalate est progressivement hydrolysé (plus lentement que les chlorures du cisplatine), formant un complexe cationique [Pt(DACH)(H2O)2]2+ qui réagit avec les groupes nucléophiles de l'ADN, en particulier la N7 de la guanine, formant des adduits de platine intra-brins (intrastrand cross-links, principalement 1,2-d(GpG) et 1,2-d(ApG)). L'encombrement stérique du ligand DACH (plus volumineux que les ammines) rend les adduits d'oxaliplatine plus difficiles à réparer par le système NER (nucleotide excision repair) — d'où l'activité de l'oxaliplatine sur les cellules résistantes au cisplatine (NER augmenté). De plus, l'oxaliplatine forme des adduits qui déforment davantage l'ADN que ceux du cisplatine (cintrage de 30° pour cisplatine vs 60° pour oxaliplatine), augmentant la reconnaissance par les protéines de reconnaissance des dommages (HMG proteins) et l'activation de la voie apoptotique. L'oxaliplatine présente une synergie avec la 5-FU (et la leucovorine) — d'où l'utilisation en protocole FOLFOX (5-FU + leucovorine + oxaliplatine) dans le cancer colorectal. L'oxaliplatine n'est pas résistante croisée complète avec le cisplatine et le carboplatine — elle peut être efficace après échec de ces derniers (en raison du ligand DACH et de la moindre reconnaissance par NER). L'oxaliplatine ne traverse pas significativement la BHE.</w:t>
      </w:r>
    </w:p>
    <w:p>
      <w:r/>
      <w:r>
        <w:rPr>
          <w:b/>
        </w:rPr>
        <w:t>Profil Pharmacologique :</w:t>
      </w:r>
      <w:r/>
    </w:p>
    <w:p>
      <w:pPr>
        <w:pStyle w:val="ListBullet"/>
      </w:pPr>
      <w:r>
        <w:t>Indications : (1) Cancer colorectal — protocole FOLFOX-4 (5-FU bolus + leucovorine + oxaliplatine) en adjuvant après chirurgie curative des stades III (lymphode ganglionnaire) : Oxaliplatine 85 mg/m² IV J1 + Leucovorine 200 mg/m² IV J1-J2 + 5-FU 400 mg/m² bolus IV J1-J2 + 5-FU 600 mg/m² perfusion continue 22h J1-J2, cure toutes les 2 semaines × 12 cycles (protocole MOSAIC). (2) Cancer colorectal métastatique — protocole FOLFOX-4, FOLFOX-6, ou FOLFOXIRI (irinotécan + 5-FU + leucovorine + oxaliplatine) en 1re ligne métastatique. (3) Cancer colorectal métastatique — protocole CAPOX (capecitabine + oxaliplatine) : Oxaliplatine 130 mg/m² IV J1 + Capecitabine 1000 mg/m²/12h per os J1-J14, cure toutes les 3 semaines × 8 cycles. (4) Cancer colorectal métastatique — protocole XELOX (synonyme de CAPOX). (5) Cancer de l'estomac — protocole FLOT (5-FU + leucovorine + oxaliplatine + docétaxel) en périopératoire des cancers de l'estomac résécables : Docetaxel 50 mg/m² J1 + Oxaliplatine 85 mg/m² J1 + Leucovorine 200 mg/m² J1 + 5-FU 2600 mg/m² perfusion continue 24h J1, cure toutes les 2 semaines × 4 cycles préopératoires puis 4 cycles postopératoires. (6) Cancer de l'estomac — protocole EOX (épirubicine + oxaliplatine + capecitabine) en métastatique. (7) Cancer des voies biliaires — protocole GEMOX (gemcitabine + oxaliplatine). (8) Cancer du pancréas — protocole FOLFIRINOX (5-FU + leucovorine + irinotécan + oxaliplatine) en 1re ligne métastatique chez sujet âge &lt; 75 ans et PS 0-1. (9) Hors AMM — cancer de l'ovaire en rechute (après carboplatine), hépatocarcinome (protocole GEMOX).</w:t>
      </w:r>
    </w:p>
    <w:p>
      <w:pPr>
        <w:pStyle w:val="ListBullet"/>
      </w:pPr>
      <w:r>
        <w:t>Contre-indications : Hypersensibilité à l'oxaliplatine ou aux autres sels de platine (cisplatine, carboplatine) ou aux excipients ; myélosuppression sévère pré-existante (PNN &lt; 1.5 G/L, plaquettes &lt; 100 G/L) ; neuropathie périphérique sensitive pré-existante avec déficit fonctionnel ; grossesse et allaitement (CI absolue — tératogène, mutagène) ; infection évolutive non contrôlée ; vaccination vivante atténuée contemporaine ; insuffisance rénale sévère (ClCr &lt; 30 mL/min — adaptation requise) ; exposition au froid (contre-indication temporaire pendant et 3-5 jours après perfusion — risque de neurotoxicité aiguë déclenchée par le froid).</w:t>
      </w:r>
    </w:p>
    <w:p>
      <w:pPr>
        <w:pStyle w:val="ListBullet"/>
      </w:pPr>
      <w:r>
        <w:t>Effets Indésirables : (a) Neurologique — neurotoxicité aiguë et chronique : (1) Neurotoxicité aiguë (incidence 80-95 %) — survenue pendant ou dans les heures suivant la perfusion, caractérisée par paresthésies, dysesthésies, sensations froides aux extrémités, dans la bouche et la gorge (surtout pharyngées), déclenchées ou aggravées par le FROID (exposition au froid, boissons froides, climatisation, réfrigérateur). Mécanisme : inhibition des canaux sodiques voltage-dépendants (NaV) par l'oxaliplatine (effet immédiat sur les canaux NaV des fibres sensitives). Prévention : éviter l'exposition au froid (gants, chaussettes, écharpe, boisson tiède, éviter climatisation, réfrigérateur, aliments froids) pendant et 3-5 jours après chaque perfusion. Régression spontanée en quelques jours. (2) Neurotoxicité chronique (incidence 30-50 %, cumulative dose-dépendante) — neuropathie sensitive périphérique (paresthésies distales, stocking-glove), troubles proprioceptifs (sensibilité vibratoire, sensibilité positionnelle), ataxie proprioceptive, dyslesthesia (sensations désagréables dans les extrémités), déficit fonctionnel (difficulté à boutonner les vêtements, écrire, tenir un stylo). Survenue pour doses cumulées &gt; 780-850 mg/m². Régression lente (6-12 mois) après arrêt, parfois incomplète. Prévention : surveillance neurologique systématique avant chaque cure (examen neurologique périphérique, scoring NCI-CTC), adaptation de dose selon neurotoxicité (réduction ou arrêt si grade 3). (b) Hématologique : myélosuppression modérée — thrombopénie (incidence 30-50 %, nadir J14, généralement modérée &lt; 50 G/L), neutropénie (incidence 40-60 %, nadir J10-14), anémie. Risque infectieux et hémorragique. (c) Digestif : nausées/vomissements modérés (level 2-3), mucite, diarrhée, anorexie, hépatotoxicité (élévation transaminases, syndrome de lobulaire), pancréatite rare. (d) Allergique : réactions d'hypersensibilité (incidence 5-10 % surtout après plusieurs cures — rash, urticaire, bronchospasme, anaphylaxie). Prémédication par antihistaminiques et corticoïdes recommandée à partir de la 7e cure. (e) Rénal : néphrotoxicité FAIBLE (incidence 5-10 %, nettement inférieure au cisplatine). Pas d'hydratation IV systématique. (f) Cardiologique : rare (troubles du rythme en rapport avec troubles électrolytiques). (g) Pulmonaire : pneumopathie interstitielle rare, fibrose pulmonaire rare. (h) Veineux : irritation veineuse locale (la solution est moins irritante que le cisplatine — perfusion veineuse périphérique possible). (i) Carcinogénèse : risque de leucémie secondaire à long terme (inférieur au cisplatine mais possible). (j) Gonadique : stérilité — azoospermie chez l'homme, aménorrhée chez la femme (parfois définitive selon dose cumulée). (k) Métabolique : syndrome de lyse tumorale rare. (l) Cutané : rash, alopécie modérée (rare, en raison du schéma discontinu).</w:t>
      </w:r>
    </w:p>
    <w:p>
      <w:r/>
      <w:r>
        <w:rPr>
          <w:b/>
        </w:rPr>
        <w:t>Prévention et Gestion des Effets Indésirables :</w:t>
      </w:r>
      <w:r/>
    </w:p>
    <w:p>
      <w:pPr>
        <w:pStyle w:val="ListBullet"/>
      </w:pPr>
      <w:r>
        <w:t>Mesures Préventives : (1) Éviter l'exposition au froid pendant et 3-5 jours après chaque perfusion — porter gants, chaussettes, écharpe, boisson tiède, éviter climatisation, réfrigérateur, aliments froids, boissons fraîches, glace. Information claire au patient. (2) Surveillance neurologique systématique avant chaque cure — examen neurologique périphérique (sensibilité vibratoire, sensibilité positionnelle, paresthésies), scoring NCI-CTC grade (0 = aucun, 1 = paresthésies courtes sans déficit fonctionnel, 2 = paresthésies persistantes sans déficit fonctionnel, 3 = paresthésies persistantes avec déficit fonctionnel). (3) Adaptation de dose selon neurotoxicité — maintien dose si grade 0-1, réduction 25 % si grade 2, arrêt si grade 3 (reprise à dose réduite si récupération grade ≤ 1). (4) Limite de dose cumulée : 780-850 mg/m² maximum (au-delà, risque neurotoxicité chronique majeure et potentiellement irréversible). (5) Surveillance NFS-plaquettes hebdomadaire pendant cures, adaptation de dose selon nadir. (6) Surveillance créatinine et ionogramme (K, Mg, Ca, PO4) avant chaque cure. (7) Prévention nausea/vomissements par anti-5HT3 (ondansétron 8 mg IV) + corticoïde (dexaméthasone 8 mg IV) ± aprépitant si level 3. (8) Prémédication par antihistaminiques (diphénhydramine 50 mg IV) + corticoïde (hydrocortisone 100 mg IV) à partir de la 7e cure (risque allergique majoré). (9) Cryopréservation gamétique pré-thérapeutique systématique (azoospermie, aménorrhée risque). (10) Prévention syndrome de lyse tumorale (allopurinol) si masse tumorale élevée. (11) Vaccinations à jour avant traitement — vaccins vivants contre-indiqués pendant et 6 mois après. (12) Surveillance à long terme (10-15 ans) pour second cancer (NFS annuelle).</w:t>
      </w:r>
    </w:p>
    <w:p>
      <w:pPr>
        <w:pStyle w:val="ListBullet"/>
      </w:pPr>
      <w:r>
        <w:t>Conduite à Tenir : (1) Si neurotoxicité aiguë sévère (laryngospasme, dyspnée, sensation d'étouffement à la déglutition) → arrêt immédiat de la perfusion, réchauffement du patient (boissons tièdes, couvertures), surveillance ICU (régression spontanée en 30-60 min). (2) Si neurotoxicité chronique grade 3 (déficit fonctionnel — difficulté à boutonner, écrire, marcher) → arrêt définitif, suivi neurologique spécialisé, gabapentine pour douleurs neuropathiques, kinésithérapie, ergothérapie. Récupération lente (6-12 mois), parfois incomplète. (3) Si thrombopénie sévère (plaquettes &lt; 25 G/L) → transfusion plaquettaire prophylactique, arrêt transitoire. (4) Si neutropénie fébrile (PNN &lt; 0.5 G/L + T° ≥ 38.5 °C) → hospitalisation, hémocultures, antibiothérapie empirique large spectre IV, G-CSF. (5) Si réaction d'hypersensibilité (rash, bronchospasme, hypotension) → arrêt immédiat, antihistaminiques IV, corticoïdes IV, adrénaline si anaphylaxie. Désensibilisation possible selon protocole spécifique en milieu spécialisé. (6) Si syndrome de lyse tumorale → hydratation IV, allopurinol/rasburicase, surveillance ICU.</w:t>
      </w:r>
    </w:p>
    <w:p>
      <w:r/>
      <w:r>
        <w:rPr>
          <w:b/>
        </w:rPr>
        <w:t>Interactions Importantes :</w:t>
      </w:r>
      <w:r/>
    </w:p>
    <w:p>
      <w:pPr>
        <w:pStyle w:val="ListBullet"/>
      </w:pPr>
      <w:r>
        <w:t>Oxaliplatine + 5-FU, leucovorine (protocole FOLFOX) : synergie (effet cytotoxique majoré), association standard en cancer colorectal.</w:t>
      </w:r>
    </w:p>
    <w:p>
      <w:pPr>
        <w:pStyle w:val="ListBullet"/>
      </w:pPr>
      <w:r>
        <w:t>Oxaliplatine + Capecitabine (protocole CAPOX/XELOX) : synergie, association standard en cancer colorectal métastatique.</w:t>
      </w:r>
    </w:p>
    <w:p>
      <w:pPr>
        <w:pStyle w:val="ListBullet"/>
      </w:pPr>
      <w:r>
        <w:t>Oxaliplatine + Irinotécan (protocole FOLFIRINOX, FOLFOXIRI) : synergie, myélosuppression additive — surveillance NFS.</w:t>
      </w:r>
    </w:p>
    <w:p>
      <w:pPr>
        <w:pStyle w:val="ListBullet"/>
      </w:pPr>
      <w:r>
        <w:t>Oxaliplatine + Docétaxel (protocole FLOT) : synergie, neurotoxicité additive (docétaxel), surveillance neurologique.</w:t>
      </w:r>
    </w:p>
    <w:p>
      <w:pPr>
        <w:pStyle w:val="ListBullet"/>
      </w:pPr>
      <w:r>
        <w:t>Oxaliplatine + Warfarine, anticoagulants oraux : potentialisation de l'anticoagulation (myélosuppression) — surveillance INR.</w:t>
      </w:r>
    </w:p>
    <w:p>
      <w:pPr>
        <w:pStyle w:val="ListBullet"/>
      </w:pPr>
      <w:r>
        <w:t>Oxaliplatine + Aminosides, diurétiques de l'anse : néphrotoxicité et ototoxicité additives (moins que cisplatine mais surveillance) — surveillance créatinine et audiométrie si association.</w:t>
      </w:r>
    </w:p>
    <w:p>
      <w:pPr>
        <w:pStyle w:val="ListBullet"/>
      </w:pPr>
      <w:r>
        <w:t>Oxaliplatine + Autres sels de platine (cisplatine, carboplatine) : résistance croisée partielle (activité maintenue en cas d'échec de cisplatine/carboplatine grâce au ligand DACH) — surveillance neurologique cumulative si antécédent de cisplatine/carboplatine.</w:t>
      </w:r>
    </w:p>
    <w:p>
      <w:pPr>
        <w:pStyle w:val="ListBullet"/>
      </w:pPr>
      <w:r>
        <w:t>Oxaliplatine + Radiothérapie : synergie (inhibition de la réparation de l'ADN radio-induit) — utilisée en concomitant, mais risque de myélosuppression et de neurotoxicité majorées.</w:t>
      </w:r>
    </w:p>
    <w:p>
      <w:pPr>
        <w:pStyle w:val="ListBullet"/>
      </w:pPr>
      <w:r>
        <w:t>Oxaliplatine + Vaccins vivants atténués : risque de maladie vaccinale généralisée — CI absolue pendant et 6 mois après traitement.</w:t>
      </w:r>
    </w:p>
    <w:p>
      <w:pPr>
        <w:pStyle w:val="ListBullet"/>
      </w:pPr>
      <w:r>
        <w:t>Oxaliplatine + Phénytoïne : diminution de l'absorption de la phénytoïne — surveillance taux phénytoïnémie.</w:t>
      </w:r>
    </w:p>
    <w:p>
      <w:pPr>
        <w:pStyle w:val="ListBullet"/>
      </w:pPr>
      <w:r>
        <w:t>Oxaliplatine + Sorafénib, sunitinib : risque de neurotoxicité majorée — surveillance neurologique.</w:t>
      </w:r>
    </w:p>
    <w:p>
      <w:r/>
      <w:r>
        <w:rPr>
          <w:b/>
        </w:rPr>
        <w:t>Grossesse et Allaitement :</w:t>
      </w:r>
      <w:r/>
    </w:p>
    <w:p>
      <w:pPr>
        <w:pStyle w:val="ListBullet"/>
      </w:pPr>
      <w:r>
        <w:t>Grossesse : CI absolue à toutes les phases de la grossesse (CRAT — embryo-létale au 1er trimestre, tératogène, mutagène, fœtotoxique à toutes les phases — malformations majeures : squelettiques, cérébrales, palatines, oculaires, urogénitales ; retards de croissance ; avortements spontanés). Test de grossesse pré-thérapeutique systématique chez toute femme en âge de procréer. Contraception efficace obligatoire pendant et 6 mois après la fin du traitement (les deux partenaires). L'oxaliplatine traverse le placenta (concentration fœtale ≈ 50 % maternelle). En cas de cancer diagnostiqué pendant la grossesse → avis oncologie/obstétrique multidisciplinaire, traitement différé après accouchement si possible, ou choix d'un protocole sans oxaliplatine.</w:t>
      </w:r>
    </w:p>
    <w:p>
      <w:pPr>
        <w:pStyle w:val="ListBullet"/>
      </w:pPr>
      <w:r>
        <w:t>Allaitement : CI absolue. L'oxaliplatine passe dans le lait maternel à des concentrations significatives. Risque de myélosuppression, de neurotoxicité, de carcinogénèse, de mutagénicité à long terme chez le nourrisson. Interruption définitive de l'allaitement avant la première cure.</w:t>
      </w:r>
    </w:p>
    <w:p>
      <w:pPr>
        <w:pStyle w:val="ListBullet"/>
      </w:pPr>
      <w:r>
        <w:t>Précisions : Cryopréservation gamétique pré-thérapeutique systématique obligatoire chez l'homme (congélation sperme) et la femme jeune (consultation PMA — préservation ovocytaire ou tissulaire ovarienne) en raison du risque de stérilité (azoospermie chez 30-50 % des hommes après dose cumulée 1500 mg/m², aménorrhée chez 30-50 % des femmes après dose cumulée 1500 mg/m²). Information claire au patient et à son conjoint sur le risque de stérilité après traitement.</w:t>
      </w:r>
    </w:p>
    <w:p>
      <w:r/>
      <w:r>
        <w:rPr>
          <w:b/>
        </w:rPr>
        <w:t>Posologie et Mode d'administration (Standard) :</w:t>
      </w:r>
      <w:r/>
    </w:p>
    <w:p>
      <w:pPr>
        <w:pStyle w:val="ListBullet"/>
      </w:pPr>
      <w:r>
        <w:t>Adulte : (1) Cancer colorectal adjuvant — protocole FOLFOX-4 : Oxaliplatine 85 mg/m² IV J1 + Leucovorine 200 mg/m² IV J1-J2 + 5-FU 400 mg/m² bolus IV J1-J2 + 5-FU 600 mg/m² perfusion continue 22h J1-J2, cure toutes les 2 semaines × 12 cycles. (2) Cancer colorectal métastatique — protocole FOLFOX-6 (simplifié) : Oxaliplatine 100 mg/m² IV J1 + Leucovorine 400 mg/m² IV J1 + 5-FU 400 mg/m² bolus IV J1 + 5-FU 2400 mg/m² perfusion continue 46h J1, cure toutes les 2 semaines × 6-12 cycles. (3) Cancer colorectal métastatique — protocole CAPOX : Oxaliplatine 130 mg/m² IV J1 + Capecitabine 1000 mg/m²/12h per os J1-J14, cure toutes les 3 semaines × 8 cycles. (4) Cancer de l'estomac périopératoire — protocole FLOT : Docetaxel 50 mg/m² J1 + Oxaliplatine 85 mg/m² IV J1 + Leucovorine 200 mg/m² J1 + 5-FU 2600 mg/m² perfusion continue 24h J1, cure toutes les 2 semaines × 4 cycles préopératoires puis 4 cycles postopératoires. (5) Cancer du pancréas métastatique — protocole FOLFIRINOX : Oxaliplatine 85 mg/m² IV J1 + Irinotécan 180 mg/m² IV J1 + Leucovorine 400 mg/m² IV J1 + 5-FU 400 mg/m² bolus IV J1 + 5-FU 2400 mg/m² perfusion continue 46h J1, cure toutes les 2 semaines × 6-12 cycles. (6) Dose standard par cure : 85-130 mg/m² IV en perfusion de 2 h dans 250-500 mL G5% (PAS de NaCl 0.9 % — précipitation avec chlorure). Dose maximale cumulée recommandée : 780-850 mg/m² (au-delà, risque neurotoxicité chronique majeure).</w:t>
      </w:r>
    </w:p>
    <w:p>
      <w:pPr>
        <w:pStyle w:val="ListBullet"/>
      </w:pPr>
      <w:r>
        <w:t>Enfant : Hors AMM en pédiatrie (étude clinique limitée). Pour tumeurs solides pédiatriques réfractaires : 100-130 mg/m²/cure selon protocole.</w:t>
      </w:r>
    </w:p>
    <w:p>
      <w:pPr>
        <w:pStyle w:val="ListBullet"/>
      </w:pPr>
      <w:r>
        <w:t>Durée : Variable selon indication — cancer colorectal adjuvant : 12 cycles espacés de 2 semaines (6 mois) ; cancer colorectal métastatique : 6-12 cycles espacés de 2-3 semaines ; cancer de l'estomac périopératoire : 4 cycles préopératoires + 4 cycles postopératoires ; cancer du pancréas métastatique : 6-12 cycles espacés de 2 semaines.</w:t>
      </w:r>
    </w:p>
    <w:p>
      <w:pPr>
        <w:pStyle w:val="ListBullet"/>
      </w:pPr>
      <w:r>
        <w:t>Moment de la prise : Hospitalier exclusif (service oncologie médicale, hôpital de jour ou hospitalisation complète), perfusion IV en 2 h dans 250-500 mL G5% (PAS de NaCl 0.9 % — précipitation avec chlorure). Pas d'hydratation IV systématique nécessaire (à la différence du cisplatine — l'oxaliplatine étant moins néphrotoxique). Surveillance : scope, ECG, pression artérielle pendant perfusion. Prévention nausea/vomissements par anti-5HT3 + corticoïde. Information patient : éviter exposition au froid pendant et 3-5 jours après chaque perfusion.</w:t>
      </w:r>
    </w:p>
    <w:p>
      <w:r/>
      <w:r>
        <w:rPr>
          <w:b/>
        </w:rPr>
        <w:t>Arbitrage et Bénéfices des Formes Galéniques :</w:t>
      </w:r>
      <w:r/>
    </w:p>
    <w:p>
      <w:r>
        <w:t>L'oxaliplatine est disponible en Algérie sous forme injectable (poudre pour solution pour perfusion IV ou concentré à diluer pour perfusion IV, dosages 50 mg et 100 mg, à 5 mg/mL). Plusieurs spécialités sont ACTIVES : OXALIPLATINE MYLAN (Mylan SAS), OXIPLAT 50/100 (Sun Pharmaceuticals), XLATIN (Accure Labs). Les spécialités OXALIPLATIN EBEWE (NON RENOUVELABLE), ENTIA (Lemery, RETIRÉ), PHARMAXATIN-50/100 (Biovital, RETIRÉ), ELOXATINE (Sanofi Aventis, RETIRÉ) sont les formes historiques princeps. L'oxaliplatine est disponible en deux types de formulation : (1) poudre lyophilisée à reconstituer avec solvant fourni (OXALIPLATINE MYLAN, OXALIPLATIN EBEWE, ENTIA, PHARMAXATIN, ELOXATINE) ; (2) solution à diluer prête à l'emploi (OXIPLAT, XLATIN). Avantages de la solution prête à l'emploi : facilité de préparation (pas de reconstitution), moins de risque d'erreur, stabilité plus longue. Inconvénient : volume plus important. Avantages de la poudre lyophilisée : stabilité plus longue, volume réduit. La dilution secondaire se fait dans G5% EXCLUSIVEMENT (PAS de NaCl 0.9 % — précipitation avec chlorure), en raison de la dégradation de l'oxaliplatine en milieu chloré. La solution reconstituée se conserve 24 h à T° ambiante, 7 j à 4 °C (mais usage immédiat recommandé). L'usage hospitalier exclusif en PUI en ZAC est obligatoire.</w:t>
      </w:r>
    </w:p>
    <w:p>
      <w:r/>
      <w:r>
        <w:rPr>
          <w:b/>
        </w:rPr>
        <w:t>Instructions et Conseils au Patient :</w:t>
      </w:r>
      <w:r/>
    </w:p>
    <w:p>
      <w:pPr>
        <w:pStyle w:val="ListBullet"/>
      </w:pPr>
      <w:r>
        <w:t>Communication au comptoir : (1) Information claire au patient : traitement exclusivement hospitalier (service oncologie médicale, hôpital de jour), perfusion IV en 2 h, pas d'hydratation IV systématique (à la différence du cisplatine). (2) Prévenir le patient des effets indésirables majeurs : NEUROTOXICITÉ AIGUË déclenchée par le FROID (paresthésies, sensations froides extrémités, gorge, bouche, laryngospasme possible) — éviter exposition au froid (gants, chaussettes, écharpe, boisson tiède, éviter climatisation, réfrigérateur, aliments froids) pendant et 3-5 jours après chaque perfusion ; NEUROTOXICITÉ CHRONIQUE cumulative (paresthésies persistantes, déficit fonctionnel — difficulté à boutonner, écrire, marcher) — surveillance neurologique avant chaque cure, arrêt si neurotoxicité grade 3 ; thrombopénie (risque hémorragique — surveillance NFS-plaquettes hebdomadaire) ; neutropénie (fièvre — urgence infectieuse) ; allergies (rash, bronchospasme — à signaler surtout à partir de la 7e cure) ; stérilité (cryopréservation gamétique préalable obligatoire) ; risque de second cancer à long terme (surveillance hématologique prolongée 10-15 ans). (3) Prévenir fièvre (≥ 38.5 °C), signes neurologiques (paresthésies persistantes, déficit fonctionnel), signes hémorragiques (gingivorragies, épistaxis, pétéchies) → consulter en urgence. (4) Éviter exposition au froid pendant et 3-5 jours après chaque perfusion. (5) Surveillance NFS-plaquettes, créatinine, ionogramme avant chaque cure et hebdomadaire pendant cures. (6) Surveillance neurologique avant chaque cure. (7) Prémédication antihistaminique + corticoïde à partir de la 7e cure (risque allergique majoré). (8) Contraception obligatoire pendant et 6 mois après traitement (les deux partenaires). (9) Éviter vaccins vivants atténués pendant et 6 mois après traitement. (10) Coordonnées du service oncologue référent et de l'urgence hospitalière. (11) Conservation à T° &lt; 25 °C, à l'abri de la lumière, hors de portée des enfants.</w:t>
      </w:r>
    </w:p>
    <w:p>
      <w:pPr>
        <w:pStyle w:val="ListBullet"/>
      </w:pPr>
      <w:r>
        <w:t>Mode d'utilisation pratique : (1) Préparation centralisée en PUI hospitalière en ZAC, manipulation par personnel formé (EPI complet : double gants nitrile, masque FFP2, lunettes de protection, blouse chimio, charlotte). (2) Reconstitution (pour formes lyophilisées) avec solvant fourni (eau PPI ou NaCl 0.9 % selon RCP), dilution secondaire dans 250-500 mL G5% EXCLUSIVEMENT (PAS de NaCl 0.9 % — précipitation avec chlorure). (3) Solution reconstituée à conserver à l'abri de la lumière, administration immédiate dans les 24 h. (4) Perfuser en 2 h par voie veineuse périphérique ou centrale (moins irritante que le cisplatine). (5) Pas d'hydratation IV systématique nécessaire. (6) Surveillance scope, ECG, pression artérielle pendant perfusion. (7) Prévention nausea/vomissements par anti-5HT3 + corticoïde. (8) Prémédication antihistaminique + corticoïde à partir de la 7e cure. (9) Élimination des déchets cytotoxiques selon circuit dédié.</w:t>
      </w:r>
    </w:p>
    <w:p>
      <w:r/>
      <w:r>
        <w:rPr>
          <w:b/>
        </w:rPr>
        <w:t>Notes, Règles d'Or &amp; Pièges au Comptoir :</w:t>
      </w:r>
      <w:r/>
    </w:p>
    <w:p>
      <w:pPr>
        <w:pStyle w:val="ListBullet"/>
      </w:pPr>
      <w:r>
        <w:t>Piège classique : (1) Neurotoxicité aiguë déclenchée par le FROID — éviter exposition au froid (gants, chaussettes, écharpe, boisson tiède, éviter climatisation, réfrigérateur, aliments froids) pendant et 3-5 jours après chaque perfusion. Information claire au patient. (2) Neurotoxicité chronique cumulative (doses cumulées &gt; 780-850 mg/m²) — surveillance neurologique systématique avant chaque cure (examen neurologique périphérique, scoring NCI-CTC), arrêt si neurotoxicité grade 3. (3) Précipitation avec NaCl 0.9 % — DILUTION DANS G5% EXCLUSIVEMENT (erreur de dilution majeure sinon). (4) Allergies à partir de la 7e cure (rash, bronchospasme, anaphylaxie) — prémédication antihistaminique + corticoïde systématique, désensibilisation possible. (5) Résistance croisée PARTIELLE avec le cisplatine et le carboplatine (activité maintenue en cas d'échec de cisplatine/carboplatine grâce au ligand DACH) — surveillance neurologique cumulative si antécédent. (6) Vaccins vivants contre-indiqués pendant et 6 mois après traitement. (7) Patiente femme enceinte à risque tératogène majeur — contraception stricte. (8) Risque de second cancer à long terme — surveillance hématologique prolongée 10-15 ans. (9) Stérilité (cryopréservation gamétique préalable obligatoire). (10) Laryngospasme aigu (rare mais grave) à la première perfusion — arrêt immédiat, réchauffement patient, surveillance ICU.</w:t>
      </w:r>
    </w:p>
    <w:p>
      <w:pPr>
        <w:pStyle w:val="ListBullet"/>
      </w:pPr>
      <w:r>
        <w:t>Règle de prise : Hospitalier exclusif (hôpital de jour), perfusion IV en 2 h dans G5% EXCLUSIVEMENT (pas de NaCl 0.9 %), éviter exposition au froid pendant et 3-5 jours après, surveillance NFS-plaquettes hebdomadaire (nadir J14), surveillance neurologique avant chaque cure, prémédication antihistaminique + corticoïde à partir de la 7e cure, contraception obligatoire 6 mois post-traitement, surveillance long terme NFS annuelle pour second cancer.</w:t>
      </w:r>
    </w:p>
    <w:p>
      <w:pPr>
        <w:pStyle w:val="ListBullet"/>
      </w:pPr>
      <w:r>
        <w:t>Préparation et Conservation : Poudre lyophilisée 50 mg ou 100 mg/flacon (à reconstituer avec solvant fourni) ou solution à diluer 50 mg/10 mL ou 100 mg/20 mL. Dilution secondaire dans 250-500 mL G5% EXCLUSIVEMENT (PAS de NaCl 0.9 % — précipitation). Stabilité 24 h à T° ambiante à l'abri de la lumière, 7 j à 4 °C (mais usage immédiat recommandé). Conservation flacons non ouverts : 3 ans à T° &lt; 25 °C, à l'abri de la lumière.</w:t>
      </w:r>
    </w:p>
    <w:p>
      <w:pPr>
        <w:pStyle w:val="ListBullet"/>
      </w:pPr>
      <w:r>
        <w:t>Piège du surdosage / Substitution : (1) Confusion oxaliplatine ↔ cisplatine ↔ carboplatine (structures proches, mécanismes communs, mais toxicités et posologies différentes) — vérification systématique de la DCI. (2) Précipitation avec NaCl 0.9 % (erreur de dilution majeure) — DILUTION DANS G5% EXCLUSIVEMENT. (3) Substitution OXALIPLATINE MYLAN ↔ OXIPLAT ↔ XLATIN : bioéquivalence démontrée, surveillance identique. (4) Surdosage (dose &gt; 130 mg/m²/cure ou dose cumulée &gt; 850 mg/m²) — risque neurotoxicité chronique majeure et potentiellement irréversible. (5) Manipulation à risque pour le personnel soignant (femmes enceintes en particulier) — port d'EPI obligatoire. (6) Risque de second cancer à long terme (leucémies myélomonocytaires) — surveillance hématologique prolongée 10-15 ans (NFS annuelle). (7) Approvisionnement partiellement compromis en Algérie (OXALIPLATINE MYLAN, OXIPLAT, XLATIN actives — mais alternatives à prévoir en cas de rupture).</w:t>
      </w:r>
    </w:p>
    <w:p>
      <w:pPr>
        <w:pStyle w:val="Heading3"/>
      </w:pPr>
      <w:r>
        <w:t>Tableau Comparatif Synoptique des 11 DCIs</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Sous-classe</w:t>
            </w:r>
          </w:p>
        </w:tc>
        <w:tc>
          <w:tcPr>
            <w:tcW w:type="dxa" w:w="1336"/>
          </w:tcPr>
          <w:p>
            <w:r>
              <w:rPr>
                <w:b/>
                <w:sz w:val="20"/>
              </w:rPr>
              <w:t>Mécanisme moléculaire</w:t>
            </w:r>
          </w:p>
        </w:tc>
        <w:tc>
          <w:tcPr>
            <w:tcW w:type="dxa" w:w="1336"/>
          </w:tcPr>
          <w:p>
            <w:r>
              <w:rPr>
                <w:b/>
                <w:sz w:val="20"/>
              </w:rPr>
              <w:t>Posologie standard adulte</w:t>
            </w:r>
          </w:p>
        </w:tc>
        <w:tc>
          <w:tcPr>
            <w:tcW w:type="dxa" w:w="1336"/>
          </w:tcPr>
          <w:p>
            <w:r>
              <w:rPr>
                <w:b/>
                <w:sz w:val="20"/>
              </w:rPr>
              <w:t>EI majeur cardinaux</w:t>
            </w:r>
          </w:p>
        </w:tc>
        <w:tc>
          <w:tcPr>
            <w:tcW w:type="dxa" w:w="1336"/>
          </w:tcPr>
          <w:p>
            <w:r>
              <w:rPr>
                <w:b/>
                <w:sz w:val="20"/>
              </w:rPr>
              <w:t>CI principale</w:t>
            </w:r>
          </w:p>
        </w:tc>
        <w:tc>
          <w:tcPr>
            <w:tcW w:type="dxa" w:w="1336"/>
          </w:tcPr>
          <w:p>
            <w:r>
              <w:rPr>
                <w:b/>
                <w:sz w:val="20"/>
              </w:rPr>
              <w:t>Grossesse</w:t>
            </w:r>
          </w:p>
        </w:tc>
      </w:tr>
      <w:tr>
        <w:tc>
          <w:tcPr>
            <w:tcW w:type="dxa" w:w="1336"/>
          </w:tcPr>
          <w:p>
            <w:r>
              <w:rPr>
                <w:sz w:val="20"/>
              </w:rPr>
              <w:t>**Cyclophosphamide**</w:t>
            </w:r>
          </w:p>
        </w:tc>
        <w:tc>
          <w:tcPr>
            <w:tcW w:type="dxa" w:w="1336"/>
          </w:tcPr>
          <w:p>
            <w:r>
              <w:rPr>
                <w:sz w:val="20"/>
              </w:rPr>
              <w:t>Moutarde azotée</w:t>
            </w:r>
          </w:p>
        </w:tc>
        <w:tc>
          <w:tcPr>
            <w:tcW w:type="dxa" w:w="1336"/>
          </w:tcPr>
          <w:p>
            <w:r>
              <w:rPr>
                <w:sz w:val="20"/>
              </w:rPr>
              <w:t>Promédicament activé par CYP2B6/CYP3A4 → phosphoramide moutarde → ponts inter-brins ADN N7-guanine</w:t>
            </w:r>
          </w:p>
        </w:tc>
        <w:tc>
          <w:tcPr>
            <w:tcW w:type="dxa" w:w="1336"/>
          </w:tcPr>
          <w:p>
            <w:r>
              <w:rPr>
                <w:sz w:val="20"/>
              </w:rPr>
              <w:t>IV : 500-1500 mg/m²/cure ; PO : 1-2 mg/kg/j</w:t>
            </w:r>
          </w:p>
        </w:tc>
        <w:tc>
          <w:tcPr>
            <w:tcW w:type="dxa" w:w="1336"/>
          </w:tcPr>
          <w:p>
            <w:r>
              <w:rPr>
                <w:sz w:val="20"/>
              </w:rPr>
              <w:t>Hémorragie vésicale (acroléine), myélosuppression, stérilité</w:t>
            </w:r>
          </w:p>
        </w:tc>
        <w:tc>
          <w:tcPr>
            <w:tcW w:type="dxa" w:w="1336"/>
          </w:tcPr>
          <w:p>
            <w:r>
              <w:rPr>
                <w:sz w:val="20"/>
              </w:rPr>
              <w:t>Grossesse, allaitement, infection non contrôlée</w:t>
            </w:r>
          </w:p>
        </w:tc>
        <w:tc>
          <w:tcPr>
            <w:tcW w:type="dxa" w:w="1336"/>
          </w:tcPr>
          <w:p>
            <w:r>
              <w:rPr>
                <w:sz w:val="20"/>
              </w:rPr>
              <w:t>CI absolue (tératogène)</w:t>
            </w:r>
          </w:p>
        </w:tc>
      </w:tr>
      <w:tr>
        <w:tc>
          <w:tcPr>
            <w:tcW w:type="dxa" w:w="1336"/>
          </w:tcPr>
          <w:p>
            <w:r>
              <w:rPr>
                <w:sz w:val="20"/>
              </w:rPr>
              <w:t>**Ifosfamide**</w:t>
            </w:r>
          </w:p>
        </w:tc>
        <w:tc>
          <w:tcPr>
            <w:tcW w:type="dxa" w:w="1336"/>
          </w:tcPr>
          <w:p>
            <w:r>
              <w:rPr>
                <w:sz w:val="20"/>
              </w:rPr>
              <w:t>Moutarde azotée</w:t>
            </w:r>
          </w:p>
        </w:tc>
        <w:tc>
          <w:tcPr>
            <w:tcW w:type="dxa" w:w="1336"/>
          </w:tcPr>
          <w:p>
            <w:r>
              <w:rPr>
                <w:sz w:val="20"/>
              </w:rPr>
              <w:t>Promédicament activé par CYP3A4 → ifosfamide moutarde + chloroacétaldéhyde neurotoxique</w:t>
            </w:r>
          </w:p>
        </w:tc>
        <w:tc>
          <w:tcPr>
            <w:tcW w:type="dxa" w:w="1336"/>
          </w:tcPr>
          <w:p>
            <w:r>
              <w:rPr>
                <w:sz w:val="20"/>
              </w:rPr>
              <w:t>IV : 1.2-5 g/m²/J × 3-5 j</w:t>
            </w:r>
          </w:p>
        </w:tc>
        <w:tc>
          <w:tcPr>
            <w:tcW w:type="dxa" w:w="1336"/>
          </w:tcPr>
          <w:p>
            <w:r>
              <w:rPr>
                <w:sz w:val="20"/>
              </w:rPr>
              <w:t>Encéphalopathie (chloroacétaldéhyde), cystite (acroléine), myélosuppression</w:t>
            </w:r>
          </w:p>
        </w:tc>
        <w:tc>
          <w:tcPr>
            <w:tcW w:type="dxa" w:w="1336"/>
          </w:tcPr>
          <w:p>
            <w:r>
              <w:rPr>
                <w:sz w:val="20"/>
              </w:rPr>
              <w:t>Grossesse, hypoalbuminémie &lt; 35 g/L, infection</w:t>
            </w:r>
          </w:p>
        </w:tc>
        <w:tc>
          <w:tcPr>
            <w:tcW w:type="dxa" w:w="1336"/>
          </w:tcPr>
          <w:p>
            <w:r>
              <w:rPr>
                <w:sz w:val="20"/>
              </w:rPr>
              <w:t>CI absolue (tératogène)</w:t>
            </w:r>
          </w:p>
        </w:tc>
      </w:tr>
      <w:tr>
        <w:tc>
          <w:tcPr>
            <w:tcW w:type="dxa" w:w="1336"/>
          </w:tcPr>
          <w:p>
            <w:r>
              <w:rPr>
                <w:sz w:val="20"/>
              </w:rPr>
              <w:t>**Chlorambucil**</w:t>
            </w:r>
          </w:p>
        </w:tc>
        <w:tc>
          <w:tcPr>
            <w:tcW w:type="dxa" w:w="1336"/>
          </w:tcPr>
          <w:p>
            <w:r>
              <w:rPr>
                <w:sz w:val="20"/>
              </w:rPr>
              <w:t>Moutarde azotée</w:t>
            </w:r>
          </w:p>
        </w:tc>
        <w:tc>
          <w:tcPr>
            <w:tcW w:type="dxa" w:w="1336"/>
          </w:tcPr>
          <w:p>
            <w:r>
              <w:rPr>
                <w:sz w:val="20"/>
              </w:rPr>
              <w:t>Alkylant direct, ion aziridinium, ponts inter-brins ADN</w:t>
            </w:r>
          </w:p>
        </w:tc>
        <w:tc>
          <w:tcPr>
            <w:tcW w:type="dxa" w:w="1336"/>
          </w:tcPr>
          <w:p>
            <w:r>
              <w:rPr>
                <w:sz w:val="20"/>
              </w:rPr>
              <w:t>PO : 0.1-0.4 mg/kg/j pendant 4-7 j</w:t>
            </w:r>
          </w:p>
        </w:tc>
        <w:tc>
          <w:tcPr>
            <w:tcW w:type="dxa" w:w="1336"/>
          </w:tcPr>
          <w:p>
            <w:r>
              <w:rPr>
                <w:sz w:val="20"/>
              </w:rPr>
              <w:t>Myélosuppression retardée (nadir 28 j), leucémies secondaires</w:t>
            </w:r>
          </w:p>
        </w:tc>
        <w:tc>
          <w:tcPr>
            <w:tcW w:type="dxa" w:w="1336"/>
          </w:tcPr>
          <w:p>
            <w:r>
              <w:rPr>
                <w:sz w:val="20"/>
              </w:rPr>
              <w:t>Grossesse, myélosuppression pré-existante</w:t>
            </w:r>
          </w:p>
        </w:tc>
        <w:tc>
          <w:tcPr>
            <w:tcW w:type="dxa" w:w="1336"/>
          </w:tcPr>
          <w:p>
            <w:r>
              <w:rPr>
                <w:sz w:val="20"/>
              </w:rPr>
              <w:t>CI absolue (tératogène, mutagène)</w:t>
            </w:r>
          </w:p>
        </w:tc>
      </w:tr>
      <w:tr>
        <w:tc>
          <w:tcPr>
            <w:tcW w:type="dxa" w:w="1336"/>
          </w:tcPr>
          <w:p>
            <w:r>
              <w:rPr>
                <w:sz w:val="20"/>
              </w:rPr>
              <w:t>**Busulfan**</w:t>
            </w:r>
          </w:p>
        </w:tc>
        <w:tc>
          <w:tcPr>
            <w:tcW w:type="dxa" w:w="1336"/>
          </w:tcPr>
          <w:p>
            <w:r>
              <w:rPr>
                <w:sz w:val="20"/>
              </w:rPr>
              <w:t>Alkylsulfonate</w:t>
            </w:r>
          </w:p>
        </w:tc>
        <w:tc>
          <w:tcPr>
            <w:tcW w:type="dxa" w:w="1336"/>
          </w:tcPr>
          <w:p>
            <w:r>
              <w:rPr>
                <w:sz w:val="20"/>
              </w:rPr>
              <w:t>SN2 sur N7-guanine, ponts inter-brins ADN, tropisme myéloïde</w:t>
            </w:r>
          </w:p>
        </w:tc>
        <w:tc>
          <w:tcPr>
            <w:tcW w:type="dxa" w:w="1336"/>
          </w:tcPr>
          <w:p>
            <w:r>
              <w:rPr>
                <w:sz w:val="20"/>
              </w:rPr>
              <w:t>IV : 0.8 mg/kg/6h × 16 doses (4 j)</w:t>
            </w:r>
          </w:p>
        </w:tc>
        <w:tc>
          <w:tcPr>
            <w:tcW w:type="dxa" w:w="1336"/>
          </w:tcPr>
          <w:p>
            <w:r>
              <w:rPr>
                <w:sz w:val="20"/>
              </w:rPr>
              <w:t>Convulsions, VOD hépatique, fibrose pulmonaire, aplasie</w:t>
            </w:r>
          </w:p>
        </w:tc>
        <w:tc>
          <w:tcPr>
            <w:tcW w:type="dxa" w:w="1336"/>
          </w:tcPr>
          <w:p>
            <w:r>
              <w:rPr>
                <w:sz w:val="20"/>
              </w:rPr>
              <w:t>Grossesse, infection, antécédent convulsif</w:t>
            </w:r>
          </w:p>
        </w:tc>
        <w:tc>
          <w:tcPr>
            <w:tcW w:type="dxa" w:w="1336"/>
          </w:tcPr>
          <w:p>
            <w:r>
              <w:rPr>
                <w:sz w:val="20"/>
              </w:rPr>
              <w:t>CI absolue (tératogène)</w:t>
            </w:r>
          </w:p>
        </w:tc>
      </w:tr>
      <w:tr>
        <w:tc>
          <w:tcPr>
            <w:tcW w:type="dxa" w:w="1336"/>
          </w:tcPr>
          <w:p>
            <w:r>
              <w:rPr>
                <w:sz w:val="20"/>
              </w:rPr>
              <w:t>**Melphalan**</w:t>
            </w:r>
          </w:p>
        </w:tc>
        <w:tc>
          <w:tcPr>
            <w:tcW w:type="dxa" w:w="1336"/>
          </w:tcPr>
          <w:p>
            <w:r>
              <w:rPr>
                <w:sz w:val="20"/>
              </w:rPr>
              <w:t>Moutarde phénalanine</w:t>
            </w:r>
          </w:p>
        </w:tc>
        <w:tc>
          <w:tcPr>
            <w:tcW w:type="dxa" w:w="1336"/>
          </w:tcPr>
          <w:p>
            <w:r>
              <w:rPr>
                <w:sz w:val="20"/>
              </w:rPr>
              <w:t>Cyclisation spontanée en aziridinium, captation par LAT1/ASCT2</w:t>
            </w:r>
          </w:p>
        </w:tc>
        <w:tc>
          <w:tcPr>
            <w:tcW w:type="dxa" w:w="1336"/>
          </w:tcPr>
          <w:p>
            <w:r>
              <w:rPr>
                <w:sz w:val="20"/>
              </w:rPr>
              <w:t>PO : 0.15-0.25 mg/kg/J × 4-7 j ; IV HD : 200 mg/m² J-2</w:t>
            </w:r>
          </w:p>
        </w:tc>
        <w:tc>
          <w:tcPr>
            <w:tcW w:type="dxa" w:w="1336"/>
          </w:tcPr>
          <w:p>
            <w:r>
              <w:rPr>
                <w:sz w:val="20"/>
              </w:rPr>
              <w:t>Myélosuppression sévère, mucite, leucémies secondaires</w:t>
            </w:r>
          </w:p>
        </w:tc>
        <w:tc>
          <w:tcPr>
            <w:tcW w:type="dxa" w:w="1336"/>
          </w:tcPr>
          <w:p>
            <w:r>
              <w:rPr>
                <w:sz w:val="20"/>
              </w:rPr>
              <w:t>Grossesse, myélosuppression pré-existante</w:t>
            </w:r>
          </w:p>
        </w:tc>
        <w:tc>
          <w:tcPr>
            <w:tcW w:type="dxa" w:w="1336"/>
          </w:tcPr>
          <w:p>
            <w:r>
              <w:rPr>
                <w:sz w:val="20"/>
              </w:rPr>
              <w:t>CI absolue (tératogène)</w:t>
            </w:r>
          </w:p>
        </w:tc>
      </w:tr>
      <w:tr>
        <w:tc>
          <w:tcPr>
            <w:tcW w:type="dxa" w:w="1336"/>
          </w:tcPr>
          <w:p>
            <w:r>
              <w:rPr>
                <w:sz w:val="20"/>
              </w:rPr>
              <w:t>**Carmustine**</w:t>
            </w:r>
          </w:p>
        </w:tc>
        <w:tc>
          <w:tcPr>
            <w:tcW w:type="dxa" w:w="1336"/>
          </w:tcPr>
          <w:p>
            <w:r>
              <w:rPr>
                <w:sz w:val="20"/>
              </w:rPr>
              <w:t>Nitrosourée</w:t>
            </w:r>
          </w:p>
        </w:tc>
        <w:tc>
          <w:tcPr>
            <w:tcW w:type="dxa" w:w="1336"/>
          </w:tcPr>
          <w:p>
            <w:r>
              <w:rPr>
                <w:sz w:val="20"/>
              </w:rPr>
              <w:t>Alkylante O6-Guanine + carbamoylante (isocyanate), lipophile BHE</w:t>
            </w:r>
          </w:p>
        </w:tc>
        <w:tc>
          <w:tcPr>
            <w:tcW w:type="dxa" w:w="1336"/>
          </w:tcPr>
          <w:p>
            <w:r>
              <w:rPr>
                <w:sz w:val="20"/>
              </w:rPr>
              <w:t>IV : 150-200 mg/m² toutes les 6 sem</w:t>
            </w:r>
          </w:p>
        </w:tc>
        <w:tc>
          <w:tcPr>
            <w:tcW w:type="dxa" w:w="1336"/>
          </w:tcPr>
          <w:p>
            <w:r>
              <w:rPr>
                <w:sz w:val="20"/>
              </w:rPr>
              <w:t>Fibrose pulmonaire (BCNU lung), myélosuppression retardée (nadir 6 sem), VOD</w:t>
            </w:r>
          </w:p>
        </w:tc>
        <w:tc>
          <w:tcPr>
            <w:tcW w:type="dxa" w:w="1336"/>
          </w:tcPr>
          <w:p>
            <w:r>
              <w:rPr>
                <w:sz w:val="20"/>
              </w:rPr>
              <w:t>Grossesse, insuffisance respiratoire</w:t>
            </w:r>
          </w:p>
        </w:tc>
        <w:tc>
          <w:tcPr>
            <w:tcW w:type="dxa" w:w="1336"/>
          </w:tcPr>
          <w:p>
            <w:r>
              <w:rPr>
                <w:sz w:val="20"/>
              </w:rPr>
              <w:t>CI absolue (tératogène)</w:t>
            </w:r>
          </w:p>
        </w:tc>
      </w:tr>
      <w:tr>
        <w:tc>
          <w:tcPr>
            <w:tcW w:type="dxa" w:w="1336"/>
          </w:tcPr>
          <w:p>
            <w:r>
              <w:rPr>
                <w:sz w:val="20"/>
              </w:rPr>
              <w:t>**Dacarbazine**</w:t>
            </w:r>
          </w:p>
        </w:tc>
        <w:tc>
          <w:tcPr>
            <w:tcW w:type="dxa" w:w="1336"/>
          </w:tcPr>
          <w:p>
            <w:r>
              <w:rPr>
                <w:sz w:val="20"/>
              </w:rPr>
              <w:t>Triazine</w:t>
            </w:r>
          </w:p>
        </w:tc>
        <w:tc>
          <w:tcPr>
            <w:tcW w:type="dxa" w:w="1336"/>
          </w:tcPr>
          <w:p>
            <w:r>
              <w:rPr>
                <w:sz w:val="20"/>
              </w:rPr>
              <w:t>Promédicament activé par CYP1A2 → MTIC → méthylation O6-Guanine</w:t>
            </w:r>
          </w:p>
        </w:tc>
        <w:tc>
          <w:tcPr>
            <w:tcW w:type="dxa" w:w="1336"/>
          </w:tcPr>
          <w:p>
            <w:r>
              <w:rPr>
                <w:sz w:val="20"/>
              </w:rPr>
              <w:t>IV : 200-250 mg/m²/J × 5 j ou 850-1000 mg/m² J1</w:t>
            </w:r>
          </w:p>
        </w:tc>
        <w:tc>
          <w:tcPr>
            <w:tcW w:type="dxa" w:w="1336"/>
          </w:tcPr>
          <w:p>
            <w:r>
              <w:rPr>
                <w:sz w:val="20"/>
              </w:rPr>
              <w:t>Vomissements level 4, flush, photosensibilité, myélosuppression</w:t>
            </w:r>
          </w:p>
        </w:tc>
        <w:tc>
          <w:tcPr>
            <w:tcW w:type="dxa" w:w="1336"/>
          </w:tcPr>
          <w:p>
            <w:r>
              <w:rPr>
                <w:sz w:val="20"/>
              </w:rPr>
              <w:t>Grossesse, insuffisance hépatique</w:t>
            </w:r>
          </w:p>
        </w:tc>
        <w:tc>
          <w:tcPr>
            <w:tcW w:type="dxa" w:w="1336"/>
          </w:tcPr>
          <w:p>
            <w:r>
              <w:rPr>
                <w:sz w:val="20"/>
              </w:rPr>
              <w:t>CI absolue (tératogène)</w:t>
            </w:r>
          </w:p>
        </w:tc>
      </w:tr>
      <w:tr>
        <w:tc>
          <w:tcPr>
            <w:tcW w:type="dxa" w:w="1336"/>
          </w:tcPr>
          <w:p>
            <w:r>
              <w:rPr>
                <w:sz w:val="20"/>
              </w:rPr>
              <w:t>**Témozolomide**</w:t>
            </w:r>
          </w:p>
        </w:tc>
        <w:tc>
          <w:tcPr>
            <w:tcW w:type="dxa" w:w="1336"/>
          </w:tcPr>
          <w:p>
            <w:r>
              <w:rPr>
                <w:sz w:val="20"/>
              </w:rPr>
              <w:t>Triazine</w:t>
            </w:r>
          </w:p>
        </w:tc>
        <w:tc>
          <w:tcPr>
            <w:tcW w:type="dxa" w:w="1336"/>
          </w:tcPr>
          <w:p>
            <w:r>
              <w:rPr>
                <w:sz w:val="20"/>
              </w:rPr>
              <w:t>Dégradation spontanée non enzymatique → MTIC → méthylation O6-Guanine</w:t>
            </w:r>
          </w:p>
        </w:tc>
        <w:tc>
          <w:tcPr>
            <w:tcW w:type="dxa" w:w="1336"/>
          </w:tcPr>
          <w:p>
            <w:r>
              <w:rPr>
                <w:sz w:val="20"/>
              </w:rPr>
              <w:t>PO : 75 mg/m²/j x 42 j (Stupp) ou 150-200 mg/m² J1-J5/28 j</w:t>
            </w:r>
          </w:p>
        </w:tc>
        <w:tc>
          <w:tcPr>
            <w:tcW w:type="dxa" w:w="1336"/>
          </w:tcPr>
          <w:p>
            <w:r>
              <w:rPr>
                <w:sz w:val="20"/>
              </w:rPr>
              <w:t>Lymphopénie CD4, pneumocystose, myélosuppression J21-28, fatigue</w:t>
            </w:r>
          </w:p>
        </w:tc>
        <w:tc>
          <w:tcPr>
            <w:tcW w:type="dxa" w:w="1336"/>
          </w:tcPr>
          <w:p>
            <w:r>
              <w:rPr>
                <w:sz w:val="20"/>
              </w:rPr>
              <w:t>Grossesse, myélosuppression pré-existante</w:t>
            </w:r>
          </w:p>
        </w:tc>
        <w:tc>
          <w:tcPr>
            <w:tcW w:type="dxa" w:w="1336"/>
          </w:tcPr>
          <w:p>
            <w:r>
              <w:rPr>
                <w:sz w:val="20"/>
              </w:rPr>
              <w:t>CI absolue (tératogène)</w:t>
            </w:r>
          </w:p>
        </w:tc>
      </w:tr>
      <w:tr>
        <w:tc>
          <w:tcPr>
            <w:tcW w:type="dxa" w:w="1336"/>
          </w:tcPr>
          <w:p>
            <w:r>
              <w:rPr>
                <w:sz w:val="20"/>
              </w:rPr>
              <w:t>**Cisplatine**</w:t>
            </w:r>
          </w:p>
        </w:tc>
        <w:tc>
          <w:tcPr>
            <w:tcW w:type="dxa" w:w="1336"/>
          </w:tcPr>
          <w:p>
            <w:r>
              <w:rPr>
                <w:sz w:val="20"/>
              </w:rPr>
              <w:t>Sel de platine 1G</w:t>
            </w:r>
          </w:p>
        </w:tc>
        <w:tc>
          <w:tcPr>
            <w:tcW w:type="dxa" w:w="1336"/>
          </w:tcPr>
          <w:p>
            <w:r>
              <w:rPr>
                <w:sz w:val="20"/>
              </w:rPr>
              <w:t>Adduits intra-brins 1,2-d(GpG) Pt(II) sur N7-guanine</w:t>
            </w:r>
          </w:p>
        </w:tc>
        <w:tc>
          <w:tcPr>
            <w:tcW w:type="dxa" w:w="1336"/>
          </w:tcPr>
          <w:p>
            <w:r>
              <w:rPr>
                <w:sz w:val="20"/>
              </w:rPr>
              <w:t>IV : 50-100 mg/m²/cure (dose cumulée max 700 mg/m²)</w:t>
            </w:r>
          </w:p>
        </w:tc>
        <w:tc>
          <w:tcPr>
            <w:tcW w:type="dxa" w:w="1336"/>
          </w:tcPr>
          <w:p>
            <w:r>
              <w:rPr>
                <w:sz w:val="20"/>
              </w:rPr>
              <w:t>Néphrotoxicité, ototoxicité, neurotoxicité, émétisation level 4</w:t>
            </w:r>
          </w:p>
        </w:tc>
        <w:tc>
          <w:tcPr>
            <w:tcW w:type="dxa" w:w="1336"/>
          </w:tcPr>
          <w:p>
            <w:r>
              <w:rPr>
                <w:sz w:val="20"/>
              </w:rPr>
              <w:t>Grossesse, ClCr &lt; 60 mL/min, surdité, neuropathie</w:t>
            </w:r>
          </w:p>
        </w:tc>
        <w:tc>
          <w:tcPr>
            <w:tcW w:type="dxa" w:w="1336"/>
          </w:tcPr>
          <w:p>
            <w:r>
              <w:rPr>
                <w:sz w:val="20"/>
              </w:rPr>
              <w:t>CI absolue (tératogène, ototoxique)</w:t>
            </w:r>
          </w:p>
        </w:tc>
      </w:tr>
      <w:tr>
        <w:tc>
          <w:tcPr>
            <w:tcW w:type="dxa" w:w="1336"/>
          </w:tcPr>
          <w:p>
            <w:r>
              <w:rPr>
                <w:sz w:val="20"/>
              </w:rPr>
              <w:t>**Carboplatine**</w:t>
            </w:r>
          </w:p>
        </w:tc>
        <w:tc>
          <w:tcPr>
            <w:tcW w:type="dxa" w:w="1336"/>
          </w:tcPr>
          <w:p>
            <w:r>
              <w:rPr>
                <w:sz w:val="20"/>
              </w:rPr>
              <w:t>Sel de platine 2G</w:t>
            </w:r>
          </w:p>
        </w:tc>
        <w:tc>
          <w:tcPr>
            <w:tcW w:type="dxa" w:w="1336"/>
          </w:tcPr>
          <w:p>
            <w:r>
              <w:rPr>
                <w:sz w:val="20"/>
              </w:rPr>
              <w:t>Adduits intra-brins (cinétique lente, ligand CBDCA)</w:t>
            </w:r>
          </w:p>
        </w:tc>
        <w:tc>
          <w:tcPr>
            <w:tcW w:type="dxa" w:w="1336"/>
          </w:tcPr>
          <w:p>
            <w:r>
              <w:rPr>
                <w:sz w:val="20"/>
              </w:rPr>
              <w:t>IV : AUC 5-7 (formule de Calvert : dose = AUC × (DFG+25))</w:t>
            </w:r>
          </w:p>
        </w:tc>
        <w:tc>
          <w:tcPr>
            <w:tcW w:type="dxa" w:w="1336"/>
          </w:tcPr>
          <w:p>
            <w:r>
              <w:rPr>
                <w:sz w:val="20"/>
              </w:rPr>
              <w:t>Thrombopénie profonde (nadir J21), allergies à 7e cure</w:t>
            </w:r>
          </w:p>
        </w:tc>
        <w:tc>
          <w:tcPr>
            <w:tcW w:type="dxa" w:w="1336"/>
          </w:tcPr>
          <w:p>
            <w:r>
              <w:rPr>
                <w:sz w:val="20"/>
              </w:rPr>
              <w:t>Grossesse, myélosuppression pré-existante</w:t>
            </w:r>
          </w:p>
        </w:tc>
        <w:tc>
          <w:tcPr>
            <w:tcW w:type="dxa" w:w="1336"/>
          </w:tcPr>
          <w:p>
            <w:r>
              <w:rPr>
                <w:sz w:val="20"/>
              </w:rPr>
              <w:t>CI absolue (tératogène)</w:t>
            </w:r>
          </w:p>
        </w:tc>
      </w:tr>
      <w:tr>
        <w:tc>
          <w:tcPr>
            <w:tcW w:type="dxa" w:w="1336"/>
          </w:tcPr>
          <w:p>
            <w:r>
              <w:rPr>
                <w:sz w:val="20"/>
              </w:rPr>
              <w:t>**Oxaliplatine**</w:t>
            </w:r>
          </w:p>
        </w:tc>
        <w:tc>
          <w:tcPr>
            <w:tcW w:type="dxa" w:w="1336"/>
          </w:tcPr>
          <w:p>
            <w:r>
              <w:rPr>
                <w:sz w:val="20"/>
              </w:rPr>
              <w:t>Sel de platine 3G</w:t>
            </w:r>
          </w:p>
        </w:tc>
        <w:tc>
          <w:tcPr>
            <w:tcW w:type="dxa" w:w="1336"/>
          </w:tcPr>
          <w:p>
            <w:r>
              <w:rPr>
                <w:sz w:val="20"/>
              </w:rPr>
              <w:t>Adduits intra-brins DACH (réparation NER contournée)</w:t>
            </w:r>
          </w:p>
        </w:tc>
        <w:tc>
          <w:tcPr>
            <w:tcW w:type="dxa" w:w="1336"/>
          </w:tcPr>
          <w:p>
            <w:r>
              <w:rPr>
                <w:sz w:val="20"/>
              </w:rPr>
              <w:t>IV : 85-130 mg/m²/cure (dose cumulée max 850 mg/m²)</w:t>
            </w:r>
          </w:p>
        </w:tc>
        <w:tc>
          <w:tcPr>
            <w:tcW w:type="dxa" w:w="1336"/>
          </w:tcPr>
          <w:p>
            <w:r>
              <w:rPr>
                <w:sz w:val="20"/>
              </w:rPr>
              <w:t>Neurotoxicité aiguë (froid), neurotoxicité chronique cumulative</w:t>
            </w:r>
          </w:p>
        </w:tc>
        <w:tc>
          <w:tcPr>
            <w:tcW w:type="dxa" w:w="1336"/>
          </w:tcPr>
          <w:p>
            <w:r>
              <w:rPr>
                <w:sz w:val="20"/>
              </w:rPr>
              <w:t>Grossesse, neuropathie pré-existante, exposition au froid</w:t>
            </w:r>
          </w:p>
        </w:tc>
        <w:tc>
          <w:tcPr>
            <w:tcW w:type="dxa" w:w="1336"/>
          </w:tcPr>
          <w:p>
            <w:r>
              <w:rPr>
                <w:sz w:val="20"/>
              </w:rPr>
              <w:t>CI absolue (tératogène)</w:t>
            </w:r>
          </w:p>
        </w:tc>
      </w:tr>
    </w:tbl>
    <w:p/>
    <w:p>
      <w:pPr>
        <w:pStyle w:val="Heading3"/>
      </w:pPr>
      <w:r>
        <w:t>Synthèse pédagogique pour l'étudiant</w:t>
      </w:r>
    </w:p>
    <w:p>
      <w:r>
        <w:t xml:space="preserve">Au terme de ce chapitre, l'étudiant en pharmacie algérien doit retenir les </w:t>
      </w:r>
      <w:r>
        <w:rPr>
          <w:b/>
        </w:rPr>
        <w:t>messages clés</w:t>
      </w:r>
      <w:r>
        <w:t xml:space="preserve"> suivants :</w:t>
      </w:r>
    </w:p>
    <w:p>
      <w:r/>
      <w:r>
        <w:rPr>
          <w:b/>
        </w:rPr>
        <w:t>1. Mécanisme commun mais spécificités moléculaires</w:t>
      </w:r>
      <w:r/>
    </w:p>
    <w:p>
      <w:r>
        <w:t>Les alkylants classiques (moutardes azotées, alkylsulfonates, moutarde phénalanine, nitrosourées) forment des ponts covalents carbonés inter-brins ADN au niveau de la N7-guanine. Les triazines (dacarbazine, témozolomide) agissent par méthylation de l'O6-guanine, lésion réparée par la MGMT — d'où l'intérêt prédicteur de la méthylation du promoteur MGMT (notamment pour le témozolomide dans le glioblastome). Les sels de platine ne forment pas de ponts covalents carbonés mais des adduits de coordinance Pt(II)-N7-guanine, essentiellement intra-brins 1,2-d(GpG). Le cisplatine (1G, ligand ammine) et le carboplatine (2G, ligand CBDCA à cinétique lente) partagent une résistance croisée complète via le système NER. L'oxaliplatine (3G, ligand DACH) contourne cette résistance grâce à l'encombrement stérique du DACH, qui rend les adduits plus difficiles à réparer.</w:t>
      </w:r>
    </w:p>
    <w:p>
      <w:r/>
      <w:r>
        <w:rPr>
          <w:b/>
        </w:rPr>
        <w:t>2. Promédicaments à activation hépatique</w:t>
      </w:r>
      <w:r/>
    </w:p>
    <w:p>
      <w:r>
        <w:t>Le cyclophosphamide et l'ifosfamide sont des promédicaments nécessitant une activation hépatique par CYP2B6/CYP3A4 (cyclophosphamide) ou CYP3A4 (ifosfamide). Cette activation produit deux métabolites clés : la moutarde active (phosphoramide/isophosphoramide moutarde) et l'acroléine (urotoxique responsable de la cystite hémorragique — prévenue par Mesna systématique). L'ifosfamide produit en plus du chloroacétaldéhyde, neurotoxique responsable de l'encéphalopathie (antidote : méthylène bleu IV). La dacarbazine est aussi un promédicament activé par CYP1A2 en MTIC. À l'inverse, le melphalan, le chlorambucil, le busulfan, la carmustine et le témozolomide sont actifs par eux-mêmes (cyclisation spontanée ou dégradation non enzymatique).</w:t>
      </w:r>
    </w:p>
    <w:p>
      <w:r/>
      <w:r>
        <w:rPr>
          <w:b/>
        </w:rPr>
        <w:t>3. Profils de toxicité caractéristiques</w:t>
      </w:r>
      <w:r/>
    </w:p>
    <w:p>
      <w:r>
        <w:t>Chaque molécule a une signature toxique reconnaissable :</w:t>
      </w:r>
    </w:p>
    <w:p>
      <w:pPr>
        <w:pStyle w:val="ListBullet"/>
      </w:pPr>
      <w:r>
        <w:t>Cyclophosphamide/Ifosfamide → cystite hémorragique (acroléine), Mesna obligatoire</w:t>
      </w:r>
    </w:p>
    <w:p>
      <w:pPr>
        <w:pStyle w:val="ListBullet"/>
      </w:pPr>
      <w:r>
        <w:t>Ifosfamide → encéphalopathie (chloroacétaldéhyde), méthylène bleu IV</w:t>
      </w:r>
    </w:p>
    <w:p>
      <w:pPr>
        <w:pStyle w:val="ListBullet"/>
      </w:pPr>
      <w:r>
        <w:t>Chlorambucil → myélosuppression retardée à 28 jours, leucémogénicité majeure</w:t>
      </w:r>
    </w:p>
    <w:p>
      <w:pPr>
        <w:pStyle w:val="ListBullet"/>
      </w:pPr>
      <w:r>
        <w:t>Busulfan → convulsions (prophylaxie phénobarbital), VOD hépatique, fibrose pulmonaire</w:t>
      </w:r>
    </w:p>
    <w:p>
      <w:pPr>
        <w:pStyle w:val="ListBullet"/>
      </w:pPr>
      <w:r>
        <w:t>Melphalan → mucite sévère haute dose, stérilité quasi constante</w:t>
      </w:r>
    </w:p>
    <w:p>
      <w:pPr>
        <w:pStyle w:val="ListBullet"/>
      </w:pPr>
      <w:r>
        <w:t>Carmustine → fibrose pulmonaire (« BCNU lung »), myélosuppression retardée 4-6 semaines</w:t>
      </w:r>
    </w:p>
    <w:p>
      <w:pPr>
        <w:pStyle w:val="ListBullet"/>
      </w:pPr>
      <w:r>
        <w:t>Dacarbazine → émétisation level 4, flush, photosensibilité</w:t>
      </w:r>
    </w:p>
    <w:p>
      <w:pPr>
        <w:pStyle w:val="ListBullet"/>
      </w:pPr>
      <w:r>
        <w:t>Témozolomide → lymphopénie CD4, pneumocystose (prophylaxie cotrimoxazole)</w:t>
      </w:r>
    </w:p>
    <w:p>
      <w:pPr>
        <w:pStyle w:val="ListBullet"/>
      </w:pPr>
      <w:r>
        <w:t>Cisplatine → néphrotoxicité (hydratation IV), ototoxicité, neurotoxicité, émétisation level 4</w:t>
      </w:r>
    </w:p>
    <w:p>
      <w:pPr>
        <w:pStyle w:val="ListBullet"/>
      </w:pPr>
      <w:r>
        <w:t>Carboplatine → thrombopénie profonde (nadir J21), allergies à la 7e cure</w:t>
      </w:r>
    </w:p>
    <w:p>
      <w:pPr>
        <w:pStyle w:val="ListBullet"/>
      </w:pPr>
      <w:r>
        <w:t>Oxaliplatine → neurotoxicité aiguë (froid), neurotoxicité chronique cumulative</w:t>
      </w:r>
    </w:p>
    <w:p>
      <w:r/>
      <w:r>
        <w:rPr>
          <w:b/>
        </w:rPr>
        <w:t>4. Préventions systématiques à retenir</w:t>
      </w:r>
      <w:r/>
    </w:p>
    <w:p>
      <w:pPr>
        <w:pStyle w:val="ListBullet"/>
      </w:pPr>
      <w:r>
        <w:t>Mesna pour cyclophosphamide (≥ 10 mg/kg) et ifosfamide (systématique)</w:t>
      </w:r>
    </w:p>
    <w:p>
      <w:pPr>
        <w:pStyle w:val="ListBullet"/>
      </w:pPr>
      <w:r>
        <w:t>Hydratation IV abondante + diurèse forcée pour cisplatine (3 L/m²/24 h, mannitol/furosémide)</w:t>
      </w:r>
    </w:p>
    <w:p>
      <w:pPr>
        <w:pStyle w:val="ListBullet"/>
      </w:pPr>
      <w:r>
        <w:t>Prophylaxie anti-convulsivante pour busulfan (phénobarbital, lévétiracétam)</w:t>
      </w:r>
    </w:p>
    <w:p>
      <w:pPr>
        <w:pStyle w:val="ListBullet"/>
      </w:pPr>
      <w:r>
        <w:t>Prophylaxie pneumocystose pour témozolomide en phase concomitante radio-témozolomide (cotrimoxazole 3j/sem)</w:t>
      </w:r>
    </w:p>
    <w:p>
      <w:pPr>
        <w:pStyle w:val="ListBullet"/>
      </w:pPr>
      <w:r>
        <w:t>Cryopréservation gamétique pré-thérapeutique systématique pour tous les alkylants et sels de platine (stérilité quasi constante)</w:t>
      </w:r>
    </w:p>
    <w:p>
      <w:pPr>
        <w:pStyle w:val="ListBullet"/>
      </w:pPr>
      <w:r>
        <w:t>Prémédication antihistaminique + corticoïde pour carboplatine et oxaliplatine à partir de la 7e cure (risque allergique)</w:t>
      </w:r>
    </w:p>
    <w:p>
      <w:pPr>
        <w:pStyle w:val="ListBullet"/>
      </w:pPr>
      <w:r>
        <w:t>Antiémétiques renforcés (level 4) pour cisplatine, dacarbazine, carmustine : triple protocole anti-5HT3 + corticoïde + aprépitant ± olanzapine</w:t>
      </w:r>
    </w:p>
    <w:p>
      <w:r/>
      <w:r>
        <w:rPr>
          <w:b/>
        </w:rPr>
        <w:t>5. Voies d'administration et circuit de dispensation</w:t>
      </w:r>
      <w:r/>
    </w:p>
    <w:p>
      <w:r>
        <w:t>La majorité des alkylants et sels de platine sont à usage hospitalier exclusif (PUI, ZAC, préparation centralisée). Quatre molécules ont une forme orale permettant un usage ambulatoire (après initiation hospitalière) :</w:t>
      </w:r>
    </w:p>
    <w:p>
      <w:pPr>
        <w:pStyle w:val="ListBullet"/>
      </w:pPr>
      <w:r>
        <w:t>Cyclophosphamide comprimé 50 mg (ENDOXAN, FAMISAS) — immunologie</w:t>
      </w:r>
    </w:p>
    <w:p>
      <w:pPr>
        <w:pStyle w:val="ListBullet"/>
      </w:pPr>
      <w:r>
        <w:t>Chlorambucil comprimé 2 mg (LEUKERAN) — LLC, lymphomes indolents</w:t>
      </w:r>
    </w:p>
    <w:p>
      <w:pPr>
        <w:pStyle w:val="ListBullet"/>
      </w:pPr>
      <w:r>
        <w:t>Melphalan comprimé 2 mg (ALKERAN) — myélome MP, MPT, VMP</w:t>
      </w:r>
    </w:p>
    <w:p>
      <w:pPr>
        <w:pStyle w:val="ListBullet"/>
      </w:pPr>
      <w:r>
        <w:t>Témozolomide gélules 20/100/250 mg (TEGOZOL, TEMOZOLOMIDE BIOPHARM, TEMOZOLOMIDE DEMOCEDES) — gliomes, mélanome</w:t>
      </w:r>
    </w:p>
    <w:p>
      <w:r>
        <w:t>Le pharmacien d'officine algérien joue un rôle pivot pour ces formes orales : vérification du calcul de dose (mg/m²), information du patient (observance, hydratation, prise à jeun pour melphalan et témozolomide), surveillance des effets indésirables (fièvre, saignements, signes neurologiques), coordination avec l'oncologue référent.</w:t>
      </w:r>
    </w:p>
    <w:p>
      <w:r/>
      <w:r>
        <w:rPr>
          <w:b/>
        </w:rPr>
        <w:t>6. Spécificités algériennes</w:t>
      </w:r>
      <w:r/>
    </w:p>
    <w:p>
      <w:pPr>
        <w:pStyle w:val="ListBullet"/>
      </w:pPr>
      <w:r>
        <w:t xml:space="preserve">Plusieurs spécialités sont en état NON RENOUVELABLE ou RETIRÉ du marché algérien à la date d'Avril 2026, notamment pour le cisplatine (toutes), le carboplatine (toutes), la carmustine (CONSIUM RETIRÉ), et certaines formes de cyclophosphamide (NEOPHOS, FAMISAS, ENDOXAN 1 g). Cette situation soulève une </w:t>
      </w:r>
      <w:r>
        <w:rPr>
          <w:b/>
        </w:rPr>
        <w:t>alerte majeure</w:t>
      </w:r>
      <w:r>
        <w:t xml:space="preserve"> sur l'approvisionnement en chimiothérapie anticancéreuse en Algérie et impose aux praticiens et pharmaciens :</w:t>
      </w:r>
    </w:p>
    <w:p>
      <w:pPr>
        <w:pStyle w:val="ListBullet"/>
      </w:pPr>
      <w:r>
        <w:t>Vérification systématique de la disponibilité avant prescription</w:t>
      </w:r>
    </w:p>
    <w:p>
      <w:pPr>
        <w:pStyle w:val="ListBullet"/>
      </w:pPr>
      <w:r>
        <w:t>Recours à l'importation exceptionnelle pour les molécules non disponibles</w:t>
      </w:r>
    </w:p>
    <w:p>
      <w:pPr>
        <w:pStyle w:val="ListBullet"/>
      </w:pPr>
      <w:r>
        <w:t>Discussion d'alternatives thérapeutiques (carboplatine ↔ cisplatine, témozolomide ↔ carmustine pour gliomes)</w:t>
      </w:r>
    </w:p>
    <w:p>
      <w:pPr>
        <w:pStyle w:val="ListBullet"/>
      </w:pPr>
      <w:r>
        <w:t>Information claire au patient sur les ruptures éventuelles et les délais</w:t>
      </w:r>
    </w:p>
    <w:p>
      <w:pPr>
        <w:pStyle w:val="ListBullet"/>
      </w:pPr>
      <w:r>
        <w:t>Les spécialités actives en oncologie algérienne pour ce chapitre sont : ENDOXAN 200 mg/500 mg/50 mg cp (cyclophosphamide), IFOXAN 1 g et HOLOXAN 2 g (ifosfamide), LEUKERAN 2 mg (chlorambucil), BUSULFAN ACCORD 6 mg/mL et PMS BUSULFAN 6 mg/mL (busulfan), ALKERAN 2 mg cp et ALKERAN TM 50 mg/10 mL (melphalan), DTI 100 mg (dacarbazine), TEGOZOL 20/100/250 mg et TEMOZOLOMIDE BIOPHARM/DEMOCEDES (témozolomide), OXALIPLATINE MYLAN 50/100 mg, OXIPLAT 50/100 et XLATIN (oxaliplatine).</w:t>
      </w:r>
    </w:p>
    <w:p>
      <w:r/>
      <w:r>
        <w:rPr>
          <w:b/>
        </w:rPr>
        <w:t>7. Grossesse, allaitement, fertilité</w:t>
      </w:r>
      <w:r/>
    </w:p>
    <w:p>
      <w:r>
        <w:t>Tous les alkylants et sels de platine sont :</w:t>
      </w:r>
    </w:p>
    <w:p>
      <w:pPr>
        <w:pStyle w:val="ListBullet"/>
      </w:pPr>
      <w:r>
        <w:t>Tératogènes et mutagènes majeurs → CI absolue pendant la grossesse (toutes phases)</w:t>
      </w:r>
    </w:p>
    <w:p>
      <w:pPr>
        <w:pStyle w:val="ListBullet"/>
      </w:pPr>
      <w:r>
        <w:t>Contre-indiqués pendant l'allaitement (passage dans le lait maternel)</w:t>
      </w:r>
    </w:p>
    <w:p>
      <w:pPr>
        <w:pStyle w:val="ListBullet"/>
      </w:pPr>
      <w:r>
        <w:t>Cryopréservation gamétique pré-thérapeutique systématique obligatoire (azoospermie, aménorrhée)</w:t>
      </w:r>
    </w:p>
    <w:p>
      <w:pPr>
        <w:pStyle w:val="ListBullet"/>
      </w:pPr>
      <w:r>
        <w:t>Contraception obligatoire pendant et 6 mois après traitement (les deux partenaires)</w:t>
      </w:r>
    </w:p>
    <w:p>
      <w:pPr>
        <w:pStyle w:val="ListBullet"/>
      </w:pPr>
      <w:r>
        <w:t>Vaccins vivants contre-indiqués pendant et 6 mois après traitement</w:t>
      </w:r>
    </w:p>
    <w:p>
      <w:pPr>
        <w:pStyle w:val="ListBullet"/>
      </w:pPr>
      <w:r>
        <w:t>Surveillance hématologique prolongée 10-15 ans pour second cancer (NFS annuelle)</w:t>
      </w:r>
    </w:p>
    <w:p>
      <w:r/>
      <w:r>
        <w:rPr>
          <w:b/>
        </w:rPr>
        <w:t>8. Pièges du comptoir à retenir</w:t>
      </w:r>
      <w:r/>
    </w:p>
    <w:p>
      <w:pPr>
        <w:pStyle w:val="ListBullet"/>
      </w:pPr>
      <w:r>
        <w:t>Cyclophosphamide → Mesna obligatoire (cystite hémorragique)</w:t>
      </w:r>
    </w:p>
    <w:p>
      <w:pPr>
        <w:pStyle w:val="ListBullet"/>
      </w:pPr>
      <w:r>
        <w:t>Ifosfamide → Méthylène bleu IV si encéphalopathie</w:t>
      </w:r>
    </w:p>
    <w:p>
      <w:pPr>
        <w:pStyle w:val="ListBullet"/>
      </w:pPr>
      <w:r>
        <w:t>Busulfan → Phénobarbital (prophylaxie convulsions), défibrotide (VOD)</w:t>
      </w:r>
    </w:p>
    <w:p>
      <w:pPr>
        <w:pStyle w:val="ListBullet"/>
      </w:pPr>
      <w:r>
        <w:t>Carmustine → Dilution dans G5% (pas de NaCl — précipitation)</w:t>
      </w:r>
    </w:p>
    <w:p>
      <w:pPr>
        <w:pStyle w:val="ListBullet"/>
      </w:pPr>
      <w:r>
        <w:t>Dacarbazine → Émétisation level 4, photosensibilité</w:t>
      </w:r>
    </w:p>
    <w:p>
      <w:pPr>
        <w:pStyle w:val="ListBullet"/>
      </w:pPr>
      <w:r>
        <w:t>Témozolomide → Cotrimoxazole (pneumocystose), prise à jeun</w:t>
      </w:r>
    </w:p>
    <w:p>
      <w:pPr>
        <w:pStyle w:val="ListBullet"/>
      </w:pPr>
      <w:r>
        <w:t>Cisplatine → Dilution NaCl 0.9 % EXCLUSIVEMENT (pas de G5%), hydratation IV systématique</w:t>
      </w:r>
    </w:p>
    <w:p>
      <w:pPr>
        <w:pStyle w:val="ListBullet"/>
      </w:pPr>
      <w:r>
        <w:t>Carboplatine → Formule de Calvert (dose = AUC × (DFG + 25))</w:t>
      </w:r>
    </w:p>
    <w:p>
      <w:pPr>
        <w:pStyle w:val="ListBullet"/>
      </w:pPr>
      <w:r>
        <w:t>Oxaliplatine → Dilution G5% EXCLUSIVEMENT (pas de NaCl), éviter le froid</w:t>
      </w:r>
    </w:p>
    <w:p>
      <w:pPr>
        <w:pStyle w:val="Heading3"/>
      </w:pPr>
      <w:r>
        <w:t>Conclusion du chapitre</w:t>
      </w:r>
    </w:p>
    <w:p>
      <w:r>
        <w:t>Les agents alkylants et sels de platine demeurent, malgré l'arrivée des thérapies ciblées et de l'immunothérapie, des piliers incontournables de la chimiothérapie anticancéreuse curative et palliative. Leur maîtrise par le pharmacien d'officine algérien est essentielle pour plusieurs raisons : (1) dispensation des formes orales (cyclophosphamide, chlorambucil, melphalan, témozolomide), (2) accompagnement du patient en ville (antiémétiques, antalgiques, G-CSF, surveillance NFS), (3) coordination avec l'oncologue référent et le pharmacien hospitalier, (4) information et éducation thérapeutique du patient (observance, hydratation, signes d'alerte, conservation gamétique, contraception), (5) vigilance sur les ruptures d'approvisionnement en Algérie.</w:t>
      </w:r>
    </w:p>
    <w:p>
      <w:r>
        <w:t>L'étudiant doit également retenir que ces molécules, bien que d'ancienneté variable (1953 pour le chlorambucil, 1996 pour l'oxaliplatine), restent d'actualité dans les protocoles de référence : CHOP (lymphome), BEP (cancer du testicule), FOLFOX (cancer colorectal), ABVD (maladie de Hodgkin), Stupp (glioblastome), MP/VMP/MPT (myélome), BuCy2/BuFlu (conditionnement greffe). Leur index thérapeutique étroit impose une rigueur parfaite dans la prescription, la préparation, l'administration et la surveillance.</w:t>
      </w:r>
    </w:p>
    <w:p>
      <w:r>
        <w:t>Le chapitre suivant (chapitre 102) traitera des antimétabolites et des antibiotiques anticancéreux, autre pilier de la chimiothérapie classique.</w:t>
      </w:r>
    </w:p>
    <w:p>
      <w:r/>
      <w:r>
        <w:rPr>
          <w:i/>
        </w:rPr>
        <w:t>Sources consultées : VIDAL 2026, ANSM (Répertoire des spécialités), Thériaque, CRAT (Centre de Référence sur les Agents Tératogènes), NCCN Guidelines (version 2026), ESMO Clinical Practice Guidelines, UpToDate, RCP (Résumé des Caractéristiques du Produit) des spécialités commercialisées en Algérie, Nomenclature officielle des médicaments du Ministère de la Santé algérien (Avril 2026).</w:t>
      </w:r>
      <w:r/>
    </w:p>
    <w:p>
      <w:pPr>
        <w:pStyle w:val="Heading1"/>
      </w:pPr>
      <w:r>
        <w:t>Fascicule XII — Oncologie / Antimétabolites et Antibiotiques antitumoraux</w:t>
      </w:r>
    </w:p>
    <w:p>
      <w:pPr>
        <w:pStyle w:val="Heading2"/>
      </w:pPr>
      <w:r>
        <w:t>Chapitre 102 — Antimétabolites (antifoliques, fluoropyrimidines, purines, pyrimidines, hypométhylants, hydroxyurée) et Antibiotiques antitumoraux (anthracyclines, anthracènediones, bléomycine, mitomycine, dactinomycine)</w:t>
      </w:r>
    </w:p>
    <w:p>
      <w:pPr>
        <w:pStyle w:val="Heading2"/>
      </w:pPr>
      <w:r>
        <w:t>Introduction du Chapitre 102</w:t>
      </w:r>
    </w:p>
    <w:p>
      <w:r>
        <w:t xml:space="preserve">Le présent chapitre (Chapitre 102) constitue le second volet du Fascicule XII dédié à l'Oncologie médicale. Il couvre deux grandes familles de cytotoxiques classiques — les </w:t>
      </w:r>
      <w:r>
        <w:rPr>
          <w:b/>
        </w:rPr>
        <w:t>antimétabolites</w:t>
      </w:r>
      <w:r>
        <w:t xml:space="preserve"> et les </w:t>
      </w:r>
      <w:r>
        <w:rPr>
          <w:b/>
        </w:rPr>
        <w:t>antibiotiques antitumoraux</w:t>
      </w:r>
      <w:r>
        <w:t xml:space="preserve"> — qui, malgré l'avènement des thérapies ciblées et de l'immunothérapie, demeurent des piliers incontournables de la chimiothérapie anticancéreuse en raison de leur efficacité, de leur coût modéré et de leur place centrale dans les protocoles curatifs (adjuvants, néoadjuvants) comme palliatifs. Ces deux familles partagent le point commun d'être issues d'agents naturels (microorganismes du sol, plantes) ou de leurs analogues synthétiques, et d'agir préférentiellement sur la phase S du cycle cellulaire (antimétabolites) ou sur l'ADN lui-même (antibiotiques antitumoraux).</w:t>
      </w:r>
    </w:p>
    <w:p>
      <w:r>
        <w:t xml:space="preserve">Les </w:t>
      </w:r>
      <w:r>
        <w:rPr>
          <w:b/>
        </w:rPr>
        <w:t>antimétabolites</w:t>
      </w:r>
      <w:r>
        <w:t xml:space="preserve"> sont des analogues structuraux de métabolites endogènes nécessaires à la synthèse des acides nucléiques (acide folique, pyrimidines, purines). Ils agissent en compétition avec les substrats naturels des enzymes clés de la synthèse de l'ADN et de l'ARN, induisant un « blocage métabolique » qui empêche la réplication cellulaire et provoque la mort cellulaire par apoptose. Leur toxicité est typiquement cycle-dépendante (phase S) et affecte préférentiellement les tissus à renouvellement rapide (moelle osseuse, muqueuse digestive, follicules pileux, gonades). Ils se répartissent en six sous-classes cliniquement distinctes :</w:t>
      </w:r>
    </w:p>
    <w:p>
      <w:pPr>
        <w:pStyle w:val="ListNumber"/>
      </w:pPr>
      <w:r/>
      <w:r>
        <w:rPr>
          <w:b/>
        </w:rPr>
        <w:t>Antifoliques</w:t>
      </w:r>
      <w:r>
        <w:t xml:space="preserve"> (méthotrexate, pémétrexed) : inhibition de la dihydrofolate réductase (DHFR) ou de la thymidylate synthase (TS), bloquant la synthèse des purines et de la thymidine.</w:t>
      </w:r>
    </w:p>
    <w:p>
      <w:pPr>
        <w:pStyle w:val="ListNumber"/>
      </w:pPr>
      <w:r/>
      <w:r>
        <w:rPr>
          <w:b/>
        </w:rPr>
        <w:t>Fluoropyrimidines</w:t>
      </w:r>
      <w:r>
        <w:t xml:space="preserve"> (5-fluorouracile) : incorporation d'un analogue de l'uracile dans l'ARN et inhibition de la thymidylate synthase → blocage de la synthèse de l'ADN.</w:t>
      </w:r>
    </w:p>
    <w:p>
      <w:pPr>
        <w:pStyle w:val="ListNumber"/>
      </w:pPr>
      <w:r/>
      <w:r>
        <w:rPr>
          <w:b/>
        </w:rPr>
        <w:t>Fluoropyrimidines prodrogues</w:t>
      </w:r>
      <w:r>
        <w:t xml:space="preserve"> (capécitabine) : prodrogue orale convertie enzymatiquement en 5-FU, avec activation préférentielle tumorale par la thymidine phosphorylase.</w:t>
      </w:r>
    </w:p>
    <w:p>
      <w:pPr>
        <w:pStyle w:val="ListNumber"/>
      </w:pPr>
      <w:r/>
      <w:r>
        <w:rPr>
          <w:b/>
        </w:rPr>
        <w:t>Analogues de purines</w:t>
      </w:r>
      <w:r>
        <w:t xml:space="preserve"> (mercaptopurine, fludarabine, cladribine) : incorporation dans l'ADN/ARN des cellules hématopoïétiques → blocage de la synthèse et de la réparation de l'ADN.</w:t>
      </w:r>
    </w:p>
    <w:p>
      <w:pPr>
        <w:pStyle w:val="ListNumber"/>
      </w:pPr>
      <w:r/>
      <w:r>
        <w:rPr>
          <w:b/>
        </w:rPr>
        <w:t>Analogues de pyrimidines</w:t>
      </w:r>
      <w:r>
        <w:t xml:space="preserve"> (cytarabine, gemcitabine) : incorporation dans l'ADN naissant → terminaison de chaîne (cytarabine) ou « masquage » (gemcitabine, qui inhibe en plus la ribonucléotide réductase).</w:t>
      </w:r>
    </w:p>
    <w:p>
      <w:pPr>
        <w:pStyle w:val="ListNumber"/>
      </w:pPr>
      <w:r/>
      <w:r>
        <w:rPr>
          <w:b/>
        </w:rPr>
        <w:t>Hypométhylants</w:t>
      </w:r>
      <w:r>
        <w:t xml:space="preserve"> (azacitidine) : incorporation dans l'ARN et l'ADN, piège des DNMT (ADN méthyltransférases) → déméthylation génique et réexpression de gènes suppresseurs de tumeurs.</w:t>
      </w:r>
    </w:p>
    <w:p>
      <w:pPr>
        <w:pStyle w:val="ListNumber"/>
      </w:pPr>
      <w:r/>
      <w:r>
        <w:rPr>
          <w:b/>
        </w:rPr>
        <w:t>Hydroxyurée / hydroxycarbamide</w:t>
      </w:r>
      <w:r>
        <w:t xml:space="preserve"> : inhibition de la ribonucléotide réductase (RNR) → blocage de la synthèse des désoxyribonucléotides.</w:t>
      </w:r>
    </w:p>
    <w:p>
      <w:r>
        <w:t xml:space="preserve">Les </w:t>
      </w:r>
      <w:r>
        <w:rPr>
          <w:b/>
        </w:rPr>
        <w:t>antibiotiques antitumoraux</w:t>
      </w:r>
      <w:r>
        <w:t xml:space="preserve"> sont des molécules naturelles (ou hémisynthétiques) produites par des microorganismes du sol (Streptomyces spp.), caractérisées par leur capacité à interagir directement avec l'ADN (intercalation, alkylation, coupure simple ou double brin) et à inhiber la topo-isomérase II. On distingue trois grands groupes :</w:t>
      </w:r>
    </w:p>
    <w:p>
      <w:pPr>
        <w:pStyle w:val="ListNumber"/>
      </w:pPr>
      <w:r/>
      <w:r>
        <w:rPr>
          <w:b/>
        </w:rPr>
        <w:t>Anthracyclines</w:t>
      </w:r>
      <w:r>
        <w:t xml:space="preserve"> (doxorubicine, daunorubicine, épirubicine) : intercalation de l'ADN, inhibition de la topo-isomérase II, génération de radicaux libres → cardiotoxicité cumulative dose-dépendante caractéristique.</w:t>
      </w:r>
    </w:p>
    <w:p>
      <w:pPr>
        <w:pStyle w:val="ListNumber"/>
      </w:pPr>
      <w:r/>
      <w:r>
        <w:rPr>
          <w:b/>
        </w:rPr>
        <w:t>Anthracènediones</w:t>
      </w:r>
      <w:r>
        <w:t xml:space="preserve"> (mitoxantrone) : mécanisme proche des anthracyclines (intercalation + topo II) mais sans le groupement aminodioxyose → cardiotoxicité moindre mais non négligeable.</w:t>
      </w:r>
    </w:p>
    <w:p>
      <w:pPr>
        <w:pStyle w:val="ListNumber"/>
      </w:pPr>
      <w:r/>
      <w:r>
        <w:rPr>
          <w:b/>
        </w:rPr>
        <w:t>Autres antibiotiques antitumoraux</w:t>
      </w:r>
      <w:r>
        <w:t xml:space="preserve"> : bléomycine (coupure de l'ADN par chélation du fer et génération de radicaux oxygénés → pneumotoxicité), mitomycine C (alkylation bifonctionnelle de l'ADN → toxicité hématologique retardée), dactinomycine (intercalation de l'ADN → immunosuppression et toxicité hématologique sévère).</w:t>
      </w:r>
    </w:p>
    <w:p>
      <w:r>
        <w:t xml:space="preserve">Ces deux familles illustrent parfaitement la </w:t>
      </w:r>
      <w:r>
        <w:rPr>
          <w:b/>
        </w:rPr>
        <w:t>double menace</w:t>
      </w:r>
      <w:r>
        <w:t xml:space="preserve"> inhérente à toute chimiothérapie cytotoxique : efficacité anticancéreuse maximale d'un côté, toxicité systémique d'organe de l'autre (moelle osseuse, tube digestif, cœur, poumons, gonades). La maîtrise de leur maniement repose sur (i) une connaissance fine de la cinétique (clearance rénale du méthotrexate, de la gemcitabine, de la fludarabine ; métabolisme hépatique de la capécitabine par la dihydropyrimidine déshydrogénase [DPD] ; métabolisme de la mercaptopurine par la thiopurine méthyltransférase [TPMT] ; liaison de la doxorubicine aux liposomes pour réduire la cardiotoxicité), (ii) une surveillance rigoureuse des organes cibles toxicologiques (écho-doppler cardiaque pour les anthracyclines, EFR pour la bléomycine, bilan hépatique et rénal pour la gemcitabine, numération formule sanguine pour tous), et (iii) l'anticipation des </w:t>
      </w:r>
      <w:r>
        <w:rPr>
          <w:b/>
        </w:rPr>
        <w:t>sauvetages</w:t>
      </w:r>
      <w:r>
        <w:t xml:space="preserve"> thérapeutiques spécifiques (folinate de calcium pour le méthotrexate haute dose, uridine pour la capécitabine/5-FU en cas de déficit en DPD, G-CSF pour les aplasies prolongées).</w:t>
      </w:r>
    </w:p>
    <w:p>
      <w:r>
        <w:t xml:space="preserve">En Algérie, ces dix-huit DCI constituent l'ossature des protocoles anticancéreux disponibles dans les centres anticancéreux (Pierre et Marie Curie d'Alger, EPH CAC Oran, EHU Constantine, EPH Bachir Mentouri), avec des particularités de disponibilité qui seront détaillées dans chaque fiche (l'azacitidine et le pémétrexed ont vu l'arrivée de plusieurs génériques locaux SAIDAL, ALFACARE, IMGSA, HIKMA — une avancée majeure d'accès aux soins). Les </w:t>
      </w:r>
      <w:r>
        <w:rPr>
          <w:b/>
        </w:rPr>
        <w:t>formes liposomales</w:t>
      </w:r>
      <w:r>
        <w:t xml:space="preserve"> (doxorubicine liposomale pegylée LIPODOX) ont transformé la prise en charge du sarcome de Kaposi et des ovaires avec une réduction majeure de la cardiotoxicité. Le présent chapitre aborde successivement chacune des dix sous-classes en suivant la structure classique : Liste catégories → Table commerciale → Mécanisme → Profil PK → Prévention EI → Interactions → Grossesse/Allaitement CRAT → Posologie → Formes galéniques → Conseils patient → Pièges comptoir.</w:t>
      </w:r>
    </w:p>
    <w:p>
      <w:pPr>
        <w:pStyle w:val="Heading2"/>
      </w:pPr>
      <w:r>
        <w:t>Sous-classe 1 — Antimétabolites antifoliques — Méthotrexate, Pémétrexed</w:t>
      </w:r>
    </w:p>
    <w:p>
      <w:r>
        <w:t xml:space="preserve">Les </w:t>
      </w:r>
      <w:r>
        <w:rPr>
          <w:b/>
        </w:rPr>
        <w:t>antifoliques</w:t>
      </w:r>
      <w:r>
        <w:t xml:space="preserve"> sont historiquement les premiers antimétabolites introduits en clinique anticancéreuse. Le </w:t>
      </w:r>
      <w:r>
        <w:rPr>
          <w:b/>
        </w:rPr>
        <w:t>méthotrexate</w:t>
      </w:r>
      <w:r>
        <w:t xml:space="preserve"> (améthoptérine), synthétisé en 1947 par Yellapragada Subbarow au Laboratoire Lederle et introduit en clinique dès 1948 par Sidney Farber pour le traitement des leucémies aiguës lymphoblastiques (LAL) de l'enfant, a représenté le premier succès thérapeutique majeur de la chimiothérapie anticancéreuse, faisant passer la rémission complète des LAL de 0 % à près de 50 %, et demeure à ce jour une pierre angulaire de l'oncologie pédiatrique, de l'oncologie de la femme (choriocarcinome, môle hydatiforme), du lymphome cérébral et de l'ostéosarcome. Il a également largement débordé du cadre oncologique vers la rhumatologie (polyarthrite rhumatoïde, rhumatisme psoriasique), la dermatologie (psoriasis, pemphigus) et la gastro-entérologie (maladie de Crohn) à des doses 100 à 1000 fois inférieures.</w:t>
      </w:r>
    </w:p>
    <w:p>
      <w:r>
        <w:t xml:space="preserve">Le </w:t>
      </w:r>
      <w:r>
        <w:rPr>
          <w:b/>
        </w:rPr>
        <w:t>pémétrexed</w:t>
      </w:r>
      <w:r>
        <w:t xml:space="preserve"> (Alimta®), plus récent (2004, Eli Lilly), est un antifolique de synthèse multitarget, inhibant simultanément la thymidylate synthase (TS), la dihydrofolate réductase (DHFR) et la glycinamide ribonucléotide formyltransférase (GARFT). Sa tropisme pour l'adénocarcinome pulmonaire non à petites cellules (CBNPC non épidermoïde) et le mésothéliome pleural malin — en association avec le cisplatine — en fait une molécule clé de l'oncologie thoracique moderne. Une caractéristique commune aux deux antifoliques est la nécessité absolue d'une </w:t>
      </w:r>
      <w:r>
        <w:rPr>
          <w:b/>
        </w:rPr>
        <w:t>supplémentation en acide folique</w:t>
      </w:r>
      <w:r>
        <w:t xml:space="preserve"> (et vitamine B12 pour le pémétrexed) afin de réduire la toxicité hématologique et muqueuse, sans réduire l'efficacité antitumorale.</w:t>
      </w:r>
    </w:p>
    <w:p>
      <w:r>
        <w:t xml:space="preserve">L'originalité pharmacocinétique majeure des antifoliques réside dans leur </w:t>
      </w:r>
      <w:r>
        <w:rPr>
          <w:b/>
        </w:rPr>
        <w:t>élimination essentiellement rénale</w:t>
      </w:r>
      <w:r>
        <w:t xml:space="preserve"> (filtration glomérulaire + sécrétion tubulaire active par les transporteurs OAT1/OAT3 pour le méthotrexate, filtration pour le pémétrexed). Toute altération de la fonction rénale (clairance de la créatinine &lt; 60 mL/min) expose à un risque toxique majeur — notamment mucites sévères, aplasies médullaires prolongées et néphrotoxicité propre au méthotrexate (précipitation dans le tubule). Le </w:t>
      </w:r>
      <w:r>
        <w:rPr>
          <w:b/>
        </w:rPr>
        <w:t>folinate de calcium</w:t>
      </w:r>
      <w:r>
        <w:t xml:space="preserve"> (acide folinique, Leucovorine®), administré après les doses « hautes » de méthotrexate (&gt; 1 g/m²), est le sauvetage (rescue) métabolique qui a permis la pratique des protocoles HD-MTX en oncologie pédiatrique et en ostéosarcome. Sa surveillance repose sur le </w:t>
      </w:r>
      <w:r>
        <w:rPr>
          <w:b/>
        </w:rPr>
        <w:t>dosage sérique du méthotrexate</w:t>
      </w:r>
      <w:r>
        <w:t xml:space="preserve"> à H24, H48 et H72 après perfusion, avec adaptation des doses de folinate selon des nomogrammes validés.</w:t>
      </w:r>
    </w:p>
    <w:p>
      <w:pPr>
        <w:pStyle w:val="Heading3"/>
      </w:pPr>
      <w:r>
        <w:t>1. DCI : Méthotrexate (usage oncologique)</w:t>
      </w:r>
    </w:p>
    <w:p>
      <w:pPr>
        <w:pStyle w:val="ListBullet"/>
      </w:pPr>
      <w:r/>
      <w:r>
        <w:rPr>
          <w:b/>
        </w:rPr>
        <w:t>Catégories</w:t>
      </w:r>
      <w:r>
        <w:t xml:space="preserve"> : Antimétabolite antifolique — inhibiteur de la DHFR ; cytotoxique phase S ; immunosuppresseur à faible dose ; classe ATC L01BA01 / L04AX03.</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IMETH</w:t>
            </w:r>
          </w:p>
        </w:tc>
        <w:tc>
          <w:tcPr>
            <w:tcW w:type="dxa" w:w="1559"/>
          </w:tcPr>
          <w:p>
            <w:r>
              <w:rPr>
                <w:sz w:val="20"/>
              </w:rPr>
              <w:t>NORDIC GROUP B.V</w:t>
            </w:r>
          </w:p>
        </w:tc>
        <w:tc>
          <w:tcPr>
            <w:tcW w:type="dxa" w:w="1559"/>
          </w:tcPr>
          <w:p>
            <w:r>
              <w:rPr>
                <w:sz w:val="20"/>
              </w:rPr>
              <w:t>Solution injectable en seringue pré-remplie, 25 mg/mL</w:t>
            </w:r>
          </w:p>
        </w:tc>
        <w:tc>
          <w:tcPr>
            <w:tcW w:type="dxa" w:w="1559"/>
          </w:tcPr>
          <w:p>
            <w:r>
              <w:rPr>
                <w:sz w:val="20"/>
              </w:rPr>
              <w:t>Boîte de 4 seringues (10 mg/0,4 mL ; 15 mg/0,6 mL ; 20 mg/0,8 mL ; 25 mg/1 mL)</w:t>
            </w:r>
          </w:p>
        </w:tc>
        <w:tc>
          <w:tcPr>
            <w:tcW w:type="dxa" w:w="1559"/>
          </w:tcPr>
          <w:p>
            <w:r>
              <w:rPr>
                <w:sz w:val="20"/>
              </w:rPr>
              <w:t>LISTE I</w:t>
            </w:r>
          </w:p>
        </w:tc>
        <w:tc>
          <w:tcPr>
            <w:tcW w:type="dxa" w:w="1559"/>
          </w:tcPr>
          <w:p>
            <w:r>
              <w:rPr>
                <w:sz w:val="20"/>
              </w:rPr>
              <w:t>ACTIF</w:t>
            </w:r>
          </w:p>
        </w:tc>
      </w:tr>
      <w:tr>
        <w:tc>
          <w:tcPr>
            <w:tcW w:type="dxa" w:w="1559"/>
          </w:tcPr>
          <w:p>
            <w:r>
              <w:rPr>
                <w:sz w:val="20"/>
              </w:rPr>
              <w:t>METHOTREXATE ACCORD</w:t>
            </w:r>
          </w:p>
        </w:tc>
        <w:tc>
          <w:tcPr>
            <w:tcW w:type="dxa" w:w="1559"/>
          </w:tcPr>
          <w:p>
            <w:r>
              <w:rPr>
                <w:sz w:val="20"/>
              </w:rPr>
              <w:t>ACCORD HEALTHCARE LIMITED</w:t>
            </w:r>
          </w:p>
        </w:tc>
        <w:tc>
          <w:tcPr>
            <w:tcW w:type="dxa" w:w="1559"/>
          </w:tcPr>
          <w:p>
            <w:r>
              <w:rPr>
                <w:sz w:val="20"/>
              </w:rPr>
              <w:t>Solution injectable, 25 mg/mL</w:t>
            </w:r>
          </w:p>
        </w:tc>
        <w:tc>
          <w:tcPr>
            <w:tcW w:type="dxa" w:w="1559"/>
          </w:tcPr>
          <w:p>
            <w:r>
              <w:rPr>
                <w:sz w:val="20"/>
              </w:rPr>
              <w:t>Flacon 2 mL (50 mg) et 40 mL (1000 mg)</w:t>
            </w:r>
          </w:p>
        </w:tc>
        <w:tc>
          <w:tcPr>
            <w:tcW w:type="dxa" w:w="1559"/>
          </w:tcPr>
          <w:p>
            <w:r>
              <w:rPr>
                <w:sz w:val="20"/>
              </w:rPr>
              <w:t>LISTE I</w:t>
            </w:r>
          </w:p>
        </w:tc>
        <w:tc>
          <w:tcPr>
            <w:tcW w:type="dxa" w:w="1559"/>
          </w:tcPr>
          <w:p>
            <w:r>
              <w:rPr>
                <w:sz w:val="20"/>
              </w:rPr>
              <w:t>ACTIF</w:t>
            </w:r>
          </w:p>
        </w:tc>
      </w:tr>
      <w:tr>
        <w:tc>
          <w:tcPr>
            <w:tcW w:type="dxa" w:w="1559"/>
          </w:tcPr>
          <w:p>
            <w:r>
              <w:rPr>
                <w:sz w:val="20"/>
              </w:rPr>
              <w:t>CYTOTREX</w:t>
            </w:r>
          </w:p>
        </w:tc>
        <w:tc>
          <w:tcPr>
            <w:tcW w:type="dxa" w:w="1559"/>
          </w:tcPr>
          <w:p>
            <w:r>
              <w:rPr>
                <w:sz w:val="20"/>
              </w:rPr>
              <w:t>CIPLA LIMITED</w:t>
            </w:r>
          </w:p>
        </w:tc>
        <w:tc>
          <w:tcPr>
            <w:tcW w:type="dxa" w:w="1559"/>
          </w:tcPr>
          <w:p>
            <w:r>
              <w:rPr>
                <w:sz w:val="20"/>
              </w:rPr>
              <w:t>Comprimé, 2,5 mg</w:t>
            </w:r>
          </w:p>
        </w:tc>
        <w:tc>
          <w:tcPr>
            <w:tcW w:type="dxa" w:w="1559"/>
          </w:tcPr>
          <w:p>
            <w:r>
              <w:rPr>
                <w:sz w:val="20"/>
              </w:rPr>
              <w:t>Boîte de 20</w:t>
            </w:r>
          </w:p>
        </w:tc>
        <w:tc>
          <w:tcPr>
            <w:tcW w:type="dxa" w:w="1559"/>
          </w:tcPr>
          <w:p>
            <w:r>
              <w:rPr>
                <w:sz w:val="20"/>
              </w:rPr>
              <w:t>LISTE I</w:t>
            </w:r>
          </w:p>
        </w:tc>
        <w:tc>
          <w:tcPr>
            <w:tcW w:type="dxa" w:w="1559"/>
          </w:tcPr>
          <w:p>
            <w:r>
              <w:rPr>
                <w:sz w:val="20"/>
              </w:rPr>
              <w:t>ACTIF</w:t>
            </w:r>
          </w:p>
        </w:tc>
      </w:tr>
      <w:tr>
        <w:tc>
          <w:tcPr>
            <w:tcW w:type="dxa" w:w="1559"/>
          </w:tcPr>
          <w:p>
            <w:r>
              <w:rPr>
                <w:sz w:val="20"/>
              </w:rPr>
              <w:t>METHOTREXATE EBEWE</w:t>
            </w:r>
          </w:p>
        </w:tc>
        <w:tc>
          <w:tcPr>
            <w:tcW w:type="dxa" w:w="1559"/>
          </w:tcPr>
          <w:p>
            <w:r>
              <w:rPr>
                <w:sz w:val="20"/>
              </w:rPr>
              <w:t>EBEWE PHARMA GES mbH Nfg KG</w:t>
            </w:r>
          </w:p>
        </w:tc>
        <w:tc>
          <w:tcPr>
            <w:tcW w:type="dxa" w:w="1559"/>
          </w:tcPr>
          <w:p>
            <w:r>
              <w:rPr>
                <w:sz w:val="20"/>
              </w:rPr>
              <w:t>Solution injectable seringue pré-remplie SC/IM/IV, 10 mg/mL (7,5 mg/0,75 mL ; 10 mg/1 mL ; 15 mg/1,5 mL ; 20 mg/2 mL)</w:t>
            </w:r>
          </w:p>
        </w:tc>
        <w:tc>
          <w:tcPr>
            <w:tcW w:type="dxa" w:w="1559"/>
          </w:tcPr>
          <w:p>
            <w:r>
              <w:rPr>
                <w:sz w:val="20"/>
              </w:rPr>
              <w:t>B/1 seringue pré-remplie</w:t>
            </w:r>
          </w:p>
        </w:tc>
        <w:tc>
          <w:tcPr>
            <w:tcW w:type="dxa" w:w="1559"/>
          </w:tcPr>
          <w:p>
            <w:r>
              <w:rPr>
                <w:sz w:val="20"/>
              </w:rPr>
              <w:t>LISTE I</w:t>
            </w:r>
          </w:p>
        </w:tc>
        <w:tc>
          <w:tcPr>
            <w:tcW w:type="dxa" w:w="1559"/>
          </w:tcPr>
          <w:p>
            <w:r>
              <w:rPr>
                <w:sz w:val="20"/>
              </w:rPr>
              <w:t>ACTIF</w:t>
            </w:r>
          </w:p>
        </w:tc>
      </w:tr>
      <w:tr>
        <w:tc>
          <w:tcPr>
            <w:tcW w:type="dxa" w:w="1559"/>
          </w:tcPr>
          <w:p>
            <w:r>
              <w:rPr>
                <w:sz w:val="20"/>
              </w:rPr>
              <w:t>METHOTREXATE BELLON</w:t>
            </w:r>
          </w:p>
        </w:tc>
        <w:tc>
          <w:tcPr>
            <w:tcW w:type="dxa" w:w="1559"/>
          </w:tcPr>
          <w:p>
            <w:r>
              <w:rPr>
                <w:sz w:val="20"/>
              </w:rPr>
              <w:t>AVENTIS</w:t>
            </w:r>
          </w:p>
        </w:tc>
        <w:tc>
          <w:tcPr>
            <w:tcW w:type="dxa" w:w="1559"/>
          </w:tcPr>
          <w:p>
            <w:r>
              <w:rPr>
                <w:sz w:val="20"/>
              </w:rPr>
              <w:t>Solution injectable, 5 mg/2 mL</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r>
        <w:tc>
          <w:tcPr>
            <w:tcW w:type="dxa" w:w="1559"/>
          </w:tcPr>
          <w:p>
            <w:r>
              <w:rPr>
                <w:sz w:val="20"/>
              </w:rPr>
              <w:t>LEDERTREXATE</w:t>
            </w:r>
          </w:p>
        </w:tc>
        <w:tc>
          <w:tcPr>
            <w:tcW w:type="dxa" w:w="1559"/>
          </w:tcPr>
          <w:p>
            <w:r>
              <w:rPr>
                <w:sz w:val="20"/>
              </w:rPr>
              <w:t>WYETH LEDERLE</w:t>
            </w:r>
          </w:p>
        </w:tc>
        <w:tc>
          <w:tcPr>
            <w:tcW w:type="dxa" w:w="1559"/>
          </w:tcPr>
          <w:p>
            <w:r>
              <w:rPr>
                <w:sz w:val="20"/>
              </w:rPr>
              <w:t>Solution injectable, 25 mg/mL (50 mg/2 mL)</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r>
        <w:tc>
          <w:tcPr>
            <w:tcW w:type="dxa" w:w="1559"/>
          </w:tcPr>
          <w:p>
            <w:r>
              <w:rPr>
                <w:sz w:val="20"/>
              </w:rPr>
              <w:t>METHOTREXATE.BELLON</w:t>
            </w:r>
          </w:p>
        </w:tc>
        <w:tc>
          <w:tcPr>
            <w:tcW w:type="dxa" w:w="1559"/>
          </w:tcPr>
          <w:p>
            <w:r>
              <w:rPr>
                <w:sz w:val="20"/>
              </w:rPr>
              <w:t>AVENTIS</w:t>
            </w:r>
          </w:p>
        </w:tc>
        <w:tc>
          <w:tcPr>
            <w:tcW w:type="dxa" w:w="1559"/>
          </w:tcPr>
          <w:p>
            <w:r>
              <w:rPr>
                <w:sz w:val="20"/>
              </w:rPr>
              <w:t>Solution injectable, 50 mg</w:t>
            </w:r>
          </w:p>
        </w:tc>
        <w:tc>
          <w:tcPr>
            <w:tcW w:type="dxa" w:w="1559"/>
          </w:tcPr>
          <w:p>
            <w:r>
              <w:rPr>
                <w:sz w:val="20"/>
              </w:rPr>
              <w:t>B/10 flacons</w:t>
            </w:r>
          </w:p>
        </w:tc>
        <w:tc>
          <w:tcPr>
            <w:tcW w:type="dxa" w:w="1559"/>
          </w:tcPr>
          <w:p>
            <w:r>
              <w:rPr>
                <w:sz w:val="20"/>
              </w:rPr>
              <w:t>LISTE I</w:t>
            </w:r>
          </w:p>
        </w:tc>
        <w:tc>
          <w:tcPr>
            <w:tcW w:type="dxa" w:w="1559"/>
          </w:tcPr>
          <w:p>
            <w:r>
              <w:rPr>
                <w:sz w:val="20"/>
              </w:rPr>
              <w:t>NON RENOUVELABLE</w:t>
            </w:r>
          </w:p>
        </w:tc>
      </w:tr>
      <w:tr>
        <w:tc>
          <w:tcPr>
            <w:tcW w:type="dxa" w:w="1559"/>
          </w:tcPr>
          <w:p>
            <w:r>
              <w:rPr>
                <w:sz w:val="20"/>
              </w:rPr>
              <w:t>LEDERTREXATE</w:t>
            </w:r>
          </w:p>
        </w:tc>
        <w:tc>
          <w:tcPr>
            <w:tcW w:type="dxa" w:w="1559"/>
          </w:tcPr>
          <w:p>
            <w:r>
              <w:rPr>
                <w:sz w:val="20"/>
              </w:rPr>
              <w:t>WYETH LEDERLE</w:t>
            </w:r>
          </w:p>
        </w:tc>
        <w:tc>
          <w:tcPr>
            <w:tcW w:type="dxa" w:w="1559"/>
          </w:tcPr>
          <w:p>
            <w:r>
              <w:rPr>
                <w:sz w:val="20"/>
              </w:rPr>
              <w:t>Poudre pour solution injectable, 500 mg</w:t>
            </w:r>
          </w:p>
        </w:tc>
        <w:tc>
          <w:tcPr>
            <w:tcW w:type="dxa" w:w="1559"/>
          </w:tcPr>
          <w:p>
            <w:r>
              <w:rPr>
                <w:sz w:val="20"/>
              </w:rPr>
              <w:t>Flacon 500 mg</w:t>
            </w:r>
          </w:p>
        </w:tc>
        <w:tc>
          <w:tcPr>
            <w:tcW w:type="dxa" w:w="1559"/>
          </w:tcPr>
          <w:p>
            <w:r>
              <w:rPr>
                <w:sz w:val="20"/>
              </w:rPr>
              <w:t>LISTE I</w:t>
            </w:r>
          </w:p>
        </w:tc>
        <w:tc>
          <w:tcPr>
            <w:tcW w:type="dxa" w:w="1559"/>
          </w:tcPr>
          <w:p>
            <w:r>
              <w:rPr>
                <w:sz w:val="20"/>
              </w:rPr>
              <w:t>NON RENOUVELABLE</w:t>
            </w:r>
          </w:p>
        </w:tc>
      </w:tr>
      <w:tr>
        <w:tc>
          <w:tcPr>
            <w:tcW w:type="dxa" w:w="1559"/>
          </w:tcPr>
          <w:p>
            <w:r>
              <w:rPr>
                <w:sz w:val="20"/>
              </w:rPr>
              <w:t>METHOTREXATE BELLON</w:t>
            </w:r>
          </w:p>
        </w:tc>
        <w:tc>
          <w:tcPr>
            <w:tcW w:type="dxa" w:w="1559"/>
          </w:tcPr>
          <w:p>
            <w:r>
              <w:rPr>
                <w:sz w:val="20"/>
              </w:rPr>
              <w:t>AVENTIS</w:t>
            </w:r>
          </w:p>
        </w:tc>
        <w:tc>
          <w:tcPr>
            <w:tcW w:type="dxa" w:w="1559"/>
          </w:tcPr>
          <w:p>
            <w:r>
              <w:rPr>
                <w:sz w:val="20"/>
              </w:rPr>
              <w:t>Lyophilisat pour solution injectable, 500 mg</w:t>
            </w:r>
          </w:p>
        </w:tc>
        <w:tc>
          <w:tcPr>
            <w:tcW w:type="dxa" w:w="1559"/>
          </w:tcPr>
          <w:p>
            <w:r>
              <w:rPr>
                <w:sz w:val="20"/>
              </w:rPr>
              <w:t>B/10 flacons (500 mg/20 mL)</w:t>
            </w:r>
          </w:p>
        </w:tc>
        <w:tc>
          <w:tcPr>
            <w:tcW w:type="dxa" w:w="1559"/>
          </w:tcPr>
          <w:p>
            <w:r>
              <w:rPr>
                <w:sz w:val="20"/>
              </w:rPr>
              <w:t>LISTE I</w:t>
            </w:r>
          </w:p>
        </w:tc>
        <w:tc>
          <w:tcPr>
            <w:tcW w:type="dxa" w:w="1559"/>
          </w:tcPr>
          <w:p>
            <w:r>
              <w:rPr>
                <w:sz w:val="20"/>
              </w:rPr>
              <w:t>NON RENOUVELABLE</w:t>
            </w:r>
          </w:p>
        </w:tc>
      </w:tr>
      <w:tr>
        <w:tc>
          <w:tcPr>
            <w:tcW w:type="dxa" w:w="1559"/>
          </w:tcPr>
          <w:p>
            <w:r>
              <w:rPr>
                <w:sz w:val="20"/>
              </w:rPr>
              <w:t>LEDERTREXATE</w:t>
            </w:r>
          </w:p>
        </w:tc>
        <w:tc>
          <w:tcPr>
            <w:tcW w:type="dxa" w:w="1559"/>
          </w:tcPr>
          <w:p>
            <w:r>
              <w:rPr>
                <w:sz w:val="20"/>
              </w:rPr>
              <w:t>WYETH LEDERLE</w:t>
            </w:r>
          </w:p>
        </w:tc>
        <w:tc>
          <w:tcPr>
            <w:tcW w:type="dxa" w:w="1559"/>
          </w:tcPr>
          <w:p>
            <w:r>
              <w:rPr>
                <w:sz w:val="20"/>
              </w:rPr>
              <w:t>Lyophilisat, 1 g</w:t>
            </w:r>
          </w:p>
        </w:tc>
        <w:tc>
          <w:tcPr>
            <w:tcW w:type="dxa" w:w="1559"/>
          </w:tcPr>
          <w:p>
            <w:r>
              <w:rPr>
                <w:sz w:val="20"/>
              </w:rPr>
              <w:t>Flacon 1000 mg</w:t>
            </w:r>
          </w:p>
        </w:tc>
        <w:tc>
          <w:tcPr>
            <w:tcW w:type="dxa" w:w="1559"/>
          </w:tcPr>
          <w:p>
            <w:r>
              <w:rPr>
                <w:sz w:val="20"/>
              </w:rPr>
              <w:t>LISTE I</w:t>
            </w:r>
          </w:p>
        </w:tc>
        <w:tc>
          <w:tcPr>
            <w:tcW w:type="dxa" w:w="1559"/>
          </w:tcPr>
          <w:p>
            <w:r>
              <w:rPr>
                <w:sz w:val="20"/>
              </w:rPr>
              <w:t>NON RENOUVELABLE</w:t>
            </w:r>
          </w:p>
        </w:tc>
      </w:tr>
      <w:tr>
        <w:tc>
          <w:tcPr>
            <w:tcW w:type="dxa" w:w="1559"/>
          </w:tcPr>
          <w:p>
            <w:r>
              <w:rPr>
                <w:sz w:val="20"/>
              </w:rPr>
              <w:t>METHOTREXAT "EBEWE"</w:t>
            </w:r>
          </w:p>
        </w:tc>
        <w:tc>
          <w:tcPr>
            <w:tcW w:type="dxa" w:w="1559"/>
          </w:tcPr>
          <w:p>
            <w:r>
              <w:rPr>
                <w:sz w:val="20"/>
              </w:rPr>
              <w:t>EBEWE</w:t>
            </w:r>
          </w:p>
        </w:tc>
        <w:tc>
          <w:tcPr>
            <w:tcW w:type="dxa" w:w="1559"/>
          </w:tcPr>
          <w:p>
            <w:r>
              <w:rPr>
                <w:sz w:val="20"/>
              </w:rPr>
              <w:t>Poudre pour solution injectable, 1000 mg</w:t>
            </w:r>
          </w:p>
        </w:tc>
        <w:tc>
          <w:tcPr>
            <w:tcW w:type="dxa" w:w="1559"/>
          </w:tcPr>
          <w:p>
            <w:r>
              <w:rPr>
                <w:sz w:val="20"/>
              </w:rPr>
              <w:t>B/1 flacon (1000 mg/10 mL)</w:t>
            </w:r>
          </w:p>
        </w:tc>
        <w:tc>
          <w:tcPr>
            <w:tcW w:type="dxa" w:w="1559"/>
          </w:tcPr>
          <w:p>
            <w:r>
              <w:rPr>
                <w:sz w:val="20"/>
              </w:rPr>
              <w:t>LISTE I</w:t>
            </w:r>
          </w:p>
        </w:tc>
        <w:tc>
          <w:tcPr>
            <w:tcW w:type="dxa" w:w="1559"/>
          </w:tcPr>
          <w:p>
            <w:r>
              <w:rPr>
                <w:sz w:val="20"/>
              </w:rPr>
              <w:t>NON RENOUVELABLE</w:t>
            </w:r>
          </w:p>
        </w:tc>
      </w:tr>
      <w:tr>
        <w:tc>
          <w:tcPr>
            <w:tcW w:type="dxa" w:w="1559"/>
          </w:tcPr>
          <w:p>
            <w:r>
              <w:rPr>
                <w:sz w:val="20"/>
              </w:rPr>
              <w:t>LEDERTREXATE</w:t>
            </w:r>
          </w:p>
        </w:tc>
        <w:tc>
          <w:tcPr>
            <w:tcW w:type="dxa" w:w="1559"/>
          </w:tcPr>
          <w:p>
            <w:r>
              <w:rPr>
                <w:sz w:val="20"/>
              </w:rPr>
              <w:t>WYETH LEDERLE</w:t>
            </w:r>
          </w:p>
        </w:tc>
        <w:tc>
          <w:tcPr>
            <w:tcW w:type="dxa" w:w="1559"/>
          </w:tcPr>
          <w:p>
            <w:r>
              <w:rPr>
                <w:sz w:val="20"/>
              </w:rPr>
              <w:t>Solution injectable, 5 g/200 mL</w:t>
            </w:r>
          </w:p>
        </w:tc>
        <w:tc>
          <w:tcPr>
            <w:tcW w:type="dxa" w:w="1559"/>
          </w:tcPr>
          <w:p>
            <w:r>
              <w:rPr>
                <w:sz w:val="20"/>
              </w:rPr>
              <w:t>Flacon 200 mL</w:t>
            </w:r>
          </w:p>
        </w:tc>
        <w:tc>
          <w:tcPr>
            <w:tcW w:type="dxa" w:w="1559"/>
          </w:tcPr>
          <w:p>
            <w:r>
              <w:rPr>
                <w:sz w:val="20"/>
              </w:rPr>
              <w:t>LISTE I</w:t>
            </w:r>
          </w:p>
        </w:tc>
        <w:tc>
          <w:tcPr>
            <w:tcW w:type="dxa" w:w="1559"/>
          </w:tcPr>
          <w:p>
            <w:r>
              <w:rPr>
                <w:sz w:val="20"/>
              </w:rPr>
              <w:t>NON RENOUVELABLE</w:t>
            </w:r>
          </w:p>
        </w:tc>
      </w:tr>
      <w:tr>
        <w:tc>
          <w:tcPr>
            <w:tcW w:type="dxa" w:w="1559"/>
          </w:tcPr>
          <w:p>
            <w:r>
              <w:rPr>
                <w:sz w:val="20"/>
              </w:rPr>
              <w:t>METHOTREXAT EBEWE</w:t>
            </w:r>
          </w:p>
        </w:tc>
        <w:tc>
          <w:tcPr>
            <w:tcW w:type="dxa" w:w="1559"/>
          </w:tcPr>
          <w:p>
            <w:r>
              <w:rPr>
                <w:sz w:val="20"/>
              </w:rPr>
              <w:t>EBEWE</w:t>
            </w:r>
          </w:p>
        </w:tc>
        <w:tc>
          <w:tcPr>
            <w:tcW w:type="dxa" w:w="1559"/>
          </w:tcPr>
          <w:p>
            <w:r>
              <w:rPr>
                <w:sz w:val="20"/>
              </w:rPr>
              <w:t>Comprimé, 2,5 mg</w:t>
            </w:r>
          </w:p>
        </w:tc>
        <w:tc>
          <w:tcPr>
            <w:tcW w:type="dxa" w:w="1559"/>
          </w:tcPr>
          <w:p>
            <w:r>
              <w:rPr>
                <w:sz w:val="20"/>
              </w:rPr>
              <w:t>B/50</w:t>
            </w:r>
          </w:p>
        </w:tc>
        <w:tc>
          <w:tcPr>
            <w:tcW w:type="dxa" w:w="1559"/>
          </w:tcPr>
          <w:p>
            <w:r>
              <w:rPr>
                <w:sz w:val="20"/>
              </w:rPr>
              <w:t>LISTE I</w:t>
            </w:r>
          </w:p>
        </w:tc>
        <w:tc>
          <w:tcPr>
            <w:tcW w:type="dxa" w:w="1559"/>
          </w:tcPr>
          <w:p>
            <w:r>
              <w:rPr>
                <w:sz w:val="20"/>
              </w:rPr>
              <w:t>NON RENOUVELABLE</w:t>
            </w:r>
          </w:p>
        </w:tc>
      </w:tr>
      <w:tr>
        <w:tc>
          <w:tcPr>
            <w:tcW w:type="dxa" w:w="1559"/>
          </w:tcPr>
          <w:p>
            <w:r>
              <w:rPr>
                <w:sz w:val="20"/>
              </w:rPr>
              <w:t>METHOTREXATE BELLON</w:t>
            </w:r>
          </w:p>
        </w:tc>
        <w:tc>
          <w:tcPr>
            <w:tcW w:type="dxa" w:w="1559"/>
          </w:tcPr>
          <w:p>
            <w:r>
              <w:rPr>
                <w:sz w:val="20"/>
              </w:rPr>
              <w:t>RHONE POULENC RORER</w:t>
            </w:r>
          </w:p>
        </w:tc>
        <w:tc>
          <w:tcPr>
            <w:tcW w:type="dxa" w:w="1559"/>
          </w:tcPr>
          <w:p>
            <w:r>
              <w:rPr>
                <w:sz w:val="20"/>
              </w:rPr>
              <w:t>Comprimé, 2,5 mg</w:t>
            </w:r>
          </w:p>
        </w:tc>
        <w:tc>
          <w:tcPr>
            <w:tcW w:type="dxa" w:w="1559"/>
          </w:tcPr>
          <w:p>
            <w:r>
              <w:rPr>
                <w:sz w:val="20"/>
              </w:rPr>
              <w:t>B/20</w:t>
            </w:r>
          </w:p>
        </w:tc>
        <w:tc>
          <w:tcPr>
            <w:tcW w:type="dxa" w:w="1559"/>
          </w:tcPr>
          <w:p>
            <w:r>
              <w:rPr>
                <w:sz w:val="20"/>
              </w:rPr>
              <w:t>LISTE I</w:t>
            </w:r>
          </w:p>
        </w:tc>
        <w:tc>
          <w:tcPr>
            <w:tcW w:type="dxa" w:w="1559"/>
          </w:tcPr>
          <w:p>
            <w:r>
              <w:rPr>
                <w:sz w:val="20"/>
              </w:rPr>
              <w:t>NON RENOUVELABLE</w:t>
            </w:r>
          </w:p>
        </w:tc>
      </w:tr>
      <w:tr>
        <w:tc>
          <w:tcPr>
            <w:tcW w:type="dxa" w:w="1559"/>
          </w:tcPr>
          <w:p>
            <w:r>
              <w:rPr>
                <w:sz w:val="20"/>
              </w:rPr>
              <w:t>METHOTREXAT EBEWE</w:t>
            </w:r>
          </w:p>
        </w:tc>
        <w:tc>
          <w:tcPr>
            <w:tcW w:type="dxa" w:w="1559"/>
          </w:tcPr>
          <w:p>
            <w:r>
              <w:rPr>
                <w:sz w:val="20"/>
              </w:rPr>
              <w:t>EBEWE PHARMA Ges.m.b.H Nfg KG</w:t>
            </w:r>
          </w:p>
        </w:tc>
        <w:tc>
          <w:tcPr>
            <w:tcW w:type="dxa" w:w="1559"/>
          </w:tcPr>
          <w:p>
            <w:r>
              <w:rPr>
                <w:sz w:val="20"/>
              </w:rPr>
              <w:t>Concentré solution injectable pour perfusion, 100 mg/mL (500 mg/5 mL ; 1000 mg/10 mL)</w:t>
            </w:r>
          </w:p>
        </w:tc>
        <w:tc>
          <w:tcPr>
            <w:tcW w:type="dxa" w:w="1559"/>
          </w:tcPr>
          <w:p>
            <w:r>
              <w:rPr>
                <w:sz w:val="20"/>
              </w:rPr>
              <w:t>Flacon 5 mL et 10 mL</w:t>
            </w:r>
          </w:p>
        </w:tc>
        <w:tc>
          <w:tcPr>
            <w:tcW w:type="dxa" w:w="1559"/>
          </w:tcPr>
          <w:p>
            <w:r>
              <w:rPr>
                <w:sz w:val="20"/>
              </w:rPr>
              <w:t>LISTE I</w:t>
            </w:r>
          </w:p>
        </w:tc>
        <w:tc>
          <w:tcPr>
            <w:tcW w:type="dxa" w:w="1559"/>
          </w:tcPr>
          <w:p>
            <w:r>
              <w:rPr>
                <w:sz w:val="20"/>
              </w:rPr>
              <w:t>NON RENOUVELABLE</w:t>
            </w:r>
          </w:p>
        </w:tc>
      </w:tr>
      <w:tr>
        <w:tc>
          <w:tcPr>
            <w:tcW w:type="dxa" w:w="1559"/>
          </w:tcPr>
          <w:p>
            <w:r>
              <w:rPr>
                <w:sz w:val="20"/>
              </w:rPr>
              <w:t>METHOTREXATE MYLAN</w:t>
            </w:r>
          </w:p>
        </w:tc>
        <w:tc>
          <w:tcPr>
            <w:tcW w:type="dxa" w:w="1559"/>
          </w:tcPr>
          <w:p>
            <w:r>
              <w:rPr>
                <w:sz w:val="20"/>
              </w:rPr>
              <w:t>MYLAN</w:t>
            </w:r>
          </w:p>
        </w:tc>
        <w:tc>
          <w:tcPr>
            <w:tcW w:type="dxa" w:w="1559"/>
          </w:tcPr>
          <w:p>
            <w:r>
              <w:rPr>
                <w:sz w:val="20"/>
              </w:rPr>
              <w:t>Solution injectable, 2,5 mg/mL (5 mg/2 mL)</w:t>
            </w:r>
          </w:p>
        </w:tc>
        <w:tc>
          <w:tcPr>
            <w:tcW w:type="dxa" w:w="1559"/>
          </w:tcPr>
          <w:p>
            <w:r>
              <w:rPr>
                <w:sz w:val="20"/>
              </w:rPr>
              <w:t>B/10 flacons de 2 mL</w:t>
            </w:r>
          </w:p>
        </w:tc>
        <w:tc>
          <w:tcPr>
            <w:tcW w:type="dxa" w:w="1559"/>
          </w:tcPr>
          <w:p>
            <w:r>
              <w:rPr>
                <w:sz w:val="20"/>
              </w:rPr>
              <w:t>LISTE I</w:t>
            </w:r>
          </w:p>
        </w:tc>
        <w:tc>
          <w:tcPr>
            <w:tcW w:type="dxa" w:w="1559"/>
          </w:tcPr>
          <w:p>
            <w:r>
              <w:rPr>
                <w:sz w:val="20"/>
              </w:rPr>
              <w:t>NON RENOUVELABLE</w:t>
            </w:r>
          </w:p>
        </w:tc>
      </w:tr>
      <w:tr>
        <w:tc>
          <w:tcPr>
            <w:tcW w:type="dxa" w:w="1559"/>
          </w:tcPr>
          <w:p>
            <w:r>
              <w:rPr>
                <w:sz w:val="20"/>
              </w:rPr>
              <w:t>METHOTREXATE MYLAN</w:t>
            </w:r>
          </w:p>
        </w:tc>
        <w:tc>
          <w:tcPr>
            <w:tcW w:type="dxa" w:w="1559"/>
          </w:tcPr>
          <w:p>
            <w:r>
              <w:rPr>
                <w:sz w:val="20"/>
              </w:rPr>
              <w:t>MYLAN</w:t>
            </w:r>
          </w:p>
        </w:tc>
        <w:tc>
          <w:tcPr>
            <w:tcW w:type="dxa" w:w="1559"/>
          </w:tcPr>
          <w:p>
            <w:r>
              <w:rPr>
                <w:sz w:val="20"/>
              </w:rPr>
              <w:t>Solution injectable, 25 mg/mL (50 mg/2 mL ; 500 mg/20 mL)</w:t>
            </w:r>
          </w:p>
        </w:tc>
        <w:tc>
          <w:tcPr>
            <w:tcW w:type="dxa" w:w="1559"/>
          </w:tcPr>
          <w:p>
            <w:r>
              <w:rPr>
                <w:sz w:val="20"/>
              </w:rPr>
              <w:t>B/10 flacons de 2 mL et B/10 flacons de 20 mL</w:t>
            </w:r>
          </w:p>
        </w:tc>
        <w:tc>
          <w:tcPr>
            <w:tcW w:type="dxa" w:w="1559"/>
          </w:tcPr>
          <w:p>
            <w:r>
              <w:rPr>
                <w:sz w:val="20"/>
              </w:rPr>
              <w:t>LISTE I</w:t>
            </w:r>
          </w:p>
        </w:tc>
        <w:tc>
          <w:tcPr>
            <w:tcW w:type="dxa" w:w="1559"/>
          </w:tcPr>
          <w:p>
            <w:r>
              <w:rPr>
                <w:sz w:val="20"/>
              </w:rPr>
              <w:t>NON RENOUVELABLE</w:t>
            </w:r>
          </w:p>
        </w:tc>
      </w:tr>
      <w:tr>
        <w:tc>
          <w:tcPr>
            <w:tcW w:type="dxa" w:w="1559"/>
          </w:tcPr>
          <w:p>
            <w:r>
              <w:rPr>
                <w:sz w:val="20"/>
              </w:rPr>
              <w:t>ONCOTREX</w:t>
            </w:r>
          </w:p>
        </w:tc>
        <w:tc>
          <w:tcPr>
            <w:tcW w:type="dxa" w:w="1559"/>
          </w:tcPr>
          <w:p>
            <w:r>
              <w:rPr>
                <w:sz w:val="20"/>
              </w:rPr>
              <w:t>SUN PHARMACEUTICAL INDUSTRIES LTD</w:t>
            </w:r>
          </w:p>
        </w:tc>
        <w:tc>
          <w:tcPr>
            <w:tcW w:type="dxa" w:w="1559"/>
          </w:tcPr>
          <w:p>
            <w:r>
              <w:rPr>
                <w:sz w:val="20"/>
              </w:rPr>
              <w:t>Comprimé, 2,5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METHOTREXAT EBEWE</w:t>
            </w:r>
          </w:p>
        </w:tc>
        <w:tc>
          <w:tcPr>
            <w:tcW w:type="dxa" w:w="1559"/>
          </w:tcPr>
          <w:p>
            <w:r>
              <w:rPr>
                <w:sz w:val="20"/>
              </w:rPr>
              <w:t>EBEWE PHARMA Ges.m.b.H Nfg KG</w:t>
            </w:r>
          </w:p>
        </w:tc>
        <w:tc>
          <w:tcPr>
            <w:tcW w:type="dxa" w:w="1559"/>
          </w:tcPr>
          <w:p>
            <w:r>
              <w:rPr>
                <w:sz w:val="20"/>
              </w:rPr>
              <w:t>Solution injectable, 10 mg/mL (50 mg/5 mL)</w:t>
            </w:r>
          </w:p>
        </w:tc>
        <w:tc>
          <w:tcPr>
            <w:tcW w:type="dxa" w:w="1559"/>
          </w:tcPr>
          <w:p>
            <w:r>
              <w:rPr>
                <w:sz w:val="20"/>
              </w:rPr>
              <w:t>B/1 flacon de 5 mL</w:t>
            </w:r>
          </w:p>
        </w:tc>
        <w:tc>
          <w:tcPr>
            <w:tcW w:type="dxa" w:w="1559"/>
          </w:tcPr>
          <w:p>
            <w:r>
              <w:rPr>
                <w:sz w:val="20"/>
              </w:rPr>
              <w:t>LISTE I</w:t>
            </w:r>
          </w:p>
        </w:tc>
        <w:tc>
          <w:tcPr>
            <w:tcW w:type="dxa" w:w="1559"/>
          </w:tcPr>
          <w:p>
            <w:r>
              <w:rPr>
                <w:sz w:val="20"/>
              </w:rPr>
              <w:t>NON RENOUVELABLE</w:t>
            </w:r>
          </w:p>
        </w:tc>
      </w:tr>
      <w:tr>
        <w:tc>
          <w:tcPr>
            <w:tcW w:type="dxa" w:w="1559"/>
          </w:tcPr>
          <w:p>
            <w:r>
              <w:rPr>
                <w:sz w:val="20"/>
              </w:rPr>
              <w:t>METHOTREXATE MYLAN</w:t>
            </w:r>
          </w:p>
        </w:tc>
        <w:tc>
          <w:tcPr>
            <w:tcW w:type="dxa" w:w="1559"/>
          </w:tcPr>
          <w:p>
            <w:r>
              <w:rPr>
                <w:sz w:val="20"/>
              </w:rPr>
              <w:t>MYLAN</w:t>
            </w:r>
          </w:p>
        </w:tc>
        <w:tc>
          <w:tcPr>
            <w:tcW w:type="dxa" w:w="1559"/>
          </w:tcPr>
          <w:p>
            <w:r>
              <w:rPr>
                <w:sz w:val="20"/>
              </w:rPr>
              <w:t>Solution injectable, 100 mg/mL (1 g/10 mL ; 5 g/50 mL)</w:t>
            </w:r>
          </w:p>
        </w:tc>
        <w:tc>
          <w:tcPr>
            <w:tcW w:type="dxa" w:w="1559"/>
          </w:tcPr>
          <w:p>
            <w:r>
              <w:rPr>
                <w:sz w:val="20"/>
              </w:rPr>
              <w:t>B/10 flacons de 10 mL et B/10 flacons de 50 mL</w:t>
            </w:r>
          </w:p>
        </w:tc>
        <w:tc>
          <w:tcPr>
            <w:tcW w:type="dxa" w:w="1559"/>
          </w:tcPr>
          <w:p>
            <w:r>
              <w:rPr>
                <w:sz w:val="20"/>
              </w:rPr>
              <w:t>LISTE I</w:t>
            </w:r>
          </w:p>
        </w:tc>
        <w:tc>
          <w:tcPr>
            <w:tcW w:type="dxa" w:w="1559"/>
          </w:tcPr>
          <w:p>
            <w:r>
              <w:rPr>
                <w:sz w:val="20"/>
              </w:rPr>
              <w:t>NON RENOUVELABLE</w:t>
            </w:r>
          </w:p>
        </w:tc>
      </w:tr>
      <w:tr>
        <w:tc>
          <w:tcPr>
            <w:tcW w:type="dxa" w:w="1559"/>
          </w:tcPr>
          <w:p>
            <w:r>
              <w:rPr>
                <w:sz w:val="20"/>
              </w:rPr>
              <w:t>METHOTREXATE BELLON</w:t>
            </w:r>
          </w:p>
        </w:tc>
        <w:tc>
          <w:tcPr>
            <w:tcW w:type="dxa" w:w="1559"/>
          </w:tcPr>
          <w:p>
            <w:r>
              <w:rPr>
                <w:sz w:val="20"/>
              </w:rPr>
              <w:t>RHONE POULENC RORER</w:t>
            </w:r>
          </w:p>
        </w:tc>
        <w:tc>
          <w:tcPr>
            <w:tcW w:type="dxa" w:w="1559"/>
          </w:tcPr>
          <w:p>
            <w:r>
              <w:rPr>
                <w:sz w:val="20"/>
              </w:rPr>
              <w:t>Lyophilisat + solution injectable, 20 mg</w:t>
            </w:r>
          </w:p>
        </w:tc>
        <w:tc>
          <w:tcPr>
            <w:tcW w:type="dxa" w:w="1559"/>
          </w:tcPr>
          <w:p>
            <w:r>
              <w:rPr>
                <w:sz w:val="20"/>
              </w:rPr>
              <w:t>B/10</w:t>
            </w:r>
          </w:p>
        </w:tc>
        <w:tc>
          <w:tcPr>
            <w:tcW w:type="dxa" w:w="1559"/>
          </w:tcPr>
          <w:p>
            <w:r>
              <w:rPr>
                <w:sz w:val="20"/>
              </w:rPr>
              <w:t>LISTE I</w:t>
            </w:r>
          </w:p>
        </w:tc>
        <w:tc>
          <w:tcPr>
            <w:tcW w:type="dxa" w:w="1559"/>
          </w:tcPr>
          <w:p>
            <w:r>
              <w:rPr>
                <w:sz w:val="20"/>
              </w:rPr>
              <w:t>RETRAIT (R)</w:t>
            </w:r>
          </w:p>
        </w:tc>
      </w:tr>
      <w:tr>
        <w:tc>
          <w:tcPr>
            <w:tcW w:type="dxa" w:w="1559"/>
          </w:tcPr>
          <w:p>
            <w:r>
              <w:rPr>
                <w:sz w:val="20"/>
              </w:rPr>
              <w:t>METHOTREXATE</w:t>
            </w:r>
          </w:p>
        </w:tc>
        <w:tc>
          <w:tcPr>
            <w:tcW w:type="dxa" w:w="1559"/>
          </w:tcPr>
          <w:p>
            <w:r>
              <w:rPr>
                <w:sz w:val="20"/>
              </w:rPr>
              <w:t>THERABEL PHARMA S.A.</w:t>
            </w:r>
          </w:p>
        </w:tc>
        <w:tc>
          <w:tcPr>
            <w:tcW w:type="dxa" w:w="1559"/>
          </w:tcPr>
          <w:p>
            <w:r>
              <w:rPr>
                <w:sz w:val="20"/>
              </w:rPr>
              <w:t>Solution injectable, 50 mg/mL</w:t>
            </w:r>
          </w:p>
        </w:tc>
        <w:tc>
          <w:tcPr>
            <w:tcW w:type="dxa" w:w="1559"/>
          </w:tcPr>
          <w:p>
            <w:r>
              <w:rPr>
                <w:sz w:val="20"/>
              </w:rPr>
              <w:t>B/10 flacons de 1 mL</w:t>
            </w:r>
          </w:p>
        </w:tc>
        <w:tc>
          <w:tcPr>
            <w:tcW w:type="dxa" w:w="1559"/>
          </w:tcPr>
          <w:p>
            <w:r>
              <w:rPr>
                <w:sz w:val="20"/>
              </w:rPr>
              <w:t>LISTE I</w:t>
            </w:r>
          </w:p>
        </w:tc>
        <w:tc>
          <w:tcPr>
            <w:tcW w:type="dxa" w:w="1559"/>
          </w:tcPr>
          <w:p>
            <w:r>
              <w:rPr>
                <w:sz w:val="20"/>
              </w:rPr>
              <w:t>RETRAIT (R)</w:t>
            </w:r>
          </w:p>
        </w:tc>
      </w:tr>
      <w:tr>
        <w:tc>
          <w:tcPr>
            <w:tcW w:type="dxa" w:w="1559"/>
          </w:tcPr>
          <w:p>
            <w:r>
              <w:rPr>
                <w:sz w:val="20"/>
              </w:rPr>
              <w:t>TRIXILEM</w:t>
            </w:r>
          </w:p>
        </w:tc>
        <w:tc>
          <w:tcPr>
            <w:tcW w:type="dxa" w:w="1559"/>
          </w:tcPr>
          <w:p>
            <w:r>
              <w:rPr>
                <w:sz w:val="20"/>
              </w:rPr>
              <w:t>LEMERY SA DE CV</w:t>
            </w:r>
          </w:p>
        </w:tc>
        <w:tc>
          <w:tcPr>
            <w:tcW w:type="dxa" w:w="1559"/>
          </w:tcPr>
          <w:p>
            <w:r>
              <w:rPr>
                <w:sz w:val="20"/>
              </w:rPr>
              <w:t>Solution injectable, 25 mg/mL (50 mg/2 mL)</w:t>
            </w:r>
          </w:p>
        </w:tc>
        <w:tc>
          <w:tcPr>
            <w:tcW w:type="dxa" w:w="1559"/>
          </w:tcPr>
          <w:p>
            <w:r>
              <w:rPr>
                <w:sz w:val="20"/>
              </w:rPr>
              <w:t>B/1 ampoule de 2 mL</w:t>
            </w:r>
          </w:p>
        </w:tc>
        <w:tc>
          <w:tcPr>
            <w:tcW w:type="dxa" w:w="1559"/>
          </w:tcPr>
          <w:p>
            <w:r>
              <w:rPr>
                <w:sz w:val="20"/>
              </w:rPr>
              <w:t>LISTE I</w:t>
            </w:r>
          </w:p>
        </w:tc>
        <w:tc>
          <w:tcPr>
            <w:tcW w:type="dxa" w:w="1559"/>
          </w:tcPr>
          <w:p>
            <w:r>
              <w:rPr>
                <w:sz w:val="20"/>
              </w:rPr>
              <w:t>RETRAIT (R)</w:t>
            </w:r>
          </w:p>
        </w:tc>
      </w:tr>
      <w:tr>
        <w:tc>
          <w:tcPr>
            <w:tcW w:type="dxa" w:w="1559"/>
          </w:tcPr>
          <w:p>
            <w:r>
              <w:rPr>
                <w:sz w:val="20"/>
              </w:rPr>
              <w:t>TRIXILEM</w:t>
            </w:r>
          </w:p>
        </w:tc>
        <w:tc>
          <w:tcPr>
            <w:tcW w:type="dxa" w:w="1559"/>
          </w:tcPr>
          <w:p>
            <w:r>
              <w:rPr>
                <w:sz w:val="20"/>
              </w:rPr>
              <w:t>LEMERY SA DE CV</w:t>
            </w:r>
          </w:p>
        </w:tc>
        <w:tc>
          <w:tcPr>
            <w:tcW w:type="dxa" w:w="1559"/>
          </w:tcPr>
          <w:p>
            <w:r>
              <w:rPr>
                <w:sz w:val="20"/>
              </w:rPr>
              <w:t>Solution injectable, 25 mg/mL (500 mg/20 mL)</w:t>
            </w:r>
          </w:p>
        </w:tc>
        <w:tc>
          <w:tcPr>
            <w:tcW w:type="dxa" w:w="1559"/>
          </w:tcPr>
          <w:p>
            <w:r>
              <w:rPr>
                <w:sz w:val="20"/>
              </w:rPr>
              <w:t>B/1 flacon de 20 mL</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le méthotrexate (4-amino-10-méthylfolique) est un </w:t>
      </w:r>
      <w:r>
        <w:rPr>
          <w:b/>
        </w:rPr>
        <w:t>analogue structural de l'acide folique</w:t>
      </w:r>
      <w:r>
        <w:t xml:space="preserve"> dont il diffère par la substitution d'un groupement hydroxyle par un groupement amine en position 4 et d'un groupement méthyle sur l'azote N10. Cette modification lui confère une affinité pour la </w:t>
      </w:r>
      <w:r>
        <w:rPr>
          <w:b/>
        </w:rPr>
        <w:t>dihydrofolate réductase (DHFR)</w:t>
      </w:r>
      <w:r>
        <w:t xml:space="preserve"> environ 1000 à 10000 fois supérieure à celle du substrat naturel (le dihydrofolate), ce qui en fait un </w:t>
      </w:r>
      <w:r>
        <w:rPr>
          <w:b/>
        </w:rPr>
        <w:t>inhibiteur compétitif quasi-irréversible</w:t>
      </w:r>
      <w:r>
        <w:t xml:space="preserve">. Le blocage de la DHFR empêche la conversion du dihydrofolate (FH2) en tétrahydrofolate (FH4), cofacteur indispensable (sous forme de N5-N10-méthylène-FH4) au transfert d'unités monocarbonées lors de la synthèse des </w:t>
      </w:r>
      <w:r>
        <w:rPr>
          <w:b/>
        </w:rPr>
        <w:t>purines</w:t>
      </w:r>
      <w:r>
        <w:t xml:space="preserve"> (par la GARFT et l'AICARFT) et de la </w:t>
      </w:r>
      <w:r>
        <w:rPr>
          <w:b/>
        </w:rPr>
        <w:t>thymidylate</w:t>
      </w:r>
      <w:r>
        <w:t xml:space="preserve"> (par la thymidylate synthase, qui convertit le dUMP en dTMP). L'effet net est un blocage complet de la synthèse de l'ADN et de l'ARN, prédominant sur la phase S du cycle cellulaire. À fortes doses (&gt; 1 g/m²), le méthotrexate pénètre massivement dans les compartiments cellulaires « sanctuaires » (Liquide céphalo-rachidien [LCR], testicule, ovaires, méninges) et s'accumule dans les cellules résistantes surexprimant le transporteur RFC-1 — ce qui justifie l'utilisation des protocoles HD-MTX (hautes doses) avec sauvetage par folinate de calcium. À faibles doses (&lt; 30 mg/sem), le méthotrexate exerce un effet immunomodulateur (inhibition de la synthèse de polyamines, inhibition de la 5-aminoimidazole-4-carboxamide ribonucléotide [AICAR] transformylase → accumulation d'AMPc intracellulaire → inhibition de la migration leucocytaire) indépendant du blocage de la DHFR, expliquant son utilisation en rhumatologie à faibles doses. Le méthotrexate est également substrat du transporteur de résistance multidrogue (P-gp / ABCB1), ce qui rend compte de certaines résistances.</w:t>
      </w:r>
    </w:p>
    <w:p>
      <w:pPr>
        <w:pStyle w:val="ListBullet"/>
      </w:pPr>
      <w:r/>
      <w:r>
        <w:rPr>
          <w:b/>
        </w:rPr>
        <w:t>Profil pharmacocinétique</w:t>
      </w:r>
      <w:r>
        <w:t xml:space="preserve"> : absorption orale variable et saturable (biodisponibilité 20 à 80 %, dose-dépendante, réduite par alimentation et surtout par laitages → ne pas prendre avec du lait). Distribution diffuse avec volume de distribution proche de l'eau totale (0,4-0,8 L/kg), pénétration modérée dans le LCR (rapport LCR/plasma ≈ 5 % à dose standard, jusqu'à 30-50 % à dose ≥ 1 g/m²), accumulation dans les épanchements (ascite, pleurésie) avec libération retardée et allongement spectaculaire de la demi-vie. Liaison aux protéines plasmatiques ≈ 50 % (albumine). Métabolisme hépatique mineur (7-hydroxyméthotrexate, faiblement actif). Demi-vie d'élimination triphasique : t1/2α ≈ 0,7-2 h, t1/2β ≈ 3-5 h, t1/2γ (terminale) ≈ 8-15 h (jusqu'à 24-48 h en cas d'insuffisance rénale ou d'épanchement). Élimination </w:t>
      </w:r>
      <w:r>
        <w:rPr>
          <w:b/>
        </w:rPr>
        <w:t>principalement rénale</w:t>
      </w:r>
      <w:r>
        <w:t xml:space="preserve"> (80-90 %) par filtration glomérulaire et sécrétion tubulaire active (transporteurs OAT1/OAT3 sur la membrane basolatérale tubulaire, MRP2/4 et MRP4 sur la membrane apicale). Alcalinisation des urines (pH &gt; 7) indispensable pour éviter la précipitation tubulaire du méthotrexate (solubilité pH-dépendante) aux doses ≥ 1 g/m².</w:t>
      </w:r>
    </w:p>
    <w:p>
      <w:pPr>
        <w:pStyle w:val="ListBullet"/>
      </w:pPr>
      <w:r/>
      <w:r>
        <w:rPr>
          <w:b/>
        </w:rPr>
        <w:t>Indications (usage oncologique)</w:t>
      </w:r>
      <w:r>
        <w:t xml:space="preserve"> : (1) </w:t>
      </w:r>
      <w:r>
        <w:rPr>
          <w:b/>
        </w:rPr>
        <w:t>Leucémies aiguës lymphoblastiques (LAL)</w:t>
      </w:r>
      <w:r>
        <w:t xml:space="preserve"> de l'enfant et de l'adulte — protocoles type ALL-BFM, GRAALL, induction/consolidation/entretien, incluant les injections intrathécales prophylactiques et curatives (méningite lymphomateuse). (2) </w:t>
      </w:r>
      <w:r>
        <w:rPr>
          <w:b/>
        </w:rPr>
        <w:t>Lymphomes non hodgkiniens (LNH)</w:t>
      </w:r>
      <w:r>
        <w:t xml:space="preserve"> de haut grade, lymphome Burkitt, lymphome lymphoblastique (protocoles type COPADM, CODOX-M, LMB). (3) </w:t>
      </w:r>
      <w:r>
        <w:rPr>
          <w:b/>
        </w:rPr>
        <w:t>Lymphome cérébral primitif (LCP)</w:t>
      </w:r>
      <w:r>
        <w:t xml:space="preserve"> à immunophénotype B : protocoles HD-MTX (3 g/m²/j) en monothérapie de première ligne. (4) </w:t>
      </w:r>
      <w:r>
        <w:rPr>
          <w:b/>
        </w:rPr>
        <w:t>Ostéosarcome</w:t>
      </w:r>
      <w:r>
        <w:t xml:space="preserve"> de l'adolescent et de l'adulte jeune — protocoles type EURAMOS, à doses très élevées (8-12 g/m²/cure) avec sauvetage par folinate. (5) </w:t>
      </w:r>
      <w:r>
        <w:rPr>
          <w:b/>
        </w:rPr>
        <w:t>Choriocarcinome</w:t>
      </w:r>
      <w:r>
        <w:t xml:space="preserve"> placentaire et </w:t>
      </w:r>
      <w:r>
        <w:rPr>
          <w:b/>
        </w:rPr>
        <w:t>môle hydatiforme</w:t>
      </w:r>
      <w:r>
        <w:t xml:space="preserve"> invasive — protocole MTX faible dose (50 mg IM J1, J3, J5, J7 alterné avec acide folinique J2, J4, J6, J8). (6) </w:t>
      </w:r>
      <w:r>
        <w:rPr>
          <w:b/>
        </w:rPr>
        <w:t>Cancer du sein</w:t>
      </w:r>
      <w:r>
        <w:t xml:space="preserve"> adjuvant (protocoles CMF ancien, peu utilisé). (7) </w:t>
      </w:r>
      <w:r>
        <w:rPr>
          <w:b/>
        </w:rPr>
        <w:t>Méningite carcinomateuse</w:t>
      </w:r>
      <w:r>
        <w:t xml:space="preserve"> (injections intrathécales de 12-15 mg, 2 à 3 fois par semaine). </w:t>
      </w:r>
      <w:r>
        <w:rPr>
          <w:b/>
        </w:rPr>
        <w:t>Hors oncologie</w:t>
      </w:r>
      <w:r>
        <w:t xml:space="preserve"> : polyarthrite rhumatoïde (7,5-25 mg/sem), rhumatisme psoriasique, psoriasis cutané sévère (10-25 mg/sem), maladie de Crohn (15-25 mg/sem), myélomeningocèle prévention de réaction du greffon contre l'hôte (GVHD).</w:t>
      </w:r>
    </w:p>
    <w:p>
      <w:pPr>
        <w:pStyle w:val="ListBullet"/>
      </w:pPr>
      <w:r/>
      <w:r>
        <w:rPr>
          <w:b/>
        </w:rPr>
        <w:t>Contre-indications</w:t>
      </w:r>
      <w:r>
        <w:t xml:space="preserve"> : (1) </w:t>
      </w:r>
      <w:r>
        <w:rPr>
          <w:b/>
        </w:rPr>
        <w:t>Insuffisance rénale significative</w:t>
      </w:r>
      <w:r>
        <w:t xml:space="preserve"> (clairance créatinine &lt; 60 mL/min pour doses &gt; 1 g/m² ; &lt; 30 mL/min pour toute dose) ; (2) </w:t>
      </w:r>
      <w:r>
        <w:rPr>
          <w:b/>
        </w:rPr>
        <w:t>Aplasie médullaire préexistante</w:t>
      </w:r>
      <w:r>
        <w:t xml:space="preserve"> (leucopénie &lt; 1,5 G/L, plaquettes &lt; 100 G/L) ; (3) </w:t>
      </w:r>
      <w:r>
        <w:rPr>
          <w:b/>
        </w:rPr>
        <w:t>Insuffisance hépatocellulaire sévère</w:t>
      </w:r>
      <w:r>
        <w:t xml:space="preserve"> (ALAT &gt; 3 LSN) ; (4) </w:t>
      </w:r>
      <w:r>
        <w:rPr>
          <w:b/>
        </w:rPr>
        <w:t>Patiente enceinte ou allaitant</w:t>
      </w:r>
      <w:r>
        <w:t xml:space="preserve"> (catégorie X du CRAT, cf. infra) ; (5) </w:t>
      </w:r>
      <w:r>
        <w:rPr>
          <w:b/>
        </w:rPr>
        <w:t>Syndrome de Down</w:t>
      </w:r>
      <w:r>
        <w:t xml:space="preserve"> avec LAL (sensibilité toxique majeure — réduction posologique obligatoire) ; (6) </w:t>
      </w:r>
      <w:r>
        <w:rPr>
          <w:b/>
        </w:rPr>
        <w:t>Épanchements liquidiens non drainés</w:t>
      </w:r>
      <w:r>
        <w:t xml:space="preserve"> (ascite, pleurésie) — augmentation de la demi-vie et toxicité retardée ; (7) </w:t>
      </w:r>
      <w:r>
        <w:rPr>
          <w:b/>
        </w:rPr>
        <w:t>Ulcère gastro-intestinal évolutif</w:t>
      </w:r>
      <w:r>
        <w:t xml:space="preserve"> ; (8) </w:t>
      </w:r>
      <w:r>
        <w:rPr>
          <w:b/>
        </w:rPr>
        <w:t>Infection évolutive non contrôlée</w:t>
      </w:r>
      <w:r>
        <w:t xml:space="preserve"> ; (9) </w:t>
      </w:r>
      <w:r>
        <w:rPr>
          <w:b/>
        </w:rPr>
        <w:t>Déficit en thiopurine méthyltransférase (TPMT)</w:t>
      </w:r>
      <w:r>
        <w:t xml:space="preserve"> — non pertinent pour MTX mais à vérifier si co-prescription avec mercaptopurine. (10) </w:t>
      </w:r>
      <w:r>
        <w:rPr>
          <w:b/>
        </w:rPr>
        <w:t>Vaccination par vaccin vivant atténué</w:t>
      </w:r>
      <w:r>
        <w:t xml:space="preserve"> (BCG, fièvre jaune, ROR, varicelle) pendant et 6 mois après traitement.</w:t>
      </w:r>
    </w:p>
    <w:p>
      <w:pPr>
        <w:pStyle w:val="ListBullet"/>
      </w:pPr>
      <w:r/>
      <w:r>
        <w:rPr>
          <w:b/>
        </w:rPr>
        <w:t>Effets indésirables</w:t>
      </w:r>
      <w:r>
        <w:t xml:space="preserve"> :</w:t>
      </w:r>
    </w:p>
    <w:p>
      <w:pPr>
        <w:pStyle w:val="ListBullet"/>
      </w:pPr>
      <w:r/>
      <w:r>
        <w:rPr>
          <w:b/>
        </w:rPr>
        <w:t>Toxicité hématologique</w:t>
      </w:r>
      <w:r>
        <w:t xml:space="preserve"> : myélotoxicité dose-limitante — leucopénie (nadir J7-J14), thrombopénie (nadir J10-J14), anémie (plus tardive). Risque de pancytopénie fébrile imposant hospitalisation en secteur protégé.</w:t>
      </w:r>
    </w:p>
    <w:p>
      <w:pPr>
        <w:pStyle w:val="ListBullet"/>
      </w:pPr>
      <w:r/>
      <w:r>
        <w:rPr>
          <w:b/>
        </w:rPr>
        <w:t>Toxicité muqueuse</w:t>
      </w:r>
      <w:r>
        <w:t xml:space="preserve"> : mucite orale et digestive sévère (stomatite, œsophagite, entérite) — apparaît J3-J7 après perfusion, peut conduire à déshydratation, surinfection bactérienne/fongique.</w:t>
      </w:r>
    </w:p>
    <w:p>
      <w:pPr>
        <w:pStyle w:val="ListBullet"/>
      </w:pPr>
      <w:r/>
      <w:r>
        <w:rPr>
          <w:b/>
        </w:rPr>
        <w:t>Toxicité hépatique</w:t>
      </w:r>
      <w:r>
        <w:t xml:space="preserve"> : cytolyse (ALAT/ASAT) et cholestase — fibrose hépatique en cas de traitement prolongé (rhumatologie, dermatologie) ; cirrhose possible au-delà de 5 ans de traitement.</w:t>
      </w:r>
    </w:p>
    <w:p>
      <w:pPr>
        <w:pStyle w:val="ListBullet"/>
      </w:pPr>
      <w:r/>
      <w:r>
        <w:rPr>
          <w:b/>
        </w:rPr>
        <w:t>Néphrotoxicité</w:t>
      </w:r>
      <w:r>
        <w:t xml:space="preserve"> : précipitation tubulaire du méthotrexate et de son métabolite 7-OH-MTX en milieu acide → insuffisance rénale aiguë (oligurique) — prévenue par hyperhydratation alcaline (NaHCO3 IV).</w:t>
      </w:r>
    </w:p>
    <w:p>
      <w:pPr>
        <w:pStyle w:val="ListBullet"/>
      </w:pPr>
      <w:r/>
      <w:r>
        <w:rPr>
          <w:b/>
        </w:rPr>
        <w:t>Neurotoxicité</w:t>
      </w:r>
      <w:r>
        <w:t xml:space="preserve"> : à haute dose (&gt; 1 g/m²) — encéphalopathie aiguë (confusion, somnolence, convulsions), leucoencéphalopathie progressive (surtout après radiothérapie encéphalique associée), myélite transverse (injection intrathécale). À long terme, troubles cognitifs chez l'enfant irradié+MTX.</w:t>
      </w:r>
    </w:p>
    <w:p>
      <w:pPr>
        <w:pStyle w:val="ListBullet"/>
      </w:pPr>
      <w:r/>
      <w:r>
        <w:rPr>
          <w:b/>
        </w:rPr>
        <w:t>Toxicité pulmonaire</w:t>
      </w:r>
      <w:r>
        <w:t xml:space="preserve"> : pneumopathie d'hypersensibilité (toux, dyspnée, fièvre, infiltrats interstitiels) — réversible à l'arrêt, parfois corticosensible.</w:t>
      </w:r>
    </w:p>
    <w:p>
      <w:pPr>
        <w:pStyle w:val="ListBullet"/>
      </w:pPr>
      <w:r/>
      <w:r>
        <w:rPr>
          <w:b/>
        </w:rPr>
        <w:t>Toxicité cutanée</w:t>
      </w:r>
      <w:r>
        <w:t xml:space="preserve"> : éruptions maculo-papuleuses, photosensibilité, syndrome de Stevens-Johnson (rare), syndrome de lyse tumorale (initiation).</w:t>
      </w:r>
    </w:p>
    <w:p>
      <w:pPr>
        <w:pStyle w:val="ListBullet"/>
      </w:pPr>
      <w:r/>
      <w:r>
        <w:rPr>
          <w:b/>
        </w:rPr>
        <w:t>Toxicité reproductive</w:t>
      </w:r>
      <w:r>
        <w:t xml:space="preserve"> : aménorrhée transitoire, oligospermie, atteinte gonadique dose-dépendante et potentiellement irréversible.</w:t>
      </w:r>
    </w:p>
    <w:p>
      <w:pPr>
        <w:pStyle w:val="ListBullet"/>
      </w:pPr>
      <w:r/>
      <w:r>
        <w:rPr>
          <w:b/>
        </w:rPr>
        <w:t>Injections intrathécales</w:t>
      </w:r>
      <w:r>
        <w:t xml:space="preserve"> : arachnoïdite chimique (céphalées, méningisme), paralysie ascendante (surdosage accidentel — antidote : folinate de calcium IV haute dose + drainage lombaire de LCS).</w:t>
      </w:r>
    </w:p>
    <w:p>
      <w:pPr>
        <w:pStyle w:val="ListBullet"/>
      </w:pPr>
      <w:r/>
      <w:r>
        <w:rPr>
          <w:b/>
        </w:rPr>
        <w:t>Mesures préventives</w:t>
      </w:r>
      <w:r>
        <w:t xml:space="preserve"> :</w:t>
      </w:r>
    </w:p>
    <w:p>
      <w:pPr>
        <w:pStyle w:val="ListBullet"/>
      </w:pPr>
      <w:r/>
      <w:r>
        <w:rPr>
          <w:b/>
        </w:rPr>
        <w:t>Bilan pré-thérapeutique</w:t>
      </w:r>
      <w:r>
        <w:t xml:space="preserve"> : NFS-plaquettes, créatininémie, clairance créatinine (Cockcroft ou MDRD), bilan hépatique (ALAT, ASAT, PAL, γGT, bilirubine), sérologies (VHB, VHC, VIH), β-hCG chez la femme en âge de procréer, EFR (référence), échographie cardiaque (si cardio-toxicité attendue).</w:t>
      </w:r>
    </w:p>
    <w:p>
      <w:pPr>
        <w:pStyle w:val="ListBullet"/>
      </w:pPr>
      <w:r/>
      <w:r>
        <w:rPr>
          <w:b/>
        </w:rPr>
        <w:t>Hydratation alcaline IV systématique</w:t>
      </w:r>
      <w:r>
        <w:t xml:space="preserve"> pour les doses ≥ 1 g/m² : 3 L/m²/jour en 24 h (NaCl 0,9 % + 30-40 mEq/L NaHCO3), débuter 12 h avant la perfusion de MTX et poursuivre jusqu'à MTXémie &lt; 0,1 µmol/L. Objectif : diurèse &gt; 100 mL/h, pH urinaire &gt; 7,0 (autotest bandelette toutes les 6 h).</w:t>
      </w:r>
    </w:p>
    <w:p>
      <w:pPr>
        <w:pStyle w:val="ListBullet"/>
      </w:pPr>
      <w:r/>
      <w:r>
        <w:rPr>
          <w:b/>
        </w:rPr>
        <w:t>Sauvetage par folinate de calcium</w:t>
      </w:r>
      <w:r>
        <w:t xml:space="preserve"> (Leucovorine®) : doses ≥ 1 g/m² → 15 mg/m² IV ou per os toutes les 6 h, débuté à H24 (début de perfusion = H0), poursuivi jusqu'à MTXémie &lt; 0,1 µmol/L (selon nomogramme de Stoller / Bleyer). À adapter selon MTXémie H24, H48, H72 : MTX H24 &gt; 5 µmol/L → doses augmentées.</w:t>
      </w:r>
    </w:p>
    <w:p>
      <w:pPr>
        <w:pStyle w:val="ListBullet"/>
      </w:pPr>
      <w:r/>
      <w:r>
        <w:rPr>
          <w:b/>
        </w:rPr>
        <w:t>Surveillance MTXémie</w:t>
      </w:r>
      <w:r>
        <w:t xml:space="preserve"> obligatoire pour doses ≥ 1 g/m² : dosage à H24, H48, H72 (et plus si besoin) par technique FPIA ou HPLC. Seuil toxique : H24 &gt; 10 µmol/L ; H48 &gt; 1 µmol/L ; H72 &gt; 0,1 µmol/L → augmenter folinate.</w:t>
      </w:r>
    </w:p>
    <w:p>
      <w:pPr>
        <w:pStyle w:val="ListBullet"/>
      </w:pPr>
      <w:r/>
      <w:r>
        <w:rPr>
          <w:b/>
        </w:rPr>
        <w:t>Acide folique per os</w:t>
      </w:r>
      <w:r>
        <w:t xml:space="preserve"> 1 mg/jour (et vitamine B12 1000 µg IM tous les 3 mois pour pémétrexed) à doses oncologiques modérées.</w:t>
      </w:r>
    </w:p>
    <w:p>
      <w:pPr>
        <w:pStyle w:val="ListBullet"/>
      </w:pPr>
      <w:r/>
      <w:r>
        <w:rPr>
          <w:b/>
        </w:rPr>
        <w:t>Prophylaxie mucite</w:t>
      </w:r>
      <w:r>
        <w:t xml:space="preserve"> : cryothérapie orale (sucettes glacées) pendant la perfusion de 5-FU (et MTX bolus).</w:t>
      </w:r>
    </w:p>
    <w:p>
      <w:pPr>
        <w:pStyle w:val="ListBullet"/>
      </w:pPr>
      <w:r/>
      <w:r>
        <w:rPr>
          <w:b/>
        </w:rPr>
        <w:t>Prophylaxie pneumocystose</w:t>
      </w:r>
      <w:r>
        <w:t xml:space="preserve"> : cotrimoxazole Bactrim® 400/80 mg per os 3x/sem si protocole prolongé.</w:t>
      </w:r>
    </w:p>
    <w:p>
      <w:pPr>
        <w:pStyle w:val="ListBullet"/>
      </w:pPr>
      <w:r/>
      <w:r>
        <w:rPr>
          <w:b/>
        </w:rPr>
        <w:t>Contraception efficace</w:t>
      </w:r>
      <w:r>
        <w:t xml:space="preserve"> pendant et 6 mois après traitement (femme et homme).</w:t>
      </w:r>
    </w:p>
    <w:p>
      <w:pPr>
        <w:pStyle w:val="ListBullet"/>
      </w:pPr>
      <w:r/>
      <w:r>
        <w:rPr>
          <w:b/>
        </w:rPr>
        <w:t>Vaccin anti-pneumococcique</w:t>
      </w:r>
      <w:r>
        <w:t xml:space="preserve"> et </w:t>
      </w:r>
      <w:r>
        <w:rPr>
          <w:b/>
        </w:rPr>
        <w:t>grippe saisonnière</w:t>
      </w:r>
      <w:r>
        <w:t xml:space="preserve"> avant traitement.</w:t>
      </w:r>
    </w:p>
    <w:p>
      <w:pPr>
        <w:pStyle w:val="ListBullet"/>
      </w:pPr>
      <w:r/>
      <w:r>
        <w:rPr>
          <w:b/>
        </w:rPr>
        <w:t>Interactions médicamenteuses</w:t>
      </w:r>
      <w:r>
        <w:t xml:space="preserve"> (les principales) :</w:t>
      </w:r>
    </w:p>
    <w:p>
      <w:pPr>
        <w:pStyle w:val="ListBullet"/>
      </w:pPr>
      <w:r/>
      <w:r>
        <w:rPr>
          <w:b/>
        </w:rPr>
        <w:t>Méthotrexate + AINS</w:t>
      </w:r>
      <w:r>
        <w:t xml:space="preserve"> (ibuprofène, kétoprofène, indométacine, aspirine &gt; 500 mg, naproxène, diclofénac) → inhibition compétitive de la sécrétion tubulaire rénale OAT → </w:t>
      </w:r>
      <w:r>
        <w:rPr>
          <w:b/>
        </w:rPr>
        <w:t>augmentation toxique de la MTXémie</w:t>
      </w:r>
      <w:r>
        <w:t xml:space="preserve"> → risque d'aplasie, mucite sévère, IRA. </w:t>
      </w:r>
      <w:r>
        <w:rPr>
          <w:b/>
        </w:rPr>
        <w:t>Contre-indication absolue</w:t>
      </w:r>
      <w:r>
        <w:t xml:space="preserve"> aux AINS pendant 72 h après MTX à dose ≥ 1 g/m². Préférer paracétamol.</w:t>
      </w:r>
    </w:p>
    <w:p>
      <w:pPr>
        <w:pStyle w:val="ListBullet"/>
      </w:pPr>
      <w:r/>
      <w:r>
        <w:rPr>
          <w:b/>
        </w:rPr>
        <w:t>Méthotrexate + pénicillines</w:t>
      </w:r>
      <w:r>
        <w:t xml:space="preserve"> (pénicilline G, amoxicilline, pipéracilline) → inhibition de la sécrétion tubulaire OAT → augmentation MTXémie. Réduire dose MTX ou espacer.</w:t>
      </w:r>
    </w:p>
    <w:p>
      <w:pPr>
        <w:pStyle w:val="ListBullet"/>
      </w:pPr>
      <w:r/>
      <w:r>
        <w:rPr>
          <w:b/>
        </w:rPr>
        <w:t>Méthotrexate + probénécide</w:t>
      </w:r>
      <w:r>
        <w:t xml:space="preserve"> → inhibition massive sécrétion tubulaire → toxicité sévère, </w:t>
      </w:r>
      <w:r>
        <w:rPr>
          <w:b/>
        </w:rPr>
        <w:t>association contre-indiquée</w:t>
      </w:r>
      <w:r>
        <w:t>.</w:t>
      </w:r>
    </w:p>
    <w:p>
      <w:pPr>
        <w:pStyle w:val="ListBullet"/>
      </w:pPr>
      <w:r/>
      <w:r>
        <w:rPr>
          <w:b/>
        </w:rPr>
        <w:t>Méthotrexate + sulfamides antibactériens</w:t>
      </w:r>
      <w:r>
        <w:t xml:space="preserve"> (cotrimoxazole, sulfaméthoxazole, sulfasalazine) → inhibition DHFR additive + inhibition sécrétion tubulaire → </w:t>
      </w:r>
      <w:r>
        <w:rPr>
          <w:b/>
        </w:rPr>
        <w:t>risque d'aplasie fulminante</w:t>
      </w:r>
      <w:r>
        <w:t xml:space="preserve"> — association contre-indiquée aux doses hautes.</w:t>
      </w:r>
    </w:p>
    <w:p>
      <w:pPr>
        <w:pStyle w:val="ListBullet"/>
      </w:pPr>
      <w:r/>
      <w:r>
        <w:rPr>
          <w:b/>
        </w:rPr>
        <w:t>Méthotrexate + cisplatine</w:t>
      </w:r>
      <w:r>
        <w:t xml:space="preserve"> → néphrotoxicité additive (mais combinaison classique en oncologie : surveillance + hyperhydratation + folinate).</w:t>
      </w:r>
    </w:p>
    <w:p>
      <w:pPr>
        <w:pStyle w:val="ListBullet"/>
      </w:pPr>
      <w:r/>
      <w:r>
        <w:rPr>
          <w:b/>
        </w:rPr>
        <w:t>Méthotrexate + acide folique</w:t>
      </w:r>
      <w:r>
        <w:t xml:space="preserve"> : ce dernier antagonise l'effet du MTX (à proscrire sauf si prescrit à faible dose en rhumato).</w:t>
      </w:r>
    </w:p>
    <w:p>
      <w:pPr>
        <w:pStyle w:val="ListBullet"/>
      </w:pPr>
      <w:r/>
      <w:r>
        <w:rPr>
          <w:b/>
        </w:rPr>
        <w:t>Méthotrexate + PPI</w:t>
      </w:r>
      <w:r>
        <w:t xml:space="preserve"> (oméprazole, ésoméprazole, pantoprazole) → inhibition du transporteur BCRP (ABCG2) → augmentation discrète de la MTXémie (prudence aux doses hautes).</w:t>
      </w:r>
    </w:p>
    <w:p>
      <w:pPr>
        <w:pStyle w:val="ListBullet"/>
      </w:pPr>
      <w:r/>
      <w:r>
        <w:rPr>
          <w:b/>
        </w:rPr>
        <w:t>Méthotrexate + salicylés</w:t>
      </w:r>
      <w:r>
        <w:t xml:space="preserve"> (aspirine) → déplacement de la liaison protéique + inhibition sécrétion tubulaire → toxicité.</w:t>
      </w:r>
    </w:p>
    <w:p>
      <w:pPr>
        <w:pStyle w:val="ListBullet"/>
      </w:pPr>
      <w:r/>
      <w:r>
        <w:rPr>
          <w:b/>
        </w:rPr>
        <w:t>Méthotrexate + tétracyclines, chloramphénicol</w:t>
      </w:r>
      <w:r>
        <w:t xml:space="preserve"> → déplacement protéique → toxicité.</w:t>
      </w:r>
    </w:p>
    <w:p>
      <w:pPr>
        <w:pStyle w:val="ListBullet"/>
      </w:pPr>
      <w:r/>
      <w:r>
        <w:rPr>
          <w:b/>
        </w:rPr>
        <w:t>Méthotrexate + vaccins vivants atténués</w:t>
      </w:r>
      <w:r>
        <w:t xml:space="preserve"> (BCG, fièvre jaune, rougeole-oreillons-rubéole, varicelle) → risque de maladie vaccinale généralisée — </w:t>
      </w:r>
      <w:r>
        <w:rPr>
          <w:b/>
        </w:rPr>
        <w:t>contre-indication</w:t>
      </w:r>
      <w:r>
        <w:t>.</w:t>
      </w:r>
    </w:p>
    <w:p>
      <w:pPr>
        <w:pStyle w:val="ListBullet"/>
      </w:pPr>
      <w:r/>
      <w:r>
        <w:rPr>
          <w:b/>
        </w:rPr>
        <w:t>Méthotrexate + phénytoïne</w:t>
      </w:r>
      <w:r>
        <w:t xml:space="preserve"> → baisse d'efficacité de la phénytoïne (compétition protéique) + toxicité du MTX.</w:t>
      </w:r>
    </w:p>
    <w:p>
      <w:pPr>
        <w:pStyle w:val="ListBullet"/>
      </w:pPr>
      <w:r/>
      <w:r>
        <w:rPr>
          <w:b/>
        </w:rPr>
        <w:t>Méthotrexate + ciclosporine, tacrolimus</w:t>
      </w:r>
      <w:r>
        <w:t xml:space="preserve"> → immunosuppression additive → infections opportunistes + augmentation MTXémie.</w:t>
      </w:r>
    </w:p>
    <w:p>
      <w:pPr>
        <w:pStyle w:val="ListBullet"/>
      </w:pPr>
      <w:r/>
      <w:r>
        <w:rPr>
          <w:b/>
        </w:rPr>
        <w:t>Méthotrexate + alcool</w:t>
      </w:r>
      <w:r>
        <w:t xml:space="preserve"> → toxicité hépatique additive.</w:t>
      </w:r>
    </w:p>
    <w:p>
      <w:pPr>
        <w:pStyle w:val="ListBullet"/>
      </w:pPr>
      <w:r/>
      <w:r>
        <w:rPr>
          <w:b/>
        </w:rPr>
        <w:t>Méthotrexate + vitamine C</w:t>
      </w:r>
      <w:r>
        <w:t xml:space="preserve"> forte dose (&gt; 1 g/j) → potentialisation de la toxicité rénale (acidification urinaire).</w:t>
      </w:r>
    </w:p>
    <w:p>
      <w:pPr>
        <w:pStyle w:val="ListBullet"/>
      </w:pPr>
      <w:r/>
      <w:r>
        <w:rPr>
          <w:b/>
        </w:rPr>
        <w:t>Grossesse et allaitement (CRAT)</w:t>
      </w:r>
      <w:r>
        <w:t xml:space="preserve"> :</w:t>
      </w:r>
    </w:p>
    <w:p>
      <w:pPr>
        <w:pStyle w:val="ListBullet"/>
      </w:pPr>
      <w:r/>
      <w:r>
        <w:rPr>
          <w:b/>
        </w:rPr>
        <w:t>Grossesse</w:t>
      </w:r>
      <w:r>
        <w:t xml:space="preserve"> : selon le CRAT et l'ANSM, le méthotrexate est </w:t>
      </w:r>
      <w:r>
        <w:rPr>
          <w:b/>
        </w:rPr>
        <w:t>tératogène majeur</w:t>
      </w:r>
      <w:r>
        <w:t xml:space="preserve"> (catégorie X / « à éviter formellement »). Risque de syndrome de methotrexate embryopathie : craniosynostose, anomalies de fermeture du tube neural, retard de croissance intra-utérin, hypoplasie des phalanges distales, malformations cardiaques. Risque fausse-couches spontanées x 5-10. Risque dose-dépendant mais sans seuil strictement safe — des cas d'embryopathies ont été rapportés à 2,5 mg/sem (faible dose rhumatologique) bien que le risque absolu soit très faible à ces doses. </w:t>
      </w:r>
      <w:r>
        <w:rPr>
          <w:b/>
        </w:rPr>
        <w:t>Conduite à tenir</w:t>
      </w:r>
      <w:r>
        <w:t xml:space="preserve"> : (1) </w:t>
      </w:r>
      <w:r>
        <w:rPr>
          <w:b/>
        </w:rPr>
        <w:t>pré-conceptionnel</w:t>
      </w:r>
      <w:r>
        <w:t xml:space="preserve"> : contraception efficace pendant toute la durée du traitement et pendant </w:t>
      </w:r>
      <w:r>
        <w:rPr>
          <w:b/>
        </w:rPr>
        <w:t>3 mois (homme)</w:t>
      </w:r>
      <w:r>
        <w:t xml:space="preserve"> et </w:t>
      </w:r>
      <w:r>
        <w:rPr>
          <w:b/>
        </w:rPr>
        <w:t>1 à 3 mois (femme)</w:t>
      </w:r>
      <w:r>
        <w:t xml:space="preserve"> après l'arrêt (5 cycles ovulatoires) ; (2) </w:t>
      </w:r>
      <w:r>
        <w:rPr>
          <w:b/>
        </w:rPr>
        <w:t>grossesse involontaire sous MTX</w:t>
      </w:r>
      <w:r>
        <w:t xml:space="preserve"> : arrêt immédiat, échographie précoce spécialisée, déclaration à la pharmacovigilance, discussion multidisciplinaire d'IMG selon terme et doses reçues ; (3) </w:t>
      </w:r>
      <w:r>
        <w:rPr>
          <w:b/>
        </w:rPr>
        <w:t>lors d'une IVG médicamenteuse</w:t>
      </w:r>
      <w:r>
        <w:t>, le méthotrexate ne doit pas être confondu avec le mifépristone — en Algérie le MTX à forte dose a parfois été détourné pour IVG (pratique à proscrire formellement).</w:t>
      </w:r>
    </w:p>
    <w:p>
      <w:pPr>
        <w:pStyle w:val="ListBullet"/>
      </w:pPr>
      <w:r/>
      <w:r>
        <w:rPr>
          <w:b/>
        </w:rPr>
        <w:t>Allaitement</w:t>
      </w:r>
      <w:r>
        <w:t xml:space="preserve"> : </w:t>
      </w:r>
      <w:r>
        <w:rPr>
          <w:b/>
        </w:rPr>
        <w:t>contre-indiqué</w:t>
      </w:r>
      <w:r>
        <w:t xml:space="preserve"> (MTX passe dans le lait maternel, rapport lait/plasma ≈ 0,05-0,1 mais toxicité hématologique potentielle ; demi-vie d'élimination 8-15 h → attendre au moins 1 semaine après dernière dose pour reprendre l'allaitement — généralement allaitement définitivement interrompu en oncologie).</w:t>
      </w:r>
    </w:p>
    <w:p>
      <w:pPr>
        <w:pStyle w:val="ListBullet"/>
      </w:pPr>
      <w:r/>
      <w:r>
        <w:rPr>
          <w:b/>
        </w:rPr>
        <w:t>Posologie</w:t>
      </w:r>
      <w:r>
        <w:t xml:space="preserve"> :</w:t>
      </w:r>
    </w:p>
    <w:p>
      <w:pPr>
        <w:pStyle w:val="ListBullet"/>
      </w:pPr>
      <w:r/>
      <w:r>
        <w:rPr>
          <w:b/>
        </w:rPr>
        <w:t>LAL enfant (induction/consolidation)</w:t>
      </w:r>
      <w:r>
        <w:t xml:space="preserve"> : 20-30 mg/m²/sem IM ou IV (protocole PALSG). Pour les protocoles BFM / GRAALL : perfusion IV continue 24 h, 1-2 g/m²/jour.</w:t>
      </w:r>
    </w:p>
    <w:p>
      <w:pPr>
        <w:pStyle w:val="ListBullet"/>
      </w:pPr>
      <w:r/>
      <w:r>
        <w:rPr>
          <w:b/>
        </w:rPr>
        <w:t>LAL / LNH — intrathécal</w:t>
      </w:r>
      <w:r>
        <w:t xml:space="preserve"> : 12 mg (adulte) ou 12-15 mg ajusté à l'âge (enfant : 1 an = 6 mg ; 2 ans = 8 mg ; ≥ 3 ans = 12 mg) — volume total ≤ 10 mL avec NaCl 0,9 % + hydrocortisone 25-50 mg pour réduire arachnoïdite.</w:t>
      </w:r>
    </w:p>
    <w:p>
      <w:pPr>
        <w:pStyle w:val="ListBullet"/>
      </w:pPr>
      <w:r/>
      <w:r>
        <w:rPr>
          <w:b/>
        </w:rPr>
        <w:t>Ostéosarcome (HD-MTX)</w:t>
      </w:r>
      <w:r>
        <w:t xml:space="preserve"> : 8-12 g/m² en perfusion IV de 4 heures, toutes les 2 semaines — sauvetage folinique débuté à H24 (15 mg/m²/6 h).</w:t>
      </w:r>
    </w:p>
    <w:p>
      <w:pPr>
        <w:pStyle w:val="ListBullet"/>
      </w:pPr>
      <w:r/>
      <w:r>
        <w:rPr>
          <w:b/>
        </w:rPr>
        <w:t>Lymphome cérébral primitif</w:t>
      </w:r>
      <w:r>
        <w:t xml:space="preserve"> : 3-8 g/m² en perfusion IV de 3-4 h toutes les 2-3 semaines.</w:t>
      </w:r>
    </w:p>
    <w:p>
      <w:pPr>
        <w:pStyle w:val="ListBullet"/>
      </w:pPr>
      <w:r/>
      <w:r>
        <w:rPr>
          <w:b/>
        </w:rPr>
        <w:t>Choriocarcinome / môle</w:t>
      </w:r>
      <w:r>
        <w:t xml:space="preserve"> : 50 mg IM ou 1 mg/kg IM J1, J3, J5, J7 — sauvetage acide folinique 6 mg IM J2, J4, J6, J8.</w:t>
      </w:r>
    </w:p>
    <w:p>
      <w:pPr>
        <w:pStyle w:val="ListBullet"/>
      </w:pPr>
      <w:r/>
      <w:r>
        <w:rPr>
          <w:b/>
        </w:rPr>
        <w:t>Cancer du sein (CMF)</w:t>
      </w:r>
      <w:r>
        <w:t xml:space="preserve"> : 40-60 mg/m² J1, J8 IV bolus.</w:t>
      </w:r>
    </w:p>
    <w:p>
      <w:pPr>
        <w:pStyle w:val="ListBullet"/>
      </w:pPr>
      <w:r/>
      <w:r>
        <w:rPr>
          <w:b/>
        </w:rPr>
        <w:t>Rhumatologie / Dermatologie (faible dose)</w:t>
      </w:r>
      <w:r>
        <w:t xml:space="preserve"> : 7,5-25 mg/sem per os en une prise (jamais quotidienne — risque mortel de confusion).</w:t>
      </w:r>
    </w:p>
    <w:p>
      <w:pPr>
        <w:pStyle w:val="ListBullet"/>
      </w:pPr>
      <w:r/>
      <w:r>
        <w:rPr>
          <w:b/>
        </w:rPr>
        <w:t>Adaptation posologique</w:t>
      </w:r>
      <w:r>
        <w:t xml:space="preserve"> : insuffisance rénale (ClCr 30-60 : réduire de 25-50 % ; &lt; 30 : contre-indication aux doses oncologiques) ; épanchement (drainage obligatoire) ; sujet âgé (réduction 25-50 %).</w:t>
      </w:r>
    </w:p>
    <w:p>
      <w:pPr>
        <w:pStyle w:val="ListBullet"/>
      </w:pPr>
      <w:r/>
      <w:r>
        <w:rPr>
          <w:b/>
        </w:rPr>
        <w:t>Formes galéniques</w:t>
      </w:r>
      <w:r>
        <w:t xml:space="preserve"> :</w:t>
      </w:r>
    </w:p>
    <w:p>
      <w:pPr>
        <w:pStyle w:val="ListBullet"/>
      </w:pPr>
      <w:r/>
      <w:r>
        <w:rPr>
          <w:b/>
        </w:rPr>
        <w:t>Comprimés 2,5 mg</w:t>
      </w:r>
      <w:r>
        <w:t xml:space="preserve"> (CYTOTREX Cipla actif) : usage oral à faible dose (rhumato, dermato, maintenance oncologique de LAL enfant). Forme pratique pour adaptation posologique fine. À conserver à température &lt; 25 °C, à l'abri de l'humidité.</w:t>
      </w:r>
    </w:p>
    <w:p>
      <w:pPr>
        <w:pStyle w:val="ListBullet"/>
      </w:pPr>
      <w:r/>
      <w:r>
        <w:rPr>
          <w:b/>
        </w:rPr>
        <w:t>Solution injectable 25 mg/mL en seringue pré-remplie</w:t>
      </w:r>
      <w:r>
        <w:t xml:space="preserve"> (IMETH Nordic, METHOTREXATE EBEWE) : usage SC/IM principalement (rhumatologie, dermatologie) et parfois IV bolus. Seringues pré-remplies 7,5/10/15/20/25 mg — sécurité d'administration (++).</w:t>
      </w:r>
    </w:p>
    <w:p>
      <w:pPr>
        <w:pStyle w:val="ListBullet"/>
      </w:pPr>
      <w:r/>
      <w:r>
        <w:rPr>
          <w:b/>
        </w:rPr>
        <w:t>Solution injectable 25 mg/mL en flacon</w:t>
      </w:r>
      <w:r>
        <w:t xml:space="preserve"> (METHOTREXATE ACCORD 2 mL et 40 mL) : usage IV bolus ou perfusion courte (doses 50-500 mg/m²).</w:t>
      </w:r>
    </w:p>
    <w:p>
      <w:pPr>
        <w:pStyle w:val="ListBullet"/>
      </w:pPr>
      <w:r/>
      <w:r>
        <w:rPr>
          <w:b/>
        </w:rPr>
        <w:t>Concentré solution pour perfusion 100 mg/mL</w:t>
      </w:r>
      <w:r>
        <w:t xml:space="preserve"> (formes historiques EBEWE, MYLAN non renouvelables) : usage HD-MTX (≥ 1 g/m²), perfusion IV de 3-4 h dans G5 % (à éviter NaCl si dilution importante).</w:t>
      </w:r>
    </w:p>
    <w:p>
      <w:pPr>
        <w:pStyle w:val="ListBullet"/>
      </w:pPr>
      <w:r/>
      <w:r>
        <w:rPr>
          <w:b/>
        </w:rPr>
        <w:t>Lyophilisat pour solution injectable 500 mg et 1 g</w:t>
      </w:r>
      <w:r>
        <w:t xml:space="preserve"> (formes historiques non renouvelables) : usage HD-MTX — reconstitution avec NaCl 0,9 %.</w:t>
      </w:r>
    </w:p>
    <w:p>
      <w:pPr>
        <w:pStyle w:val="ListBullet"/>
      </w:pPr>
      <w:r/>
      <w:r>
        <w:rPr>
          <w:b/>
        </w:rPr>
        <w:t>Solution injectable intrathécale</w:t>
      </w:r>
      <w:r>
        <w:t xml:space="preserve"> : utiliser la forme 25 mg/mL diluée avec NaCl 0,9 % isotonique sans conservateur — JAMAIS utiliser la forme contenant du phénol ou du benzyle (toxicité neurologique grave).</w:t>
      </w:r>
    </w:p>
    <w:p>
      <w:pPr>
        <w:pStyle w:val="ListBullet"/>
      </w:pPr>
      <w:r/>
      <w:r>
        <w:rPr>
          <w:b/>
        </w:rPr>
        <w:t>Conservation</w:t>
      </w:r>
      <w:r>
        <w:t xml:space="preserve"> : formes orales et injectables à température &lt; 25 °C, à l'abri de la lumière. Solutions diluées pour perfusion à utiliser immédiatement (stabilité 24 h à température ambiante en NaCl 0,9 %). Ne pas congeler.</w:t>
      </w:r>
    </w:p>
    <w:p>
      <w:pPr>
        <w:pStyle w:val="ListBullet"/>
      </w:pPr>
      <w:r/>
      <w:r>
        <w:rPr>
          <w:b/>
        </w:rPr>
        <w:t>Manipulation</w:t>
      </w:r>
      <w:r>
        <w:t xml:space="preserve"> : gants nitrile, masque FFP2, lunettes de protection, blouse chimiothérapie (norme EN 13034). Pour la femme enceinte du personnel soignant, éviter toute manipulation directe (risque tératogène par contact cutané).</w:t>
      </w:r>
    </w:p>
    <w:p>
      <w:pPr>
        <w:pStyle w:val="ListBullet"/>
      </w:pPr>
      <w:r/>
      <w:r>
        <w:rPr>
          <w:b/>
        </w:rPr>
        <w:t>Conseils aux patients</w:t>
      </w:r>
      <w:r>
        <w:t xml:space="preserve"> :</w:t>
      </w:r>
    </w:p>
    <w:p>
      <w:pPr>
        <w:pStyle w:val="ListBullet"/>
      </w:pPr>
      <w:r/>
      <w:r>
        <w:rPr>
          <w:b/>
        </w:rPr>
        <w:t>Communication au comptoir</w:t>
      </w:r>
      <w:r>
        <w:t xml:space="preserve"> : « Voici votre méthotrexate (à faible dose rhumato/dermato). Vous le prenez </w:t>
      </w:r>
      <w:r>
        <w:rPr>
          <w:b/>
        </w:rPr>
        <w:t>une seule fois par semaine</w:t>
      </w:r>
      <w:r>
        <w:t>, le même jour chaque semaine. Ce n'est pas un médicament quotidien. Beaucoup d'erreurs médicamenteuses graves sont survenues par prise quotidienne accidentelle. Notez le jour de la prise sur le calendrier. Ne jamais doubler la dose si oubli. En cas de doute, contactez immédiatement votre médecin ou pharmacien. »</w:t>
      </w:r>
    </w:p>
    <w:p>
      <w:pPr>
        <w:pStyle w:val="ListBullet"/>
      </w:pPr>
      <w:r/>
      <w:r>
        <w:rPr>
          <w:b/>
        </w:rPr>
        <w:t>Mode d'utilisation</w:t>
      </w:r>
      <w:r>
        <w:t xml:space="preserve"> : per os pendant le repas (réduit la tolérance digestive), ne pas prendre avec du lait (réduit l'absorption), à heure fixe. Pour la voie SC/IM (seringue pré-remplie) : injection dans la graisse sous-cutanée de l'abdomen ou cuisse, alternance des sites, masque de précaution.</w:t>
      </w:r>
    </w:p>
    <w:p>
      <w:pPr>
        <w:pStyle w:val="ListBullet"/>
      </w:pPr>
      <w:r/>
      <w:r>
        <w:rPr>
          <w:b/>
        </w:rPr>
        <w:t>Surveillance biologique</w:t>
      </w:r>
      <w:r>
        <w:t xml:space="preserve"> : NFS, créatininémie, ALAT/ASAT mensuels le premier trimestre puis trimestriels. En cas de fièvre, ulcère buccal, saignement, gêne respiratoire : consulter en urgence.</w:t>
      </w:r>
    </w:p>
    <w:p>
      <w:pPr>
        <w:pStyle w:val="ListBullet"/>
      </w:pPr>
      <w:r/>
      <w:r>
        <w:rPr>
          <w:b/>
        </w:rPr>
        <w:t>Prévention mucite</w:t>
      </w:r>
      <w:r>
        <w:t xml:space="preserve"> : bains de bouche à l'eau bicarbonatée (1 cuillère à café de bicarbonate dans un verre d'eau) 4 à 6 fois par jour à partir de J1.</w:t>
      </w:r>
    </w:p>
    <w:p>
      <w:pPr>
        <w:pStyle w:val="ListBullet"/>
      </w:pPr>
      <w:r/>
      <w:r>
        <w:rPr>
          <w:b/>
        </w:rPr>
        <w:t>Vaccination</w:t>
      </w:r>
      <w:r>
        <w:t xml:space="preserve"> : éviter les vaccins vivants atténués pendant le traitement et 6 mois après. Vaccin anti-grippe et anti-pneumococcique recommandés.</w:t>
      </w:r>
    </w:p>
    <w:p>
      <w:pPr>
        <w:pStyle w:val="ListBullet"/>
      </w:pPr>
      <w:r/>
      <w:r>
        <w:rPr>
          <w:b/>
        </w:rPr>
        <w:t>Photo-protection</w:t>
      </w:r>
      <w:r>
        <w:t xml:space="preserve"> : écran solaire SPF 50, éviter l'exposition directe.</w:t>
      </w:r>
    </w:p>
    <w:p>
      <w:pPr>
        <w:pStyle w:val="ListBullet"/>
      </w:pPr>
      <w:r/>
      <w:r>
        <w:rPr>
          <w:b/>
        </w:rPr>
        <w:t>Contraception</w:t>
      </w:r>
      <w:r>
        <w:t xml:space="preserve"> : pendant le traitement et 3 mois après l'arrêt (femme) ou 6 mois (homme), méthode barrière obligatoire.</w:t>
      </w:r>
    </w:p>
    <w:p>
      <w:pPr>
        <w:pStyle w:val="ListBullet"/>
      </w:pPr>
      <w:r/>
      <w:r>
        <w:rPr>
          <w:b/>
        </w:rPr>
        <w:t>Interactions alimentaires</w:t>
      </w:r>
      <w:r>
        <w:t xml:space="preserve"> : éviter l'alcool (toxicité hépatique additive), éviter la consommation excessive de caféine, aliments riches en acide folique (légumes verts) sans contre-indication formelle.</w:t>
      </w:r>
    </w:p>
    <w:p>
      <w:pPr>
        <w:pStyle w:val="ListBullet"/>
      </w:pPr>
      <w:r/>
      <w:r>
        <w:rPr>
          <w:b/>
        </w:rPr>
        <w:t>Préparation et conservation</w:t>
      </w:r>
      <w:r>
        <w:t xml:space="preserve"> : comprimés à conserver à température &lt; 25 °C, à l'abri de l'humidité et de la lumière. Solutions injectables à conserver à température &lt; 25 °C (ne pas congeler). Solutions diluées à utiliser immédiatement. Ne pas utiliser si trouble ou précipité visible.</w:t>
      </w:r>
    </w:p>
    <w:p>
      <w:pPr>
        <w:pStyle w:val="ListBullet"/>
      </w:pPr>
      <w:r/>
      <w:r>
        <w:rPr>
          <w:b/>
        </w:rPr>
        <w:t>Suivi oncologique</w:t>
      </w:r>
      <w:r>
        <w:t xml:space="preserve"> : pour les HD-MTX, hospitalisation obligatoire, surveillance MTXémie H24-H72, folinate de calcium de sauvetage.</w:t>
      </w:r>
    </w:p>
    <w:p>
      <w:pPr>
        <w:pStyle w:val="ListBullet"/>
      </w:pPr>
      <w:r/>
      <w:r>
        <w:rPr>
          <w:b/>
        </w:rPr>
        <w:t>Pièges classiques</w:t>
      </w:r>
      <w:r>
        <w:t xml:space="preserve"> :</w:t>
      </w:r>
    </w:p>
    <w:p>
      <w:pPr>
        <w:pStyle w:val="ListBullet"/>
      </w:pPr>
      <w:r/>
      <w:r>
        <w:rPr>
          <w:b/>
        </w:rPr>
        <w:t>Piège mortel</w:t>
      </w:r>
      <w:r>
        <w:t xml:space="preserve"> : erreur de prescription </w:t>
      </w:r>
      <w:r>
        <w:rPr>
          <w:b/>
        </w:rPr>
        <w:t>quotidienne</w:t>
      </w:r>
      <w:r>
        <w:t xml:space="preserve"> au lieu d'hebdomadaire (confusion rhumato/dermato) — cas rapportés d'aplasies fatales. Toujours mentionner « une fois par semaine » en toutes lettres sur l'ordonnance.</w:t>
      </w:r>
    </w:p>
    <w:p>
      <w:pPr>
        <w:pStyle w:val="ListBullet"/>
      </w:pPr>
      <w:r/>
      <w:r>
        <w:rPr>
          <w:b/>
        </w:rPr>
        <w:t>Piège du lactose / laitage</w:t>
      </w:r>
      <w:r>
        <w:t xml:space="preserve"> : réduction de l'absorption orale — à signaler au patient.</w:t>
      </w:r>
    </w:p>
    <w:p>
      <w:pPr>
        <w:pStyle w:val="ListBullet"/>
      </w:pPr>
      <w:r/>
      <w:r>
        <w:rPr>
          <w:b/>
        </w:rPr>
        <w:t>Piège de l'AINS co-prescrit</w:t>
      </w:r>
      <w:r>
        <w:t xml:space="preserve"> : augmentation MTXémie toxique — interroger le patient sur automédication.</w:t>
      </w:r>
    </w:p>
    <w:p>
      <w:pPr>
        <w:pStyle w:val="ListBullet"/>
      </w:pPr>
      <w:r/>
      <w:r>
        <w:rPr>
          <w:b/>
        </w:rPr>
        <w:t>Piège de l'injection intrathécale avec la forme phénolée</w:t>
      </w:r>
      <w:r>
        <w:t xml:space="preserve"> : risque de paralysie ascendante fatal — utiliser uniquement la forme sans conservateur.</w:t>
      </w:r>
    </w:p>
    <w:p>
      <w:pPr>
        <w:pStyle w:val="ListBullet"/>
      </w:pPr>
      <w:r/>
      <w:r>
        <w:rPr>
          <w:b/>
        </w:rPr>
        <w:t>Piège de l'épanchement non drainé</w:t>
      </w:r>
      <w:r>
        <w:t xml:space="preserve"> : allongement spectaculaire de la demi-vie et toxicité retardée — drainage préalable obligatoire.</w:t>
      </w:r>
    </w:p>
    <w:p>
      <w:pPr>
        <w:pStyle w:val="ListBullet"/>
      </w:pPr>
      <w:r/>
      <w:r>
        <w:rPr>
          <w:b/>
        </w:rPr>
        <w:t>Piège de l'alcalinisation insuffisante</w:t>
      </w:r>
      <w:r>
        <w:t xml:space="preserve"> : néphrotoxicité tubulaire — surveillance pH urinaire toutes les 6 h pendant HD-MTX.</w:t>
      </w:r>
    </w:p>
    <w:p>
      <w:pPr>
        <w:pStyle w:val="ListBullet"/>
      </w:pPr>
      <w:r/>
      <w:r>
        <w:rPr>
          <w:b/>
        </w:rPr>
        <w:t>Piège de la grossesse</w:t>
      </w:r>
      <w:r>
        <w:t xml:space="preserve"> : prescription chez une femme en âge de procréer sans test β-hCG préalable — toujours vérifier.</w:t>
      </w:r>
    </w:p>
    <w:p>
      <w:pPr>
        <w:pStyle w:val="ListBullet"/>
      </w:pPr>
      <w:r/>
      <w:r>
        <w:rPr>
          <w:b/>
        </w:rPr>
        <w:t>Piège du PPI</w:t>
      </w:r>
      <w:r>
        <w:t xml:space="preserve"> : oméprazole peut augmenter discrètement la MTXémie — surveillance si dose élevée.</w:t>
      </w:r>
    </w:p>
    <w:p>
      <w:pPr>
        <w:pStyle w:val="ListBullet"/>
      </w:pPr>
      <w:r/>
      <w:r>
        <w:rPr>
          <w:b/>
        </w:rPr>
        <w:t>Piège de substitution de marque</w:t>
      </w:r>
      <w:r>
        <w:t xml:space="preserve"> : passer de la forme IMETH (seringue pré-remplie) à METHOTREXATE ACCORD (flacon) — posologie différente (concentration 25 mg/mL identique mais volume différent) — vérifier soigneusement.</w:t>
      </w:r>
    </w:p>
    <w:p>
      <w:pPr>
        <w:pStyle w:val="ListBullet"/>
      </w:pPr>
      <w:r/>
      <w:r>
        <w:rPr>
          <w:b/>
        </w:rPr>
        <w:t>Piège de la dose élevée pour ostéosarcome</w:t>
      </w:r>
      <w:r>
        <w:t xml:space="preserve"> : 8-12 g/m² = 80 à 120 fois la dose rhumato — erreur d'unité (g au lieu de mg) fatale.</w:t>
      </w:r>
    </w:p>
    <w:p>
      <w:pPr>
        <w:pStyle w:val="Heading2"/>
      </w:pPr>
      <w:r>
        <w:t>Sous-classe 2 — Antimétabolites antifoliques (suite) — Pémétrexed</w:t>
      </w:r>
    </w:p>
    <w:p>
      <w:r>
        <w:t xml:space="preserve">Le </w:t>
      </w:r>
      <w:r>
        <w:rPr>
          <w:b/>
        </w:rPr>
        <w:t>pémétrexed</w:t>
      </w:r>
      <w:r>
        <w:t xml:space="preserve"> (Alimta® d'Eli Lilly, 2004 ; premier générique SAIDAL en Algérie en 2020) est le second antifolique anticancéreux disponible en clinique. Il se distingue du méthotrexate par son </w:t>
      </w:r>
      <w:r>
        <w:rPr>
          <w:b/>
        </w:rPr>
        <w:t>mécanisme multitarget</w:t>
      </w:r>
      <w:r>
        <w:t xml:space="preserve"> : il inhibe simultanément trois enzymes clés de la synthèse des nucléotides — la thymidylate synthase (TS, cible du 5-FU), la dihydrofolate réductase (DHFR, cible du MTX) et la glycinamide ribonucléotide formyltransférase (GARFT, cible non partagée avec les autres antifoliques). Cette triple inhibition confère au pémétrexed un spectre d'efficacité particulier sur l'adénocarcinome pulmonaire non épidermoïde et le mésothéliome pleural malin, en association avec le cisplatine. Sa tolérance hématologique et muqueuse est améliorée par une supplémentation systématique en acide folique (350-1000 µg/j per os) et vitamine B12 (1000 µg IM tous les 3 mois), débutées au moins 7 jours avant la première cure et poursuivies pendant tout le traitement — sans cette supplémentation, l'incidence des toxicités de grade 3-4 dépasse 30 %.</w:t>
      </w:r>
    </w:p>
    <w:p>
      <w:pPr>
        <w:pStyle w:val="Heading3"/>
      </w:pPr>
      <w:r>
        <w:t>2. DCI : Pémétrexed</w:t>
      </w:r>
    </w:p>
    <w:p>
      <w:pPr>
        <w:pStyle w:val="ListBullet"/>
      </w:pPr>
      <w:r/>
      <w:r>
        <w:rPr>
          <w:b/>
        </w:rPr>
        <w:t>Catégories</w:t>
      </w:r>
      <w:r>
        <w:t xml:space="preserve"> : Antimétabolite antifolique multitarget (TS + DHFR + GARFT) ; cytotoxique phase S ; classe ATC L01BA04.</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A-XED 500</w:t>
            </w:r>
          </w:p>
        </w:tc>
        <w:tc>
          <w:tcPr>
            <w:tcW w:type="dxa" w:w="1559"/>
          </w:tcPr>
          <w:p>
            <w:r>
              <w:rPr>
                <w:sz w:val="20"/>
              </w:rPr>
              <w:t>ACCURE LABS PVT LTD</w:t>
            </w:r>
          </w:p>
        </w:tc>
        <w:tc>
          <w:tcPr>
            <w:tcW w:type="dxa" w:w="1559"/>
          </w:tcPr>
          <w:p>
            <w:r>
              <w:rPr>
                <w:sz w:val="20"/>
              </w:rPr>
              <w:t>Poudre lyophilisée pour solution à diluer pour perfusion IV, 500 mg</w:t>
            </w:r>
          </w:p>
        </w:tc>
        <w:tc>
          <w:tcPr>
            <w:tcW w:type="dxa" w:w="1559"/>
          </w:tcPr>
          <w:p>
            <w:r>
              <w:rPr>
                <w:sz w:val="20"/>
              </w:rPr>
              <w:t>Boîte de 1 flacon 500 mg</w:t>
            </w:r>
          </w:p>
        </w:tc>
        <w:tc>
          <w:tcPr>
            <w:tcW w:type="dxa" w:w="1559"/>
          </w:tcPr>
          <w:p>
            <w:r>
              <w:rPr>
                <w:sz w:val="20"/>
              </w:rPr>
              <w:t>LISTE I</w:t>
            </w:r>
          </w:p>
        </w:tc>
        <w:tc>
          <w:tcPr>
            <w:tcW w:type="dxa" w:w="1559"/>
          </w:tcPr>
          <w:p>
            <w:r>
              <w:rPr>
                <w:sz w:val="20"/>
              </w:rPr>
              <w:t>ACTIF</w:t>
            </w:r>
          </w:p>
        </w:tc>
      </w:tr>
      <w:tr>
        <w:tc>
          <w:tcPr>
            <w:tcW w:type="dxa" w:w="1559"/>
          </w:tcPr>
          <w:p>
            <w:r>
              <w:rPr>
                <w:sz w:val="20"/>
              </w:rPr>
              <w:t>BDPEM</w:t>
            </w:r>
          </w:p>
        </w:tc>
        <w:tc>
          <w:tcPr>
            <w:tcW w:type="dxa" w:w="1559"/>
          </w:tcPr>
          <w:p>
            <w:r>
              <w:rPr>
                <w:sz w:val="20"/>
              </w:rPr>
              <w:t>BDR PHARMACEUTICALS INTERNATIONAL PVT LTD</w:t>
            </w:r>
          </w:p>
        </w:tc>
        <w:tc>
          <w:tcPr>
            <w:tcW w:type="dxa" w:w="1559"/>
          </w:tcPr>
          <w:p>
            <w:r>
              <w:rPr>
                <w:sz w:val="20"/>
              </w:rPr>
              <w:t>Poudre lyophilisée pour solution à diluer pour perfusion IV, 500 mg</w:t>
            </w:r>
          </w:p>
        </w:tc>
        <w:tc>
          <w:tcPr>
            <w:tcW w:type="dxa" w:w="1559"/>
          </w:tcPr>
          <w:p>
            <w:r>
              <w:rPr>
                <w:sz w:val="20"/>
              </w:rPr>
              <w:t>B/01 flacon 50 mL</w:t>
            </w:r>
          </w:p>
        </w:tc>
        <w:tc>
          <w:tcPr>
            <w:tcW w:type="dxa" w:w="1559"/>
          </w:tcPr>
          <w:p>
            <w:r>
              <w:rPr>
                <w:sz w:val="20"/>
              </w:rPr>
              <w:t>LISTE I</w:t>
            </w:r>
          </w:p>
        </w:tc>
        <w:tc>
          <w:tcPr>
            <w:tcW w:type="dxa" w:w="1559"/>
          </w:tcPr>
          <w:p>
            <w:r>
              <w:rPr>
                <w:sz w:val="20"/>
              </w:rPr>
              <w:t>ACTIF</w:t>
            </w:r>
          </w:p>
        </w:tc>
      </w:tr>
      <w:tr>
        <w:tc>
          <w:tcPr>
            <w:tcW w:type="dxa" w:w="1559"/>
          </w:tcPr>
          <w:p>
            <w:r>
              <w:rPr>
                <w:sz w:val="20"/>
              </w:rPr>
              <w:t>PEMETREXED ALFACARE</w:t>
            </w:r>
          </w:p>
        </w:tc>
        <w:tc>
          <w:tcPr>
            <w:tcW w:type="dxa" w:w="1559"/>
          </w:tcPr>
          <w:p>
            <w:r>
              <w:rPr>
                <w:sz w:val="20"/>
              </w:rPr>
              <w:t>ALFACARE</w:t>
            </w:r>
          </w:p>
        </w:tc>
        <w:tc>
          <w:tcPr>
            <w:tcW w:type="dxa" w:w="1559"/>
          </w:tcPr>
          <w:p>
            <w:r>
              <w:rPr>
                <w:sz w:val="20"/>
              </w:rPr>
              <w:t>Poudre lyophilisée pour solution à diluer pour perfusion IV, 500 mg</w:t>
            </w:r>
          </w:p>
        </w:tc>
        <w:tc>
          <w:tcPr>
            <w:tcW w:type="dxa" w:w="1559"/>
          </w:tcPr>
          <w:p>
            <w:r>
              <w:rPr>
                <w:sz w:val="20"/>
              </w:rPr>
              <w:t>Boîte de 1 flacon 500 mg</w:t>
            </w:r>
          </w:p>
        </w:tc>
        <w:tc>
          <w:tcPr>
            <w:tcW w:type="dxa" w:w="1559"/>
          </w:tcPr>
          <w:p>
            <w:r>
              <w:rPr>
                <w:sz w:val="20"/>
              </w:rPr>
              <w:t>LISTE I</w:t>
            </w:r>
          </w:p>
        </w:tc>
        <w:tc>
          <w:tcPr>
            <w:tcW w:type="dxa" w:w="1559"/>
          </w:tcPr>
          <w:p>
            <w:r>
              <w:rPr>
                <w:sz w:val="20"/>
              </w:rPr>
              <w:t>ACTIF</w:t>
            </w:r>
          </w:p>
        </w:tc>
      </w:tr>
      <w:tr>
        <w:tc>
          <w:tcPr>
            <w:tcW w:type="dxa" w:w="1559"/>
          </w:tcPr>
          <w:p>
            <w:r>
              <w:rPr>
                <w:sz w:val="20"/>
              </w:rPr>
              <w:t>PEMETREXED INTAS</w:t>
            </w:r>
          </w:p>
        </w:tc>
        <w:tc>
          <w:tcPr>
            <w:tcW w:type="dxa" w:w="1559"/>
          </w:tcPr>
          <w:p>
            <w:r>
              <w:rPr>
                <w:sz w:val="20"/>
              </w:rPr>
              <w:t>INTAS PHARMACEUTICALS LIMITED</w:t>
            </w:r>
          </w:p>
        </w:tc>
        <w:tc>
          <w:tcPr>
            <w:tcW w:type="dxa" w:w="1559"/>
          </w:tcPr>
          <w:p>
            <w:r>
              <w:rPr>
                <w:sz w:val="20"/>
              </w:rPr>
              <w:t>Poudre lyophilisée pour solution à diluer pour perfusion IV, 500 mg</w:t>
            </w:r>
          </w:p>
        </w:tc>
        <w:tc>
          <w:tcPr>
            <w:tcW w:type="dxa" w:w="1559"/>
          </w:tcPr>
          <w:p>
            <w:r>
              <w:rPr>
                <w:sz w:val="20"/>
              </w:rPr>
              <w:t>Boîte de 1 flacon 500 mg</w:t>
            </w:r>
          </w:p>
        </w:tc>
        <w:tc>
          <w:tcPr>
            <w:tcW w:type="dxa" w:w="1559"/>
          </w:tcPr>
          <w:p>
            <w:r>
              <w:rPr>
                <w:sz w:val="20"/>
              </w:rPr>
              <w:t>LISTE I</w:t>
            </w:r>
          </w:p>
        </w:tc>
        <w:tc>
          <w:tcPr>
            <w:tcW w:type="dxa" w:w="1559"/>
          </w:tcPr>
          <w:p>
            <w:r>
              <w:rPr>
                <w:sz w:val="20"/>
              </w:rPr>
              <w:t>ACTIF</w:t>
            </w:r>
          </w:p>
        </w:tc>
      </w:tr>
      <w:tr>
        <w:tc>
          <w:tcPr>
            <w:tcW w:type="dxa" w:w="1559"/>
          </w:tcPr>
          <w:p>
            <w:r>
              <w:rPr>
                <w:sz w:val="20"/>
              </w:rPr>
              <w:t>PEMETREXED-SAIDAL</w:t>
            </w:r>
          </w:p>
        </w:tc>
        <w:tc>
          <w:tcPr>
            <w:tcW w:type="dxa" w:w="1559"/>
          </w:tcPr>
          <w:p>
            <w:r>
              <w:rPr>
                <w:sz w:val="20"/>
              </w:rPr>
              <w:t>GROUPE SAIDAL</w:t>
            </w:r>
          </w:p>
        </w:tc>
        <w:tc>
          <w:tcPr>
            <w:tcW w:type="dxa" w:w="1559"/>
          </w:tcPr>
          <w:p>
            <w:r>
              <w:rPr>
                <w:sz w:val="20"/>
              </w:rPr>
              <w:t>Poudre lyophilisée pour solution à diluer pour perfusion IV, 500 mg</w:t>
            </w:r>
          </w:p>
        </w:tc>
        <w:tc>
          <w:tcPr>
            <w:tcW w:type="dxa" w:w="1559"/>
          </w:tcPr>
          <w:p>
            <w:r>
              <w:rPr>
                <w:sz w:val="20"/>
              </w:rPr>
              <w:t>Boîte de 1 flacon 500 mg</w:t>
            </w:r>
          </w:p>
        </w:tc>
        <w:tc>
          <w:tcPr>
            <w:tcW w:type="dxa" w:w="1559"/>
          </w:tcPr>
          <w:p>
            <w:r>
              <w:rPr>
                <w:sz w:val="20"/>
              </w:rPr>
              <w:t>LISTE I</w:t>
            </w:r>
          </w:p>
        </w:tc>
        <w:tc>
          <w:tcPr>
            <w:tcW w:type="dxa" w:w="1559"/>
          </w:tcPr>
          <w:p>
            <w:r>
              <w:rPr>
                <w:sz w:val="20"/>
              </w:rPr>
              <w:t>ACTIF</w:t>
            </w:r>
          </w:p>
        </w:tc>
      </w:tr>
      <w:tr>
        <w:tc>
          <w:tcPr>
            <w:tcW w:type="dxa" w:w="1559"/>
          </w:tcPr>
          <w:p>
            <w:r>
              <w:rPr>
                <w:sz w:val="20"/>
              </w:rPr>
              <w:t>PODOXRED</w:t>
            </w:r>
          </w:p>
        </w:tc>
        <w:tc>
          <w:tcPr>
            <w:tcW w:type="dxa" w:w="1559"/>
          </w:tcPr>
          <w:p>
            <w:r>
              <w:rPr>
                <w:sz w:val="20"/>
              </w:rPr>
              <w:t>DR. REDDY'S LABORATORIES LIMITED</w:t>
            </w:r>
          </w:p>
        </w:tc>
        <w:tc>
          <w:tcPr>
            <w:tcW w:type="dxa" w:w="1559"/>
          </w:tcPr>
          <w:p>
            <w:r>
              <w:rPr>
                <w:sz w:val="20"/>
              </w:rPr>
              <w:t>Poudre lyophilisée pour solution à diluer pour perfusion IV, 500 mg</w:t>
            </w:r>
          </w:p>
        </w:tc>
        <w:tc>
          <w:tcPr>
            <w:tcW w:type="dxa" w:w="1559"/>
          </w:tcPr>
          <w:p>
            <w:r>
              <w:rPr>
                <w:sz w:val="20"/>
              </w:rPr>
              <w:t>Boîte de 1 flacon 500 mg</w:t>
            </w:r>
          </w:p>
        </w:tc>
        <w:tc>
          <w:tcPr>
            <w:tcW w:type="dxa" w:w="1559"/>
          </w:tcPr>
          <w:p>
            <w:r>
              <w:rPr>
                <w:sz w:val="20"/>
              </w:rPr>
              <w:t>LISTE I</w:t>
            </w:r>
          </w:p>
        </w:tc>
        <w:tc>
          <w:tcPr>
            <w:tcW w:type="dxa" w:w="1559"/>
          </w:tcPr>
          <w:p>
            <w:r>
              <w:rPr>
                <w:sz w:val="20"/>
              </w:rPr>
              <w:t>ACTIF</w:t>
            </w:r>
          </w:p>
        </w:tc>
      </w:tr>
      <w:tr>
        <w:tc>
          <w:tcPr>
            <w:tcW w:type="dxa" w:w="1559"/>
          </w:tcPr>
          <w:p>
            <w:r>
              <w:rPr>
                <w:sz w:val="20"/>
              </w:rPr>
              <w:t>PREXET (500 mg)</w:t>
            </w:r>
          </w:p>
        </w:tc>
        <w:tc>
          <w:tcPr>
            <w:tcW w:type="dxa" w:w="1559"/>
          </w:tcPr>
          <w:p>
            <w:r>
              <w:rPr>
                <w:sz w:val="20"/>
              </w:rPr>
              <w:t>MUSTAFA NEVZAT ILAÇ SANAYII A.Ş</w:t>
            </w:r>
          </w:p>
        </w:tc>
        <w:tc>
          <w:tcPr>
            <w:tcW w:type="dxa" w:w="1559"/>
          </w:tcPr>
          <w:p>
            <w:r>
              <w:rPr>
                <w:sz w:val="20"/>
              </w:rPr>
              <w:t>Poudre lyophilisée pour solution à diluer pour perfusion IV, 500 mg</w:t>
            </w:r>
          </w:p>
        </w:tc>
        <w:tc>
          <w:tcPr>
            <w:tcW w:type="dxa" w:w="1559"/>
          </w:tcPr>
          <w:p>
            <w:r>
              <w:rPr>
                <w:sz w:val="20"/>
              </w:rPr>
              <w:t>Boîte de 1 flacon 500 mg</w:t>
            </w:r>
          </w:p>
        </w:tc>
        <w:tc>
          <w:tcPr>
            <w:tcW w:type="dxa" w:w="1559"/>
          </w:tcPr>
          <w:p>
            <w:r>
              <w:rPr>
                <w:sz w:val="20"/>
              </w:rPr>
              <w:t>LISTE I</w:t>
            </w:r>
          </w:p>
        </w:tc>
        <w:tc>
          <w:tcPr>
            <w:tcW w:type="dxa" w:w="1559"/>
          </w:tcPr>
          <w:p>
            <w:r>
              <w:rPr>
                <w:sz w:val="20"/>
              </w:rPr>
              <w:t>ACTIF</w:t>
            </w:r>
          </w:p>
        </w:tc>
      </w:tr>
      <w:tr>
        <w:tc>
          <w:tcPr>
            <w:tcW w:type="dxa" w:w="1559"/>
          </w:tcPr>
          <w:p>
            <w:r>
              <w:rPr>
                <w:sz w:val="20"/>
              </w:rPr>
              <w:t>PREXET (100 mg)</w:t>
            </w:r>
          </w:p>
        </w:tc>
        <w:tc>
          <w:tcPr>
            <w:tcW w:type="dxa" w:w="1559"/>
          </w:tcPr>
          <w:p>
            <w:r>
              <w:rPr>
                <w:sz w:val="20"/>
              </w:rPr>
              <w:t>MUSTAFA NEVZAT ILAÇ SANAYII A.Ş</w:t>
            </w:r>
          </w:p>
        </w:tc>
        <w:tc>
          <w:tcPr>
            <w:tcW w:type="dxa" w:w="1559"/>
          </w:tcPr>
          <w:p>
            <w:r>
              <w:rPr>
                <w:sz w:val="20"/>
              </w:rPr>
              <w:t>Poudre lyophilisée pour solution à diluer pour perfusion IV, 100 mg/flacon (20 mg/mL)</w:t>
            </w:r>
          </w:p>
        </w:tc>
        <w:tc>
          <w:tcPr>
            <w:tcW w:type="dxa" w:w="1559"/>
          </w:tcPr>
          <w:p>
            <w:r>
              <w:rPr>
                <w:sz w:val="20"/>
              </w:rPr>
              <w:t>Boîte de 1 flacon de 5 mL</w:t>
            </w:r>
          </w:p>
        </w:tc>
        <w:tc>
          <w:tcPr>
            <w:tcW w:type="dxa" w:w="1559"/>
          </w:tcPr>
          <w:p>
            <w:r>
              <w:rPr>
                <w:sz w:val="20"/>
              </w:rPr>
              <w:t>LISTE I</w:t>
            </w:r>
          </w:p>
        </w:tc>
        <w:tc>
          <w:tcPr>
            <w:tcW w:type="dxa" w:w="1559"/>
          </w:tcPr>
          <w:p>
            <w:r>
              <w:rPr>
                <w:sz w:val="20"/>
              </w:rPr>
              <w:t>ACTIF</w:t>
            </w:r>
          </w:p>
        </w:tc>
      </w:tr>
      <w:tr>
        <w:tc>
          <w:tcPr>
            <w:tcW w:type="dxa" w:w="1559"/>
          </w:tcPr>
          <w:p>
            <w:r>
              <w:rPr>
                <w:sz w:val="20"/>
              </w:rPr>
              <w:t>ALIMTA</w:t>
            </w:r>
          </w:p>
        </w:tc>
        <w:tc>
          <w:tcPr>
            <w:tcW w:type="dxa" w:w="1559"/>
          </w:tcPr>
          <w:p>
            <w:r>
              <w:rPr>
                <w:sz w:val="20"/>
              </w:rPr>
              <w:t>ELI LILLY NEDERLAND B.V.</w:t>
            </w:r>
          </w:p>
        </w:tc>
        <w:tc>
          <w:tcPr>
            <w:tcW w:type="dxa" w:w="1559"/>
          </w:tcPr>
          <w:p>
            <w:r>
              <w:rPr>
                <w:sz w:val="20"/>
              </w:rPr>
              <w:t>Poudre lyophilisée pour solution à diluer pour perfusion IV, 500 mg</w:t>
            </w:r>
          </w:p>
        </w:tc>
        <w:tc>
          <w:tcPr>
            <w:tcW w:type="dxa" w:w="1559"/>
          </w:tcPr>
          <w:p>
            <w:r>
              <w:rPr>
                <w:sz w:val="20"/>
              </w:rPr>
              <w:t>B/01 flacon</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le pémétrexed est un </w:t>
      </w:r>
      <w:r>
        <w:rPr>
          <w:b/>
        </w:rPr>
        <w:t>pyrrolo[2,3-d]pyrimidine antifolique</w:t>
      </w:r>
      <w:r>
        <w:t xml:space="preserve"> entrant dans la cellule via le transporteur des folates RFC-1 et, à un degré moindre, le transporteur des folates réducteurs (FR-α surexprimé dans certains adénocarcinomes). Il subit une polyglutamylation intracellulaire par la FPGS (folylpolyglutamate synthase) — ces formes polyglutamylées ont une affinité 100 fois supérieure pour les cibles enzymatiques et une rétention cellulaire prolongée (jusqu'à 24-48 h). Le pémétrexed inhibe trois enzymes clés : (1) la </w:t>
      </w:r>
      <w:r>
        <w:rPr>
          <w:b/>
        </w:rPr>
        <w:t>thymidylate synthase (TS)</w:t>
      </w:r>
      <w:r>
        <w:t xml:space="preserve"> — conversion du dUMP en dTMP, blocage de la synthèse de thymidine nécessaire à l'ADN ; (2) la </w:t>
      </w:r>
      <w:r>
        <w:rPr>
          <w:b/>
        </w:rPr>
        <w:t>dihydrofolate réductase (DHFR)</w:t>
      </w:r>
      <w:r>
        <w:t xml:space="preserve"> — blocage du recyclage du dihydrofolate en tétrahydrofolate, moindre affinité que le MTX mais significative ; (3) la </w:t>
      </w:r>
      <w:r>
        <w:rPr>
          <w:b/>
        </w:rPr>
        <w:t>glycinamide ribonucléotide formyltransférase (GARFT)</w:t>
      </w:r>
      <w:r>
        <w:t xml:space="preserve"> — enzyme de la synthèse des purines, cible originale non partagée avec MTX ni 5-FU. L'effet net est un blocage complet de la synthèse des purines et de la pyrimidine thymidine, conduisant à l'arrêt de la synthèse de l'ADN et à l'apoptose. La triple inhibition explique l'efficacité du pémétrexed sur des tumeurs résistantes au 5-FU (mutation TS) ou au MTX (amplification DHFR). La spécificité d'action sur l'adénocarcinome pulmonaire non épidermoïde et le mésothéliome s'explique par une polyglutamylation plus active dans ces tissus tumoraux et un taux élevé de FR-α.</w:t>
      </w:r>
    </w:p>
    <w:p>
      <w:pPr>
        <w:pStyle w:val="ListBullet"/>
      </w:pPr>
      <w:r/>
      <w:r>
        <w:rPr>
          <w:b/>
        </w:rPr>
        <w:t>Profil pharmacocinétique</w:t>
      </w:r>
      <w:r>
        <w:t xml:space="preserve"> : administration IV stricte (perfusion de 10 minutes dans 100 mL NaCl 0,9 %). Distribution importante (Vdss = 16 L), liaison aux protéines ≈ 81 % (albumine). Métabolisme hépatique négligeable (&lt; 5 %), pas de métabolite actif identifié. Demi-vie d'élimination = 3,5 h (monophasique chez le sujet à fonction rénale normale). Élimination </w:t>
      </w:r>
      <w:r>
        <w:rPr>
          <w:b/>
        </w:rPr>
        <w:t>essentiellement rénale</w:t>
      </w:r>
      <w:r>
        <w:t xml:space="preserve"> (70-90 % sous forme inchangée) par filtration glomérulaire + sécrétion tubulaire OAT3. En cas d'insuffisance rénale (ClCr 40-60 mL/min), demi-vie prolongée à 5-6 h — adaptation posologique à 400 mg/m² (au lieu de 500). ClCr &lt; 40 mL/min : contre-indication. La clairance n'est pas affectée par l'âge, le sexe ou le poids. L'insuffisance hépatique modérée (bilirubine &lt; 1,5 LSN, ASAT &lt; 3 LSN) ne nécessite pas d'adaptation.</w:t>
      </w:r>
    </w:p>
    <w:p>
      <w:pPr>
        <w:pStyle w:val="ListBullet"/>
      </w:pPr>
      <w:r/>
      <w:r>
        <w:rPr>
          <w:b/>
        </w:rPr>
        <w:t>Indications</w:t>
      </w:r>
      <w:r>
        <w:t xml:space="preserve"> :</w:t>
      </w:r>
    </w:p>
    <w:p>
      <w:pPr>
        <w:pStyle w:val="ListBullet"/>
      </w:pPr>
      <w:r/>
      <w:r>
        <w:rPr>
          <w:b/>
        </w:rPr>
        <w:t>Mésothéliome pleural malin</w:t>
      </w:r>
      <w:r>
        <w:t xml:space="preserve"> (MPM) : en association avec cisplatine (pémétrexed 500 mg/m² J1 + cisplatine 75 mg/m² J1, toutes les 3 semaines) en première ligne, patients non résécables. Indication princeps (essai EMPHACIS, Vogelzang 2003).</w:t>
      </w:r>
    </w:p>
    <w:p>
      <w:pPr>
        <w:pStyle w:val="ListBullet"/>
      </w:pPr>
      <w:r/>
      <w:r>
        <w:rPr>
          <w:b/>
        </w:rPr>
        <w:t>Cancer bronchique non à petites cellules (CBNPC) non épidermoïde</w:t>
      </w:r>
      <w:r>
        <w:t xml:space="preserve"> : (i) première ligne en association avec cisplatine (pembrolizumab en added si PD-L1 ≥ 50 %) ; (ii) </w:t>
      </w:r>
      <w:r>
        <w:rPr>
          <w:b/>
        </w:rPr>
        <w:t>deuxième ligne en monothérapie</w:t>
      </w:r>
      <w:r>
        <w:t xml:space="preserve"> (500 mg/m² J1 toutes les 3 semaines) après échec d'une chimiothérapie à base de platine (essai JMEI, Hanna 2004) — notamment après docétaxel ou inhibiteur de PD-1 ; (iii) </w:t>
      </w:r>
      <w:r>
        <w:rPr>
          <w:b/>
        </w:rPr>
        <w:t>maintenance</w:t>
      </w:r>
      <w:r>
        <w:t xml:space="preserve"> après 4 cures de pémétrexed + platine, en continu jusqu'à progression ou toxicité (essai PARAMOUNT).</w:t>
      </w:r>
    </w:p>
    <w:p>
      <w:pPr>
        <w:pStyle w:val="ListBullet"/>
      </w:pPr>
      <w:r>
        <w:t>Hors AMM : cancer de la vessie métastatique en 2e ligne, cancer ovarien récidivant.</w:t>
      </w:r>
    </w:p>
    <w:p>
      <w:pPr>
        <w:pStyle w:val="ListBullet"/>
      </w:pPr>
      <w:r/>
      <w:r>
        <w:rPr>
          <w:b/>
        </w:rPr>
        <w:t>Contre-indications</w:t>
      </w:r>
      <w:r>
        <w:t xml:space="preserve"> : (1) </w:t>
      </w:r>
      <w:r>
        <w:rPr>
          <w:b/>
        </w:rPr>
        <w:t>Insuffisance rénale ClCr &lt; 45 mL/min</w:t>
      </w:r>
      <w:r>
        <w:t xml:space="preserve"> (contre-indication absolue) ; (2) Grossesse et allaitement (catégorie D du CRAT, cf. infra) ; (3) Aplasie médullaire préexistante (N &lt; 1,5 G/L, plaquettes &lt; 100 G/L) ; (4) Insuffisance hépatique sévère (bilirubine &gt; 1,5 LSN, ASAT &gt; 3 LSN) ; (5) Vaccination par vaccin vivant atténué pendant et 3 mois après traitement ; (6) Allaitement ; (7) Hypersensibilité au pémétrexed ou à l'un des excipients.</w:t>
      </w:r>
    </w:p>
    <w:p>
      <w:pPr>
        <w:pStyle w:val="ListBullet"/>
      </w:pPr>
      <w:r/>
      <w:r>
        <w:rPr>
          <w:b/>
        </w:rPr>
        <w:t>Effets indésirables</w:t>
      </w:r>
      <w:r>
        <w:t xml:space="preserve"> :</w:t>
      </w:r>
    </w:p>
    <w:p>
      <w:pPr>
        <w:pStyle w:val="ListBullet"/>
      </w:pPr>
      <w:r/>
      <w:r>
        <w:rPr>
          <w:b/>
        </w:rPr>
        <w:t>Hématologique</w:t>
      </w:r>
      <w:r>
        <w:t xml:space="preserve"> : myélotoxicité dose-limitante (sans supplémentation en folate/B12) — neutropénie (nadir J8-J10), thrombopénie (nadir J15), anémie. Réduction marquée avec supplémentation systématique.</w:t>
      </w:r>
    </w:p>
    <w:p>
      <w:pPr>
        <w:pStyle w:val="ListBullet"/>
      </w:pPr>
      <w:r/>
      <w:r>
        <w:rPr>
          <w:b/>
        </w:rPr>
        <w:t>Muqueuse</w:t>
      </w:r>
      <w:r>
        <w:t xml:space="preserve"> : mucite/stomatite (surtout sans supplémentation) ; diarrhée grade 3-4 dans 5-10 %.</w:t>
      </w:r>
    </w:p>
    <w:p>
      <w:pPr>
        <w:pStyle w:val="ListBullet"/>
      </w:pPr>
      <w:r/>
      <w:r>
        <w:rPr>
          <w:b/>
        </w:rPr>
        <w:t>Cutanée</w:t>
      </w:r>
      <w:r>
        <w:t xml:space="preserve"> : éruption maculo-papuleuse (5-15 %), prurit, desquamation ; prévenue par </w:t>
      </w:r>
      <w:r>
        <w:rPr>
          <w:b/>
        </w:rPr>
        <w:t>dexaméthasone 4 mg x 2/j per os J-1, J1, J2</w:t>
      </w:r>
      <w:r>
        <w:t xml:space="preserve"> (efficacité démontrée sur l'éruption cutanée, reduction de 70 %). Rare syndrome de Stevens-Johnson.</w:t>
      </w:r>
    </w:p>
    <w:p>
      <w:pPr>
        <w:pStyle w:val="ListBullet"/>
      </w:pPr>
      <w:r/>
      <w:r>
        <w:rPr>
          <w:b/>
        </w:rPr>
        <w:t>Hépatique</w:t>
      </w:r>
      <w:r>
        <w:t xml:space="preserve"> : élévation transitoire ALAT/ASAT (10-15 %) — habituellement asymptomatique et spontanément résolutive.</w:t>
      </w:r>
    </w:p>
    <w:p>
      <w:pPr>
        <w:pStyle w:val="ListBullet"/>
      </w:pPr>
      <w:r/>
      <w:r>
        <w:rPr>
          <w:b/>
        </w:rPr>
        <w:t>Fatigue</w:t>
      </w:r>
      <w:r>
        <w:t xml:space="preserve"> : quasi-constante (60-80 % des patients), d'intensité variable.</w:t>
      </w:r>
    </w:p>
    <w:p>
      <w:pPr>
        <w:pStyle w:val="ListBullet"/>
      </w:pPr>
      <w:r/>
      <w:r>
        <w:rPr>
          <w:b/>
        </w:rPr>
        <w:t>Neurotoxicité</w:t>
      </w:r>
      <w:r>
        <w:t xml:space="preserve"> : neuropathie périphérique sensitive (surtout en association avec cisplatine, additive).</w:t>
      </w:r>
    </w:p>
    <w:p>
      <w:pPr>
        <w:pStyle w:val="ListBullet"/>
      </w:pPr>
      <w:r/>
      <w:r>
        <w:rPr>
          <w:b/>
        </w:rPr>
        <w:t>Allergie</w:t>
      </w:r>
      <w:r>
        <w:t xml:space="preserve"> : réactions d'hypersensibilité (rash, dyspnée, hypotension) rares &lt; 1 %.</w:t>
      </w:r>
    </w:p>
    <w:p>
      <w:pPr>
        <w:pStyle w:val="ListBullet"/>
      </w:pPr>
      <w:r/>
      <w:r>
        <w:rPr>
          <w:b/>
        </w:rPr>
        <w:t>Syndrome de lyse tumorale</w:t>
      </w:r>
      <w:r>
        <w:t xml:space="preserve"> : rare, à l'initiation chez patients avec forte masse tumorale.</w:t>
      </w:r>
    </w:p>
    <w:p>
      <w:pPr>
        <w:pStyle w:val="ListBullet"/>
      </w:pPr>
      <w:r/>
      <w:r>
        <w:rPr>
          <w:b/>
        </w:rPr>
        <w:t>Mesures préventives</w:t>
      </w:r>
      <w:r>
        <w:t xml:space="preserve"> :</w:t>
      </w:r>
    </w:p>
    <w:p>
      <w:pPr>
        <w:pStyle w:val="ListBullet"/>
      </w:pPr>
      <w:r/>
      <w:r>
        <w:rPr>
          <w:b/>
        </w:rPr>
        <w:t>Supplémentation en acide folique</w:t>
      </w:r>
      <w:r>
        <w:t xml:space="preserve"> : 350-1000 µg/j per os, débutée au moins </w:t>
      </w:r>
      <w:r>
        <w:rPr>
          <w:b/>
        </w:rPr>
        <w:t>7 jours avant J1 de la première cure</w:t>
      </w:r>
      <w:r>
        <w:t xml:space="preserve"> et poursuivie pendant toute la durée du traitement et 21 jours après la dernière cure (réduction de 70 % des toxicités hématologiques et muqueuses).</w:t>
      </w:r>
    </w:p>
    <w:p>
      <w:pPr>
        <w:pStyle w:val="ListBullet"/>
      </w:pPr>
      <w:r/>
      <w:r>
        <w:rPr>
          <w:b/>
        </w:rPr>
        <w:t>Supplémentation en vitamine B12</w:t>
      </w:r>
      <w:r>
        <w:t xml:space="preserve"> : 1000 µg IM, </w:t>
      </w:r>
      <w:r>
        <w:rPr>
          <w:b/>
        </w:rPr>
        <w:t>1 injection au moins 7 jours avant J1 de la première cure</w:t>
      </w:r>
      <w:r>
        <w:t xml:space="preserve"> puis tous les </w:t>
      </w:r>
      <w:r>
        <w:rPr>
          <w:b/>
        </w:rPr>
        <w:t>3 mois</w:t>
      </w:r>
      <w:r>
        <w:t xml:space="preserve"> pendant le traitement.</w:t>
      </w:r>
    </w:p>
    <w:p>
      <w:pPr>
        <w:pStyle w:val="ListBullet"/>
      </w:pPr>
      <w:r/>
      <w:r>
        <w:rPr>
          <w:b/>
        </w:rPr>
        <w:t>Prophylaxie cutanée par dexaméthasone</w:t>
      </w:r>
      <w:r>
        <w:t xml:space="preserve"> : 4 mg x 2/j per os la veille, le jour et le lendemain de chaque cure (J-1, J1, J2) — réduction des éruptions cutanées de 70 %.</w:t>
      </w:r>
    </w:p>
    <w:p>
      <w:pPr>
        <w:pStyle w:val="ListBullet"/>
      </w:pPr>
      <w:r/>
      <w:r>
        <w:rPr>
          <w:b/>
        </w:rPr>
        <w:t>Bilan pré-thérapeutique</w:t>
      </w:r>
      <w:r>
        <w:t xml:space="preserve"> : NFS-plaquettes (avant chaque cure, nadir J8-J10), créatininémie et ClCr avant chaque cure (seuil ClCr &gt; 45 mL/min), bilan hépatique, β-hCG.</w:t>
      </w:r>
    </w:p>
    <w:p>
      <w:pPr>
        <w:pStyle w:val="ListBullet"/>
      </w:pPr>
      <w:r/>
      <w:r>
        <w:rPr>
          <w:b/>
        </w:rPr>
        <w:t>Hydratation</w:t>
      </w:r>
      <w:r>
        <w:t xml:space="preserve"> : non systématique (clairance rénale élevée, pas de précipitation tubulaire comme le MTX) — mais hydratation IV modérée recommandée (1 L NaCl 0,9 % en 4-6 h) en cas d'association avec cisplatine.</w:t>
      </w:r>
    </w:p>
    <w:p>
      <w:pPr>
        <w:pStyle w:val="ListBullet"/>
      </w:pPr>
      <w:r/>
      <w:r>
        <w:rPr>
          <w:b/>
        </w:rPr>
        <w:t>Antiemetic prophylaxie</w:t>
      </w:r>
      <w:r>
        <w:t xml:space="preserve"> : antagoniste 5-HT3 (ondansétron 8 mg IV) + dexaméthasone 8 mg IV (associé à la prophylaxie cutanée).</w:t>
      </w:r>
    </w:p>
    <w:p>
      <w:pPr>
        <w:pStyle w:val="ListBullet"/>
      </w:pPr>
      <w:r/>
      <w:r>
        <w:rPr>
          <w:b/>
        </w:rPr>
        <w:t>Surveillance cliniciobiologique</w:t>
      </w:r>
      <w:r>
        <w:t xml:space="preserve"> : NFS hebdomadaire pendant les 2 premiers cycles puis avant chaque cure.</w:t>
      </w:r>
    </w:p>
    <w:p>
      <w:pPr>
        <w:pStyle w:val="ListBullet"/>
      </w:pPr>
      <w:r/>
      <w:r>
        <w:rPr>
          <w:b/>
        </w:rPr>
        <w:t>Contraception efficace</w:t>
      </w:r>
      <w:r>
        <w:t xml:space="preserve"> pendant et 3 mois après traitement.</w:t>
      </w:r>
    </w:p>
    <w:p>
      <w:pPr>
        <w:pStyle w:val="ListBullet"/>
      </w:pPr>
      <w:r/>
      <w:r>
        <w:rPr>
          <w:b/>
        </w:rPr>
        <w:t>Interactions médicamenteuses</w:t>
      </w:r>
      <w:r>
        <w:t xml:space="preserve"> :</w:t>
      </w:r>
    </w:p>
    <w:p>
      <w:pPr>
        <w:pStyle w:val="ListBullet"/>
      </w:pPr>
      <w:r/>
      <w:r>
        <w:rPr>
          <w:b/>
        </w:rPr>
        <w:t>Pémétrexed + AINS</w:t>
      </w:r>
      <w:r>
        <w:t xml:space="preserve"> : à doses élevées (aspirine &gt; 1,3 g/j, ibuprofène &gt; 800 mg/j) → inhibition de la sécrétion tubulaire OAT3 → augmentation de l'AUC du pémétrexed de 25-30 %. Chez les patients à fonction rénale normale (ClCr &gt; 80 mL/min), l'association est autorisée avec prudence. Chez les patients ClCr 45-79 mL/min, </w:t>
      </w:r>
      <w:r>
        <w:rPr>
          <w:b/>
        </w:rPr>
        <w:t>éviter les AINS 2 jours avant à 2 jours après chaque cure</w:t>
      </w:r>
      <w:r>
        <w:t>. Pour les doses faibles d'aspirine cardiovasculaire (75-325 mg/j) : autorisé.</w:t>
      </w:r>
    </w:p>
    <w:p>
      <w:pPr>
        <w:pStyle w:val="ListBullet"/>
      </w:pPr>
      <w:r/>
      <w:r>
        <w:rPr>
          <w:b/>
        </w:rPr>
        <w:t>Pémétrexed + pénicillines</w:t>
      </w:r>
      <w:r>
        <w:t xml:space="preserve"> : inhibition OAT → surveiller.</w:t>
      </w:r>
    </w:p>
    <w:p>
      <w:pPr>
        <w:pStyle w:val="ListBullet"/>
      </w:pPr>
      <w:r/>
      <w:r>
        <w:rPr>
          <w:b/>
        </w:rPr>
        <w:t>Pémétrexed + probénécide</w:t>
      </w:r>
      <w:r>
        <w:t xml:space="preserve"> : inhibition majeure → contre-indication pratique.</w:t>
      </w:r>
    </w:p>
    <w:p>
      <w:pPr>
        <w:pStyle w:val="ListBullet"/>
      </w:pPr>
      <w:r/>
      <w:r>
        <w:rPr>
          <w:b/>
        </w:rPr>
        <w:t>Pémétrexed + cisplatine</w:t>
      </w:r>
      <w:r>
        <w:t xml:space="preserve"> : association classique et synergique (effets additifs) — surveillance rénale ++ (cisplatine néphrotoxique).</w:t>
      </w:r>
    </w:p>
    <w:p>
      <w:pPr>
        <w:pStyle w:val="ListBullet"/>
      </w:pPr>
      <w:r/>
      <w:r>
        <w:rPr>
          <w:b/>
        </w:rPr>
        <w:t>Pémétrexed + vaccins vivants atténués</w:t>
      </w:r>
      <w:r>
        <w:t xml:space="preserve"> : contre-indication (immunosuppression).</w:t>
      </w:r>
    </w:p>
    <w:p>
      <w:pPr>
        <w:pStyle w:val="ListBullet"/>
      </w:pPr>
      <w:r/>
      <w:r>
        <w:rPr>
          <w:b/>
        </w:rPr>
        <w:t>Pémétrexed + vitamine B12 / acide folique</w:t>
      </w:r>
      <w:r>
        <w:t xml:space="preserve"> : à ne JAMAIS confondre avec l'interaction antifolique classique — ici supplémentation OBLIGATOIRE (différent du MTX).</w:t>
      </w:r>
    </w:p>
    <w:p>
      <w:pPr>
        <w:pStyle w:val="ListBullet"/>
      </w:pPr>
      <w:r/>
      <w:r>
        <w:rPr>
          <w:b/>
        </w:rPr>
        <w:t>Pémétrexed + clofarabine, autres antimétabolites</w:t>
      </w:r>
      <w:r>
        <w:t xml:space="preserve"> : toxicité hématologique additive.</w:t>
      </w:r>
    </w:p>
    <w:p>
      <w:pPr>
        <w:pStyle w:val="ListBullet"/>
      </w:pPr>
      <w:r/>
      <w:r>
        <w:rPr>
          <w:b/>
        </w:rPr>
        <w:t>Grossesse et allaitement (CRAT)</w:t>
      </w:r>
      <w:r>
        <w:t xml:space="preserve"> :</w:t>
      </w:r>
    </w:p>
    <w:p>
      <w:pPr>
        <w:pStyle w:val="ListBullet"/>
      </w:pPr>
      <w:r/>
      <w:r>
        <w:rPr>
          <w:b/>
        </w:rPr>
        <w:t>Grossesse</w:t>
      </w:r>
      <w:r>
        <w:t xml:space="preserve"> : selon le CRAT, le pémétrexed est tératogène et fœtotoxique chez l'animal (anomalies cranio-faciales, palatines, squelettiques). Pas de données humaines mais risque théorique majeur. Catégorie D (à éviter formellement). </w:t>
      </w:r>
      <w:r>
        <w:rPr>
          <w:b/>
        </w:rPr>
        <w:t>Contraception obligatoire</w:t>
      </w:r>
      <w:r>
        <w:t xml:space="preserve"> pendant le traitement et 6 mois après (femme) et 3 mois après (homme). En cas de grossesse involontaire : arrêt immédiat, échographie spécialisée, déclaration pharmacovigilance, discussion multidisciplinaire d'IMG.</w:t>
      </w:r>
    </w:p>
    <w:p>
      <w:pPr>
        <w:pStyle w:val="ListBullet"/>
      </w:pPr>
      <w:r/>
      <w:r>
        <w:rPr>
          <w:b/>
        </w:rPr>
        <w:t>Allaitement</w:t>
      </w:r>
      <w:r>
        <w:t xml:space="preserve"> : contre-indiqué (passe dans le lait maternel chez l'animal, données humaines non disponibles mais risque théorique majeur — attendre au moins 1 semaine après dernière cure).</w:t>
      </w:r>
    </w:p>
    <w:p>
      <w:pPr>
        <w:pStyle w:val="ListBullet"/>
      </w:pPr>
      <w:r/>
      <w:r>
        <w:rPr>
          <w:b/>
        </w:rPr>
        <w:t>Posologie</w:t>
      </w:r>
      <w:r>
        <w:t xml:space="preserve"> :</w:t>
      </w:r>
    </w:p>
    <w:p>
      <w:pPr>
        <w:pStyle w:val="ListBullet"/>
      </w:pPr>
      <w:r/>
      <w:r>
        <w:rPr>
          <w:b/>
        </w:rPr>
        <w:t>Adulte</w:t>
      </w:r>
      <w:r>
        <w:t xml:space="preserve"> : 500 mg/m² IV (perfusion de 10 minutes dans 100 mL NaCl 0,9 %) à J1 de chaque cycle de 21 jours. En association avec cisplatine : cisplatine 75 mg/m² IV (perfusion de 2 h) à J1, 30 min après la fin du pémétrexed.</w:t>
      </w:r>
    </w:p>
    <w:p>
      <w:pPr>
        <w:pStyle w:val="ListBullet"/>
      </w:pPr>
      <w:r/>
      <w:r>
        <w:rPr>
          <w:b/>
        </w:rPr>
        <w:t>Adaptation rénale</w:t>
      </w:r>
      <w:r>
        <w:t xml:space="preserve"> : ClCr ≥ 45 mL/min → dose standard 500 mg/m² ; ClCr &lt; 45 mL/min → contre-indication.</w:t>
      </w:r>
    </w:p>
    <w:p>
      <w:pPr>
        <w:pStyle w:val="ListBullet"/>
      </w:pPr>
      <w:r/>
      <w:r>
        <w:rPr>
          <w:b/>
        </w:rPr>
        <w:t>Réduction de dose en cas de toxicité</w:t>
      </w:r>
      <w:r>
        <w:t xml:space="preserve"> : grade 3-4 → réduire à 75 % (375 mg/m²) puis 50 % si récidive.</w:t>
      </w:r>
    </w:p>
    <w:p>
      <w:pPr>
        <w:pStyle w:val="ListBullet"/>
      </w:pPr>
      <w:r/>
      <w:r>
        <w:rPr>
          <w:b/>
        </w:rPr>
        <w:t>Sujet âgé &gt; 75 ans</w:t>
      </w:r>
      <w:r>
        <w:t xml:space="preserve"> : pas d'adaptation systématique (vérifier ClCr).</w:t>
      </w:r>
    </w:p>
    <w:p>
      <w:pPr>
        <w:pStyle w:val="ListBullet"/>
      </w:pPr>
      <w:r/>
      <w:r>
        <w:rPr>
          <w:b/>
        </w:rPr>
        <w:t>Insuffisance hépatique</w:t>
      </w:r>
      <w:r>
        <w:t xml:space="preserve"> modérée : pas d'adaptation ; sévère (bilirubine &gt; 3 LSN) : non étudié, à éviter.</w:t>
      </w:r>
    </w:p>
    <w:p>
      <w:pPr>
        <w:pStyle w:val="ListBullet"/>
      </w:pPr>
      <w:r/>
      <w:r>
        <w:rPr>
          <w:b/>
        </w:rPr>
        <w:t>Formes galéniques</w:t>
      </w:r>
      <w:r>
        <w:t xml:space="preserve"> :</w:t>
      </w:r>
    </w:p>
    <w:p>
      <w:pPr>
        <w:pStyle w:val="ListBullet"/>
      </w:pPr>
      <w:r/>
      <w:r>
        <w:rPr>
          <w:b/>
        </w:rPr>
        <w:t>Poudre lyophilisée pour solution à diluer pour perfusion IV 500 mg</w:t>
      </w:r>
      <w:r>
        <w:t xml:space="preserve"> (toutes les formes actives : A-XED, BDPEM, PEMETREXED ALFACARE, PEMETREXED INTAS, PEMETREXED-SAIDAL, PODOXRED, PREXET) : reconstitution avec 20 mL de NaCl 0,9 % (concentration 25 mg/mL), puis dilution dans 100 mL NaCl 0,9 % pour perfusion de 10 minutes. Stabilité 24 h à température ambiante après reconstitution.</w:t>
      </w:r>
    </w:p>
    <w:p>
      <w:pPr>
        <w:pStyle w:val="ListBullet"/>
      </w:pPr>
      <w:r/>
      <w:r>
        <w:rPr>
          <w:b/>
        </w:rPr>
        <w:t>Poudre lyophilisée pour solution à diluer pour perfusion IV 100 mg</w:t>
      </w:r>
      <w:r>
        <w:t xml:space="preserve"> (PREXET Mustafa Nevzat) : reconstitution avec 4,2 mL NaCl 0,9 % (concentration 25 mg/mL) — indiqué pour adaptation posologique fine (enfant, adaptation rénale).</w:t>
      </w:r>
    </w:p>
    <w:p>
      <w:pPr>
        <w:pStyle w:val="ListBullet"/>
      </w:pPr>
      <w:r/>
      <w:r>
        <w:rPr>
          <w:b/>
        </w:rPr>
        <w:t>Conservation</w:t>
      </w:r>
      <w:r>
        <w:t xml:space="preserve"> : à conserver à température &lt; 25 °C, à l'abri de la lumière. Ne pas congeler.</w:t>
      </w:r>
    </w:p>
    <w:p>
      <w:pPr>
        <w:pStyle w:val="ListBullet"/>
      </w:pPr>
      <w:r/>
      <w:r>
        <w:rPr>
          <w:b/>
        </w:rPr>
        <w:t>Manipulation</w:t>
      </w:r>
      <w:r>
        <w:t xml:space="preserve"> : précautions cytotoxiques standard (gants nitrile, masque FFP2, lunettes, blouse EN 13034).</w:t>
      </w:r>
    </w:p>
    <w:p>
      <w:pPr>
        <w:pStyle w:val="ListBullet"/>
      </w:pPr>
      <w:r/>
      <w:r>
        <w:rPr>
          <w:b/>
        </w:rPr>
        <w:t>Particularité algérienne</w:t>
      </w:r>
      <w:r>
        <w:t xml:space="preserve"> : depuis 2020, plusieurs génériques sont disponibles, dont PEMETREXED-SAIDAL (production locale) — réduction majeure du coût et amélioration de l'accès aux soins (prix du générique ≈ 1/5 du prix Alimta).</w:t>
      </w:r>
    </w:p>
    <w:p>
      <w:pPr>
        <w:pStyle w:val="ListBullet"/>
      </w:pPr>
      <w:r/>
      <w:r>
        <w:rPr>
          <w:b/>
        </w:rPr>
        <w:t>Conseils aux patients</w:t>
      </w:r>
      <w:r>
        <w:t xml:space="preserve"> :</w:t>
      </w:r>
    </w:p>
    <w:p>
      <w:pPr>
        <w:pStyle w:val="ListBullet"/>
      </w:pPr>
      <w:r/>
      <w:r>
        <w:rPr>
          <w:b/>
        </w:rPr>
        <w:t>Communication au comptoir</w:t>
      </w:r>
      <w:r>
        <w:t xml:space="preserve"> : « Voici votre pémétrexed (perfusable à l'hôpital). N'oubliez pas de prendre votre acide folique 1 comprimé par jour tous les jours, et votre injection de vitamine B12 tous les 3 mois. Sans ces suppléments, vous risquez des toxicités graves (aplasie, mucites). Prévenez votre médecin si vous prenez de l'aspirine ou des AINS pour des douleurs. La cure a lieu toutes les 3 semaines. »</w:t>
      </w:r>
    </w:p>
    <w:p>
      <w:pPr>
        <w:pStyle w:val="ListBullet"/>
      </w:pPr>
      <w:r/>
      <w:r>
        <w:rPr>
          <w:b/>
        </w:rPr>
        <w:t>Avant la cure</w:t>
      </w:r>
      <w:r>
        <w:t xml:space="preserve"> : prise de dexaméthasone la veille, le jour et le lendemain (réduit les éruptions cutanées).</w:t>
      </w:r>
    </w:p>
    <w:p>
      <w:pPr>
        <w:pStyle w:val="ListBullet"/>
      </w:pPr>
      <w:r/>
      <w:r>
        <w:rPr>
          <w:b/>
        </w:rPr>
        <w:t>Surveillance</w:t>
      </w:r>
      <w:r>
        <w:t xml:space="preserve"> : prise de sang hebdomadaire (NFS) pendant les 2 premiers cycles puis avant chaque cure.</w:t>
      </w:r>
    </w:p>
    <w:p>
      <w:pPr>
        <w:pStyle w:val="ListBullet"/>
      </w:pPr>
      <w:r/>
      <w:r>
        <w:rPr>
          <w:b/>
        </w:rPr>
        <w:t>Hydratation</w:t>
      </w:r>
      <w:r>
        <w:t xml:space="preserve"> : boire 1,5 à 2 L d'eau par jour, surtout en cas d'association avec cisplatine.</w:t>
      </w:r>
    </w:p>
    <w:p>
      <w:pPr>
        <w:pStyle w:val="ListBullet"/>
      </w:pPr>
      <w:r/>
      <w:r>
        <w:rPr>
          <w:b/>
        </w:rPr>
        <w:t>Contraception</w:t>
      </w:r>
      <w:r>
        <w:t xml:space="preserve"> : obligatoire pendant et 6 mois après traitement.</w:t>
      </w:r>
    </w:p>
    <w:p>
      <w:pPr>
        <w:pStyle w:val="ListBullet"/>
      </w:pPr>
      <w:r/>
      <w:r>
        <w:rPr>
          <w:b/>
        </w:rPr>
        <w:t>En cas de fièvre &gt; 38,5 °C, ulcère buccal, saignement, gêne respiratoire</w:t>
      </w:r>
      <w:r>
        <w:t xml:space="preserve"> : consulter en urgence.</w:t>
      </w:r>
    </w:p>
    <w:p>
      <w:pPr>
        <w:pStyle w:val="ListBullet"/>
      </w:pPr>
      <w:r/>
      <w:r>
        <w:rPr>
          <w:b/>
        </w:rPr>
        <w:t>Éviter les vaccins vivants atténués</w:t>
      </w:r>
      <w:r>
        <w:t>.</w:t>
      </w:r>
    </w:p>
    <w:p>
      <w:pPr>
        <w:pStyle w:val="ListBullet"/>
      </w:pPr>
      <w:r/>
      <w:r>
        <w:rPr>
          <w:b/>
        </w:rPr>
        <w:t>Pièges classiques</w:t>
      </w:r>
      <w:r>
        <w:t xml:space="preserve"> :</w:t>
      </w:r>
    </w:p>
    <w:p>
      <w:pPr>
        <w:pStyle w:val="ListBullet"/>
      </w:pPr>
      <w:r/>
      <w:r>
        <w:rPr>
          <w:b/>
        </w:rPr>
        <w:t>Piège de l'oubli de supplémentation folate/B12</w:t>
      </w:r>
      <w:r>
        <w:t xml:space="preserve"> : toxicités hématologique et muqueuse de grade 3-4 dans 30-40 % des cures — toujours vérifier l'observance de l'acide folique et B12 avant chaque cure.</w:t>
      </w:r>
    </w:p>
    <w:p>
      <w:pPr>
        <w:pStyle w:val="ListBullet"/>
      </w:pPr>
      <w:r/>
      <w:r>
        <w:rPr>
          <w:b/>
        </w:rPr>
        <w:t>Piège des AINS</w:t>
      </w:r>
      <w:r>
        <w:t xml:space="preserve"> : chez le patient ClCr 45-79 mL/min, arrêter les AINS 2 jours avant à 2 jours après la cure (l'aspirine cardiovasculaire 75-325 mg est autorisée).</w:t>
      </w:r>
    </w:p>
    <w:p>
      <w:pPr>
        <w:pStyle w:val="ListBullet"/>
      </w:pPr>
      <w:r/>
      <w:r>
        <w:rPr>
          <w:b/>
        </w:rPr>
        <w:t>Piège de la perfusion trop rapide</w:t>
      </w:r>
      <w:r>
        <w:t xml:space="preserve"> : risque de réaction d'hypersensibilité — respecter 10 min dans 100 mL.</w:t>
      </w:r>
    </w:p>
    <w:p>
      <w:pPr>
        <w:pStyle w:val="ListBullet"/>
      </w:pPr>
      <w:r/>
      <w:r>
        <w:rPr>
          <w:b/>
        </w:rPr>
        <w:t>Piège de la forme 100 mg vs 500 mg</w:t>
      </w:r>
      <w:r>
        <w:t xml:space="preserve"> : ne pas confondre les flacons (PREXET existe en 100 mg et 500 mg) — erreur d'un facteur 5 possible.</w:t>
      </w:r>
    </w:p>
    <w:p>
      <w:pPr>
        <w:pStyle w:val="ListBullet"/>
      </w:pPr>
      <w:r/>
      <w:r>
        <w:rPr>
          <w:b/>
        </w:rPr>
        <w:t>Piège de la voie d'administration</w:t>
      </w:r>
      <w:r>
        <w:t xml:space="preserve"> : pémétrexed est strictement IV (jamais intrathécal, jamais SC).</w:t>
      </w:r>
    </w:p>
    <w:p>
      <w:pPr>
        <w:pStyle w:val="ListBullet"/>
      </w:pPr>
      <w:r/>
      <w:r>
        <w:rPr>
          <w:b/>
        </w:rPr>
        <w:t>Piège du ClCr limite</w:t>
      </w:r>
      <w:r>
        <w:t xml:space="preserve"> : patient à 45 mL/min limite — une déshydratation peut faire basculer en contre-indication ; toujours réévaluer avant chaque cure.</w:t>
      </w:r>
    </w:p>
    <w:p>
      <w:pPr>
        <w:pStyle w:val="ListBullet"/>
      </w:pPr>
      <w:r/>
      <w:r>
        <w:rPr>
          <w:b/>
        </w:rPr>
        <w:t>Piège de l'association cisplatine</w:t>
      </w:r>
      <w:r>
        <w:t xml:space="preserve"> : néphrotoxicité additive — hydratation IV ++ et surveillance ClCr.</w:t>
      </w:r>
    </w:p>
    <w:p>
      <w:pPr>
        <w:pStyle w:val="Heading2"/>
      </w:pPr>
      <w:r>
        <w:t>Sous-classe 3 — Antimétabolites fluoropyrimidines — 5-Fluorouracile (5-FU)</w:t>
      </w:r>
    </w:p>
    <w:p>
      <w:r>
        <w:t xml:space="preserve">Le </w:t>
      </w:r>
      <w:r>
        <w:rPr>
          <w:b/>
        </w:rPr>
        <w:t>5-fluorouracile (5-FU)</w:t>
      </w:r>
      <w:r>
        <w:t xml:space="preserve">, synthétisé en 1957 par Charles Heidelberger (Université de Wisconsin — Chicago), est l'antimétabolite pyrimidique le plus prescrit au monde et la pierre angulaire de la chimiothérapie des carcinomes digestifs (côlon, rectum, estomac, œsophage, pancréas), des cancers du sein (associations CMF, FAC, AC-T), des cancers ORL et de la sphère cervico-faciale, et des carcinomes cutanés basocellulaires (en topique). Sa cible principale est la </w:t>
      </w:r>
      <w:r>
        <w:rPr>
          <w:b/>
        </w:rPr>
        <w:t>thymidylate synthase (TS)</w:t>
      </w:r>
      <w:r>
        <w:t xml:space="preserve"> : le 5-FU est converti intracellulairement en FdUMP (5-fluoro-2'-désoxyuridine-5'-monophosphate) qui forme un complexe ternaire covalent avec la TS et le N5-N10-méthylène-FH4, bloquant la conversion du dUMP en dTMP et donc la synthèse de l'ADN. Une partie du 5-FU est également convertie en FUTP (5-fluoro-uridine-5'-triphosphate) et incorporée dans l'ARN, perturbant la maturation et la fonction des ARN messagers et ribosomiaux. Sa pharmacocinétique est caractérisée par une </w:t>
      </w:r>
      <w:r>
        <w:rPr>
          <w:b/>
        </w:rPr>
        <w:t>demi-vie très courte (10-15 min)</w:t>
      </w:r>
      <w:r>
        <w:t xml:space="preserve"> imposant des perfusions prolongées ou continues pour une efficacité maximale, et par un métabolisme de 80 % par la </w:t>
      </w:r>
      <w:r>
        <w:rPr>
          <w:b/>
        </w:rPr>
        <w:t>dihydropyrimidine déshydrogénase (DPD)</w:t>
      </w:r>
      <w:r>
        <w:t xml:space="preserve"> hépatique — un déficit génétique en DPD (mutation DPYD, fréquence 3-5 % de la population caucasienne) exposant à des toxicités sévères voire létales (aplasie, mucite, neurotoxicité, syndrome coronarien aigu). Le </w:t>
      </w:r>
      <w:r>
        <w:rPr>
          <w:b/>
        </w:rPr>
        <w:t>test DPYD</w:t>
      </w:r>
      <w:r>
        <w:t xml:space="preserve"> est recommandé (et bientôt obligatoire) avant tout traitement par 5-FU ou capécitabine. Une autre toxicité caractéristique et redoutée est la </w:t>
      </w:r>
      <w:r>
        <w:rPr>
          <w:b/>
        </w:rPr>
        <w:t>cardiotoxicité</w:t>
      </w:r>
      <w:r>
        <w:t xml:space="preserve"> : 5-10 % des patients présentent un spasme coronaire (angor de Prinzmetal), pouvant évoluer vers l'infarctus du myocarde et l'arrêt cardiaque — particulièrement en cas de perfusion continue et d'antécédents coronariens. Le 5-FU doit être manipulé avec une extrême prudence chez le coronarien.</w:t>
      </w:r>
    </w:p>
    <w:p>
      <w:pPr>
        <w:pStyle w:val="Heading3"/>
      </w:pPr>
      <w:r>
        <w:t>3. DCI : 5-Fluorouracile (5-FU)</w:t>
      </w:r>
    </w:p>
    <w:p>
      <w:pPr>
        <w:pStyle w:val="ListBullet"/>
      </w:pPr>
      <w:r/>
      <w:r>
        <w:rPr>
          <w:b/>
        </w:rPr>
        <w:t>Catégories</w:t>
      </w:r>
      <w:r>
        <w:t xml:space="preserve"> : Antimétabolite pyrimidique fluoropyrimidine ; inhibiteur de la thymidylate synthase ; incorporation dans l'ARN ; cytotoxique phase S ; classe ATC L01BC02.</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UTORAL</w:t>
            </w:r>
          </w:p>
        </w:tc>
        <w:tc>
          <w:tcPr>
            <w:tcW w:type="dxa" w:w="1559"/>
          </w:tcPr>
          <w:p>
            <w:r>
              <w:rPr>
                <w:sz w:val="20"/>
              </w:rPr>
              <w:t>KOREA UNITED PHARM INC</w:t>
            </w:r>
          </w:p>
        </w:tc>
        <w:tc>
          <w:tcPr>
            <w:tcW w:type="dxa" w:w="1559"/>
          </w:tcPr>
          <w:p>
            <w:r>
              <w:rPr>
                <w:sz w:val="20"/>
              </w:rPr>
              <w:t>Solution injectable, 50 mg/mL</w:t>
            </w:r>
          </w:p>
        </w:tc>
        <w:tc>
          <w:tcPr>
            <w:tcW w:type="dxa" w:w="1559"/>
          </w:tcPr>
          <w:p>
            <w:r>
              <w:rPr>
                <w:sz w:val="20"/>
              </w:rPr>
              <w:t>B/10 ampoules 5 mL (250 mg) ; B/10 flacons 10 mL (500 mg) ; B/10 flacons 20 mL (1 g)</w:t>
            </w:r>
          </w:p>
        </w:tc>
        <w:tc>
          <w:tcPr>
            <w:tcW w:type="dxa" w:w="1559"/>
          </w:tcPr>
          <w:p>
            <w:r>
              <w:rPr>
                <w:sz w:val="20"/>
              </w:rPr>
              <w:t>LISTE I</w:t>
            </w:r>
          </w:p>
        </w:tc>
        <w:tc>
          <w:tcPr>
            <w:tcW w:type="dxa" w:w="1559"/>
          </w:tcPr>
          <w:p>
            <w:r>
              <w:rPr>
                <w:sz w:val="20"/>
              </w:rPr>
              <w:t>ACTIF</w:t>
            </w:r>
          </w:p>
        </w:tc>
      </w:tr>
      <w:tr>
        <w:tc>
          <w:tcPr>
            <w:tcW w:type="dxa" w:w="1559"/>
          </w:tcPr>
          <w:p>
            <w:r>
              <w:rPr>
                <w:sz w:val="20"/>
              </w:rPr>
              <w:t>5-FLUOROURACIL EBEWE</w:t>
            </w:r>
          </w:p>
        </w:tc>
        <w:tc>
          <w:tcPr>
            <w:tcW w:type="dxa" w:w="1559"/>
          </w:tcPr>
          <w:p>
            <w:r>
              <w:rPr>
                <w:sz w:val="20"/>
              </w:rPr>
              <w:t>EBEWE PHARMA GES mbH Nfg KG</w:t>
            </w:r>
          </w:p>
        </w:tc>
        <w:tc>
          <w:tcPr>
            <w:tcW w:type="dxa" w:w="1559"/>
          </w:tcPr>
          <w:p>
            <w:r>
              <w:rPr>
                <w:sz w:val="20"/>
              </w:rPr>
              <w:t>Solution injectable, 50 mg/mL (250 mg/5 mL ; 500 mg/10 mL ; 1000 mg/20 mL)</w:t>
            </w:r>
          </w:p>
        </w:tc>
        <w:tc>
          <w:tcPr>
            <w:tcW w:type="dxa" w:w="1559"/>
          </w:tcPr>
          <w:p>
            <w:r>
              <w:rPr>
                <w:sz w:val="20"/>
              </w:rPr>
              <w:t>B/5 ampoules 5 mL ; B/1 flacon 10 mL ; B/1 flacon 20 mL</w:t>
            </w:r>
          </w:p>
        </w:tc>
        <w:tc>
          <w:tcPr>
            <w:tcW w:type="dxa" w:w="1559"/>
          </w:tcPr>
          <w:p>
            <w:r>
              <w:rPr>
                <w:sz w:val="20"/>
              </w:rPr>
              <w:t>LISTE I</w:t>
            </w:r>
          </w:p>
        </w:tc>
        <w:tc>
          <w:tcPr>
            <w:tcW w:type="dxa" w:w="1559"/>
          </w:tcPr>
          <w:p>
            <w:r>
              <w:rPr>
                <w:sz w:val="20"/>
              </w:rPr>
              <w:t>NON RENOUVELABLE</w:t>
            </w:r>
          </w:p>
        </w:tc>
      </w:tr>
      <w:tr>
        <w:tc>
          <w:tcPr>
            <w:tcW w:type="dxa" w:w="1559"/>
          </w:tcPr>
          <w:p>
            <w:r>
              <w:rPr>
                <w:sz w:val="20"/>
              </w:rPr>
              <w:t>FLUOROURACIL</w:t>
            </w:r>
          </w:p>
        </w:tc>
        <w:tc>
          <w:tcPr>
            <w:tcW w:type="dxa" w:w="1559"/>
          </w:tcPr>
          <w:p>
            <w:r>
              <w:rPr>
                <w:sz w:val="20"/>
              </w:rPr>
              <w:t>THERABEL PHARMA S.A.</w:t>
            </w:r>
          </w:p>
        </w:tc>
        <w:tc>
          <w:tcPr>
            <w:tcW w:type="dxa" w:w="1559"/>
          </w:tcPr>
          <w:p>
            <w:r>
              <w:rPr>
                <w:sz w:val="20"/>
              </w:rPr>
              <w:t>Solution injectable, 250 mg/10 mL</w:t>
            </w:r>
          </w:p>
        </w:tc>
        <w:tc>
          <w:tcPr>
            <w:tcW w:type="dxa" w:w="1559"/>
          </w:tcPr>
          <w:p>
            <w:r>
              <w:rPr>
                <w:sz w:val="20"/>
              </w:rPr>
              <w:t>Flacon 10 mL</w:t>
            </w:r>
          </w:p>
        </w:tc>
        <w:tc>
          <w:tcPr>
            <w:tcW w:type="dxa" w:w="1559"/>
          </w:tcPr>
          <w:p>
            <w:r>
              <w:rPr>
                <w:sz w:val="20"/>
              </w:rPr>
              <w:t>LISTE I</w:t>
            </w:r>
          </w:p>
        </w:tc>
        <w:tc>
          <w:tcPr>
            <w:tcW w:type="dxa" w:w="1559"/>
          </w:tcPr>
          <w:p>
            <w:r>
              <w:rPr>
                <w:sz w:val="20"/>
              </w:rPr>
              <w:t>RETRAIT (R)</w:t>
            </w:r>
          </w:p>
        </w:tc>
      </w:tr>
      <w:tr>
        <w:tc>
          <w:tcPr>
            <w:tcW w:type="dxa" w:w="1559"/>
          </w:tcPr>
          <w:p>
            <w:r>
              <w:rPr>
                <w:sz w:val="20"/>
              </w:rPr>
              <w:t>FLUROX</w:t>
            </w:r>
          </w:p>
        </w:tc>
        <w:tc>
          <w:tcPr>
            <w:tcW w:type="dxa" w:w="1559"/>
          </w:tcPr>
          <w:p>
            <w:r>
              <w:rPr>
                <w:sz w:val="20"/>
              </w:rPr>
              <w:t>LEMERY SA DE CV</w:t>
            </w:r>
          </w:p>
        </w:tc>
        <w:tc>
          <w:tcPr>
            <w:tcW w:type="dxa" w:w="1559"/>
          </w:tcPr>
          <w:p>
            <w:r>
              <w:rPr>
                <w:sz w:val="20"/>
              </w:rPr>
              <w:t>Solution injectable, 50 mg/mL (250 mg/5 mL)</w:t>
            </w:r>
          </w:p>
        </w:tc>
        <w:tc>
          <w:tcPr>
            <w:tcW w:type="dxa" w:w="1559"/>
          </w:tcPr>
          <w:p>
            <w:r>
              <w:rPr>
                <w:sz w:val="20"/>
              </w:rPr>
              <w:t>B/10 flacons 5 mL</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le 5-FU est un </w:t>
      </w:r>
      <w:r>
        <w:rPr>
          <w:b/>
        </w:rPr>
        <w:t>analogue de l'uracile</w:t>
      </w:r>
      <w:r>
        <w:t xml:space="preserve"> dans lequel l'hydrogène en position 5 du cycle pyrimidique est substitué par un atome de </w:t>
      </w:r>
      <w:r>
        <w:rPr>
          <w:b/>
        </w:rPr>
        <w:t>fluor</w:t>
      </w:r>
      <w:r>
        <w:t xml:space="preserve">. Cette substitution bloque l'action de la 5'-uracile déshydrogénase sur le composé (la liaison C-F est trop forte pour être clivée par la DPD), permettant son activation intracellulaire par des voies anaboliques. Le 5-FU entre dans la cellule et est converti en trois métabolites actifs : (1) </w:t>
      </w:r>
      <w:r>
        <w:rPr>
          <w:b/>
        </w:rPr>
        <w:t>FdUMP</w:t>
      </w:r>
      <w:r>
        <w:t xml:space="preserve"> (5-fluoro-2'-désoxyuridine-5'-monophosphate), qui forme un complexe ternaire covalent avec la </w:t>
      </w:r>
      <w:r>
        <w:rPr>
          <w:b/>
        </w:rPr>
        <w:t>thymidylate synthase (TS)</w:t>
      </w:r>
      <w:r>
        <w:t xml:space="preserve"> et le cofacteur N5,N10-méthylènetétrahydrofolate, bloquant irréversiblement la conversion du dUMP en dTMP — d'où inhibition de la synthèse de l'ADN ; (2) </w:t>
      </w:r>
      <w:r>
        <w:rPr>
          <w:b/>
        </w:rPr>
        <w:t>FUTP</w:t>
      </w:r>
      <w:r>
        <w:t xml:space="preserve"> (5-fluoro-uridine-5'-triphosphate), incorporé dans l'ARN messager et ribosomal, altérant la maturation, la fonction et la stabilité des ARN ; (3) </w:t>
      </w:r>
      <w:r>
        <w:rPr>
          <w:b/>
        </w:rPr>
        <w:t>FdUTP</w:t>
      </w:r>
      <w:r>
        <w:t xml:space="preserve"> (5-fluoro-2'-déoxyuridine-5'-triphosphate), incorporé dans l'ADN, activant les systèmes de réparation par excision de bases (BER) et induisant des cassures d'ADN. L'effet net est un </w:t>
      </w:r>
      <w:r>
        <w:rPr>
          <w:b/>
        </w:rPr>
        <w:t>blocage complet de la synthèse de l'ADN</w:t>
      </w:r>
      <w:r>
        <w:t xml:space="preserve"> et une </w:t>
      </w:r>
      <w:r>
        <w:rPr>
          <w:b/>
        </w:rPr>
        <w:t>altération de la fonction des ARN</w:t>
      </w:r>
      <w:r>
        <w:t xml:space="preserve">, prédominant sur la phase S du cycle cellulaire. L'efficacité est augmentée par l'association au </w:t>
      </w:r>
      <w:r>
        <w:rPr>
          <w:b/>
        </w:rPr>
        <w:t>folinate de calcium (Leucovorine®)</w:t>
      </w:r>
      <w:r>
        <w:t xml:space="preserve"> qui stabilise le complexe ternaire FdUMP-TS-FH4 (modulation biomodique) — principe des protocoles FOLFOX, FOLFIRI, FOLFIRINOX. La </w:t>
      </w:r>
      <w:r>
        <w:rPr>
          <w:b/>
        </w:rPr>
        <w:t>résistance</w:t>
      </w:r>
      <w:r>
        <w:t xml:space="preserve"> est principalement liée à l'augmentation de l'expression de la TS (amplification génique), à la mutation de la TS (mutation S202I), à l'augmentation de l'activité DPD (catabolisme accru) ou à la surexpression de P-gp.</w:t>
      </w:r>
    </w:p>
    <w:p>
      <w:pPr>
        <w:pStyle w:val="ListBullet"/>
      </w:pPr>
      <w:r/>
      <w:r>
        <w:rPr>
          <w:b/>
        </w:rPr>
        <w:t>Profil pharmacocinétique</w:t>
      </w:r>
      <w:r>
        <w:t xml:space="preserve"> : absorption orale nulle (métabolisme presystémique par la DPD intestinale et hépatique) → stricte voie IV. Distribution rapide (Vd ≈ 0,2-0,3 L/kg), liaison aux protéines &lt; 10 %. Métabolisme principal par la </w:t>
      </w:r>
      <w:r>
        <w:rPr>
          <w:b/>
        </w:rPr>
        <w:t>dihydropyrimidine déshydrogénase (DPD)</w:t>
      </w:r>
      <w:r>
        <w:t xml:space="preserve"> hépatique (80-90 %) en dihydro-5-FU puis en acide α-fluoro-β-alanine (FBAL) éliminé dans l'urine. Demi-vie d'élimination très courte : </w:t>
      </w:r>
      <w:r>
        <w:rPr>
          <w:b/>
        </w:rPr>
        <w:t>8-15 minutes</w:t>
      </w:r>
      <w:r>
        <w:t xml:space="preserve"> (forme IV bolus) à 30-60 minutes (perfusion continue). Clairance totale ≈ 1,2-2 L/min, principalement hépatique mais aussi pulmonaire, rénale et digestive (toutes ces cellules expriment DPD). Le 5-FU traverse la barrière hémato-encéphalique (10-15 % de la concentration plasmatique) — explique la neurotoxicité cérébelleuse à forte dose. Pas d'accumulation en perfusion continue. En cas de </w:t>
      </w:r>
      <w:r>
        <w:rPr>
          <w:b/>
        </w:rPr>
        <w:t>déficit en DPD</w:t>
      </w:r>
      <w:r>
        <w:t xml:space="preserve"> (mutation homozygote DPYD*2A ou HapB3, ~3-5 % de la population caucasienne hétérozygote, 0,1 % homozygote), la clairance chute à &lt; 10 % de la normale, l'AUC est multipliée par 10-50 et la demi-vie atteint plusieurs heures → toxicité fatale possible dès la première cure.</w:t>
      </w:r>
    </w:p>
    <w:p>
      <w:pPr>
        <w:pStyle w:val="ListBullet"/>
      </w:pPr>
      <w:r/>
      <w:r>
        <w:rPr>
          <w:b/>
        </w:rPr>
        <w:t>Indications</w:t>
      </w:r>
      <w:r>
        <w:t xml:space="preserve"> :</w:t>
      </w:r>
    </w:p>
    <w:p>
      <w:pPr>
        <w:pStyle w:val="ListBullet"/>
      </w:pPr>
      <w:r/>
      <w:r>
        <w:rPr>
          <w:b/>
        </w:rPr>
        <w:t>Cancer colorectal (CCR)</w:t>
      </w:r>
      <w:r>
        <w:t xml:space="preserve"> : (i) stade III adjuvant (protocole FOLFOX4 / mFOLFOX6 / CAPOX) ; (ii) métastatique en 1ère ligne FOLFOX ± bévacizumab ou FOLFIRI ± cetuximab (RAS sauvage), ou FOLFIRINOX en cas de patient PS 0-1 ; (iii) en 2ème ligne après progression sous irinotecan ou oxaliplatine.</w:t>
      </w:r>
    </w:p>
    <w:p>
      <w:pPr>
        <w:pStyle w:val="ListBullet"/>
      </w:pPr>
      <w:r/>
      <w:r>
        <w:rPr>
          <w:b/>
        </w:rPr>
        <w:t>Cancer gastrique</w:t>
      </w:r>
      <w:r>
        <w:t xml:space="preserve"> : protocole FLOT (5-FU + oxaliplatine + docétaxel) en péri-opératoire ou palliatif, ECF (épirubicine + cisplatine + 5-FU).</w:t>
      </w:r>
    </w:p>
    <w:p>
      <w:pPr>
        <w:pStyle w:val="ListBullet"/>
      </w:pPr>
      <w:r/>
      <w:r>
        <w:rPr>
          <w:b/>
        </w:rPr>
        <w:t>Cancer du pancréas</w:t>
      </w:r>
      <w:r>
        <w:t xml:space="preserve"> : protocole FOLFIRINOX (5-FU + acide folinique + irinotécan + oxaliplatine) en 1ère ligne métastatique PS 0-1.</w:t>
      </w:r>
    </w:p>
    <w:p>
      <w:pPr>
        <w:pStyle w:val="ListBullet"/>
      </w:pPr>
      <w:r/>
      <w:r>
        <w:rPr>
          <w:b/>
        </w:rPr>
        <w:t>Cancer de l'œsophage</w:t>
      </w:r>
      <w:r>
        <w:t xml:space="preserve"> : protocole FLOT ou CARBOFLOT en péri-opératoire, FOLFOX ou 5-FU-cisplatine en radio-chimiothérapie concomitante.</w:t>
      </w:r>
    </w:p>
    <w:p>
      <w:pPr>
        <w:pStyle w:val="ListBullet"/>
      </w:pPr>
      <w:r/>
      <w:r>
        <w:rPr>
          <w:b/>
        </w:rPr>
        <w:t>Cancer du sein</w:t>
      </w:r>
      <w:r>
        <w:t xml:space="preserve"> : protocoles CMF, FAC, AC-T (5-FU en bolus).</w:t>
      </w:r>
    </w:p>
    <w:p>
      <w:pPr>
        <w:pStyle w:val="ListBullet"/>
      </w:pPr>
      <w:r/>
      <w:r>
        <w:rPr>
          <w:b/>
        </w:rPr>
        <w:t>Cancer ORL</w:t>
      </w:r>
      <w:r>
        <w:t xml:space="preserve"> (cavité buccale, oropharynx, larynx, hypopharynx) : protocole TPF (docétaxel + cisplatine + 5-FU) en induction, ou 5-FU-cisplatine en radio-chimiothérapie concomitante.</w:t>
      </w:r>
    </w:p>
    <w:p>
      <w:pPr>
        <w:pStyle w:val="ListBullet"/>
      </w:pPr>
      <w:r/>
      <w:r>
        <w:rPr>
          <w:b/>
        </w:rPr>
        <w:t>Carcinome hépatocellulaire</w:t>
      </w:r>
      <w:r>
        <w:t xml:space="preserve"> : protocole FOLFOX en 1ère ligne avancée (alternative au sorafénib).</w:t>
      </w:r>
    </w:p>
    <w:p>
      <w:pPr>
        <w:pStyle w:val="ListBullet"/>
      </w:pPr>
      <w:r/>
      <w:r>
        <w:rPr>
          <w:b/>
        </w:rPr>
        <w:t>Carcinomes cutanés basocellulaires et spinocellulaires</w:t>
      </w:r>
      <w:r>
        <w:t xml:space="preserve"> : forme topique (5-FU crème 5 %) — indisponible en Algérie sous cette forme.</w:t>
      </w:r>
    </w:p>
    <w:p>
      <w:pPr>
        <w:pStyle w:val="ListBullet"/>
      </w:pPr>
      <w:r/>
      <w:r>
        <w:rPr>
          <w:b/>
        </w:rPr>
        <w:t>Contre-indications</w:t>
      </w:r>
      <w:r>
        <w:t xml:space="preserve"> : (1) </w:t>
      </w:r>
      <w:r>
        <w:rPr>
          <w:b/>
        </w:rPr>
        <w:t>Déficit en DPD</w:t>
      </w:r>
      <w:r>
        <w:t xml:space="preserve"> connu ou suspecté (antécédent de toxicité sévère sous 5-FU ou capécitabine) — contre-indication absolue ; (2) </w:t>
      </w:r>
      <w:r>
        <w:rPr>
          <w:b/>
        </w:rPr>
        <w:t>Aplasie médullaire préexistante</w:t>
      </w:r>
      <w:r>
        <w:t xml:space="preserve"> (N &lt; 1,5 G/L, plaquettes &lt; 100 G/L) ; (3) </w:t>
      </w:r>
      <w:r>
        <w:rPr>
          <w:b/>
        </w:rPr>
        <w:t>Insuffisance hépatique sévère</w:t>
      </w:r>
      <w:r>
        <w:t xml:space="preserve"> (bilirubine &gt; 3 LSN) ; (4) </w:t>
      </w:r>
      <w:r>
        <w:rPr>
          <w:b/>
        </w:rPr>
        <w:t>Patiente enceinte ou allaitant</w:t>
      </w:r>
      <w:r>
        <w:t xml:space="preserve"> ; (5) </w:t>
      </w:r>
      <w:r>
        <w:rPr>
          <w:b/>
        </w:rPr>
        <w:t>Infection sévère évolutive</w:t>
      </w:r>
      <w:r>
        <w:t xml:space="preserve"> ; (6) </w:t>
      </w:r>
      <w:r>
        <w:rPr>
          <w:b/>
        </w:rPr>
        <w:t>Maladie coronarienne instable</w:t>
      </w:r>
      <w:r>
        <w:t xml:space="preserve"> ou angor de Prinzmetal récent (risque de spasme coronarien) ; (7) </w:t>
      </w:r>
      <w:r>
        <w:rPr>
          <w:b/>
        </w:rPr>
        <w:t>Vaccination par vaccin vivant atténué</w:t>
      </w:r>
      <w:r>
        <w:t xml:space="preserve"> pendant et 3 mois après traitement ; (8) </w:t>
      </w:r>
      <w:r>
        <w:rPr>
          <w:b/>
        </w:rPr>
        <w:t>Hypersensibilité au 5-FU</w:t>
      </w:r>
      <w:r>
        <w:t>.</w:t>
      </w:r>
    </w:p>
    <w:p>
      <w:pPr>
        <w:pStyle w:val="ListBullet"/>
      </w:pPr>
      <w:r/>
      <w:r>
        <w:rPr>
          <w:b/>
        </w:rPr>
        <w:t>Effets indésirables</w:t>
      </w:r>
      <w:r>
        <w:t xml:space="preserve"> :</w:t>
      </w:r>
    </w:p>
    <w:p>
      <w:pPr>
        <w:pStyle w:val="ListBullet"/>
      </w:pPr>
      <w:r/>
      <w:r>
        <w:rPr>
          <w:b/>
        </w:rPr>
        <w:t>Hématologique</w:t>
      </w:r>
      <w:r>
        <w:t xml:space="preserve"> : myélotoxicité dose-dépendante — leucopénie (nadir J10-J14), thrombopénie, anémie. Risque majoré en cas de déficit DPD ou d'association avec d'autres cytotoxiques.</w:t>
      </w:r>
    </w:p>
    <w:p>
      <w:pPr>
        <w:pStyle w:val="ListBullet"/>
      </w:pPr>
      <w:r/>
      <w:r>
        <w:rPr>
          <w:b/>
        </w:rPr>
        <w:t>Digestive</w:t>
      </w:r>
      <w:r>
        <w:t xml:space="preserve"> : mucite orale et digestive (parfois grade 3-4 → déshydratation, surinfection), diarrhée sévère (risque de déshydratation, hypokaliémie, ileus paralytique), nausées/vomissements (modérés), anorexie.</w:t>
      </w:r>
    </w:p>
    <w:p>
      <w:pPr>
        <w:pStyle w:val="ListBullet"/>
      </w:pPr>
      <w:r/>
      <w:r>
        <w:rPr>
          <w:b/>
        </w:rPr>
        <w:t>Cardiaque</w:t>
      </w:r>
      <w:r>
        <w:t xml:space="preserve"> (caractéristique) : </w:t>
      </w:r>
      <w:r>
        <w:rPr>
          <w:b/>
        </w:rPr>
        <w:t>5-10 % des patients</w:t>
      </w:r>
      <w:r>
        <w:t xml:space="preserve"> — spasme coronarien (angor de Prinzmetal), douleur thoracique constrictive, modifications ECG (sous-décal ST, ondes T négatives), parfois infarctus du myocarde, insuffisance cardiaque aiguë, trouble du rythme ventriculaire (torsades de pointes), arrêt cardiaque. Risque majoré en perfusion continue, en cas d'antécédents coronariens, de radiothérapie thoracique antérieure, d'association avec d'autres cardiotoxiques (anthracyclines). Mécanisme : toxicité directe sur l'endothélium vasculaire avec diminution de NO → vasoconstriction.</w:t>
      </w:r>
    </w:p>
    <w:p>
      <w:pPr>
        <w:pStyle w:val="ListBullet"/>
      </w:pPr>
      <w:r/>
      <w:r>
        <w:rPr>
          <w:b/>
        </w:rPr>
        <w:t>Neurologique</w:t>
      </w:r>
      <w:r>
        <w:t xml:space="preserve"> : syndrome cérébelleux (ataxie, dysarthrie, nystagmus) à fortes doses ou en perfusion continue prolongée — souvent réversible à l'arrêt.</w:t>
      </w:r>
    </w:p>
    <w:p>
      <w:pPr>
        <w:pStyle w:val="ListBullet"/>
      </w:pPr>
      <w:r/>
      <w:r>
        <w:rPr>
          <w:b/>
        </w:rPr>
        <w:t>Cutanée</w:t>
      </w:r>
      <w:r>
        <w:t xml:space="preserve"> : syndrome main-pied (érythrodysesthésie palmo-plantaire) surtout en perfusion continue ; hyperpigmentation des veines perfusées ; photosensibilité ; alopécie modérée.</w:t>
      </w:r>
    </w:p>
    <w:p>
      <w:pPr>
        <w:pStyle w:val="ListBullet"/>
      </w:pPr>
      <w:r/>
      <w:r>
        <w:rPr>
          <w:b/>
        </w:rPr>
        <w:t>Oculaire</w:t>
      </w:r>
      <w:r>
        <w:t xml:space="preserve"> : conjonctivite, irritation lacrymale, sténose canaliculo-nasale (rare).</w:t>
      </w:r>
    </w:p>
    <w:p>
      <w:pPr>
        <w:pStyle w:val="ListBullet"/>
      </w:pPr>
      <w:r/>
      <w:r>
        <w:rPr>
          <w:b/>
        </w:rPr>
        <w:t>Hépatique</w:t>
      </w:r>
      <w:r>
        <w:t xml:space="preserve"> : élévation transitoire des transaminases, stéatose hépatique (surtout en perfusion continue).</w:t>
      </w:r>
    </w:p>
    <w:p>
      <w:pPr>
        <w:pStyle w:val="ListBullet"/>
      </w:pPr>
      <w:r/>
      <w:r>
        <w:rPr>
          <w:b/>
        </w:rPr>
        <w:t>Allergie</w:t>
      </w:r>
      <w:r>
        <w:t xml:space="preserve"> : réactions d'hypersensibilité rares (&lt; 1 %).</w:t>
      </w:r>
    </w:p>
    <w:p>
      <w:pPr>
        <w:pStyle w:val="ListBullet"/>
      </w:pPr>
      <w:r/>
      <w:r>
        <w:rPr>
          <w:b/>
        </w:rPr>
        <w:t>Mesures préventives</w:t>
      </w:r>
      <w:r>
        <w:t xml:space="preserve"> :</w:t>
      </w:r>
    </w:p>
    <w:p>
      <w:pPr>
        <w:pStyle w:val="ListBullet"/>
      </w:pPr>
      <w:r/>
      <w:r>
        <w:rPr>
          <w:b/>
        </w:rPr>
        <w:t>Dépistage du déficit en DPD</w:t>
      </w:r>
      <w:r>
        <w:t xml:space="preserve"> : test génétique DPYD recommandé avant traitement (recherche mutations DPYD*2A, HapB3, c.1679T&gt;G, c.2846A&gt;T) — bientôt obligatoire en France (2025) et recommandé par l'ESMO. Si mutation hétérozygote : réduire dose de 25-50 % ; homozygote : contre-indication absolue.</w:t>
      </w:r>
    </w:p>
    <w:p>
      <w:pPr>
        <w:pStyle w:val="ListBullet"/>
      </w:pPr>
      <w:r/>
      <w:r>
        <w:rPr>
          <w:b/>
        </w:rPr>
        <w:t>Bilan pré-thérapeutique</w:t>
      </w:r>
      <w:r>
        <w:t xml:space="preserve"> : NFS-plaquettes (avant chaque cure), créatininémie, bilan hépatique (ALAT, ASAT, PAL, γGT, bilirubine), ECG et échographie cardiaque (référence), bilan cardiologique si antécédent.</w:t>
      </w:r>
    </w:p>
    <w:p>
      <w:pPr>
        <w:pStyle w:val="ListBullet"/>
      </w:pPr>
      <w:r/>
      <w:r>
        <w:rPr>
          <w:b/>
        </w:rPr>
        <w:t>Surveillance ECG</w:t>
      </w:r>
      <w:r>
        <w:t xml:space="preserve"> : pendant les perfusions continues (Holter ECG 24 h si antécédent coronarien).</w:t>
      </w:r>
    </w:p>
    <w:p>
      <w:pPr>
        <w:pStyle w:val="ListBullet"/>
      </w:pPr>
      <w:r/>
      <w:r>
        <w:rPr>
          <w:b/>
        </w:rPr>
        <w:t>Prévention mucite</w:t>
      </w:r>
      <w:r>
        <w:t xml:space="preserve"> : cryothérapie orale (sucettes glacées) pendant la perfusion de 5-FU bolus — réduction de 50 % des mucites ; bains de bouche bicarbonatés.</w:t>
      </w:r>
    </w:p>
    <w:p>
      <w:pPr>
        <w:pStyle w:val="ListBullet"/>
      </w:pPr>
      <w:r/>
      <w:r>
        <w:rPr>
          <w:b/>
        </w:rPr>
        <w:t>Antiemetic prophylaxie</w:t>
      </w:r>
      <w:r>
        <w:t xml:space="preserve"> : antagoniste 5-HT3 + dexaméthasone pour les protocoles émétisants (FOLFIRINOX, cisplatine-5-FU).</w:t>
      </w:r>
    </w:p>
    <w:p>
      <w:pPr>
        <w:pStyle w:val="ListBullet"/>
      </w:pPr>
      <w:r/>
      <w:r>
        <w:rPr>
          <w:b/>
        </w:rPr>
        <w:t>Prophylaxie diarrhée</w:t>
      </w:r>
      <w:r>
        <w:t xml:space="preserve"> : lopéramide (Imodium®) à débuter dès la première selle liquide, à renforcer si &gt; 4 selles/j (dose max 16 mg/j). En cas de diarrhée sévère grade 3-4 : hospitalisation, réhydratation IV, antibiothérapie prophylactique (quinolone).</w:t>
      </w:r>
    </w:p>
    <w:p>
      <w:pPr>
        <w:pStyle w:val="ListBullet"/>
      </w:pPr>
      <w:r/>
      <w:r>
        <w:rPr>
          <w:b/>
        </w:rPr>
        <w:t>Folinate de calcium</w:t>
      </w:r>
      <w:r>
        <w:t xml:space="preserve"> (acide folinique) associé en perfusion IV : potentialisation de l'effet TS — protocoles FOLFOX, FOLFIRI, FOLFIRINOX.</w:t>
      </w:r>
    </w:p>
    <w:p>
      <w:pPr>
        <w:pStyle w:val="ListBullet"/>
      </w:pPr>
      <w:r/>
      <w:r>
        <w:rPr>
          <w:b/>
        </w:rPr>
        <w:t>Contraception</w:t>
      </w:r>
      <w:r>
        <w:t xml:space="preserve"> : obligatoire pendant et 3 mois après (femme et homme).</w:t>
      </w:r>
    </w:p>
    <w:p>
      <w:pPr>
        <w:pStyle w:val="ListBullet"/>
      </w:pPr>
      <w:r/>
      <w:r>
        <w:rPr>
          <w:b/>
        </w:rPr>
        <w:t>Vaccins</w:t>
      </w:r>
      <w:r>
        <w:t xml:space="preserve"> : éviter les vaccins vivants atténués pendant et 3 mois après.</w:t>
      </w:r>
    </w:p>
    <w:p>
      <w:pPr>
        <w:pStyle w:val="ListBullet"/>
      </w:pPr>
      <w:r/>
      <w:r>
        <w:rPr>
          <w:b/>
        </w:rPr>
        <w:t>Surveillance NFS</w:t>
      </w:r>
      <w:r>
        <w:t xml:space="preserve"> : avant chaque cure et à J10-J14 (nadir).</w:t>
      </w:r>
    </w:p>
    <w:p>
      <w:pPr>
        <w:pStyle w:val="ListBullet"/>
      </w:pPr>
      <w:r/>
      <w:r>
        <w:rPr>
          <w:b/>
        </w:rPr>
        <w:t>Patients coronariens</w:t>
      </w:r>
      <w:r>
        <w:t xml:space="preserve"> : évaluation cardiologique préalable, β-bloquant, dérivé nitré disponible, surveillance ECG.</w:t>
      </w:r>
    </w:p>
    <w:p>
      <w:pPr>
        <w:pStyle w:val="ListBullet"/>
      </w:pPr>
      <w:r/>
      <w:r>
        <w:rPr>
          <w:b/>
        </w:rPr>
        <w:t>Interactions médicamenteuses</w:t>
      </w:r>
      <w:r>
        <w:t xml:space="preserve"> :</w:t>
      </w:r>
    </w:p>
    <w:p>
      <w:pPr>
        <w:pStyle w:val="ListBullet"/>
      </w:pPr>
      <w:r/>
      <w:r>
        <w:rPr>
          <w:b/>
        </w:rPr>
        <w:t>5-FU + warfarine, antivitamines K</w:t>
      </w:r>
      <w:r>
        <w:t xml:space="preserve"> : majoration de l'effet anticoagulant (modification du métabolisme hépatique + toxicité digestive altérant l'absorption de vit K) → surveillance INR ++ (toutes les 48-72 h le premier mois) et adaptation posologique (réduction AVK 25-50 %).</w:t>
      </w:r>
    </w:p>
    <w:p>
      <w:pPr>
        <w:pStyle w:val="ListBullet"/>
      </w:pPr>
      <w:r/>
      <w:r>
        <w:rPr>
          <w:b/>
        </w:rPr>
        <w:t>5-FU + phénytoïne</w:t>
      </w:r>
      <w:r>
        <w:t xml:space="preserve"> : augmentation de la phénytoïnémie (compétition hépatique) → risque toxique (ataxie, nystagmus) — surveillance phénytoïnémie.</w:t>
      </w:r>
    </w:p>
    <w:p>
      <w:pPr>
        <w:pStyle w:val="ListBullet"/>
      </w:pPr>
      <w:r/>
      <w:r>
        <w:rPr>
          <w:b/>
        </w:rPr>
        <w:t>5-FU + sorivudine, brivudine</w:t>
      </w:r>
      <w:r>
        <w:t xml:space="preserve"> (antiviraux anti-herpétiques) : inhibition irréversible de la DPD → toxicité massive du 5-FU (aplasie fatale) — </w:t>
      </w:r>
      <w:r>
        <w:rPr>
          <w:b/>
        </w:rPr>
        <w:t>contre-indication absolue</w:t>
      </w:r>
      <w:r>
        <w:t>, délai de 4 semaines entre brivudine et 5-FU.</w:t>
      </w:r>
    </w:p>
    <w:p>
      <w:pPr>
        <w:pStyle w:val="ListBullet"/>
      </w:pPr>
      <w:r/>
      <w:r>
        <w:rPr>
          <w:b/>
        </w:rPr>
        <w:t>5-FU + téxicane</w:t>
      </w:r>
      <w:r>
        <w:t xml:space="preserve"> : interaction cinétique mineure.</w:t>
      </w:r>
    </w:p>
    <w:p>
      <w:pPr>
        <w:pStyle w:val="ListBullet"/>
      </w:pPr>
      <w:r/>
      <w:r>
        <w:rPr>
          <w:b/>
        </w:rPr>
        <w:t>5-FU + metronidazole</w:t>
      </w:r>
      <w:r>
        <w:t xml:space="preserve"> : inhibition possible du métabolisme (prudence).</w:t>
      </w:r>
    </w:p>
    <w:p>
      <w:pPr>
        <w:pStyle w:val="ListBullet"/>
      </w:pPr>
      <w:r/>
      <w:r>
        <w:rPr>
          <w:b/>
        </w:rPr>
        <w:t>5-FU + allopurinol</w:t>
      </w:r>
      <w:r>
        <w:t xml:space="preserve"> : antagonisme (diminution de l'efficacité du 5-FU par dérivation métabolique).</w:t>
      </w:r>
    </w:p>
    <w:p>
      <w:pPr>
        <w:pStyle w:val="ListBullet"/>
      </w:pPr>
      <w:r/>
      <w:r>
        <w:rPr>
          <w:b/>
        </w:rPr>
        <w:t>5-FU + méthotrexate</w:t>
      </w:r>
      <w:r>
        <w:t xml:space="preserve"> : séquence d'administration (MTX avant 5-FU = potentialisation ; 5-FU avant MTX = antagonisme) — séquence codifiée dans les protocoles.</w:t>
      </w:r>
    </w:p>
    <w:p>
      <w:pPr>
        <w:pStyle w:val="ListBullet"/>
      </w:pPr>
      <w:r/>
      <w:r>
        <w:rPr>
          <w:b/>
        </w:rPr>
        <w:t>5-FU + cisplatine, oxaliplatine</w:t>
      </w:r>
      <w:r>
        <w:t xml:space="preserve"> : synergies classiques (FOLFOX).</w:t>
      </w:r>
    </w:p>
    <w:p>
      <w:pPr>
        <w:pStyle w:val="ListBullet"/>
      </w:pPr>
      <w:r/>
      <w:r>
        <w:rPr>
          <w:b/>
        </w:rPr>
        <w:t>5-FU + irinotécan</w:t>
      </w:r>
      <w:r>
        <w:t xml:space="preserve"> : synergie (FOLFIRI).</w:t>
      </w:r>
    </w:p>
    <w:p>
      <w:pPr>
        <w:pStyle w:val="ListBullet"/>
      </w:pPr>
      <w:r/>
      <w:r>
        <w:rPr>
          <w:b/>
        </w:rPr>
        <w:t>5-FU + vaccins vivants atténués</w:t>
      </w:r>
      <w:r>
        <w:t xml:space="preserve"> : contre-indication (immunosuppression).</w:t>
      </w:r>
    </w:p>
    <w:p>
      <w:pPr>
        <w:pStyle w:val="ListBullet"/>
      </w:pPr>
      <w:r/>
      <w:r>
        <w:rPr>
          <w:b/>
        </w:rPr>
        <w:t>5-FU + folinate de calcium</w:t>
      </w:r>
      <w:r>
        <w:t xml:space="preserve"> : synergie pharmacodynamique (stabilisation du complexe FdUMP-TS-FH4).</w:t>
      </w:r>
    </w:p>
    <w:p>
      <w:pPr>
        <w:pStyle w:val="ListBullet"/>
      </w:pPr>
      <w:r/>
      <w:r>
        <w:rPr>
          <w:b/>
        </w:rPr>
        <w:t>Grossesse et allaitement (CRAT)</w:t>
      </w:r>
      <w:r>
        <w:t xml:space="preserve"> :</w:t>
      </w:r>
    </w:p>
    <w:p>
      <w:pPr>
        <w:pStyle w:val="ListBullet"/>
      </w:pPr>
      <w:r/>
      <w:r>
        <w:rPr>
          <w:b/>
        </w:rPr>
        <w:t>Grossesse</w:t>
      </w:r>
      <w:r>
        <w:t xml:space="preserve"> : selon le CRAT, le 5-FU est </w:t>
      </w:r>
      <w:r>
        <w:rPr>
          <w:b/>
        </w:rPr>
        <w:t>tératogène</w:t>
      </w:r>
      <w:r>
        <w:t xml:space="preserve"> (catégorie D, à éviter). Études animales : malformations cranio-faciales, squelettiques, cardiaques, retards de croissance. Pas de données humaines prospectives mais cas rapportés d'anomalies fœtales. </w:t>
      </w:r>
      <w:r>
        <w:rPr>
          <w:b/>
        </w:rPr>
        <w:t>Contraception obligatoire</w:t>
      </w:r>
      <w:r>
        <w:t xml:space="preserve"> pendant et 3 mois après (femme) et 3 mois après (homme). En cas de grossesse involontaire : arrêt immédiat, échographie spécialisée, déclaration pharmacovigilance, discussion d'IMG selon terme.</w:t>
      </w:r>
    </w:p>
    <w:p>
      <w:pPr>
        <w:pStyle w:val="ListBullet"/>
      </w:pPr>
      <w:r/>
      <w:r>
        <w:rPr>
          <w:b/>
        </w:rPr>
        <w:t>Allaitement</w:t>
      </w:r>
      <w:r>
        <w:t xml:space="preserve"> : contre-indiqué (passe dans le lait, toxicité hématologique potentielle pour le nourrisson).</w:t>
      </w:r>
    </w:p>
    <w:p>
      <w:pPr>
        <w:pStyle w:val="ListBullet"/>
      </w:pPr>
      <w:r/>
      <w:r>
        <w:rPr>
          <w:b/>
        </w:rPr>
        <w:t>Posologie</w:t>
      </w:r>
      <w:r>
        <w:t xml:space="preserve"> :</w:t>
      </w:r>
    </w:p>
    <w:p>
      <w:pPr>
        <w:pStyle w:val="ListBullet"/>
      </w:pPr>
      <w:r/>
      <w:r>
        <w:rPr>
          <w:b/>
        </w:rPr>
        <w:t>Adulte</w:t>
      </w:r>
      <w:r>
        <w:t xml:space="preserve"> : variable selon le protocole. Quelques exemples :</w:t>
      </w:r>
    </w:p>
    <w:p>
      <w:pPr>
        <w:pStyle w:val="ListBullet"/>
      </w:pPr>
      <w:r/>
      <w:r>
        <w:rPr>
          <w:b/>
        </w:rPr>
        <w:t>FOLFOX4 / mFOLFOX6</w:t>
      </w:r>
      <w:r>
        <w:t xml:space="preserve"> (cancer colorectal) : 5-FU 400 mg/m² bolus IV J1 + 2400-3000 mg/m² perfusion continue 46 h, toutes les 2 semaines.</w:t>
      </w:r>
    </w:p>
    <w:p>
      <w:pPr>
        <w:pStyle w:val="ListBullet"/>
      </w:pPr>
      <w:r/>
      <w:r>
        <w:rPr>
          <w:b/>
        </w:rPr>
        <w:t>FOLFIRI</w:t>
      </w:r>
      <w:r>
        <w:t xml:space="preserve"> : 5-FU 400 mg/m² bolus IV J1 + 2400 mg/m² perfusion continue 46 h + irinotécan 180 mg/m² + folinate 200 mg/m² J1.</w:t>
      </w:r>
    </w:p>
    <w:p>
      <w:pPr>
        <w:pStyle w:val="ListBullet"/>
      </w:pPr>
      <w:r/>
      <w:r>
        <w:rPr>
          <w:b/>
        </w:rPr>
        <w:t>FOLFIRINOX</w:t>
      </w:r>
      <w:r>
        <w:t xml:space="preserve"> (pancréas) : 5-FU 400 mg/m² bolus + 2400 mg/m² perfusion continue 46 h + irinotécan 180 + oxaliplatine 85 + folinate 400.</w:t>
      </w:r>
    </w:p>
    <w:p>
      <w:pPr>
        <w:pStyle w:val="ListBullet"/>
      </w:pPr>
      <w:r/>
      <w:r>
        <w:rPr>
          <w:b/>
        </w:rPr>
        <w:t>FLOT</w:t>
      </w:r>
      <w:r>
        <w:t xml:space="preserve"> (estomac) : 5-FU 2600 mg/m² perfusion continue 24 h J1 + docétaxel 75 + oxaliplatine 85, toutes les 2 semaines.</w:t>
      </w:r>
    </w:p>
    <w:p>
      <w:pPr>
        <w:pStyle w:val="ListBullet"/>
      </w:pPr>
      <w:r/>
      <w:r>
        <w:rPr>
          <w:b/>
        </w:rPr>
        <w:t>5-FU-cisplatine</w:t>
      </w:r>
      <w:r>
        <w:t xml:space="preserve"> (ORL, œsophage) : 5-FU 1000 mg/m²/j perfusion continue J1-J4 + cisplatine 75-100 mg/m² J1, toutes les 3-4 semaines.</w:t>
      </w:r>
    </w:p>
    <w:p>
      <w:pPr>
        <w:pStyle w:val="ListBullet"/>
      </w:pPr>
      <w:r/>
      <w:r>
        <w:rPr>
          <w:b/>
        </w:rPr>
        <w:t>Mayo Clinic</w:t>
      </w:r>
      <w:r>
        <w:t xml:space="preserve"> (cancer colorectal ancien) : 5-FU 425 mg/m² J1-J5 + folinate 20 mg/m² J1-J5, toutes les 4-5 semaines.</w:t>
      </w:r>
    </w:p>
    <w:p>
      <w:pPr>
        <w:pStyle w:val="ListBullet"/>
      </w:pPr>
      <w:r/>
      <w:r>
        <w:rPr>
          <w:b/>
        </w:rPr>
        <w:t>Adaptation</w:t>
      </w:r>
      <w:r>
        <w:t xml:space="preserve"> : insuffisance rénale (ClCr 30-60 : pas d'adaptation standard ; &lt; 30 : pas de donnée, surveillance ++) ; insuffisance hépatique (bilirubine 1,5-3 LSN : réduire 50 % ; &gt; 3 LSN : contre-indication) ; sujet âgé (réduction 25 %, surveillance++) ; toxicité grade 3-4 : réduire dose 25 %.</w:t>
      </w:r>
    </w:p>
    <w:p>
      <w:pPr>
        <w:pStyle w:val="ListBullet"/>
      </w:pPr>
      <w:r/>
      <w:r>
        <w:rPr>
          <w:b/>
        </w:rPr>
        <w:t>Sauge-femme, grossesse ectopique</w:t>
      </w:r>
      <w:r>
        <w:t xml:space="preserve"> : non utilisé en gynéco-obstétrique.</w:t>
      </w:r>
    </w:p>
    <w:p>
      <w:pPr>
        <w:pStyle w:val="ListBullet"/>
      </w:pPr>
      <w:r/>
      <w:r>
        <w:rPr>
          <w:b/>
        </w:rPr>
        <w:t>Formes galéniques</w:t>
      </w:r>
      <w:r>
        <w:t xml:space="preserve"> :</w:t>
      </w:r>
    </w:p>
    <w:p>
      <w:pPr>
        <w:pStyle w:val="ListBullet"/>
      </w:pPr>
      <w:r/>
      <w:r>
        <w:rPr>
          <w:b/>
        </w:rPr>
        <w:t>Solution injectable 50 mg/mL en ampoule/flacon</w:t>
      </w:r>
      <w:r>
        <w:t xml:space="preserve"> (UTORAL Korea United Pharma actif, 5 ampoules 5 mL / 5 flacons 10 mL / 5 flacons 20 mL) : galénique de référence, usage IV bolus, perfusion continue (pompes ambulatoires), ou perfusion IV courte. Conservation &lt; 25 °C, à l'abri de la lumière. Pas de congélation. Stabilité après ouverture : 24 h.</w:t>
      </w:r>
    </w:p>
    <w:p>
      <w:pPr>
        <w:pStyle w:val="ListBullet"/>
      </w:pPr>
      <w:r/>
      <w:r>
        <w:rPr>
          <w:b/>
        </w:rPr>
        <w:t>Forme topique crème 5 %</w:t>
      </w:r>
      <w:r>
        <w:t xml:space="preserve"> : indisponible en Algérie (à l'import pour carcinomes basocellulaires superficiels, kératoses actiniques, verrues génitales).</w:t>
      </w:r>
    </w:p>
    <w:p>
      <w:pPr>
        <w:pStyle w:val="ListBullet"/>
      </w:pPr>
      <w:r/>
      <w:r>
        <w:rPr>
          <w:b/>
        </w:rPr>
        <w:t>Forme pour perfusion continue ambulatoire</w:t>
      </w:r>
      <w:r>
        <w:t xml:space="preserve"> : utilisation de pompes portables (elastomères) avec 5-FU dilué dans NaCl 0,9 % ou G5 %, concentration max 50 mg/mL. Stabilité 7 jours à température ambiante en elastomère.</w:t>
      </w:r>
    </w:p>
    <w:p>
      <w:pPr>
        <w:pStyle w:val="ListBullet"/>
      </w:pPr>
      <w:r/>
      <w:r>
        <w:rPr>
          <w:b/>
        </w:rPr>
        <w:t>Manipulation</w:t>
      </w:r>
      <w:r>
        <w:t xml:space="preserve"> : précautions cytotoxiques standard. La femme enceinte du personnel soignant doit éviter la manipulation directe.</w:t>
      </w:r>
    </w:p>
    <w:p>
      <w:pPr>
        <w:pStyle w:val="ListBullet"/>
      </w:pPr>
      <w:r/>
      <w:r>
        <w:rPr>
          <w:b/>
        </w:rPr>
        <w:t>Conservation</w:t>
      </w:r>
      <w:r>
        <w:t xml:space="preserve"> : flacons et ampoules à température &lt; 25 °C, à l'abri de la lumière. Solutions diluées à utiliser dans les 24 h (NaCl 0,9 %) ou selon stabilité de l'elastomère.</w:t>
      </w:r>
    </w:p>
    <w:p>
      <w:pPr>
        <w:pStyle w:val="ListBullet"/>
      </w:pPr>
      <w:r/>
      <w:r>
        <w:rPr>
          <w:b/>
        </w:rPr>
        <w:t>Conseils aux patients</w:t>
      </w:r>
      <w:r>
        <w:t xml:space="preserve"> :</w:t>
      </w:r>
    </w:p>
    <w:p>
      <w:pPr>
        <w:pStyle w:val="ListBullet"/>
      </w:pPr>
      <w:r/>
      <w:r>
        <w:rPr>
          <w:b/>
        </w:rPr>
        <w:t>Communication au comptoir</w:t>
      </w:r>
      <w:r>
        <w:t xml:space="preserve"> : « Voici votre 5-FU (perfusable à l'hôpital). Il sera administré par perfusion continue à la maison avec une petite pompe portable. Si vous avez des douleurs thoraciques, des palpitations, un essoufflement, des vertiges, </w:t>
      </w:r>
      <w:r>
        <w:rPr>
          <w:b/>
        </w:rPr>
        <w:t>arrêtez la perfusion et appelez immédiatement le SAMU</w:t>
      </w:r>
      <w:r>
        <w:t>. En cas de diarrhée (plus de 4 selles liquides par jour), de lésions buccales (aphtes), de fièvre &gt; 38,5 °C, consultez en urgence. Prenez l'imodium dès la première selle liquide. Évitez le pamplemousse, l'alcool. »</w:t>
      </w:r>
    </w:p>
    <w:p>
      <w:pPr>
        <w:pStyle w:val="ListBullet"/>
      </w:pPr>
      <w:r/>
      <w:r>
        <w:rPr>
          <w:b/>
        </w:rPr>
        <w:t>Surveillance</w:t>
      </w:r>
      <w:r>
        <w:t xml:space="preserve"> : NFS avant chaque cure, à J10-J14 (nadir). Bilan hépatique et rénal avant chaque cure. ECG si antécédent.</w:t>
      </w:r>
    </w:p>
    <w:p>
      <w:pPr>
        <w:pStyle w:val="ListBullet"/>
      </w:pPr>
      <w:r/>
      <w:r>
        <w:rPr>
          <w:b/>
        </w:rPr>
        <w:t>Hydratation</w:t>
      </w:r>
      <w:r>
        <w:t xml:space="preserve"> : 1,5-2 L/jour, surtout en cas de diarrhée.</w:t>
      </w:r>
    </w:p>
    <w:p>
      <w:pPr>
        <w:pStyle w:val="ListBullet"/>
      </w:pPr>
      <w:r/>
      <w:r>
        <w:rPr>
          <w:b/>
        </w:rPr>
        <w:t>Cryothérapie</w:t>
      </w:r>
      <w:r>
        <w:t xml:space="preserve"> : sucer des glaçons pendant la perfusion de 5-FU bolus (réduit la mucite).</w:t>
      </w:r>
    </w:p>
    <w:p>
      <w:pPr>
        <w:pStyle w:val="ListBullet"/>
      </w:pPr>
      <w:r/>
      <w:r>
        <w:rPr>
          <w:b/>
        </w:rPr>
        <w:t>Photoprotection</w:t>
      </w:r>
      <w:r>
        <w:t xml:space="preserve"> : écran solaire SPF 50.</w:t>
      </w:r>
    </w:p>
    <w:p>
      <w:pPr>
        <w:pStyle w:val="ListBullet"/>
      </w:pPr>
      <w:r/>
      <w:r>
        <w:rPr>
          <w:b/>
        </w:rPr>
        <w:t>Surveillance cutanée</w:t>
      </w:r>
      <w:r>
        <w:t xml:space="preserve"> : syndrome main-pied — application d'urée 10 % crème, port de gants et chaussettes en coton, éviter les frottements (sport, instruments de musique, travaux manuels).</w:t>
      </w:r>
    </w:p>
    <w:p>
      <w:pPr>
        <w:pStyle w:val="ListBullet"/>
      </w:pPr>
      <w:r/>
      <w:r>
        <w:rPr>
          <w:b/>
        </w:rPr>
        <w:t>Prévention infection</w:t>
      </w:r>
      <w:r>
        <w:t xml:space="preserve"> : éviter les foules, les contacts avec personnes malades, lavage des mains fréquent. Vaccin anti-grippe et anti-pneumococcique recommandés.</w:t>
      </w:r>
    </w:p>
    <w:p>
      <w:pPr>
        <w:pStyle w:val="ListBullet"/>
      </w:pPr>
      <w:r/>
      <w:r>
        <w:rPr>
          <w:b/>
        </w:rPr>
        <w:t>Contraception</w:t>
      </w:r>
      <w:r>
        <w:t xml:space="preserve"> : obligatoire pendant et 3 mois après traitement.</w:t>
      </w:r>
    </w:p>
    <w:p>
      <w:pPr>
        <w:pStyle w:val="ListBullet"/>
      </w:pPr>
      <w:r/>
      <w:r>
        <w:rPr>
          <w:b/>
        </w:rPr>
        <w:t>Pièges classiques</w:t>
      </w:r>
      <w:r>
        <w:t xml:space="preserve"> :</w:t>
      </w:r>
    </w:p>
    <w:p>
      <w:pPr>
        <w:pStyle w:val="ListBullet"/>
      </w:pPr>
      <w:r/>
      <w:r>
        <w:rPr>
          <w:b/>
        </w:rPr>
        <w:t>Piège du déficit DPD non dépisté</w:t>
      </w:r>
      <w:r>
        <w:t xml:space="preserve"> : toxicité fatale possible dès la première cure — toujours demander le test DPYD si suspicion (antécédent familial de toxicité grave, patient caucasien).</w:t>
      </w:r>
    </w:p>
    <w:p>
      <w:pPr>
        <w:pStyle w:val="ListBullet"/>
      </w:pPr>
      <w:r/>
      <w:r>
        <w:rPr>
          <w:b/>
        </w:rPr>
        <w:t>Piège de la toxicité cardiaque</w:t>
      </w:r>
      <w:r>
        <w:t xml:space="preserve"> : ne pas attribuer la douleur thoracique à un reflux ou à une anxiété — toujours faire ECG et troponine ; arrêter 5-FU si spasme coronaire.</w:t>
      </w:r>
    </w:p>
    <w:p>
      <w:pPr>
        <w:pStyle w:val="ListBullet"/>
      </w:pPr>
      <w:r/>
      <w:r>
        <w:rPr>
          <w:b/>
        </w:rPr>
        <w:t>Piège de la diarrhée sévère</w:t>
      </w:r>
      <w:r>
        <w:t xml:space="preserve"> : hospitalisation obligatoire si grade 3-4 (risque de déshydratation fatale).</w:t>
      </w:r>
    </w:p>
    <w:p>
      <w:pPr>
        <w:pStyle w:val="ListBullet"/>
      </w:pPr>
      <w:r/>
      <w:r>
        <w:rPr>
          <w:b/>
        </w:rPr>
        <w:t>Piège de la séquence MTX → 5-FU</w:t>
      </w:r>
      <w:r>
        <w:t xml:space="preserve"> : administrer le 5-FU 4-6 h après le MTX (potentialisation) ; l'inverse est antagoniste.</w:t>
      </w:r>
    </w:p>
    <w:p>
      <w:pPr>
        <w:pStyle w:val="ListBullet"/>
      </w:pPr>
      <w:r/>
      <w:r>
        <w:rPr>
          <w:b/>
        </w:rPr>
        <w:t>Piège de l'association avec brivudine/sorivudine</w:t>
      </w:r>
      <w:r>
        <w:t xml:space="preserve"> : toxicité fatale — délai de 4 semaines obligatoire.</w:t>
      </w:r>
    </w:p>
    <w:p>
      <w:pPr>
        <w:pStyle w:val="ListBullet"/>
      </w:pPr>
      <w:r/>
      <w:r>
        <w:rPr>
          <w:b/>
        </w:rPr>
        <w:t>Piège de l'AVK</w:t>
      </w:r>
      <w:r>
        <w:t xml:space="preserve"> : surveillance INR accrue (interaction).</w:t>
      </w:r>
    </w:p>
    <w:p>
      <w:pPr>
        <w:pStyle w:val="ListBullet"/>
      </w:pPr>
      <w:r/>
      <w:r>
        <w:rPr>
          <w:b/>
        </w:rPr>
        <w:t>Piège de la perfusion continue</w:t>
      </w:r>
      <w:r>
        <w:t xml:space="preserve"> : surveiller le fonctionnement de la pompe (panne, occlusion) — risque de bolus accidentel massif.</w:t>
      </w:r>
    </w:p>
    <w:p>
      <w:pPr>
        <w:pStyle w:val="ListBullet"/>
      </w:pPr>
      <w:r/>
      <w:r>
        <w:rPr>
          <w:b/>
        </w:rPr>
        <w:t>Piège de l'extravasation</w:t>
      </w:r>
      <w:r>
        <w:t xml:space="preserve"> : 5-FU est peu vésicant mais peut provoquer des nécroses en cas d'extravasation massive — arrêter la perfusion, appliquer froid.</w:t>
      </w:r>
    </w:p>
    <w:p>
      <w:pPr>
        <w:pStyle w:val="ListBullet"/>
      </w:pPr>
      <w:r/>
      <w:r>
        <w:rPr>
          <w:b/>
        </w:rPr>
        <w:t>Piège du sujet âgé</w:t>
      </w:r>
      <w:r>
        <w:t xml:space="preserve"> : réduire dose de 25 %, surveiller toxicité digestive et neurologique.</w:t>
      </w:r>
    </w:p>
    <w:p>
      <w:pPr>
        <w:pStyle w:val="Heading2"/>
      </w:pPr>
      <w:r>
        <w:t>Sous-classe 4 — Antimétabolites fluoropyrimidines (prodrogue) — Capécitabine</w:t>
      </w:r>
    </w:p>
    <w:p>
      <w:r>
        <w:t xml:space="preserve">La </w:t>
      </w:r>
      <w:r>
        <w:rPr>
          <w:b/>
        </w:rPr>
        <w:t>capécitabine</w:t>
      </w:r>
      <w:r>
        <w:t xml:space="preserve"> (Xeloda® Roche, 1998) est une </w:t>
      </w:r>
      <w:r>
        <w:rPr>
          <w:b/>
        </w:rPr>
        <w:t>prodrogue orale du 5-FU</w:t>
      </w:r>
      <w:r>
        <w:t xml:space="preserve"> conçue pour générer du 5-FU préférentiellement au niveau tumoral. Elle est administrée per os (comprimés pelliculés), offre une alternative ambulatoire aux perfusions continues de 5-FU, et a transformé la prise en charge des cancers du sein métastatiques (résistants aux anthracyclines et taxanes) et des cancers colorectaux (protocoles CAPOX, XELOX). Son mécanisme d'activation repose sur une cascade enzymatique en trois étapes : (1) hydrolyse hépatique par la carboxylestérase en 5'-désoxy-5-fluorocytidine (5'-DFCR) ; (2) conversion en 5'-désoxy-5-fluorouridine (5'-DFUR) par la cytidine déaminase (hépatique et tumorale) ; (3) conversion finale en 5-FU par la </w:t>
      </w:r>
      <w:r>
        <w:rPr>
          <w:b/>
        </w:rPr>
        <w:t>thymidine phosphorylase (TP)</w:t>
      </w:r>
      <w:r>
        <w:t xml:space="preserve">, enzyme surexprimée dans les cellules tumorales (en particulier sein, côlon, estomac) par rapport aux tissus sains — d'où une </w:t>
      </w:r>
      <w:r>
        <w:rPr>
          <w:b/>
        </w:rPr>
        <w:t>activation tumorale préférentielle</w:t>
      </w:r>
      <w:r>
        <w:t xml:space="preserve"> qui réduit la toxicité systémique. Néanmoins, la capécitabine partage les toxicités du 5-FU (hématologique, digestive, muqueuse) et présente une toxicité caractéristique : le </w:t>
      </w:r>
      <w:r>
        <w:rPr>
          <w:b/>
        </w:rPr>
        <w:t>syndrome main-pied</w:t>
      </w:r>
      <w:r>
        <w:t xml:space="preserve"> (érythrodysesthésie palmo-plantaire) qui peut nécessiter l'arrêt temporaire ou définitif du traitement. Comme pour le 5-FU, le dépistage du déficit en DPD (mutation DPYD) est recommandé avant tout traitement.</w:t>
      </w:r>
    </w:p>
    <w:p>
      <w:pPr>
        <w:pStyle w:val="Heading3"/>
      </w:pPr>
      <w:r>
        <w:t>4. DCI : Capécitabine</w:t>
      </w:r>
    </w:p>
    <w:p>
      <w:pPr>
        <w:pStyle w:val="ListBullet"/>
      </w:pPr>
      <w:r/>
      <w:r>
        <w:rPr>
          <w:b/>
        </w:rPr>
        <w:t>Catégories</w:t>
      </w:r>
      <w:r>
        <w:t xml:space="preserve"> : Antimétabolite pyrimidique fluoropyrimidine (prodrogue orale) ; précurseur du 5-FU ; cytotoxique phase S ; classe ATC L01BC06.</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CAPECITABINE PHARMACARE</w:t>
            </w:r>
          </w:p>
        </w:tc>
        <w:tc>
          <w:tcPr>
            <w:tcW w:type="dxa" w:w="1559"/>
          </w:tcPr>
          <w:p>
            <w:r>
              <w:rPr>
                <w:sz w:val="20"/>
              </w:rPr>
              <w:t>PHARMACARE PREMIUM LIMITED</w:t>
            </w:r>
          </w:p>
        </w:tc>
        <w:tc>
          <w:tcPr>
            <w:tcW w:type="dxa" w:w="1559"/>
          </w:tcPr>
          <w:p>
            <w:r>
              <w:rPr>
                <w:sz w:val="20"/>
              </w:rPr>
              <w:t>Comprimé pelliculé, 500 mg</w:t>
            </w:r>
          </w:p>
        </w:tc>
        <w:tc>
          <w:tcPr>
            <w:tcW w:type="dxa" w:w="1559"/>
          </w:tcPr>
          <w:p>
            <w:r>
              <w:rPr>
                <w:sz w:val="20"/>
              </w:rPr>
              <w:t>Boîte de 120</w:t>
            </w:r>
          </w:p>
        </w:tc>
        <w:tc>
          <w:tcPr>
            <w:tcW w:type="dxa" w:w="1559"/>
          </w:tcPr>
          <w:p>
            <w:r>
              <w:rPr>
                <w:sz w:val="20"/>
              </w:rPr>
              <w:t>LISTE I</w:t>
            </w:r>
          </w:p>
        </w:tc>
        <w:tc>
          <w:tcPr>
            <w:tcW w:type="dxa" w:w="1559"/>
          </w:tcPr>
          <w:p>
            <w:r>
              <w:rPr>
                <w:sz w:val="20"/>
              </w:rPr>
              <w:t>ACTIF</w:t>
            </w:r>
          </w:p>
        </w:tc>
      </w:tr>
      <w:tr>
        <w:tc>
          <w:tcPr>
            <w:tcW w:type="dxa" w:w="1559"/>
          </w:tcPr>
          <w:p>
            <w:r>
              <w:rPr>
                <w:sz w:val="20"/>
              </w:rPr>
              <w:t>CAPTIB</w:t>
            </w:r>
          </w:p>
        </w:tc>
        <w:tc>
          <w:tcPr>
            <w:tcW w:type="dxa" w:w="1559"/>
          </w:tcPr>
          <w:p>
            <w:r>
              <w:rPr>
                <w:sz w:val="20"/>
              </w:rPr>
              <w:t>HIKMA PHARMA ALGERIA</w:t>
            </w:r>
          </w:p>
        </w:tc>
        <w:tc>
          <w:tcPr>
            <w:tcW w:type="dxa" w:w="1559"/>
          </w:tcPr>
          <w:p>
            <w:r>
              <w:rPr>
                <w:sz w:val="20"/>
              </w:rPr>
              <w:t>Comprimé pelliculé, 500 mg</w:t>
            </w:r>
          </w:p>
        </w:tc>
        <w:tc>
          <w:tcPr>
            <w:tcW w:type="dxa" w:w="1559"/>
          </w:tcPr>
          <w:p>
            <w:r>
              <w:rPr>
                <w:sz w:val="20"/>
              </w:rPr>
              <w:t>Boîte de 120</w:t>
            </w:r>
          </w:p>
        </w:tc>
        <w:tc>
          <w:tcPr>
            <w:tcW w:type="dxa" w:w="1559"/>
          </w:tcPr>
          <w:p>
            <w:r>
              <w:rPr>
                <w:sz w:val="20"/>
              </w:rPr>
              <w:t>LISTE I</w:t>
            </w:r>
          </w:p>
        </w:tc>
        <w:tc>
          <w:tcPr>
            <w:tcW w:type="dxa" w:w="1559"/>
          </w:tcPr>
          <w:p>
            <w:r>
              <w:rPr>
                <w:sz w:val="20"/>
              </w:rPr>
              <w:t>ACTIF</w:t>
            </w:r>
          </w:p>
        </w:tc>
      </w:tr>
      <w:tr>
        <w:tc>
          <w:tcPr>
            <w:tcW w:type="dxa" w:w="1559"/>
          </w:tcPr>
          <w:p>
            <w:r>
              <w:rPr>
                <w:sz w:val="20"/>
              </w:rPr>
              <w:t>CAPEGARD 500</w:t>
            </w:r>
          </w:p>
        </w:tc>
        <w:tc>
          <w:tcPr>
            <w:tcW w:type="dxa" w:w="1559"/>
          </w:tcPr>
          <w:p>
            <w:r>
              <w:rPr>
                <w:sz w:val="20"/>
              </w:rPr>
              <w:t>CIPLA LIMITED</w:t>
            </w:r>
          </w:p>
        </w:tc>
        <w:tc>
          <w:tcPr>
            <w:tcW w:type="dxa" w:w="1559"/>
          </w:tcPr>
          <w:p>
            <w:r>
              <w:rPr>
                <w:sz w:val="20"/>
              </w:rPr>
              <w:t>Comprimé pelliculé, 500 mg</w:t>
            </w:r>
          </w:p>
        </w:tc>
        <w:tc>
          <w:tcPr>
            <w:tcW w:type="dxa" w:w="1559"/>
          </w:tcPr>
          <w:p>
            <w:r>
              <w:rPr>
                <w:sz w:val="20"/>
              </w:rPr>
              <w:t>B/10</w:t>
            </w:r>
          </w:p>
        </w:tc>
        <w:tc>
          <w:tcPr>
            <w:tcW w:type="dxa" w:w="1559"/>
          </w:tcPr>
          <w:p>
            <w:r>
              <w:rPr>
                <w:sz w:val="20"/>
              </w:rPr>
              <w:t>LISTE I</w:t>
            </w:r>
          </w:p>
        </w:tc>
        <w:tc>
          <w:tcPr>
            <w:tcW w:type="dxa" w:w="1559"/>
          </w:tcPr>
          <w:p>
            <w:r>
              <w:rPr>
                <w:sz w:val="20"/>
              </w:rPr>
              <w:t>NON RENOUVELABLE</w:t>
            </w:r>
          </w:p>
        </w:tc>
      </w:tr>
      <w:tr>
        <w:tc>
          <w:tcPr>
            <w:tcW w:type="dxa" w:w="1559"/>
          </w:tcPr>
          <w:p>
            <w:r>
              <w:rPr>
                <w:sz w:val="20"/>
              </w:rPr>
              <w:t>XELODA</w:t>
            </w:r>
          </w:p>
        </w:tc>
        <w:tc>
          <w:tcPr>
            <w:tcW w:type="dxa" w:w="1559"/>
          </w:tcPr>
          <w:p>
            <w:r>
              <w:rPr>
                <w:sz w:val="20"/>
              </w:rPr>
              <w:t>ROCHE PHARMA (SCHWEIZ) LTD</w:t>
            </w:r>
          </w:p>
        </w:tc>
        <w:tc>
          <w:tcPr>
            <w:tcW w:type="dxa" w:w="1559"/>
          </w:tcPr>
          <w:p>
            <w:r>
              <w:rPr>
                <w:sz w:val="20"/>
              </w:rPr>
              <w:t>Comprimé pelliculé, 500 mg</w:t>
            </w:r>
          </w:p>
        </w:tc>
        <w:tc>
          <w:tcPr>
            <w:tcW w:type="dxa" w:w="1559"/>
          </w:tcPr>
          <w:p>
            <w:r>
              <w:rPr>
                <w:sz w:val="20"/>
              </w:rPr>
              <w:t>B/120</w:t>
            </w:r>
          </w:p>
        </w:tc>
        <w:tc>
          <w:tcPr>
            <w:tcW w:type="dxa" w:w="1559"/>
          </w:tcPr>
          <w:p>
            <w:r>
              <w:rPr>
                <w:sz w:val="20"/>
              </w:rPr>
              <w:t>LISTE I</w:t>
            </w:r>
          </w:p>
        </w:tc>
        <w:tc>
          <w:tcPr>
            <w:tcW w:type="dxa" w:w="1559"/>
          </w:tcPr>
          <w:p>
            <w:r>
              <w:rPr>
                <w:sz w:val="20"/>
              </w:rPr>
              <w:t>NON RENOUVELABLE</w:t>
            </w:r>
          </w:p>
        </w:tc>
      </w:tr>
      <w:tr>
        <w:tc>
          <w:tcPr>
            <w:tcW w:type="dxa" w:w="1559"/>
          </w:tcPr>
          <w:p>
            <w:r>
              <w:rPr>
                <w:sz w:val="20"/>
              </w:rPr>
              <w:t>CAPEMAX 500</w:t>
            </w:r>
          </w:p>
        </w:tc>
        <w:tc>
          <w:tcPr>
            <w:tcW w:type="dxa" w:w="1559"/>
          </w:tcPr>
          <w:p>
            <w:r>
              <w:rPr>
                <w:sz w:val="20"/>
              </w:rPr>
              <w:t>INTAS PHARMACEUTICALS LTD</w:t>
            </w:r>
          </w:p>
        </w:tc>
        <w:tc>
          <w:tcPr>
            <w:tcW w:type="dxa" w:w="1559"/>
          </w:tcPr>
          <w:p>
            <w:r>
              <w:rPr>
                <w:sz w:val="20"/>
              </w:rPr>
              <w:t>Comprimé pelliculé, 500 mg</w:t>
            </w:r>
          </w:p>
        </w:tc>
        <w:tc>
          <w:tcPr>
            <w:tcW w:type="dxa" w:w="1559"/>
          </w:tcPr>
          <w:p>
            <w:r>
              <w:rPr>
                <w:sz w:val="20"/>
              </w:rPr>
              <w:t>B/120</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capécitabine est un </w:t>
      </w:r>
      <w:r>
        <w:rPr>
          <w:b/>
        </w:rPr>
        <w:t>carbamate de 5'-désoxy-5-fluorocytidine</w:t>
      </w:r>
      <w:r>
        <w:t xml:space="preserve">, inactive par elle-même. Sa conversion en 5-FU actif suit une cascade enzymatique en trois étapes : (1) </w:t>
      </w:r>
      <w:r>
        <w:rPr>
          <w:b/>
        </w:rPr>
        <w:t>hydrolyse hépatique</w:t>
      </w:r>
      <w:r>
        <w:t xml:space="preserve"> par la carboxylestérase en 5'-désoxy-5-fluorocytidine (5'-DFCR) ; (2) </w:t>
      </w:r>
      <w:r>
        <w:rPr>
          <w:b/>
        </w:rPr>
        <w:t>désamination</w:t>
      </w:r>
      <w:r>
        <w:t xml:space="preserve"> de la 5'-DFCR en 5'-désoxy-5-fluorouridine (5'-DFUR) par la cytidine déaminase, présente en concentration élevée dans le foie et dans de nombreux tissus tumoraux ; (3) </w:t>
      </w:r>
      <w:r>
        <w:rPr>
          <w:b/>
        </w:rPr>
        <w:t>conversion finale en 5-FU</w:t>
      </w:r>
      <w:r>
        <w:t xml:space="preserve"> par la </w:t>
      </w:r>
      <w:r>
        <w:rPr>
          <w:b/>
        </w:rPr>
        <w:t>thymidine phosphorylase (TP)</w:t>
      </w:r>
      <w:r>
        <w:t xml:space="preserve">, enzyme surexprimée 3 à 10 fois dans les cellules tumorales (sein, côlon, estomac, ovaire, poumon) par rapport aux tissus sains correspondants — d'où une </w:t>
      </w:r>
      <w:r>
        <w:rPr>
          <w:b/>
        </w:rPr>
        <w:t>activation tumorale préférentielle</w:t>
      </w:r>
      <w:r>
        <w:t xml:space="preserve"> qui améliore le ratio efficacité/toxicité. Une fois le 5-FU généré, le mécanisme d'action est identique à celui du 5-FU direct : (1) inhibition de la </w:t>
      </w:r>
      <w:r>
        <w:rPr>
          <w:b/>
        </w:rPr>
        <w:t>thymidylate synthase (TS)</w:t>
      </w:r>
      <w:r>
        <w:t xml:space="preserve"> par le FdUMP (en complexe ternaire avec le N5,N10-méthylène-FH4) → blocage de la synthèse de l'ADN ; (2) incorporation du FUTP dans l'ARN → altération de la fonction et de la maturation ; (3) incorporation du FdUTP dans l'ADN → cassures. Le métabolisme terminal (DPD, dihydropyrimidine déshydrogénase) est identique à celui du 5-FU. La résistance est liée aux mêmes mécanismes : amplification TS, augmentation DPD, mutation DPYD.</w:t>
      </w:r>
    </w:p>
    <w:p>
      <w:pPr>
        <w:pStyle w:val="ListBullet"/>
      </w:pPr>
      <w:r/>
      <w:r>
        <w:rPr>
          <w:b/>
        </w:rPr>
        <w:t>Profil pharmacocinétique</w:t>
      </w:r>
      <w:r>
        <w:t xml:space="preserve"> : absorption orale rapide et quasi-complète (biodisponibilité absolue du 5-FU final ≈ 40-50 %), Tmax 1,5 h (métapbolite actif), pic plasmatique de 5-FU variable selon la tolérance digestive. Effet de premier passage hépatique intense (conversion en 5'-DFCR). Distribution large (Vd ≈ 125 L). Liaison aux protéines plasmatiques &lt; 50 %. Métabolisme : trois étapes enzymatiques comme décrit ci-dessus, puis catabolisme du 5-FU en FBAL par la DPD hépatique (80 % de l'élimination). Demi-vie de la capécitabine mère ≈ 0,5-1 h ; demi-vie du 5-FU généré ≈ 50-60 min (plus longue qu'après IV directe de 5-FU en raison de la libération prolongée). Élimination urinaire : 70-95 % (5 % sous forme de capécitabine inchangée, 50 % sous forme de FBAL). Insuffisance rénale : augmentation de l'AUC du métabolite 5'-DFUR (à surveiller — adapter dose si ClCr 30-50 mL/min, réduire 25 % ; contre-indication si ClCr &lt; 30). Insuffisance hépatique modérée : pas d'adaptation standard mais surveillance + ; sévère : non étudiée. Sujet âgé : risque majoré de toxicité (réduction 25 % chez &gt; 80 ans).</w:t>
      </w:r>
    </w:p>
    <w:p>
      <w:pPr>
        <w:pStyle w:val="ListBullet"/>
      </w:pPr>
      <w:r/>
      <w:r>
        <w:rPr>
          <w:b/>
        </w:rPr>
        <w:t>Indications</w:t>
      </w:r>
      <w:r>
        <w:t xml:space="preserve"> :</w:t>
      </w:r>
    </w:p>
    <w:p>
      <w:pPr>
        <w:pStyle w:val="ListBullet"/>
      </w:pPr>
      <w:r/>
      <w:r>
        <w:rPr>
          <w:b/>
        </w:rPr>
        <w:t>Cancer du sein métastatique</w:t>
      </w:r>
      <w:r>
        <w:t xml:space="preserve"> : (i) en 2ème ligne après échec d'anthracycline et taxane (monothérapie 1250 mg/m² x2/j J1-J14 toutes les 3 semaines) ; (ii) en association avec docétaxel (capécitabine 1250 mg/m² x2/j J1-J14 + docétaxel 75 mg/m² J1 toutes les 3 semaines) après échec d'anthracycline.</w:t>
      </w:r>
    </w:p>
    <w:p>
      <w:pPr>
        <w:pStyle w:val="ListBullet"/>
      </w:pPr>
      <w:r/>
      <w:r>
        <w:rPr>
          <w:b/>
        </w:rPr>
        <w:t>Cancer colorectal (CCR)</w:t>
      </w:r>
      <w:r>
        <w:t xml:space="preserve"> : (i) adjuvant stade III (protocole CAPOX : capécitabine 1000 mg/m² x2/j J1-J14 + oxaliplatine 130 mg/m² J1 toutes les 3 semaines, pendant 6 mois) ; (ii) métastatique en 1ère ligne (CAPOX ± bévacizumab) ; (iii) maintenance après FOLFOX/FOLFIRI.</w:t>
      </w:r>
    </w:p>
    <w:p>
      <w:pPr>
        <w:pStyle w:val="ListBullet"/>
      </w:pPr>
      <w:r/>
      <w:r>
        <w:rPr>
          <w:b/>
        </w:rPr>
        <w:t>Cancer gastrique</w:t>
      </w:r>
      <w:r>
        <w:t xml:space="preserve"> : protocole CX (capécitabine + cisplatine) en 1ère ligne métastatique ; protocole XELOX en péri-opératoire (alternative au FLOT).</w:t>
      </w:r>
    </w:p>
    <w:p>
      <w:pPr>
        <w:pStyle w:val="ListBullet"/>
      </w:pPr>
      <w:r/>
      <w:r>
        <w:rPr>
          <w:b/>
        </w:rPr>
        <w:t>Cancer de l'œsophage</w:t>
      </w:r>
      <w:r>
        <w:t xml:space="preserve"> : radio-chimiothérapie concomitante (capécitabine + oxaliplatine).</w:t>
      </w:r>
    </w:p>
    <w:p>
      <w:pPr>
        <w:pStyle w:val="ListBullet"/>
      </w:pPr>
      <w:r/>
      <w:r>
        <w:rPr>
          <w:b/>
        </w:rPr>
        <w:t>Cancer du pancréas</w:t>
      </w:r>
      <w:r>
        <w:t xml:space="preserve"> : capécitabine en maintenance après FOLFIRINOX ou en association avec érlotinib.</w:t>
      </w:r>
    </w:p>
    <w:p>
      <w:pPr>
        <w:pStyle w:val="ListBullet"/>
      </w:pPr>
      <w:r/>
      <w:r>
        <w:rPr>
          <w:b/>
        </w:rPr>
        <w:t>Cancer ORL</w:t>
      </w:r>
      <w:r>
        <w:t xml:space="preserve"> : radio-capécitabine en concomitant (préservation laryngée).</w:t>
      </w:r>
    </w:p>
    <w:p>
      <w:pPr>
        <w:pStyle w:val="ListBullet"/>
      </w:pPr>
      <w:r/>
      <w:r>
        <w:rPr>
          <w:b/>
        </w:rPr>
        <w:t>Contre-indications</w:t>
      </w:r>
      <w:r>
        <w:t xml:space="preserve"> : (1) </w:t>
      </w:r>
      <w:r>
        <w:rPr>
          <w:b/>
        </w:rPr>
        <w:t>Déficit en DPD</w:t>
      </w:r>
      <w:r>
        <w:t xml:space="preserve"> connu (mutation DPYD homozygote ou hétérozygote sévère) ; (2) </w:t>
      </w:r>
      <w:r>
        <w:rPr>
          <w:b/>
        </w:rPr>
        <w:t>Aplasie médullaire préexistante</w:t>
      </w:r>
      <w:r>
        <w:t xml:space="preserve"> (N &lt; 1,5 G/L, plaquettes &lt; 100 G/L) ; (3) </w:t>
      </w:r>
      <w:r>
        <w:rPr>
          <w:b/>
        </w:rPr>
        <w:t>Insuffisance rénale sévère</w:t>
      </w:r>
      <w:r>
        <w:t xml:space="preserve"> (ClCr &lt; 30 mL/min) ; (4) </w:t>
      </w:r>
      <w:r>
        <w:rPr>
          <w:b/>
        </w:rPr>
        <w:t>Insuffisance hépatique sévère</w:t>
      </w:r>
      <w:r>
        <w:t xml:space="preserve"> (bilirubine &gt; 3 LSN) ; (5) </w:t>
      </w:r>
      <w:r>
        <w:rPr>
          <w:b/>
        </w:rPr>
        <w:t>Patiente enceinte ou allaitant</w:t>
      </w:r>
      <w:r>
        <w:t xml:space="preserve"> ; (6) </w:t>
      </w:r>
      <w:r>
        <w:rPr>
          <w:b/>
        </w:rPr>
        <w:t>Infection sévère évolutive</w:t>
      </w:r>
      <w:r>
        <w:t xml:space="preserve"> ; (7) </w:t>
      </w:r>
      <w:r>
        <w:rPr>
          <w:b/>
        </w:rPr>
        <w:t>Antécédent de toxicité grave sous 5-FU</w:t>
      </w:r>
      <w:r>
        <w:t xml:space="preserve"> ; (8) </w:t>
      </w:r>
      <w:r>
        <w:rPr>
          <w:b/>
        </w:rPr>
        <w:t>Traitement par sorivudine ou brivudine</w:t>
      </w:r>
      <w:r>
        <w:t xml:space="preserve"> (anti-herpétiques inhibant la DPD) ; (9) </w:t>
      </w:r>
      <w:r>
        <w:rPr>
          <w:b/>
        </w:rPr>
        <w:t>Allaitement</w:t>
      </w:r>
      <w:r>
        <w:t xml:space="preserve"> ; (10) </w:t>
      </w:r>
      <w:r>
        <w:rPr>
          <w:b/>
        </w:rPr>
        <w:t>Hypersensibilité à la capécitabine ou au 5-FU</w:t>
      </w:r>
      <w:r>
        <w:t>.</w:t>
      </w:r>
    </w:p>
    <w:p>
      <w:pPr>
        <w:pStyle w:val="ListBullet"/>
      </w:pPr>
      <w:r/>
      <w:r>
        <w:rPr>
          <w:b/>
        </w:rPr>
        <w:t>Effets indésirables</w:t>
      </w:r>
      <w:r>
        <w:t xml:space="preserve"> :</w:t>
      </w:r>
    </w:p>
    <w:p>
      <w:pPr>
        <w:pStyle w:val="ListBullet"/>
      </w:pPr>
      <w:r/>
      <w:r>
        <w:rPr>
          <w:b/>
        </w:rPr>
        <w:t>Syndrome main-pied</w:t>
      </w:r>
      <w:r>
        <w:t xml:space="preserve"> (érythrodysesthésie palmo-plantaire, SMPP) : </w:t>
      </w:r>
      <w:r>
        <w:rPr>
          <w:b/>
        </w:rPr>
        <w:t>caractéristique et dose-limitante</w:t>
      </w:r>
      <w:r>
        <w:t>, survient dans 50-60 % des cas (grade 3 dans 10-17 %). Apparition J2-J21 après début. Stade 1 (dysesthésies, tingling) ; stade 2 (érythème, œdème, desquamation) ; stade 3 (vésicules, fissures, ulcérations, saignement, marche douloureuse) ; stade 4 (impotence fonctionnelle). Prévention : crème urée 10-20 %, port de gants/chaussettes en coton, éviter l'eau chaude, frottements, exposition solaire, sports à traumatismes (course à pied).</w:t>
      </w:r>
    </w:p>
    <w:p>
      <w:pPr>
        <w:pStyle w:val="ListBullet"/>
      </w:pPr>
      <w:r/>
      <w:r>
        <w:rPr>
          <w:b/>
        </w:rPr>
        <w:t>Digestive</w:t>
      </w:r>
      <w:r>
        <w:t xml:space="preserve"> : diarrhée (50 %, grade 3-4 dans 10-15 %), nausées/vomissements (modérés), stomatite/mucite (20-30 %), douleurs abdominales, anorexie.</w:t>
      </w:r>
    </w:p>
    <w:p>
      <w:pPr>
        <w:pStyle w:val="ListBullet"/>
      </w:pPr>
      <w:r/>
      <w:r>
        <w:rPr>
          <w:b/>
        </w:rPr>
        <w:t>Hématologique</w:t>
      </w:r>
      <w:r>
        <w:t xml:space="preserve"> : myélotoxicité modérée — neutropénie (20 %, grade 3-4 dans 5 %), thrombopénie (10 %), anémie (15 %).</w:t>
      </w:r>
    </w:p>
    <w:p>
      <w:pPr>
        <w:pStyle w:val="ListBullet"/>
      </w:pPr>
      <w:r/>
      <w:r>
        <w:rPr>
          <w:b/>
        </w:rPr>
        <w:t>Hépatique</w:t>
      </w:r>
      <w:r>
        <w:t xml:space="preserve"> : élévation transitoire des transaminases et bilirubine (5-15 %).</w:t>
      </w:r>
    </w:p>
    <w:p>
      <w:pPr>
        <w:pStyle w:val="ListBullet"/>
      </w:pPr>
      <w:r/>
      <w:r>
        <w:rPr>
          <w:b/>
        </w:rPr>
        <w:t>Cardiaque</w:t>
      </w:r>
      <w:r>
        <w:t xml:space="preserve"> : spasme coronarien (1-3 %), comme pour le 5-FU — prudence chez le coronarien.</w:t>
      </w:r>
    </w:p>
    <w:p>
      <w:pPr>
        <w:pStyle w:val="ListBullet"/>
      </w:pPr>
      <w:r/>
      <w:r>
        <w:rPr>
          <w:b/>
        </w:rPr>
        <w:t>Neurologique</w:t>
      </w:r>
      <w:r>
        <w:t xml:space="preserve"> : fatigue, asthénie majeure, troubles du sommeil.</w:t>
      </w:r>
    </w:p>
    <w:p>
      <w:pPr>
        <w:pStyle w:val="ListBullet"/>
      </w:pPr>
      <w:r/>
      <w:r>
        <w:rPr>
          <w:b/>
        </w:rPr>
        <w:t>Cutanée</w:t>
      </w:r>
      <w:r>
        <w:t xml:space="preserve"> : hyperpigmentation, photosensibilité, rash.</w:t>
      </w:r>
    </w:p>
    <w:p>
      <w:pPr>
        <w:pStyle w:val="ListBullet"/>
      </w:pPr>
      <w:r/>
      <w:r>
        <w:rPr>
          <w:b/>
        </w:rPr>
        <w:t>Oculaire</w:t>
      </w:r>
      <w:r>
        <w:t xml:space="preserve"> : conjonctivite, kératite, sténose canaliculaire (rare).</w:t>
      </w:r>
    </w:p>
    <w:p>
      <w:pPr>
        <w:pStyle w:val="ListBullet"/>
      </w:pPr>
      <w:r/>
      <w:r>
        <w:rPr>
          <w:b/>
        </w:rPr>
        <w:t>Mesures préventives</w:t>
      </w:r>
      <w:r>
        <w:t xml:space="preserve"> :</w:t>
      </w:r>
    </w:p>
    <w:p>
      <w:pPr>
        <w:pStyle w:val="ListBullet"/>
      </w:pPr>
      <w:r/>
      <w:r>
        <w:rPr>
          <w:b/>
        </w:rPr>
        <w:t>Dépistage DPYD</w:t>
      </w:r>
      <w:r>
        <w:t xml:space="preserve"> : test génétique recommandé avant initiation (cf. supra, comme pour le 5-FU).</w:t>
      </w:r>
    </w:p>
    <w:p>
      <w:pPr>
        <w:pStyle w:val="ListBullet"/>
      </w:pPr>
      <w:r/>
      <w:r>
        <w:rPr>
          <w:b/>
        </w:rPr>
        <w:t>Bilan pré-thérapeutique</w:t>
      </w:r>
      <w:r>
        <w:t xml:space="preserve"> : NFS-plaquettes, créatininémie et ClCr, bilan hépatique, β-hCG.</w:t>
      </w:r>
    </w:p>
    <w:p>
      <w:pPr>
        <w:pStyle w:val="ListBullet"/>
      </w:pPr>
      <w:r/>
      <w:r>
        <w:rPr>
          <w:b/>
        </w:rPr>
        <w:t>Surveillance</w:t>
      </w:r>
      <w:r>
        <w:t xml:space="preserve"> : NFS avant chaque cure (J1) et à J10-J14 (nadir), bilan hépatique avant chaque cure.</w:t>
      </w:r>
    </w:p>
    <w:p>
      <w:pPr>
        <w:pStyle w:val="ListBullet"/>
      </w:pPr>
      <w:r/>
      <w:r>
        <w:rPr>
          <w:b/>
        </w:rPr>
        <w:t>Prévention syndrome main-pied</w:t>
      </w:r>
      <w:r>
        <w:t xml:space="preserve"> : (i) application d'urée 10-20 % crème 2-3 fois/jour sur les paumes et plantes dès le début du traitement ; (ii) port de gants et chaussettes en coton, éviter les chaussures serrées ; (iii) éviter bains chauds, sauna, exposition solaire ; (iv) éviter sports à traumatismes (course, tennis, fitness) ; (v) en cas de grade ≥ 2 : arrêt temporaire jusqu'à résolution, puis reprise à dose réduite (75 % puis 50 %) ; en cas de grade 3 récidivant : arrêt définitif.</w:t>
      </w:r>
    </w:p>
    <w:p>
      <w:pPr>
        <w:pStyle w:val="ListBullet"/>
      </w:pPr>
      <w:r/>
      <w:r>
        <w:rPr>
          <w:b/>
        </w:rPr>
        <w:t>Prévention diarrhée</w:t>
      </w:r>
      <w:r>
        <w:t xml:space="preserve"> : lopéramide à débuter dès la première selle liquide (cap. 2 mg puis 1 mg/selle liquide, max 16 mg/j) ; en cas de grade 3-4 : hospitalisation, réhydratation IV, antibiothérapie prophylactique (quinolone), arrêt capécitabine.</w:t>
      </w:r>
    </w:p>
    <w:p>
      <w:pPr>
        <w:pStyle w:val="ListBullet"/>
      </w:pPr>
      <w:r/>
      <w:r>
        <w:rPr>
          <w:b/>
        </w:rPr>
        <w:t>Prévention mucite</w:t>
      </w:r>
      <w:r>
        <w:t xml:space="preserve"> : bains de bouche bicarbonatés 4-6/j, cryothérapie orale pendant la prise (sucer des glaçons 5 min avant et pendant).</w:t>
      </w:r>
    </w:p>
    <w:p>
      <w:pPr>
        <w:pStyle w:val="ListBullet"/>
      </w:pPr>
      <w:r/>
      <w:r>
        <w:rPr>
          <w:b/>
        </w:rPr>
        <w:t>Hydratation</w:t>
      </w:r>
      <w:r>
        <w:t xml:space="preserve"> : 1,5-2 L/j.</w:t>
      </w:r>
    </w:p>
    <w:p>
      <w:pPr>
        <w:pStyle w:val="ListBullet"/>
      </w:pPr>
      <w:r/>
      <w:r>
        <w:rPr>
          <w:b/>
        </w:rPr>
        <w:t>Antiemetic prophylaxie</w:t>
      </w:r>
      <w:r>
        <w:t xml:space="preserve"> : antagoniste 5-HT3 (ondansétron 8 mg) per os si nausées.</w:t>
      </w:r>
    </w:p>
    <w:p>
      <w:pPr>
        <w:pStyle w:val="ListBullet"/>
      </w:pPr>
      <w:r/>
      <w:r>
        <w:rPr>
          <w:b/>
        </w:rPr>
        <w:t>Photoprotection</w:t>
      </w:r>
      <w:r>
        <w:t xml:space="preserve"> : écran solaire SPF 50.</w:t>
      </w:r>
    </w:p>
    <w:p>
      <w:pPr>
        <w:pStyle w:val="ListBullet"/>
      </w:pPr>
      <w:r/>
      <w:r>
        <w:rPr>
          <w:b/>
        </w:rPr>
        <w:t>Contraception</w:t>
      </w:r>
      <w:r>
        <w:t xml:space="preserve"> : obligatoire pendant et 3 mois après.</w:t>
      </w:r>
    </w:p>
    <w:p>
      <w:pPr>
        <w:pStyle w:val="ListBullet"/>
      </w:pPr>
      <w:r/>
      <w:r>
        <w:rPr>
          <w:b/>
        </w:rPr>
        <w:t>Vaccin</w:t>
      </w:r>
      <w:r>
        <w:t xml:space="preserve"> : éviter vaccins vivants atténués pendant et 3 mois après.</w:t>
      </w:r>
    </w:p>
    <w:p>
      <w:pPr>
        <w:pStyle w:val="ListBullet"/>
      </w:pPr>
      <w:r/>
      <w:r>
        <w:rPr>
          <w:b/>
        </w:rPr>
        <w:t>Interactions médicamenteuses</w:t>
      </w:r>
      <w:r>
        <w:t xml:space="preserve"> :</w:t>
      </w:r>
    </w:p>
    <w:p>
      <w:pPr>
        <w:pStyle w:val="ListBullet"/>
      </w:pPr>
      <w:r/>
      <w:r>
        <w:rPr>
          <w:b/>
        </w:rPr>
        <w:t>Capécitabine + warfarine, AVK</w:t>
      </w:r>
      <w:r>
        <w:t xml:space="preserve"> : majoration de l'effet anticoagulant (inhibition du CYP2C9 hépatique par la capécitabine ou ses métabolites) → surveillance INR accrue (toutes les 48-72 h) et adaptation posologique AVK (réduction 25-50 %).</w:t>
      </w:r>
    </w:p>
    <w:p>
      <w:pPr>
        <w:pStyle w:val="ListBullet"/>
      </w:pPr>
      <w:r/>
      <w:r>
        <w:rPr>
          <w:b/>
        </w:rPr>
        <w:t>Capécitabine + phénytoïne</w:t>
      </w:r>
      <w:r>
        <w:t xml:space="preserve"> : augmentation de la phénytoïnémie (compétition hépatique) → surveillance phénytoïnémie, réduire dose phénytoïne 25-50 %.</w:t>
      </w:r>
    </w:p>
    <w:p>
      <w:pPr>
        <w:pStyle w:val="ListBullet"/>
      </w:pPr>
      <w:r/>
      <w:r>
        <w:rPr>
          <w:b/>
        </w:rPr>
        <w:t>Capécitabine + sorivudine, brivudine</w:t>
      </w:r>
      <w:r>
        <w:t xml:space="preserve"> : inhibition de la DPD → toxicité fatale du 5-FU (aplasie massive, mucite sévère, décès) — </w:t>
      </w:r>
      <w:r>
        <w:rPr>
          <w:b/>
        </w:rPr>
        <w:t>contre-indication absolue</w:t>
      </w:r>
      <w:r>
        <w:t>, délai de 4 semaines entre les deux.</w:t>
      </w:r>
    </w:p>
    <w:p>
      <w:pPr>
        <w:pStyle w:val="ListBullet"/>
      </w:pPr>
      <w:r/>
      <w:r>
        <w:rPr>
          <w:b/>
        </w:rPr>
        <w:t>Capécitabine + allopurinol</w:t>
      </w:r>
      <w:r>
        <w:t xml:space="preserve"> : antagonisme (diminution de l'efficacité par dérivation métabolique) — éviter.</w:t>
      </w:r>
    </w:p>
    <w:p>
      <w:pPr>
        <w:pStyle w:val="ListBullet"/>
      </w:pPr>
      <w:r/>
      <w:r>
        <w:rPr>
          <w:b/>
        </w:rPr>
        <w:t>Capécitabine + folinate de calcium</w:t>
      </w:r>
      <w:r>
        <w:t xml:space="preserve"> : synergie pharmacodynamique (potentialisation de l'effet TS) — utilisé dans certains protocoles.</w:t>
      </w:r>
    </w:p>
    <w:p>
      <w:pPr>
        <w:pStyle w:val="ListBullet"/>
      </w:pPr>
      <w:r/>
      <w:r>
        <w:rPr>
          <w:b/>
        </w:rPr>
        <w:t>Capécitabine + cisplatine, oxaliplatine, docétaxel</w:t>
      </w:r>
      <w:r>
        <w:t xml:space="preserve"> : synergies classiques (XELOX, CX, capé-docétaxel).</w:t>
      </w:r>
    </w:p>
    <w:p>
      <w:pPr>
        <w:pStyle w:val="ListBullet"/>
      </w:pPr>
      <w:r/>
      <w:r>
        <w:rPr>
          <w:b/>
        </w:rPr>
        <w:t>Capécitabine + vaccins vivants atténués</w:t>
      </w:r>
      <w:r>
        <w:t xml:space="preserve"> : contre-indication (immunosuppression).</w:t>
      </w:r>
    </w:p>
    <w:p>
      <w:pPr>
        <w:pStyle w:val="ListBullet"/>
      </w:pPr>
      <w:r/>
      <w:r>
        <w:rPr>
          <w:b/>
        </w:rPr>
        <w:t>Capécitabine + antiacides (hydroxyde d'aluminium/magnésium)</w:t>
      </w:r>
      <w:r>
        <w:t xml:space="preserve"> : légère augmentation de l'absorption de la capécitabine et de son métabolite 5'-DFUR — surveillance clinique.</w:t>
      </w:r>
    </w:p>
    <w:p>
      <w:pPr>
        <w:pStyle w:val="ListBullet"/>
      </w:pPr>
      <w:r/>
      <w:r>
        <w:rPr>
          <w:b/>
        </w:rPr>
        <w:t>Capécitabine + millepertuis</w:t>
      </w:r>
      <w:r>
        <w:t xml:space="preserve"> : induction enzymatique — prudence.</w:t>
      </w:r>
    </w:p>
    <w:p>
      <w:pPr>
        <w:pStyle w:val="ListBullet"/>
      </w:pPr>
      <w:r/>
      <w:r>
        <w:rPr>
          <w:b/>
        </w:rPr>
        <w:t>Grossesse et allaitement (CRAT)</w:t>
      </w:r>
      <w:r>
        <w:t xml:space="preserve"> :</w:t>
      </w:r>
    </w:p>
    <w:p>
      <w:pPr>
        <w:pStyle w:val="ListBullet"/>
      </w:pPr>
      <w:r/>
      <w:r>
        <w:rPr>
          <w:b/>
        </w:rPr>
        <w:t>Grossesse</w:t>
      </w:r>
      <w:r>
        <w:t xml:space="preserve"> : selon le CRAT, la capécitabine est tératogène et embryotoxique chez l'animal (anomalies cranio-faciales, squelettiques). Pas de données humaines. Catégorie D (à éviter formellement). </w:t>
      </w:r>
      <w:r>
        <w:rPr>
          <w:b/>
        </w:rPr>
        <w:t>Contraception obligatoire</w:t>
      </w:r>
      <w:r>
        <w:t xml:space="preserve"> pendant et 3 mois après (femme) et 3 mois après (homme).</w:t>
      </w:r>
    </w:p>
    <w:p>
      <w:pPr>
        <w:pStyle w:val="ListBullet"/>
      </w:pPr>
      <w:r/>
      <w:r>
        <w:rPr>
          <w:b/>
        </w:rPr>
        <w:t>Allaitement</w:t>
      </w:r>
      <w:r>
        <w:t xml:space="preserve"> : contre-indiqué (passe dans le lait maternel chez l'animal — toxicité hématologique et muqueuse potentielle pour le nourrisson).</w:t>
      </w:r>
    </w:p>
    <w:p>
      <w:pPr>
        <w:pStyle w:val="ListBullet"/>
      </w:pPr>
      <w:r/>
      <w:r>
        <w:rPr>
          <w:b/>
        </w:rPr>
        <w:t>Posologie</w:t>
      </w:r>
      <w:r>
        <w:t xml:space="preserve"> :</w:t>
      </w:r>
    </w:p>
    <w:p>
      <w:pPr>
        <w:pStyle w:val="ListBullet"/>
      </w:pPr>
      <w:r/>
      <w:r>
        <w:rPr>
          <w:b/>
        </w:rPr>
        <w:t>Adulte</w:t>
      </w:r>
      <w:r>
        <w:t xml:space="preserve"> : 1250 mg/m² en 2 prises per os (matin et soir, à 12 h d'intervalle) pendant </w:t>
      </w:r>
      <w:r>
        <w:rPr>
          <w:b/>
        </w:rPr>
        <w:t>14 jours consécutifs</w:t>
      </w:r>
      <w:r>
        <w:t xml:space="preserve"> (J1-J14) suivis de </w:t>
      </w:r>
      <w:r>
        <w:rPr>
          <w:b/>
        </w:rPr>
        <w:t>7 jours de repos</w:t>
      </w:r>
      <w:r>
        <w:t xml:space="preserve"> (cycle de 21 jours) — soit J1-J14 / J15-J21 OFF.</w:t>
      </w:r>
    </w:p>
    <w:p>
      <w:pPr>
        <w:pStyle w:val="ListBullet"/>
      </w:pPr>
      <w:r/>
      <w:r>
        <w:rPr>
          <w:b/>
        </w:rPr>
        <w:t>Adaptation posologique</w:t>
      </w:r>
      <w:r>
        <w:t xml:space="preserve"> :</w:t>
      </w:r>
    </w:p>
    <w:p>
      <w:pPr>
        <w:pStyle w:val="ListBullet"/>
      </w:pPr>
      <w:r>
        <w:t>Dose totale/jour = (1250 mg/m²) × (surface corporelle) — arrondir au multiple de 500 mg le plus proche pour faciliter la prise (comprimés de 500 mg).</w:t>
      </w:r>
    </w:p>
    <w:p>
      <w:pPr>
        <w:pStyle w:val="ListBullet"/>
      </w:pPr>
      <w:r>
        <w:t>Si surface corporelle &lt; 1,26 m² → dose réduite à 950 mg/m² (arrondi).</w:t>
      </w:r>
    </w:p>
    <w:p>
      <w:pPr>
        <w:pStyle w:val="ListBullet"/>
      </w:pPr>
      <w:r>
        <w:t>Insuffisance rénale ClCr 30-50 mL/min : réduire 25 % (950 mg/m²).</w:t>
      </w:r>
    </w:p>
    <w:p>
      <w:pPr>
        <w:pStyle w:val="ListBullet"/>
      </w:pPr>
      <w:r>
        <w:t>Insuffisance rénale ClCr &lt; 30 mL/min : contre-indication.</w:t>
      </w:r>
    </w:p>
    <w:p>
      <w:pPr>
        <w:pStyle w:val="ListBullet"/>
      </w:pPr>
      <w:r>
        <w:t>Insuffisance hépatique modérée : pas d'adaptation standard, surveillance ++ ; sévère : non recommandée.</w:t>
      </w:r>
    </w:p>
    <w:p>
      <w:pPr>
        <w:pStyle w:val="ListBullet"/>
      </w:pPr>
      <w:r>
        <w:t>Sujet âgé &gt; 80 ans : réduction initiale 25 % (950 mg/m²).</w:t>
      </w:r>
    </w:p>
    <w:p>
      <w:pPr>
        <w:pStyle w:val="ListBullet"/>
      </w:pPr>
      <w:r>
        <w:t>Toxicité grade 2 : maintenir ; grade 3 : arrêt jusqu'à grade ≤ 1, reprise à 75 % ; grade 4 : arrêt jusqu'à grade ≤ 1, reprise à 50 % ; grade 3-4 récidivant : arrêt définitif.</w:t>
      </w:r>
    </w:p>
    <w:p>
      <w:pPr>
        <w:pStyle w:val="ListBullet"/>
      </w:pPr>
      <w:r/>
      <w:r>
        <w:rPr>
          <w:b/>
        </w:rPr>
        <w:t>Prise</w:t>
      </w:r>
      <w:r>
        <w:t xml:space="preserve"> : per os, avec un grand verre d'eau, dans les 30 min après un repas (réduit la tolérance digestive). Ne pas écraser ou mâcher les comprimés.</w:t>
      </w:r>
    </w:p>
    <w:p>
      <w:pPr>
        <w:pStyle w:val="ListBullet"/>
      </w:pPr>
      <w:r/>
      <w:r>
        <w:rPr>
          <w:b/>
        </w:rPr>
        <w:t>Cycles</w:t>
      </w:r>
      <w:r>
        <w:t xml:space="preserve"> : jusqu'à progression ou toxicité non gérable (jusqu'à 8 cycles en adjuvant CCR, jusqu'à 6 mois en adjuvant cancer du sein).</w:t>
      </w:r>
    </w:p>
    <w:p>
      <w:pPr>
        <w:pStyle w:val="ListBullet"/>
      </w:pPr>
      <w:r/>
      <w:r>
        <w:rPr>
          <w:b/>
        </w:rPr>
        <w:t>Formes galéniques</w:t>
      </w:r>
      <w:r>
        <w:t xml:space="preserve"> :</w:t>
      </w:r>
    </w:p>
    <w:p>
      <w:pPr>
        <w:pStyle w:val="ListBullet"/>
      </w:pPr>
      <w:r/>
      <w:r>
        <w:rPr>
          <w:b/>
        </w:rPr>
        <w:t>Comprimés pelliculés 500 mg</w:t>
      </w:r>
      <w:r>
        <w:t xml:space="preserve"> (CAPECITABINE PHARMACARE actif, CAPTIB Hikma actif) : forme orale unique disponible en Algérie (comprimés de 150 mg indisponibles — adaptation difficile pour surfaces corporelles faibles). Boîte de 120 comprimés (suffisante pour un cycle complet de 14 jours à dose standard pour un adulte moyen de 1,8 m²).</w:t>
      </w:r>
    </w:p>
    <w:p>
      <w:pPr>
        <w:pStyle w:val="ListBullet"/>
      </w:pPr>
      <w:r/>
      <w:r>
        <w:rPr>
          <w:b/>
        </w:rPr>
        <w:t>Conservation</w:t>
      </w:r>
      <w:r>
        <w:t xml:space="preserve"> : à température &lt; 30 °C, à l'abri de l'humidité et de la lumière. Tenir hors de portée des enfants.</w:t>
      </w:r>
    </w:p>
    <w:p>
      <w:pPr>
        <w:pStyle w:val="ListBullet"/>
      </w:pPr>
      <w:r/>
      <w:r>
        <w:rPr>
          <w:b/>
        </w:rPr>
        <w:t>Manipulation</w:t>
      </w:r>
      <w:r>
        <w:t xml:space="preserve"> : ne pas écraser ou casser les comprimés (risque d'inhalation de poudre cytotoxique — la femme enceinte du personnel soignant ou de l'entourage doit éviter tout contact). Porter des gants nitrile si manipulation par soignant.</w:t>
      </w:r>
    </w:p>
    <w:p>
      <w:pPr>
        <w:pStyle w:val="ListBullet"/>
      </w:pPr>
      <w:r/>
      <w:r>
        <w:rPr>
          <w:b/>
        </w:rPr>
        <w:t>Formes galéniques complémentaires indisponibles</w:t>
      </w:r>
      <w:r>
        <w:t xml:space="preserve"> : comprimés 150 mg (pour adaptation fine), comprimés 300 mg, solution buvable.</w:t>
      </w:r>
    </w:p>
    <w:p>
      <w:pPr>
        <w:pStyle w:val="ListBullet"/>
      </w:pPr>
      <w:r/>
      <w:r>
        <w:rPr>
          <w:b/>
        </w:rPr>
        <w:t>Conseils aux patients</w:t>
      </w:r>
      <w:r>
        <w:t xml:space="preserve"> :</w:t>
      </w:r>
    </w:p>
    <w:p>
      <w:pPr>
        <w:pStyle w:val="ListBullet"/>
      </w:pPr>
      <w:r/>
      <w:r>
        <w:rPr>
          <w:b/>
        </w:rPr>
        <w:t>Communication au comptoir</w:t>
      </w:r>
      <w:r>
        <w:t xml:space="preserve"> : « Voici votre capécitabine. Vous prenez les comprimés matin et soir, après les repas, pendant 14 jours, puis vous arrêtez 7 jours (cycle de 21 jours). Notez sur un calendrier les jours de prise et les jours de repos. Prenez avec un grand verre d'eau. Ne jamais écraser ou mâcher les comprimés. Si vous avez la diarrhée (plus de 4 selles liquides par jour), des aphtes dans la bouche, des douleurs aux mains ou aux pieds (rougeurs, desquamation), ou une fièvre &gt; 38,5 °C : arrêtez le traitement et appelez immédiatement votre oncologue. »</w:t>
      </w:r>
    </w:p>
    <w:p>
      <w:pPr>
        <w:pStyle w:val="ListBullet"/>
      </w:pPr>
      <w:r/>
      <w:r>
        <w:rPr>
          <w:b/>
        </w:rPr>
        <w:t>Mode d'utilisation</w:t>
      </w:r>
      <w:r>
        <w:t xml:space="preserve"> : per os, à heure fixe (matin et soir à 12 h d'intervalle), pendant les repas. Cycle de 21 jours (14 de prise + 7 de repos).</w:t>
      </w:r>
    </w:p>
    <w:p>
      <w:pPr>
        <w:pStyle w:val="ListBullet"/>
      </w:pPr>
      <w:r/>
      <w:r>
        <w:rPr>
          <w:b/>
        </w:rPr>
        <w:t>Surveillance</w:t>
      </w:r>
      <w:r>
        <w:t xml:space="preserve"> : NFS avant chaque cure et à J10 (nadir), bilan hépatique et créatininémie avant chaque cure.</w:t>
      </w:r>
    </w:p>
    <w:p>
      <w:pPr>
        <w:pStyle w:val="ListBullet"/>
      </w:pPr>
      <w:r/>
      <w:r>
        <w:rPr>
          <w:b/>
        </w:rPr>
        <w:t>Hydratation</w:t>
      </w:r>
      <w:r>
        <w:t xml:space="preserve"> : 1,5-2 L/jour.</w:t>
      </w:r>
    </w:p>
    <w:p>
      <w:pPr>
        <w:pStyle w:val="ListBullet"/>
      </w:pPr>
      <w:r/>
      <w:r>
        <w:rPr>
          <w:b/>
        </w:rPr>
        <w:t>Prévention syndrome main-pied</w:t>
      </w:r>
      <w:r>
        <w:t xml:space="preserve"> : application d'urée 10-20 % crème 2-3 fois/jour sur les paumes et plantes, éviter les chaussures serrées, ne pas marcher pieds nus, éviter l'eau chaude (bain, douche).</w:t>
      </w:r>
    </w:p>
    <w:p>
      <w:pPr>
        <w:pStyle w:val="ListBullet"/>
      </w:pPr>
      <w:r/>
      <w:r>
        <w:rPr>
          <w:b/>
        </w:rPr>
        <w:t>Lopéramide</w:t>
      </w:r>
      <w:r>
        <w:t xml:space="preserve"> : disponible au comptoir, à débuter dès la première selle liquide (2 mg puis 1 mg/selle liquide, max 16 mg/j).</w:t>
      </w:r>
    </w:p>
    <w:p>
      <w:pPr>
        <w:pStyle w:val="ListBullet"/>
      </w:pPr>
      <w:r/>
      <w:r>
        <w:rPr>
          <w:b/>
        </w:rPr>
        <w:t>Photoprotection</w:t>
      </w:r>
      <w:r>
        <w:t xml:space="preserve"> : écran solaire SPF 50.</w:t>
      </w:r>
    </w:p>
    <w:p>
      <w:pPr>
        <w:pStyle w:val="ListBullet"/>
      </w:pPr>
      <w:r/>
      <w:r>
        <w:rPr>
          <w:b/>
        </w:rPr>
        <w:t>Contraception</w:t>
      </w:r>
      <w:r>
        <w:t xml:space="preserve"> : obligatoire pendant et 3 mois après.</w:t>
      </w:r>
    </w:p>
    <w:p>
      <w:pPr>
        <w:pStyle w:val="ListBullet"/>
      </w:pPr>
      <w:r/>
      <w:r>
        <w:rPr>
          <w:b/>
        </w:rPr>
        <w:t>En cas de fièvre, ulcère buccal, saignement</w:t>
      </w:r>
      <w:r>
        <w:t xml:space="preserve"> : consulter en urgence (risque d'aplasie).</w:t>
      </w:r>
    </w:p>
    <w:p>
      <w:pPr>
        <w:pStyle w:val="ListBullet"/>
      </w:pPr>
      <w:r/>
      <w:r>
        <w:rPr>
          <w:b/>
        </w:rPr>
        <w:t>Ne pas prendre avec du pamplemousse</w:t>
      </w:r>
      <w:r>
        <w:t xml:space="preserve"> (interactions).</w:t>
      </w:r>
    </w:p>
    <w:p>
      <w:pPr>
        <w:pStyle w:val="ListBullet"/>
      </w:pPr>
      <w:r/>
      <w:r>
        <w:rPr>
          <w:b/>
        </w:rPr>
        <w:t>Pièges classiques</w:t>
      </w:r>
      <w:r>
        <w:t xml:space="preserve"> :</w:t>
      </w:r>
    </w:p>
    <w:p>
      <w:pPr>
        <w:pStyle w:val="ListBullet"/>
      </w:pPr>
      <w:r/>
      <w:r>
        <w:rPr>
          <w:b/>
        </w:rPr>
        <w:t>Piège du syndrome main-pied</w:t>
      </w:r>
      <w:r>
        <w:t xml:space="preserve"> : début insidieux — patient peut ne pas signaler — toujours demander aux cures suivantes (« avez-vous des rougeurs aux mains et aux pieds ? »).</w:t>
      </w:r>
    </w:p>
    <w:p>
      <w:pPr>
        <w:pStyle w:val="ListBullet"/>
      </w:pPr>
      <w:r/>
      <w:r>
        <w:rPr>
          <w:b/>
        </w:rPr>
        <w:t>Piège de la diarrhée sévère</w:t>
      </w:r>
      <w:r>
        <w:t xml:space="preserve"> : hospitalisation obligatoire si grade 3-4 (déshydratation fatale possible).</w:t>
      </w:r>
    </w:p>
    <w:p>
      <w:pPr>
        <w:pStyle w:val="ListBullet"/>
      </w:pPr>
      <w:r/>
      <w:r>
        <w:rPr>
          <w:b/>
        </w:rPr>
        <w:t>Piège de l'AVK</w:t>
      </w:r>
      <w:r>
        <w:t xml:space="preserve"> : interaction majeure avec warfarine — surveillance INR ++ (toutes les 48-72 h), réduire AVK.</w:t>
      </w:r>
    </w:p>
    <w:p>
      <w:pPr>
        <w:pStyle w:val="ListBullet"/>
      </w:pPr>
      <w:r/>
      <w:r>
        <w:rPr>
          <w:b/>
        </w:rPr>
        <w:t>Piège du déficit DPD</w:t>
      </w:r>
      <w:r>
        <w:t xml:space="preserve"> : toxicité fatale possible dès la première cure — test DPYD si suspicion.</w:t>
      </w:r>
    </w:p>
    <w:p>
      <w:pPr>
        <w:pStyle w:val="ListBullet"/>
      </w:pPr>
      <w:r/>
      <w:r>
        <w:rPr>
          <w:b/>
        </w:rPr>
        <w:t>Piège de la substitution de marque</w:t>
      </w:r>
      <w:r>
        <w:t xml:space="preserve"> : passage de XELODA (non renouvelable) à CAPECITABINE PHARMACARE ou CAPTIB (actifs) — vérifier la biodisponibilité (génériques équivalents mais surveillance accrue première cure).</w:t>
      </w:r>
    </w:p>
    <w:p>
      <w:pPr>
        <w:pStyle w:val="ListBullet"/>
      </w:pPr>
      <w:r/>
      <w:r>
        <w:rPr>
          <w:b/>
        </w:rPr>
        <w:t>Piège du calcul de dose</w:t>
      </w:r>
      <w:r>
        <w:t xml:space="preserve"> : arrondi au multiple de 500 mg — risque de surdosage si arrondi au supérieur pour SC élevée (&gt; 2 m² — dose max recommandée 1250 mg x 2/j).</w:t>
      </w:r>
    </w:p>
    <w:p>
      <w:pPr>
        <w:pStyle w:val="ListBullet"/>
      </w:pPr>
      <w:r/>
      <w:r>
        <w:rPr>
          <w:b/>
        </w:rPr>
        <w:t>Piège de la prise hors repas</w:t>
      </w:r>
      <w:r>
        <w:t xml:space="preserve"> : réduction de l'absorption — toujours prendre avec repas.</w:t>
      </w:r>
    </w:p>
    <w:p>
      <w:pPr>
        <w:pStyle w:val="ListBullet"/>
      </w:pPr>
      <w:r/>
      <w:r>
        <w:rPr>
          <w:b/>
        </w:rPr>
        <w:t>Piège de la clairance créatinine limite</w:t>
      </w:r>
      <w:r>
        <w:t xml:space="preserve"> : patient âgé à 30 mL/min — contre-indication si &lt; 30, réduction 25 % si 30-50.</w:t>
      </w:r>
    </w:p>
    <w:p>
      <w:pPr>
        <w:pStyle w:val="ListBullet"/>
      </w:pPr>
      <w:r/>
      <w:r>
        <w:rPr>
          <w:b/>
        </w:rPr>
        <w:t>Piège de l'association avec brivudine/sorivudine</w:t>
      </w:r>
      <w:r>
        <w:t xml:space="preserve"> : toxicité fatale (aplasie massive) — délai de 4 semaines obligatoire.</w:t>
      </w:r>
    </w:p>
    <w:p>
      <w:pPr>
        <w:pStyle w:val="ListBullet"/>
      </w:pPr>
      <w:r/>
      <w:r>
        <w:rPr>
          <w:b/>
        </w:rPr>
        <w:t>Piège du sujet âgé &gt; 80 ans</w:t>
      </w:r>
      <w:r>
        <w:t xml:space="preserve"> : réduction initiale de 25 % (950 mg/m²).</w:t>
      </w:r>
    </w:p>
    <w:p>
      <w:pPr>
        <w:pStyle w:val="Heading2"/>
      </w:pPr>
      <w:r>
        <w:t>Sous-classe 5 — Antimétabolites analogues de purines — Mercaptopurine, Fludarabine, Cladribine</w:t>
      </w:r>
    </w:p>
    <w:p>
      <w:r>
        <w:t xml:space="preserve">Les </w:t>
      </w:r>
      <w:r>
        <w:rPr>
          <w:b/>
        </w:rPr>
        <w:t>analogues de purines</w:t>
      </w:r>
      <w:r>
        <w:t xml:space="preserve"> constituent une famille d'antimétabolites structurellement apparentés aux purines endogènes (adénine, guanine, hypoxanthine), incorporés dans l'ADN naissant et responsables d'un blocage de la synthèse et de la réparation. Trois molécules sont étudiées ici : la </w:t>
      </w:r>
      <w:r>
        <w:rPr>
          <w:b/>
        </w:rPr>
        <w:t>mercaptopurine (6-MP)</w:t>
      </w:r>
      <w:r>
        <w:t xml:space="preserve">, la </w:t>
      </w:r>
      <w:r>
        <w:rPr>
          <w:b/>
        </w:rPr>
        <w:t>fludarabine</w:t>
      </w:r>
      <w:r>
        <w:t xml:space="preserve"> et la </w:t>
      </w:r>
      <w:r>
        <w:rPr>
          <w:b/>
        </w:rPr>
        <w:t>cladribine (2-CdA)</w:t>
      </w:r>
      <w:r>
        <w:t xml:space="preserve">. La </w:t>
      </w:r>
      <w:r>
        <w:rPr>
          <w:b/>
        </w:rPr>
        <w:t>mercaptopurine</w:t>
      </w:r>
      <w:r>
        <w:t xml:space="preserve">, synthétisée par Gertrude Elion et George Hitchings (Burroughs Wellcome, 1951, Prix Nobel 1988), est historiquement le premier analogue de purine utilisé en clinique, indiqué dans le traitement d'entretien des leucémies aiguës lymphoblastiques (LAL) de l'enfant, en association avec méthotrexate. Sa particularité pharmacogénétique est le métabolisme par la </w:t>
      </w:r>
      <w:r>
        <w:rPr>
          <w:b/>
        </w:rPr>
        <w:t>thiopurine méthyltransférase (TPMT)</w:t>
      </w:r>
      <w:r>
        <w:t xml:space="preserve"> : un déficit homozygote (1/300) en TPMT expose à une myélosuppression sévère voire fatale dès les premières doses, justifiant un </w:t>
      </w:r>
      <w:r>
        <w:rPr>
          <w:b/>
        </w:rPr>
        <w:t>dépistage pré-thérapeutique de l'activité TPMT</w:t>
      </w:r>
      <w:r>
        <w:t xml:space="preserve"> (test génétique ou enzymatique). La </w:t>
      </w:r>
      <w:r>
        <w:rPr>
          <w:b/>
        </w:rPr>
        <w:t>fludarabine</w:t>
      </w:r>
      <w:r>
        <w:t xml:space="preserve"> (Fludara®), un analogue de l'adénine fluoré et phosphorylé, est indiquée dans les hémopathies lymphoïdes chroniques (LLC, lymphomes folliculaires indolents, maladie de Waldenström) à raison de perfusions IV courtes 5 jours consécutifs toutes les 4 semaines ; sa lymphotoxicité intense et prolongée justifie une prophylaxie systématique par cotrimoxazole (pneumocystose) et valacyclovir (herpès/zona). La </w:t>
      </w:r>
      <w:r>
        <w:rPr>
          <w:b/>
        </w:rPr>
        <w:t>cladribine</w:t>
      </w:r>
      <w:r>
        <w:t xml:space="preserve"> (Mavenclad® / Marvyl®), analogue de la 2'-désoxyadénosine résistant à l'adénosine désaminase (ADA), est indiquée (i) en oncologie dans les leucémies à trichocytes (HCL) et les lymphomes à cellules mantelaires ; (ii) en neurologie dans la sclérose en plaque (SEP) récurrente-rémittente sous forme de 2 cures annuelles de comprimés per os (10 mg/j pendant 5 jours). Sa lymphotoxicité profonde et prolongée (déplétion lymphocytaire CD4+ &gt; 12 mois) impose une surveillance immunologique stricte.</w:t>
      </w:r>
    </w:p>
    <w:p>
      <w:pPr>
        <w:pStyle w:val="Heading3"/>
      </w:pPr>
      <w:r>
        <w:t>5. DCI : Mercaptopurine (6-MP)</w:t>
      </w:r>
    </w:p>
    <w:p>
      <w:pPr>
        <w:pStyle w:val="ListBullet"/>
      </w:pPr>
      <w:r/>
      <w:r>
        <w:rPr>
          <w:b/>
        </w:rPr>
        <w:t>Catégories</w:t>
      </w:r>
      <w:r>
        <w:t xml:space="preserve"> : Antimétabolite analogue de purine (analogue de l'hypoxanthine) ; cytotoxique phase S ; immunosuppresseur ; classe ATC L01BB02.</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PURINETHOL</w:t>
            </w:r>
          </w:p>
        </w:tc>
        <w:tc>
          <w:tcPr>
            <w:tcW w:type="dxa" w:w="1559"/>
          </w:tcPr>
          <w:p>
            <w:r>
              <w:rPr>
                <w:sz w:val="20"/>
              </w:rPr>
              <w:t>GLAXOSMITHKLINE</w:t>
            </w:r>
          </w:p>
        </w:tc>
        <w:tc>
          <w:tcPr>
            <w:tcW w:type="dxa" w:w="1559"/>
          </w:tcPr>
          <w:p>
            <w:r>
              <w:rPr>
                <w:sz w:val="20"/>
              </w:rPr>
              <w:t>Comprimé sécable, 50 mg</w:t>
            </w:r>
          </w:p>
        </w:tc>
        <w:tc>
          <w:tcPr>
            <w:tcW w:type="dxa" w:w="1559"/>
          </w:tcPr>
          <w:p>
            <w:r>
              <w:rPr>
                <w:sz w:val="20"/>
              </w:rPr>
              <w:t>B/25</w:t>
            </w:r>
          </w:p>
        </w:tc>
        <w:tc>
          <w:tcPr>
            <w:tcW w:type="dxa" w:w="1559"/>
          </w:tcPr>
          <w:p>
            <w:r>
              <w:rPr>
                <w:sz w:val="20"/>
              </w:rPr>
              <w:t>LISTE I</w:t>
            </w:r>
          </w:p>
        </w:tc>
        <w:tc>
          <w:tcPr>
            <w:tcW w:type="dxa" w:w="1559"/>
          </w:tcPr>
          <w:p>
            <w:r>
              <w:rPr>
                <w:sz w:val="20"/>
              </w:rPr>
              <w:t>NON RENOUVELABLE</w:t>
            </w:r>
          </w:p>
        </w:tc>
      </w:tr>
    </w:tbl>
    <w:p/>
    <w:p>
      <w:pPr>
        <w:pStyle w:val="ListBullet"/>
      </w:pPr>
      <w:r/>
      <w:r>
        <w:rPr>
          <w:b/>
        </w:rPr>
        <w:t>Mécanisme d'action</w:t>
      </w:r>
      <w:r>
        <w:t xml:space="preserve"> : la mercaptopurine (6-mercaptopurine, 6-MP) est un </w:t>
      </w:r>
      <w:r>
        <w:rPr>
          <w:b/>
        </w:rPr>
        <w:t>analogue structural de l'hypoxanthine</w:t>
      </w:r>
      <w:r>
        <w:t xml:space="preserve"> dans lequel le groupement hydroxyle en position 6 est substitué par un groupement thiol (-SH). Inactive par elle-même, elle nécessite une activation intracellulaire par l'hypoxanthine-guanine phosphoribosyltransférase (HGPRT) en </w:t>
      </w:r>
      <w:r>
        <w:rPr>
          <w:b/>
        </w:rPr>
        <w:t>6-thioinosine monophosphate (6-TIMP)</w:t>
      </w:r>
      <w:r>
        <w:t xml:space="preserve">, puis en </w:t>
      </w:r>
      <w:r>
        <w:rPr>
          <w:b/>
        </w:rPr>
        <w:t>6-thioguanosine monophosphate (6-TGMP)</w:t>
      </w:r>
      <w:r>
        <w:t xml:space="preserve"> par l'inosine monophosphate déshydrogénase (IMPDH), et finalement en </w:t>
      </w:r>
      <w:r>
        <w:rPr>
          <w:b/>
        </w:rPr>
        <w:t>6-thioguanosine triphosphate (6-TGTP)</w:t>
      </w:r>
      <w:r>
        <w:t xml:space="preserve"> qui est incorporé dans l'ADN naissant à la place de la guanine. L'incorporation de 6-TGTP provoque (1) une </w:t>
      </w:r>
      <w:r>
        <w:rPr>
          <w:b/>
        </w:rPr>
        <w:t>terminaison de la chaîne d'ADN</w:t>
      </w:r>
      <w:r>
        <w:t xml:space="preserve"> après incorporation (les ADN polymérases ne peuvent pas prolonger efficacement après 6-TGTP) ; (2) une altération de la fidélité de la réplication (mésappariement avec la thymine au lieu de la cytosine) ; (3) une activation du système de réparation par mésappariement (MMR) conduisant à des cassures d'ADN et à l'apoptose. La 6-TIMP exerce également une inhibition de la PRPP amidotransférase (première enzyme de la synthèse des purines) et de l'IMPDH — rétrocontrôle négatif sur la synthèse endogène des purines. Le métabolisme de la 6-MP est dominé par trois voies enzymatiques : (1) la </w:t>
      </w:r>
      <w:r>
        <w:rPr>
          <w:b/>
        </w:rPr>
        <w:t>thiopurine méthyltransférase (TPMT)</w:t>
      </w:r>
      <w:r>
        <w:t xml:space="preserve">, qui la méthyle en 6-méthylmercaptopurine (inactif) ; (2) la </w:t>
      </w:r>
      <w:r>
        <w:rPr>
          <w:b/>
        </w:rPr>
        <w:t>xanthine oxydase (XO)</w:t>
      </w:r>
      <w:r>
        <w:t xml:space="preserve">, hépatique et intestinale, qui la convertit en acide 6-thiourique (inactif) ; (3) la HGPRT (activation). Le polymorphisme génétique de la TPMT (1/300 homozygote déficitaire, 10 % hétérozygote) conditionne la tolérance : les patients déficitaires accumulent massivement les 6-TGTP et font une </w:t>
      </w:r>
      <w:r>
        <w:rPr>
          <w:b/>
        </w:rPr>
        <w:t>aplasie médullaire sévère</w:t>
      </w:r>
      <w:r>
        <w:t xml:space="preserve"> dès les premières doses — d'où le dépistage TPMT recommandé avant traitement. La résistance est liée à une diminution de l'activité HGPRT ou une augmentation de la TPMT.</w:t>
      </w:r>
    </w:p>
    <w:p>
      <w:pPr>
        <w:pStyle w:val="ListBullet"/>
      </w:pPr>
      <w:r/>
      <w:r>
        <w:rPr>
          <w:b/>
        </w:rPr>
        <w:t>Profil pharmacocinétique</w:t>
      </w:r>
      <w:r>
        <w:t xml:space="preserve"> : absorption orale variable et incomplète (biodisponibilité 5-37 %, moyenne 15-20 %), réduite par la prise alimentaire (surtout avec laitages, calcium, fer). Effet de premier passage hépatique intense par la xanthine oxydase. Distribution large (Vd 0,5-0,7 L/kg), passage LCR modéré (10-20 %). Liaison aux protéines ≈ 19 %. Métabolisme : trois voies comme décrit ci-dessus. Demi-vie d'élimination 50-90 min (forme mère). Élimination urinaire principalement sous forme de métabolites inactifs (acide 6-thiourique, 6-méthylmercaptopurine). Le métabolisme par la XO est inhibé par l'</w:t>
      </w:r>
      <w:r>
        <w:rPr>
          <w:b/>
        </w:rPr>
        <w:t>allopurinol</w:t>
      </w:r>
      <w:r>
        <w:t xml:space="preserve"> (et le fébuxostat) → si association, </w:t>
      </w:r>
      <w:r>
        <w:rPr>
          <w:b/>
        </w:rPr>
        <w:t>réduire la dose de 6-MP de 75 %</w:t>
      </w:r>
      <w:r>
        <w:t xml:space="preserve"> pour éviter une toxicité majeure. La clairance n'est pas affectée par l'insuffisance rénale modérée.</w:t>
      </w:r>
    </w:p>
    <w:p>
      <w:pPr>
        <w:pStyle w:val="ListBullet"/>
      </w:pPr>
      <w:r/>
      <w:r>
        <w:rPr>
          <w:b/>
        </w:rPr>
        <w:t>Indications</w:t>
      </w:r>
      <w:r>
        <w:t xml:space="preserve"> :</w:t>
      </w:r>
    </w:p>
    <w:p>
      <w:pPr>
        <w:pStyle w:val="ListBullet"/>
      </w:pPr>
      <w:r/>
      <w:r>
        <w:rPr>
          <w:b/>
        </w:rPr>
        <w:t>Leucémie aiguë lymphoblastique (LAL)</w:t>
      </w:r>
      <w:r>
        <w:t xml:space="preserve"> de l'enfant et de l'adulte : traitement d'entretien (maintenance) au long cours, en association avec méthotrexate hebdomadaire, pendant 2-3 ans après induction-consolidation. Dose 50-100 mg/m²/j per os en une prise.</w:t>
      </w:r>
    </w:p>
    <w:p>
      <w:pPr>
        <w:pStyle w:val="ListBullet"/>
      </w:pPr>
      <w:r/>
      <w:r>
        <w:rPr>
          <w:b/>
        </w:rPr>
        <w:t>LAL en induction</w:t>
      </w:r>
      <w:r>
        <w:t xml:space="preserve"> (rare, en association, surtout dans protocoles anciens) : 60 mg/m²/j pendant 21 jours.</w:t>
      </w:r>
    </w:p>
    <w:p>
      <w:pPr>
        <w:pStyle w:val="ListBullet"/>
      </w:pPr>
      <w:r>
        <w:t>Hors oncologie : maladie de Crohn (alternative aux anti-TNF, 1-1,5 mg/kg/j), colite ulcéreuse réfractaire, hépatite auto-immune réfractaire.</w:t>
      </w:r>
    </w:p>
    <w:p>
      <w:pPr>
        <w:pStyle w:val="ListBullet"/>
      </w:pPr>
      <w:r/>
      <w:r>
        <w:rPr>
          <w:b/>
        </w:rPr>
        <w:t>Contre-indications</w:t>
      </w:r>
      <w:r>
        <w:t xml:space="preserve"> : (1) </w:t>
      </w:r>
      <w:r>
        <w:rPr>
          <w:b/>
        </w:rPr>
        <w:t>Déficit homozygote en TPMT</w:t>
      </w:r>
      <w:r>
        <w:t xml:space="preserve"> connu (aplasie fatale à la première dose) ; (2) </w:t>
      </w:r>
      <w:r>
        <w:rPr>
          <w:b/>
        </w:rPr>
        <w:t>Aplasie médullaire préexistante</w:t>
      </w:r>
      <w:r>
        <w:t xml:space="preserve"> ; (3) </w:t>
      </w:r>
      <w:r>
        <w:rPr>
          <w:b/>
        </w:rPr>
        <w:t>Patiente enceinte ou allaitant</w:t>
      </w:r>
      <w:r>
        <w:t xml:space="preserve"> ; (4) </w:t>
      </w:r>
      <w:r>
        <w:rPr>
          <w:b/>
        </w:rPr>
        <w:t>Insuffisance hépatique sévère</w:t>
      </w:r>
      <w:r>
        <w:t xml:space="preserve"> ; (5) </w:t>
      </w:r>
      <w:r>
        <w:rPr>
          <w:b/>
        </w:rPr>
        <w:t>Traitement par allopurinol</w:t>
      </w:r>
      <w:r>
        <w:t xml:space="preserve"> sans réduction de dose de 6-MP ; (6) </w:t>
      </w:r>
      <w:r>
        <w:rPr>
          <w:b/>
        </w:rPr>
        <w:t>Vaccination par vaccin vivant atténué</w:t>
      </w:r>
      <w:r>
        <w:t xml:space="preserve"> ; (7) </w:t>
      </w:r>
      <w:r>
        <w:rPr>
          <w:b/>
        </w:rPr>
        <w:t>Allaitement</w:t>
      </w:r>
      <w:r>
        <w:t xml:space="preserve"> ; (8) </w:t>
      </w:r>
      <w:r>
        <w:rPr>
          <w:b/>
        </w:rPr>
        <w:t>Hypersensibilité à la 6-MP</w:t>
      </w:r>
      <w:r>
        <w:t>.</w:t>
      </w:r>
    </w:p>
    <w:p>
      <w:pPr>
        <w:pStyle w:val="ListBullet"/>
      </w:pPr>
      <w:r/>
      <w:r>
        <w:rPr>
          <w:b/>
        </w:rPr>
        <w:t>Effets indésirables</w:t>
      </w:r>
      <w:r>
        <w:t xml:space="preserve"> :</w:t>
      </w:r>
    </w:p>
    <w:p>
      <w:pPr>
        <w:pStyle w:val="ListBullet"/>
      </w:pPr>
      <w:r/>
      <w:r>
        <w:rPr>
          <w:b/>
        </w:rPr>
        <w:t>Hématologique</w:t>
      </w:r>
      <w:r>
        <w:t xml:space="preserve"> : myélotoxicité dose-limitante — leucopénie, thrombopénie, anémie (nadir J14-J21). Risque majeur de pancytopénie fébrile en cas de déficit TPMT.</w:t>
      </w:r>
    </w:p>
    <w:p>
      <w:pPr>
        <w:pStyle w:val="ListBullet"/>
      </w:pPr>
      <w:r/>
      <w:r>
        <w:rPr>
          <w:b/>
        </w:rPr>
        <w:t>Hépatique</w:t>
      </w:r>
      <w:r>
        <w:t xml:space="preserve"> : cytolyse (ALAT/ASAT), cholestase, </w:t>
      </w:r>
      <w:r>
        <w:rPr>
          <w:b/>
        </w:rPr>
        <w:t>maladie veino-occlusive hépatique</w:t>
      </w:r>
      <w:r>
        <w:t xml:space="preserve"> (VOD) à fortes doses, hépatotoxicité accrue en cas de déficit TPMT.</w:t>
      </w:r>
    </w:p>
    <w:p>
      <w:pPr>
        <w:pStyle w:val="ListBullet"/>
      </w:pPr>
      <w:r/>
      <w:r>
        <w:rPr>
          <w:b/>
        </w:rPr>
        <w:t>Digestive</w:t>
      </w:r>
      <w:r>
        <w:t xml:space="preserve"> : anorexie, nausées, vomissements modérés, mucite légère, diarrhée.</w:t>
      </w:r>
    </w:p>
    <w:p>
      <w:pPr>
        <w:pStyle w:val="ListBullet"/>
      </w:pPr>
      <w:r/>
      <w:r>
        <w:rPr>
          <w:b/>
        </w:rPr>
        <w:t>Cutanée</w:t>
      </w:r>
      <w:r>
        <w:t xml:space="preserve"> : rash, hyperpigmentation, photosensibilité, rare syndrome de Stevens-Johnson.</w:t>
      </w:r>
    </w:p>
    <w:p>
      <w:pPr>
        <w:pStyle w:val="ListBullet"/>
      </w:pPr>
      <w:r/>
      <w:r>
        <w:rPr>
          <w:b/>
        </w:rPr>
        <w:t>Pancréatite</w:t>
      </w:r>
      <w:r>
        <w:t xml:space="preserve"> : rare (3 %) mais caractéristique, parfois sévère — arrêt définitif.</w:t>
      </w:r>
    </w:p>
    <w:p>
      <w:pPr>
        <w:pStyle w:val="ListBullet"/>
      </w:pPr>
      <w:r/>
      <w:r>
        <w:rPr>
          <w:b/>
        </w:rPr>
        <w:t>Immunosuppression</w:t>
      </w:r>
      <w:r>
        <w:t xml:space="preserve"> : infections opportunistes (pneumocystose, herpès, zona, CMV) — prophylaxie cotrimoxazole si traitement prolongé.</w:t>
      </w:r>
    </w:p>
    <w:p>
      <w:pPr>
        <w:pStyle w:val="ListBullet"/>
      </w:pPr>
      <w:r/>
      <w:r>
        <w:rPr>
          <w:b/>
        </w:rPr>
        <w:t>Alopécie</w:t>
      </w:r>
      <w:r>
        <w:t xml:space="preserve"> : rare, modérée.</w:t>
      </w:r>
    </w:p>
    <w:p>
      <w:pPr>
        <w:pStyle w:val="ListBullet"/>
      </w:pPr>
      <w:r/>
      <w:r>
        <w:rPr>
          <w:b/>
        </w:rPr>
        <w:t>Gonadique</w:t>
      </w:r>
      <w:r>
        <w:t xml:space="preserve"> : oligospermie, aménorrhée transitoires.</w:t>
      </w:r>
    </w:p>
    <w:p>
      <w:pPr>
        <w:pStyle w:val="ListBullet"/>
      </w:pPr>
      <w:r/>
      <w:r>
        <w:rPr>
          <w:b/>
        </w:rPr>
        <w:t>Mesures préventives</w:t>
      </w:r>
      <w:r>
        <w:t xml:space="preserve"> :</w:t>
      </w:r>
    </w:p>
    <w:p>
      <w:pPr>
        <w:pStyle w:val="ListBullet"/>
      </w:pPr>
      <w:r/>
      <w:r>
        <w:rPr>
          <w:b/>
        </w:rPr>
        <w:t>Dépistage TPMT avant traitement</w:t>
      </w:r>
      <w:r>
        <w:t xml:space="preserve"> : test génotypique (recherche mutations *2, *3A, *3B, *3C) ou phénotypique (activité enzymatique érythrocytaire). Si homozygote déficitaire : contre-indication absolue. Si hétérozygote : réduire dose de 50 %. Si activité normale : dose standard.</w:t>
      </w:r>
    </w:p>
    <w:p>
      <w:pPr>
        <w:pStyle w:val="ListBullet"/>
      </w:pPr>
      <w:r/>
      <w:r>
        <w:rPr>
          <w:b/>
        </w:rPr>
        <w:t>Bilan pré-thérapeutique</w:t>
      </w:r>
      <w:r>
        <w:t xml:space="preserve"> : NFS-plaquettes (avant traitement, puis hebdomadaire pendant 4 semaines puis mensuel), bilan hépatique (ALAT, ASAT, PAL, γGT, bilirubine), créatininémie, β-hCG, sérologies (VHB, VHC, VIH, EBV, CMV).</w:t>
      </w:r>
    </w:p>
    <w:p>
      <w:pPr>
        <w:pStyle w:val="ListBullet"/>
      </w:pPr>
      <w:r/>
      <w:r>
        <w:rPr>
          <w:b/>
        </w:rPr>
        <w:t>Surveillance</w:t>
      </w:r>
      <w:r>
        <w:t xml:space="preserve"> : NFS hebdomadaire le premier mois puis mensuelle ; bilan hépatique mensuel ; amylase/lipase si suspicion pancréatite.</w:t>
      </w:r>
    </w:p>
    <w:p>
      <w:pPr>
        <w:pStyle w:val="ListBullet"/>
      </w:pPr>
      <w:r/>
      <w:r>
        <w:rPr>
          <w:b/>
        </w:rPr>
        <w:t>Hydratation</w:t>
      </w:r>
      <w:r>
        <w:t xml:space="preserve"> : 1,5-2 L/j.</w:t>
      </w:r>
    </w:p>
    <w:p>
      <w:pPr>
        <w:pStyle w:val="ListBullet"/>
      </w:pPr>
      <w:r/>
      <w:r>
        <w:rPr>
          <w:b/>
        </w:rPr>
        <w:t>Prophylaxie pneumocystose</w:t>
      </w:r>
      <w:r>
        <w:t xml:space="preserve"> : cotrimoxazole Bactrim® 400/80 mg 3x/sem si traitement prolongé.</w:t>
      </w:r>
    </w:p>
    <w:p>
      <w:pPr>
        <w:pStyle w:val="ListBullet"/>
      </w:pPr>
      <w:r/>
      <w:r>
        <w:rPr>
          <w:b/>
        </w:rPr>
        <w:t>Vaccins</w:t>
      </w:r>
      <w:r>
        <w:t xml:space="preserve"> : éviter vaccins vivants atténués pendant et 6 mois après.</w:t>
      </w:r>
    </w:p>
    <w:p>
      <w:pPr>
        <w:pStyle w:val="ListBullet"/>
      </w:pPr>
      <w:r/>
      <w:r>
        <w:rPr>
          <w:b/>
        </w:rPr>
        <w:t>Contraception</w:t>
      </w:r>
      <w:r>
        <w:t xml:space="preserve"> : obligatoire pendant et 3 mois après (femme et homme).</w:t>
      </w:r>
    </w:p>
    <w:p>
      <w:pPr>
        <w:pStyle w:val="ListBullet"/>
      </w:pPr>
      <w:r/>
      <w:r>
        <w:rPr>
          <w:b/>
        </w:rPr>
        <w:t>Photoprotection</w:t>
      </w:r>
      <w:r>
        <w:t xml:space="preserve"> : écran solaire SPF 50.</w:t>
      </w:r>
    </w:p>
    <w:p>
      <w:pPr>
        <w:pStyle w:val="ListBullet"/>
      </w:pPr>
      <w:r/>
      <w:r>
        <w:rPr>
          <w:b/>
        </w:rPr>
        <w:t>Alimentation</w:t>
      </w:r>
      <w:r>
        <w:t xml:space="preserve"> : éviter la prise avec laitages, calcium, fer (réduction absorption).</w:t>
      </w:r>
    </w:p>
    <w:p>
      <w:pPr>
        <w:pStyle w:val="ListBullet"/>
      </w:pPr>
      <w:r/>
      <w:r>
        <w:rPr>
          <w:b/>
        </w:rPr>
        <w:t>Interactions médicamenteuses</w:t>
      </w:r>
      <w:r>
        <w:t xml:space="preserve"> :</w:t>
      </w:r>
    </w:p>
    <w:p>
      <w:pPr>
        <w:pStyle w:val="ListBullet"/>
      </w:pPr>
      <w:r/>
      <w:r>
        <w:rPr>
          <w:b/>
        </w:rPr>
        <w:t>6-MP + allopurinol</w:t>
      </w:r>
      <w:r>
        <w:t xml:space="preserve"> : inhibition de la XO → </w:t>
      </w:r>
      <w:r>
        <w:rPr>
          <w:b/>
        </w:rPr>
        <w:t>augmentation massive des taux de 6-MP</w:t>
      </w:r>
      <w:r>
        <w:t xml:space="preserve"> → toxicité fatale (aplasie). </w:t>
      </w:r>
      <w:r>
        <w:rPr>
          <w:b/>
        </w:rPr>
        <w:t>Réduire la dose de 6-MP de 75 %</w:t>
      </w:r>
      <w:r>
        <w:t xml:space="preserve"> si association nécessaire (cancer blaste hyperuricémie).</w:t>
      </w:r>
    </w:p>
    <w:p>
      <w:pPr>
        <w:pStyle w:val="ListBullet"/>
      </w:pPr>
      <w:r/>
      <w:r>
        <w:rPr>
          <w:b/>
        </w:rPr>
        <w:t>6-MP + fébuxostat</w:t>
      </w:r>
      <w:r>
        <w:t xml:space="preserve"> : même mécanisme — </w:t>
      </w:r>
      <w:r>
        <w:rPr>
          <w:b/>
        </w:rPr>
        <w:t>contre-indication</w:t>
      </w:r>
      <w:r>
        <w:t xml:space="preserve"> ou réduction 75 %.</w:t>
      </w:r>
    </w:p>
    <w:p>
      <w:pPr>
        <w:pStyle w:val="ListBullet"/>
      </w:pPr>
      <w:r/>
      <w:r>
        <w:rPr>
          <w:b/>
        </w:rPr>
        <w:t>6-MP + warfarine, AVK</w:t>
      </w:r>
      <w:r>
        <w:t xml:space="preserve"> : modification de l'effet anticoagulant — surveillance INR.</w:t>
      </w:r>
    </w:p>
    <w:p>
      <w:pPr>
        <w:pStyle w:val="ListBullet"/>
      </w:pPr>
      <w:r/>
      <w:r>
        <w:rPr>
          <w:b/>
        </w:rPr>
        <w:t>6-MP + méthotrexate</w:t>
      </w:r>
      <w:r>
        <w:t xml:space="preserve"> : synergie classique (protocoles LAL), potentialisation de l'effet (MTX inhibe la conversion de 6-MP en métabolites inactifs).</w:t>
      </w:r>
    </w:p>
    <w:p>
      <w:pPr>
        <w:pStyle w:val="ListBullet"/>
      </w:pPr>
      <w:r/>
      <w:r>
        <w:rPr>
          <w:b/>
        </w:rPr>
        <w:t>6-MP + vaccins vivants atténués</w:t>
      </w:r>
      <w:r>
        <w:t xml:space="preserve"> : contre-indication (immunosuppression).</w:t>
      </w:r>
    </w:p>
    <w:p>
      <w:pPr>
        <w:pStyle w:val="ListBullet"/>
      </w:pPr>
      <w:r/>
      <w:r>
        <w:rPr>
          <w:b/>
        </w:rPr>
        <w:t>6-MP + aminosides, furosémide</w:t>
      </w:r>
      <w:r>
        <w:t xml:space="preserve"> : toxicité rénale additive (rare).</w:t>
      </w:r>
    </w:p>
    <w:p>
      <w:pPr>
        <w:pStyle w:val="ListBullet"/>
      </w:pPr>
      <w:r/>
      <w:r>
        <w:rPr>
          <w:b/>
        </w:rPr>
        <w:t>6-MP + didanosine</w:t>
      </w:r>
      <w:r>
        <w:t xml:space="preserve"> : augmentation de la toxicité pancréatique (les deux pancréatotoxiques).</w:t>
      </w:r>
    </w:p>
    <w:p>
      <w:pPr>
        <w:pStyle w:val="ListBullet"/>
      </w:pPr>
      <w:r/>
      <w:r>
        <w:rPr>
          <w:b/>
        </w:rPr>
        <w:t>6-MP + triméthoprime-sulfaméthoxazole</w:t>
      </w:r>
      <w:r>
        <w:t xml:space="preserve"> : toxicité hématologique additive (cette prophylaxie pneumocystose reste néanmoins indiquée mais surveillance ++).</w:t>
      </w:r>
    </w:p>
    <w:p>
      <w:pPr>
        <w:pStyle w:val="ListBullet"/>
      </w:pPr>
      <w:r/>
      <w:r>
        <w:rPr>
          <w:b/>
        </w:rPr>
        <w:t>6-MP + 5-ASAs (mésalazine)</w:t>
      </w:r>
      <w:r>
        <w:t xml:space="preserve"> : inhibition possible de la TPMT par les 5-ASAs → augmenter toxicité 6-MP (prudence en cas de maladie de Crohn sous 5-ASA + 6-MP).</w:t>
      </w:r>
    </w:p>
    <w:p>
      <w:pPr>
        <w:pStyle w:val="ListBullet"/>
      </w:pPr>
      <w:r/>
      <w:r>
        <w:rPr>
          <w:b/>
        </w:rPr>
        <w:t>Grossesse et allaitement (CRAT)</w:t>
      </w:r>
      <w:r>
        <w:t xml:space="preserve"> :</w:t>
      </w:r>
    </w:p>
    <w:p>
      <w:pPr>
        <w:pStyle w:val="ListBullet"/>
      </w:pPr>
      <w:r/>
      <w:r>
        <w:rPr>
          <w:b/>
        </w:rPr>
        <w:t>Grossesse</w:t>
      </w:r>
      <w:r>
        <w:t xml:space="preserve"> : selon le CRAT, la mercaptopurine est </w:t>
      </w:r>
      <w:r>
        <w:rPr>
          <w:b/>
        </w:rPr>
        <w:t>tératogène</w:t>
      </w:r>
      <w:r>
        <w:t xml:space="preserve"> potentielle chez l'animal (anomalies squelettiques, abortif). Chez l'humain, données limitées — utilisé dans la maladie de Crohn chez la femme enceinte si bénéfice &gt; risque (compatible avec surveillance selon le CRAT dans la maladie de Crohn). En oncologie, </w:t>
      </w:r>
      <w:r>
        <w:rPr>
          <w:b/>
        </w:rPr>
        <w:t>à éviter en cours de grossesse</w:t>
      </w:r>
      <w:r>
        <w:t xml:space="preserve"> (catégorie D) — si nécessaire (LAL diagnostiquée pendant grossesse), discussion multidisciplinaire et protocoles adaptés (sans 6-MP au 1er trimestre). Contraception recommandée pendant et 3 mois après (femme et homme).</w:t>
      </w:r>
    </w:p>
    <w:p>
      <w:pPr>
        <w:pStyle w:val="ListBullet"/>
      </w:pPr>
      <w:r/>
      <w:r>
        <w:rPr>
          <w:b/>
        </w:rPr>
        <w:t>Allaitement</w:t>
      </w:r>
      <w:r>
        <w:t xml:space="preserve"> : contre-indiqué en oncologie (la 6-MP passe dans le lait maternel — toxicité hématologique potentielle). En gastro-entérologie (Crohn) : exceptionnellement autorisé mais surveillance NFS de l'enfant.</w:t>
      </w:r>
    </w:p>
    <w:p>
      <w:pPr>
        <w:pStyle w:val="ListBullet"/>
      </w:pPr>
      <w:r/>
      <w:r>
        <w:rPr>
          <w:b/>
        </w:rPr>
        <w:t>Posologie</w:t>
      </w:r>
      <w:r>
        <w:t xml:space="preserve"> :</w:t>
      </w:r>
    </w:p>
    <w:p>
      <w:pPr>
        <w:pStyle w:val="ListBullet"/>
      </w:pPr>
      <w:r/>
      <w:r>
        <w:rPr>
          <w:b/>
        </w:rPr>
        <w:t>LAL enfant (maintenance)</w:t>
      </w:r>
      <w:r>
        <w:t xml:space="preserve"> : 50-75 mg/m²/j per os en une prise le soir, en association avec méthotrexate 20 mg/m²/sem. Ajuster selon tolérance hématologique (NFS cible : PNN 1,5-2,5 G/L, plaquettes &gt; 100 G/L).</w:t>
      </w:r>
    </w:p>
    <w:p>
      <w:pPr>
        <w:pStyle w:val="ListBullet"/>
      </w:pPr>
      <w:r/>
      <w:r>
        <w:rPr>
          <w:b/>
        </w:rPr>
        <w:t>LAL adulte</w:t>
      </w:r>
      <w:r>
        <w:t xml:space="preserve"> : 100-150 mg/m²/j per os.</w:t>
      </w:r>
    </w:p>
    <w:p>
      <w:pPr>
        <w:pStyle w:val="ListBullet"/>
      </w:pPr>
      <w:r/>
      <w:r>
        <w:rPr>
          <w:b/>
        </w:rPr>
        <w:t>Maladie de Crohn</w:t>
      </w:r>
      <w:r>
        <w:t xml:space="preserve"> : 1-1,5 mg/kg/j per os, dose max 100 mg/j.</w:t>
      </w:r>
    </w:p>
    <w:p>
      <w:pPr>
        <w:pStyle w:val="ListBullet"/>
      </w:pPr>
      <w:r/>
      <w:r>
        <w:rPr>
          <w:b/>
        </w:rPr>
        <w:t>Adaptation</w:t>
      </w:r>
      <w:r>
        <w:t xml:space="preserve"> : insuffisance rénale (modérée : pas d'adaptation ; sévère : surveiller ++) ; insuffisance hépatique (réduire 25-50 %) ; sujet âgé (réduction 25 %) ; TPMT hétérozygote (réduire 50 %) ; association allopurinol (réduire 75 %).</w:t>
      </w:r>
    </w:p>
    <w:p>
      <w:pPr>
        <w:pStyle w:val="ListBullet"/>
      </w:pPr>
      <w:r/>
      <w:r>
        <w:rPr>
          <w:b/>
        </w:rPr>
        <w:t>Surveillance thérapeutique</w:t>
      </w:r>
      <w:r>
        <w:t xml:space="preserve"> : dosage des métabolites 6-TGN (thioguanine nucléotides) érythrocytaires cible 200-400 pmol/8×10⁸ RBC (efficacité sans toxicité) ; 6-MMPN &gt; 5700 pmol/8×10⁸ RBC = hépatotoxicité.</w:t>
      </w:r>
    </w:p>
    <w:p>
      <w:pPr>
        <w:pStyle w:val="ListBullet"/>
      </w:pPr>
      <w:r/>
      <w:r>
        <w:rPr>
          <w:b/>
        </w:rPr>
        <w:t>Formes galéniques</w:t>
      </w:r>
      <w:r>
        <w:t xml:space="preserve"> :</w:t>
      </w:r>
    </w:p>
    <w:p>
      <w:pPr>
        <w:pStyle w:val="ListBullet"/>
      </w:pPr>
      <w:r/>
      <w:r>
        <w:rPr>
          <w:b/>
        </w:rPr>
        <w:t>Comprimé sécable 50 mg</w:t>
      </w:r>
      <w:r>
        <w:t xml:space="preserve"> (PURINETHOL GlaxoSmithKline — non renouvelable en Algérie, mais restant disponible sur autorisation d'importation ou stock résiduel) : forme orale unique, sécable pour adaptation fine (25 mg). Conservation &lt; 25 °C, à l'abri de l'humidité et de la lumière.</w:t>
      </w:r>
    </w:p>
    <w:p>
      <w:pPr>
        <w:pStyle w:val="ListBullet"/>
      </w:pPr>
      <w:r/>
      <w:r>
        <w:rPr>
          <w:b/>
        </w:rPr>
        <w:t>Suspension buvable 10 mg/mL</w:t>
      </w:r>
      <w:r>
        <w:t xml:space="preserve"> : indisponible en Algérie (à préparer magistralement pour l'enfant de moins de 5 ans — suspension en Sirop simple S.Q. pour 30 jours).</w:t>
      </w:r>
    </w:p>
    <w:p>
      <w:pPr>
        <w:pStyle w:val="ListBullet"/>
      </w:pPr>
      <w:r/>
      <w:r>
        <w:rPr>
          <w:b/>
        </w:rPr>
        <w:t>Solution injectable IV</w:t>
      </w:r>
      <w:r>
        <w:t xml:space="preserve"> : indisponible en Algérie.</w:t>
      </w:r>
    </w:p>
    <w:p>
      <w:pPr>
        <w:pStyle w:val="ListBullet"/>
      </w:pPr>
      <w:r/>
      <w:r>
        <w:rPr>
          <w:b/>
        </w:rPr>
        <w:t>Manipulation</w:t>
      </w:r>
      <w:r>
        <w:t xml:space="preserve"> : précautions cytotoxiques standard.</w:t>
      </w:r>
    </w:p>
    <w:p>
      <w:pPr>
        <w:pStyle w:val="ListBullet"/>
      </w:pPr>
      <w:r/>
      <w:r>
        <w:rPr>
          <w:b/>
        </w:rPr>
        <w:t>Problème algérien</w:t>
      </w:r>
      <w:r>
        <w:t xml:space="preserve"> : rupture de stock fréquente du PURINETHOL — anticipation obligatoire (autorisation d'importation), ou utilisation de thioguanine (Tioguanine® — non disponible non plus en Algérie, situation préoccupante pour les LAL enfant).</w:t>
      </w:r>
    </w:p>
    <w:p>
      <w:pPr>
        <w:pStyle w:val="ListBullet"/>
      </w:pPr>
      <w:r/>
      <w:r>
        <w:rPr>
          <w:b/>
        </w:rPr>
        <w:t>Conseils aux patients</w:t>
      </w:r>
      <w:r>
        <w:t xml:space="preserve"> :</w:t>
      </w:r>
    </w:p>
    <w:p>
      <w:pPr>
        <w:pStyle w:val="ListBullet"/>
      </w:pPr>
      <w:r/>
      <w:r>
        <w:rPr>
          <w:b/>
        </w:rPr>
        <w:t>Communication au comptoir</w:t>
      </w:r>
      <w:r>
        <w:t xml:space="preserve"> : « Voici votre mercaptopurine. Vous prenez 1 comprimé par jour le soir, à heure fixe, </w:t>
      </w:r>
      <w:r>
        <w:rPr>
          <w:b/>
        </w:rPr>
        <w:t>sans lait, sans fer, sans calcium</w:t>
      </w:r>
      <w:r>
        <w:t xml:space="preserve"> dans les 2 heures autour de la prise. Ne jamais prendre d'allopurinol ou de fébuxostat avec ce médicament (toxicité grave). Surveillez votre température : si fièvre &gt; 38,5 °C, consultez en urgence (risque d'infection grave). Prévoyez une prise de sang toutes les semaines le premier mois, puis mensuelle. »</w:t>
      </w:r>
    </w:p>
    <w:p>
      <w:pPr>
        <w:pStyle w:val="ListBullet"/>
      </w:pPr>
      <w:r/>
      <w:r>
        <w:rPr>
          <w:b/>
        </w:rPr>
        <w:t>Mode d'utilisation</w:t>
      </w:r>
      <w:r>
        <w:t xml:space="preserve"> : per os, le soir, à heure fixe, à jeun ou 1 h avant repas.</w:t>
      </w:r>
    </w:p>
    <w:p>
      <w:pPr>
        <w:pStyle w:val="ListBullet"/>
      </w:pPr>
      <w:r/>
      <w:r>
        <w:rPr>
          <w:b/>
        </w:rPr>
        <w:t>Surveillance NFS</w:t>
      </w:r>
      <w:r>
        <w:t xml:space="preserve"> : hebdomadaire le premier mois puis mensuelle.</w:t>
      </w:r>
    </w:p>
    <w:p>
      <w:pPr>
        <w:pStyle w:val="ListBullet"/>
      </w:pPr>
      <w:r/>
      <w:r>
        <w:rPr>
          <w:b/>
        </w:rPr>
        <w:t>Hydratation</w:t>
      </w:r>
      <w:r>
        <w:t xml:space="preserve"> : 1,5-2 L/j.</w:t>
      </w:r>
    </w:p>
    <w:p>
      <w:pPr>
        <w:pStyle w:val="ListBullet"/>
      </w:pPr>
      <w:r/>
      <w:r>
        <w:rPr>
          <w:b/>
        </w:rPr>
        <w:t>Vaccins</w:t>
      </w:r>
      <w:r>
        <w:t xml:space="preserve"> : éviter vaccins vivants atténués pendant et 6 mois après.</w:t>
      </w:r>
    </w:p>
    <w:p>
      <w:pPr>
        <w:pStyle w:val="ListBullet"/>
      </w:pPr>
      <w:r/>
      <w:r>
        <w:rPr>
          <w:b/>
        </w:rPr>
        <w:t>Photoprotection</w:t>
      </w:r>
      <w:r>
        <w:t xml:space="preserve"> : écran solaire SPF 50.</w:t>
      </w:r>
    </w:p>
    <w:p>
      <w:pPr>
        <w:pStyle w:val="ListBullet"/>
      </w:pPr>
      <w:r/>
      <w:r>
        <w:rPr>
          <w:b/>
        </w:rPr>
        <w:t>Contraception</w:t>
      </w:r>
      <w:r>
        <w:t xml:space="preserve"> : obligatoire pendant et 3 mois après.</w:t>
      </w:r>
    </w:p>
    <w:p>
      <w:pPr>
        <w:pStyle w:val="ListBullet"/>
      </w:pPr>
      <w:r/>
      <w:r>
        <w:rPr>
          <w:b/>
        </w:rPr>
        <w:t>En cas de fièvre, ulcère buccal, saignement, douleurs abdominales</w:t>
      </w:r>
      <w:r>
        <w:t xml:space="preserve"> : consulter en urgence.</w:t>
      </w:r>
    </w:p>
    <w:p>
      <w:pPr>
        <w:pStyle w:val="ListBullet"/>
      </w:pPr>
      <w:r/>
      <w:r>
        <w:rPr>
          <w:b/>
        </w:rPr>
        <w:t>Ne pas prendre avec allopurinol ou fébuxostat</w:t>
      </w:r>
      <w:r>
        <w:t xml:space="preserve"> sans avis oncologique.</w:t>
      </w:r>
    </w:p>
    <w:p>
      <w:pPr>
        <w:pStyle w:val="ListBullet"/>
      </w:pPr>
      <w:r/>
      <w:r>
        <w:rPr>
          <w:b/>
        </w:rPr>
        <w:t>Pièges classiques</w:t>
      </w:r>
      <w:r>
        <w:t xml:space="preserve"> :</w:t>
      </w:r>
    </w:p>
    <w:p>
      <w:pPr>
        <w:pStyle w:val="ListBullet"/>
      </w:pPr>
      <w:r/>
      <w:r>
        <w:rPr>
          <w:b/>
        </w:rPr>
        <w:t>Piège de l'allopurinol</w:t>
      </w:r>
      <w:r>
        <w:t xml:space="preserve"> : toxicité fatale si association sans réduction de 75 % — toujours interroger le patient.</w:t>
      </w:r>
    </w:p>
    <w:p>
      <w:pPr>
        <w:pStyle w:val="ListBullet"/>
      </w:pPr>
      <w:r/>
      <w:r>
        <w:rPr>
          <w:b/>
        </w:rPr>
        <w:t>Piège du déficit TPMT</w:t>
      </w:r>
      <w:r>
        <w:t xml:space="preserve"> : aplasie fatale possible — dépistage obligatoire.</w:t>
      </w:r>
    </w:p>
    <w:p>
      <w:pPr>
        <w:pStyle w:val="ListBullet"/>
      </w:pPr>
      <w:r/>
      <w:r>
        <w:rPr>
          <w:b/>
        </w:rPr>
        <w:t>Piège de la prise avec laitages/fer/calcium</w:t>
      </w:r>
      <w:r>
        <w:t xml:space="preserve"> : réduction majeure de l'absorption.</w:t>
      </w:r>
    </w:p>
    <w:p>
      <w:pPr>
        <w:pStyle w:val="ListBullet"/>
      </w:pPr>
      <w:r/>
      <w:r>
        <w:rPr>
          <w:b/>
        </w:rPr>
        <w:t>Piège de la pancréatite</w:t>
      </w:r>
      <w:r>
        <w:t xml:space="preserve"> : douleur abdominale suspecte — arrêter, doser amylase/lipase.</w:t>
      </w:r>
    </w:p>
    <w:p>
      <w:pPr>
        <w:pStyle w:val="ListBullet"/>
      </w:pPr>
      <w:r/>
      <w:r>
        <w:rPr>
          <w:b/>
        </w:rPr>
        <w:t>Piège de l'hépatotoxicité</w:t>
      </w:r>
      <w:r>
        <w:t xml:space="preserve"> : élévation ALAT souvent précoce — surveillance mensuelle.</w:t>
      </w:r>
    </w:p>
    <w:p>
      <w:pPr>
        <w:pStyle w:val="ListBullet"/>
      </w:pPr>
      <w:r/>
      <w:r>
        <w:rPr>
          <w:b/>
        </w:rPr>
        <w:t>Piège du sevrage du traitement de maintenance</w:t>
      </w:r>
      <w:r>
        <w:t xml:space="preserve"> : ne jamais arrêter brutalement (risque de rechute LAL) — coordination oncologue.</w:t>
      </w:r>
    </w:p>
    <w:p>
      <w:pPr>
        <w:pStyle w:val="ListBullet"/>
      </w:pPr>
      <w:r/>
      <w:r>
        <w:rPr>
          <w:b/>
        </w:rPr>
        <w:t>Piège du dosage des métabolites 6-TGN</w:t>
      </w:r>
      <w:r>
        <w:t xml:space="preserve"> : utile si inefficacité ou toxicité inexpliquée.</w:t>
      </w:r>
    </w:p>
    <w:p>
      <w:pPr>
        <w:pStyle w:val="ListBullet"/>
      </w:pPr>
      <w:r/>
      <w:r>
        <w:rPr>
          <w:b/>
        </w:rPr>
        <w:t>Piège de substitution de marque</w:t>
      </w:r>
      <w:r>
        <w:t xml:space="preserve"> : PURINETHOL non renouvelable en Algérie — anticiper le stock.</w:t>
      </w:r>
    </w:p>
    <w:p>
      <w:pPr>
        <w:pStyle w:val="Heading3"/>
      </w:pPr>
      <w:r>
        <w:t>6. DCI : Fludarabine</w:t>
      </w:r>
    </w:p>
    <w:p>
      <w:pPr>
        <w:pStyle w:val="ListBullet"/>
      </w:pPr>
      <w:r/>
      <w:r>
        <w:rPr>
          <w:b/>
        </w:rPr>
        <w:t>Catégories</w:t>
      </w:r>
      <w:r>
        <w:t xml:space="preserve"> : Antimétabolite analogue de purine (analogue de l'adénosine, fluoré et phosphorylé) ; cytotoxique phase S ; immunosuppresseur puissant ; classe ATC L01BB05.</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FLUDARA</w:t>
            </w:r>
          </w:p>
        </w:tc>
        <w:tc>
          <w:tcPr>
            <w:tcW w:type="dxa" w:w="1559"/>
          </w:tcPr>
          <w:p>
            <w:r>
              <w:rPr>
                <w:sz w:val="20"/>
              </w:rPr>
              <w:t>GENZYME EUROPE BV</w:t>
            </w:r>
          </w:p>
        </w:tc>
        <w:tc>
          <w:tcPr>
            <w:tcW w:type="dxa" w:w="1559"/>
          </w:tcPr>
          <w:p>
            <w:r>
              <w:rPr>
                <w:sz w:val="20"/>
              </w:rPr>
              <w:t>Lyophilisat pour solution injectable pour perfusion IV, 50 mg/flacon</w:t>
            </w:r>
          </w:p>
        </w:tc>
        <w:tc>
          <w:tcPr>
            <w:tcW w:type="dxa" w:w="1559"/>
          </w:tcPr>
          <w:p>
            <w:r>
              <w:rPr>
                <w:sz w:val="20"/>
              </w:rPr>
              <w:t>B/5 flacons</w:t>
            </w:r>
          </w:p>
        </w:tc>
        <w:tc>
          <w:tcPr>
            <w:tcW w:type="dxa" w:w="1559"/>
          </w:tcPr>
          <w:p>
            <w:r>
              <w:rPr>
                <w:sz w:val="20"/>
              </w:rPr>
              <w:t>LISTE I</w:t>
            </w:r>
          </w:p>
        </w:tc>
        <w:tc>
          <w:tcPr>
            <w:tcW w:type="dxa" w:w="1559"/>
          </w:tcPr>
          <w:p>
            <w:r>
              <w:rPr>
                <w:sz w:val="20"/>
              </w:rPr>
              <w:t>ACTIF</w:t>
            </w:r>
          </w:p>
        </w:tc>
      </w:tr>
      <w:tr>
        <w:tc>
          <w:tcPr>
            <w:tcW w:type="dxa" w:w="1559"/>
          </w:tcPr>
          <w:p>
            <w:r>
              <w:rPr>
                <w:sz w:val="20"/>
              </w:rPr>
              <w:t>FLUDARA</w:t>
            </w:r>
          </w:p>
        </w:tc>
        <w:tc>
          <w:tcPr>
            <w:tcW w:type="dxa" w:w="1559"/>
          </w:tcPr>
          <w:p>
            <w:r>
              <w:rPr>
                <w:sz w:val="20"/>
              </w:rPr>
              <w:t>GENZYME EUROPE BV</w:t>
            </w:r>
          </w:p>
        </w:tc>
        <w:tc>
          <w:tcPr>
            <w:tcW w:type="dxa" w:w="1559"/>
          </w:tcPr>
          <w:p>
            <w:r>
              <w:rPr>
                <w:sz w:val="20"/>
              </w:rPr>
              <w:t>Comprimé pelliculé, 10 mg</w:t>
            </w:r>
          </w:p>
        </w:tc>
        <w:tc>
          <w:tcPr>
            <w:tcW w:type="dxa" w:w="1559"/>
          </w:tcPr>
          <w:p>
            <w:r>
              <w:rPr>
                <w:sz w:val="20"/>
              </w:rPr>
              <w:t>Flacon de 20</w:t>
            </w:r>
          </w:p>
        </w:tc>
        <w:tc>
          <w:tcPr>
            <w:tcW w:type="dxa" w:w="1559"/>
          </w:tcPr>
          <w:p>
            <w:r>
              <w:rPr>
                <w:sz w:val="20"/>
              </w:rPr>
              <w:t>LISTE I</w:t>
            </w:r>
          </w:p>
        </w:tc>
        <w:tc>
          <w:tcPr>
            <w:tcW w:type="dxa" w:w="1559"/>
          </w:tcPr>
          <w:p>
            <w:r>
              <w:rPr>
                <w:sz w:val="20"/>
              </w:rPr>
              <w:t>ACTIF</w:t>
            </w:r>
          </w:p>
        </w:tc>
      </w:tr>
      <w:tr>
        <w:tc>
          <w:tcPr>
            <w:tcW w:type="dxa" w:w="1559"/>
          </w:tcPr>
          <w:p>
            <w:r>
              <w:rPr>
                <w:sz w:val="20"/>
              </w:rPr>
              <w:t>FLUDARABINE EBEWE</w:t>
            </w:r>
          </w:p>
        </w:tc>
        <w:tc>
          <w:tcPr>
            <w:tcW w:type="dxa" w:w="1559"/>
          </w:tcPr>
          <w:p>
            <w:r>
              <w:rPr>
                <w:sz w:val="20"/>
              </w:rPr>
              <w:t>EBEWE PHARMA Ges.m.b.H Nfg KG</w:t>
            </w:r>
          </w:p>
        </w:tc>
        <w:tc>
          <w:tcPr>
            <w:tcW w:type="dxa" w:w="1559"/>
          </w:tcPr>
          <w:p>
            <w:r>
              <w:rPr>
                <w:sz w:val="20"/>
              </w:rPr>
              <w:t>Concentré solution injectable pour perfusion IV, 25 mg/mL (50 mg/2 mL)</w:t>
            </w:r>
          </w:p>
        </w:tc>
        <w:tc>
          <w:tcPr>
            <w:tcW w:type="dxa" w:w="1559"/>
          </w:tcPr>
          <w:p>
            <w:r>
              <w:rPr>
                <w:sz w:val="20"/>
              </w:rPr>
              <w:t>B/01 flacon de 2 mL</w:t>
            </w:r>
          </w:p>
        </w:tc>
        <w:tc>
          <w:tcPr>
            <w:tcW w:type="dxa" w:w="1559"/>
          </w:tcPr>
          <w:p>
            <w:r>
              <w:rPr>
                <w:sz w:val="20"/>
              </w:rPr>
              <w:t>LISTE I</w:t>
            </w:r>
          </w:p>
        </w:tc>
        <w:tc>
          <w:tcPr>
            <w:tcW w:type="dxa" w:w="1559"/>
          </w:tcPr>
          <w:p>
            <w:r>
              <w:rPr>
                <w:sz w:val="20"/>
              </w:rPr>
              <w:t>NON RENOUVELABLE</w:t>
            </w:r>
          </w:p>
        </w:tc>
      </w:tr>
    </w:tbl>
    <w:p/>
    <w:p>
      <w:pPr>
        <w:pStyle w:val="ListBullet"/>
      </w:pPr>
      <w:r/>
      <w:r>
        <w:rPr>
          <w:b/>
        </w:rPr>
        <w:t>Mécanisme d'action</w:t>
      </w:r>
      <w:r>
        <w:t xml:space="preserve"> : la fludarabine (2-fluoro-ara-AMP, phosphate de fludarabine) est un </w:t>
      </w:r>
      <w:r>
        <w:rPr>
          <w:b/>
        </w:rPr>
        <w:t>analogue de l'adénosine</w:t>
      </w:r>
      <w:r>
        <w:t xml:space="preserve"> résistant à l'adénosine désaminase (ADA), enzyme qui dégrade normalement l'adénosine et la 2'-désoxyadénosine. Administrée sous forme de phosphate monophosphate (prodrogue), elle est rapidement déphosphorylée en 2-fluoro-ara-A par les phosphatases plasmatiques, puis entre dans la cellule et subit une </w:t>
      </w:r>
      <w:r>
        <w:rPr>
          <w:b/>
        </w:rPr>
        <w:t>re-phosphorylation successive</w:t>
      </w:r>
      <w:r>
        <w:t xml:space="preserve"> par la déoxycytidine kinase (dCK) en 2-fluoro-ara-AMP, puis 2-fluoro-ara-ADP et 2-fluoro-ara-ATP (métabolite actif). Le 2-fluoro-ara-ATP est (1) un </w:t>
      </w:r>
      <w:r>
        <w:rPr>
          <w:b/>
        </w:rPr>
        <w:t>inhibiteur de l'ADN polymérase α</w:t>
      </w:r>
      <w:r>
        <w:t xml:space="preserve">, β, γ et ε (blocage de la synthèse de l'ADN) ; (2) un </w:t>
      </w:r>
      <w:r>
        <w:rPr>
          <w:b/>
        </w:rPr>
        <w:t>inhibiteur de la ribonucléotide réductase (RNR)</w:t>
      </w:r>
      <w:r>
        <w:t xml:space="preserve"> (blocage de la conversion des ribonucléotides en désoxyribonucléotides) ; (3) un substrat de l'ADN polymérase et de l'ADN primase, qui l'incorporent dans l'ADN naissant, provoquant une </w:t>
      </w:r>
      <w:r>
        <w:rPr>
          <w:b/>
        </w:rPr>
        <w:t>terminaison de la chaîne</w:t>
      </w:r>
      <w:r>
        <w:t xml:space="preserve"> (le fluor en position 2' empêche l'élongation). L'effet net est un </w:t>
      </w:r>
      <w:r>
        <w:rPr>
          <w:b/>
        </w:rPr>
        <w:t>blocage complet de la synthèse de l'ADN</w:t>
      </w:r>
      <w:r>
        <w:t xml:space="preserve">, prédominant sur les lymphocytes (cellules avec forte activité dCK et faible activité ADA — d'où l'efficacité dans les hémopathies lymphoïdes). La fludarabine est également </w:t>
      </w:r>
      <w:r>
        <w:rPr>
          <w:b/>
        </w:rPr>
        <w:t>apoptogène</w:t>
      </w:r>
      <w:r>
        <w:t xml:space="preserve"> par activation de la p53 et induction de cassures d'ADN double brin. Sa lymphotoxicité est profonde et prolongée : déplétion lymphocytaire CD4+ pendant 6-12 mois (parfois &gt; 1 an), justifiant la prophylaxie pneumocystose et herpès/zona pendant toute la durée du traitement et 6 mois après.</w:t>
      </w:r>
    </w:p>
    <w:p>
      <w:pPr>
        <w:pStyle w:val="ListBullet"/>
      </w:pPr>
      <w:r/>
      <w:r>
        <w:rPr>
          <w:b/>
        </w:rPr>
        <w:t>Profil pharmacocinétique</w:t>
      </w:r>
      <w:r>
        <w:t xml:space="preserve"> : administration IV (perfusion courte 30 min dans 100 mL NaCl 0,9 %) ou per os (biodisponibilité 55-75 %). Distribution large (Vd 98 L/m²). Liaison aux protéines négligeable. Métabolisme : déphosphorylation plasmatique en 2-fluoro-ara-A, puis phosphorylation intracellulaire. Demi-vie triphasique : t1/2α = 5 min, t1/2β = 1-2 h, t1/2γ (terminale) = 10-30 h (jusqu'à 50 h en cas d'insuffisance rénale). Élimination </w:t>
      </w:r>
      <w:r>
        <w:rPr>
          <w:b/>
        </w:rPr>
        <w:t>principalement rénale</w:t>
      </w:r>
      <w:r>
        <w:t xml:space="preserve"> (60-80 % sous forme de 2-fluoro-ara-A inchangé) par filtration glomérulaire + sécrétion tubulaire. En cas d'insuffisance rénale, réduction posologique obligatoire selon ClCr : ClCr 30-70 mL/min → réduire 25-50 % ; ClCr &lt; 30 mL/min → contre-indication. La forme orale (10 mg cp) a une cinétique superposable à la forme IV avec un pic un peu retardé (Tmax 1-2 h). La fludarabine traverse la barrière hémato-encéphalique (40 % de la concentration plasmatique) — d'où la neurotoxicité possible à forte dose.</w:t>
      </w:r>
    </w:p>
    <w:p>
      <w:pPr>
        <w:pStyle w:val="ListBullet"/>
      </w:pPr>
      <w:r/>
      <w:r>
        <w:rPr>
          <w:b/>
        </w:rPr>
        <w:t>Indications</w:t>
      </w:r>
      <w:r>
        <w:t xml:space="preserve"> :</w:t>
      </w:r>
    </w:p>
    <w:p>
      <w:pPr>
        <w:pStyle w:val="ListBullet"/>
      </w:pPr>
      <w:r/>
      <w:r>
        <w:rPr>
          <w:b/>
        </w:rPr>
        <w:t>Leucémie lymphoïde chronique (LLC) B</w:t>
      </w:r>
      <w:r>
        <w:t xml:space="preserve"> : en 1ère ligne chez le patient âgé ou fragile (protocole FCR : fludarabine + cyclophosphamide + rituximab) ou en 2ème ligne après chlorambucil. Dose 25 mg/m²/j IV J1-J5 toutes les 4 semaines, 6 cures.</w:t>
      </w:r>
    </w:p>
    <w:p>
      <w:pPr>
        <w:pStyle w:val="ListBullet"/>
      </w:pPr>
      <w:r/>
      <w:r>
        <w:rPr>
          <w:b/>
        </w:rPr>
        <w:t>Lymphome folliculaire</w:t>
      </w:r>
      <w:r>
        <w:t xml:space="preserve"> indolent (grade I-II) en 2ème ligne : en association avec rituximab ou en monothérapie.</w:t>
      </w:r>
    </w:p>
    <w:p>
      <w:pPr>
        <w:pStyle w:val="ListBullet"/>
      </w:pPr>
      <w:r/>
      <w:r>
        <w:rPr>
          <w:b/>
        </w:rPr>
        <w:t>Maladie de Waldenström</w:t>
      </w:r>
      <w:r>
        <w:t xml:space="preserve"> (macroglobulinémie de Waldenström) : en 1ère ou 2ème ligne.</w:t>
      </w:r>
    </w:p>
    <w:p>
      <w:pPr>
        <w:pStyle w:val="ListBullet"/>
      </w:pPr>
      <w:r/>
      <w:r>
        <w:rPr>
          <w:b/>
        </w:rPr>
        <w:t>Conditionnement de greffe de cellules souches hématopoïétiques (CSH)</w:t>
      </w:r>
      <w:r>
        <w:t xml:space="preserve"> : protocoles à intensité réduite (RIC), en association avec busulfan ou cyclophosphamide ou TBI 2 Gy.</w:t>
      </w:r>
    </w:p>
    <w:p>
      <w:pPr>
        <w:pStyle w:val="ListBullet"/>
      </w:pPr>
      <w:r/>
      <w:r>
        <w:rPr>
          <w:b/>
        </w:rPr>
        <w:t>Lymphome à cellules mantelaires</w:t>
      </w:r>
      <w:r>
        <w:t xml:space="preserve"> réfractaire.</w:t>
      </w:r>
    </w:p>
    <w:p>
      <w:pPr>
        <w:pStyle w:val="ListBullet"/>
      </w:pPr>
      <w:r>
        <w:t>Hors AMM : purging in vitro de greffons cellulaires.</w:t>
      </w:r>
    </w:p>
    <w:p>
      <w:pPr>
        <w:pStyle w:val="ListBullet"/>
      </w:pPr>
      <w:r/>
      <w:r>
        <w:rPr>
          <w:b/>
        </w:rPr>
        <w:t>Contre-indications</w:t>
      </w:r>
      <w:r>
        <w:t xml:space="preserve"> : (1) </w:t>
      </w:r>
      <w:r>
        <w:rPr>
          <w:b/>
        </w:rPr>
        <w:t>Insuffisance rénale sévère</w:t>
      </w:r>
      <w:r>
        <w:t xml:space="preserve"> (ClCr &lt; 30 mL/min) ; (2) </w:t>
      </w:r>
      <w:r>
        <w:rPr>
          <w:b/>
        </w:rPr>
        <w:t>Patiente enceinte ou allaitant</w:t>
      </w:r>
      <w:r>
        <w:t xml:space="preserve"> ; (3) </w:t>
      </w:r>
      <w:r>
        <w:rPr>
          <w:b/>
        </w:rPr>
        <w:t>Aplasie médullaire préexistante</w:t>
      </w:r>
      <w:r>
        <w:t xml:space="preserve"> ; (4) </w:t>
      </w:r>
      <w:r>
        <w:rPr>
          <w:b/>
        </w:rPr>
        <w:t>Insuffisance hépatique sévère</w:t>
      </w:r>
      <w:r>
        <w:t xml:space="preserve"> ; (5) </w:t>
      </w:r>
      <w:r>
        <w:rPr>
          <w:b/>
        </w:rPr>
        <w:t>Déficit immunitaire sévère</w:t>
      </w:r>
      <w:r>
        <w:t xml:space="preserve"> (CD4 &lt; 200/mm³) ; (6) </w:t>
      </w:r>
      <w:r>
        <w:rPr>
          <w:b/>
        </w:rPr>
        <w:t>Vaccination par vaccin vivant atténué</w:t>
      </w:r>
      <w:r>
        <w:t xml:space="preserve"> ; (7) </w:t>
      </w:r>
      <w:r>
        <w:rPr>
          <w:b/>
        </w:rPr>
        <w:t>Hémolyse auto-immune évolutive</w:t>
      </w:r>
      <w:r>
        <w:t xml:space="preserve"> (risque d'aggravation) ; (8) </w:t>
      </w:r>
      <w:r>
        <w:rPr>
          <w:b/>
        </w:rPr>
        <w:t>Allaitement</w:t>
      </w:r>
      <w:r>
        <w:t xml:space="preserve"> ; (9) </w:t>
      </w:r>
      <w:r>
        <w:rPr>
          <w:b/>
        </w:rPr>
        <w:t>Hypersensibilité à la fludarabine</w:t>
      </w:r>
      <w:r>
        <w:t>.</w:t>
      </w:r>
    </w:p>
    <w:p>
      <w:pPr>
        <w:pStyle w:val="ListBullet"/>
      </w:pPr>
      <w:r/>
      <w:r>
        <w:rPr>
          <w:b/>
        </w:rPr>
        <w:t>Effets indésirables</w:t>
      </w:r>
      <w:r>
        <w:t xml:space="preserve"> :</w:t>
      </w:r>
    </w:p>
    <w:p>
      <w:pPr>
        <w:pStyle w:val="ListBullet"/>
      </w:pPr>
      <w:r/>
      <w:r>
        <w:rPr>
          <w:b/>
        </w:rPr>
        <w:t>Hématologique</w:t>
      </w:r>
      <w:r>
        <w:t xml:space="preserve"> : myélotoxicité profonde — neutropénie (nadir J13-J18), thrombopénie, anémie. Risque d'aplasie prolongée (plusieurs mois).</w:t>
      </w:r>
    </w:p>
    <w:p>
      <w:pPr>
        <w:pStyle w:val="ListBullet"/>
      </w:pPr>
      <w:r/>
      <w:r>
        <w:rPr>
          <w:b/>
        </w:rPr>
        <w:t>Immunosuppression</w:t>
      </w:r>
      <w:r>
        <w:t xml:space="preserve"> : lymphopénie CD4+ profonde (&gt; 6 mois) → infections opportunistes : pneumocystose, herpès/zona, CMV, mycobactéries atypiques. Prophylaxie obligatoire.</w:t>
      </w:r>
    </w:p>
    <w:p>
      <w:pPr>
        <w:pStyle w:val="ListBullet"/>
      </w:pPr>
      <w:r/>
      <w:r>
        <w:rPr>
          <w:b/>
        </w:rPr>
        <w:t>Neurotoxicité</w:t>
      </w:r>
      <w:r>
        <w:t xml:space="preserve"> : à fortes doses (&gt; 96 mg/m²/j) — encéphalopathie, cécité corticale, coma, syndrome de Guillain-Barré. Rare aux doses standard mais à surveiller chez le sujet âgé.</w:t>
      </w:r>
    </w:p>
    <w:p>
      <w:pPr>
        <w:pStyle w:val="ListBullet"/>
      </w:pPr>
      <w:r/>
      <w:r>
        <w:rPr>
          <w:b/>
        </w:rPr>
        <w:t>Digestive</w:t>
      </w:r>
      <w:r>
        <w:t xml:space="preserve"> : nausées, vomissements modérés, anorexie, mucite modérée.</w:t>
      </w:r>
    </w:p>
    <w:p>
      <w:pPr>
        <w:pStyle w:val="ListBullet"/>
      </w:pPr>
      <w:r/>
      <w:r>
        <w:rPr>
          <w:b/>
        </w:rPr>
        <w:t>Hépatique</w:t>
      </w:r>
      <w:r>
        <w:t xml:space="preserve"> : élévation transitoire des transaminases (5-15 %).</w:t>
      </w:r>
    </w:p>
    <w:p>
      <w:pPr>
        <w:pStyle w:val="ListBullet"/>
      </w:pPr>
      <w:r/>
      <w:r>
        <w:rPr>
          <w:b/>
        </w:rPr>
        <w:t>Pulmonaire</w:t>
      </w:r>
      <w:r>
        <w:t xml:space="preserve"> : pneumopathie interstitielle (rare, sévère), pneumopathie d'hypersensibilité.</w:t>
      </w:r>
    </w:p>
    <w:p>
      <w:pPr>
        <w:pStyle w:val="ListBullet"/>
      </w:pPr>
      <w:r/>
      <w:r>
        <w:rPr>
          <w:b/>
        </w:rPr>
        <w:t>Auto-immune</w:t>
      </w:r>
      <w:r>
        <w:t xml:space="preserve"> : hémolyse auto-immune (HAI), purpura thrombopénique immunologique (PTI) — parfois sévère — surveillance réticulocytes, haptoglobine, test de Coombs.</w:t>
      </w:r>
    </w:p>
    <w:p>
      <w:pPr>
        <w:pStyle w:val="ListBullet"/>
      </w:pPr>
      <w:r/>
      <w:r>
        <w:rPr>
          <w:b/>
        </w:rPr>
        <w:t>Cutanée</w:t>
      </w:r>
      <w:r>
        <w:t xml:space="preserve"> : rash, rash maculo-papuleux, syndrome de Stevens-Johnson (rare).</w:t>
      </w:r>
    </w:p>
    <w:p>
      <w:pPr>
        <w:pStyle w:val="ListBullet"/>
      </w:pPr>
      <w:r/>
      <w:r>
        <w:rPr>
          <w:b/>
        </w:rPr>
        <w:t>Fatigue</w:t>
      </w:r>
      <w:r>
        <w:t xml:space="preserve"> : quasi-constante (60-70 %).</w:t>
      </w:r>
    </w:p>
    <w:p>
      <w:pPr>
        <w:pStyle w:val="ListBullet"/>
      </w:pPr>
      <w:r/>
      <w:r>
        <w:rPr>
          <w:b/>
        </w:rPr>
        <w:t>Syndrome de lyse tumorale</w:t>
      </w:r>
      <w:r>
        <w:t xml:space="preserve"> : rare, à l'initiation chez patients avec forte masse ganglionnaire.</w:t>
      </w:r>
    </w:p>
    <w:p>
      <w:pPr>
        <w:pStyle w:val="ListBullet"/>
      </w:pPr>
      <w:r/>
      <w:r>
        <w:rPr>
          <w:b/>
        </w:rPr>
        <w:t>Mesures préventives</w:t>
      </w:r>
      <w:r>
        <w:t xml:space="preserve"> :</w:t>
      </w:r>
    </w:p>
    <w:p>
      <w:pPr>
        <w:pStyle w:val="ListBullet"/>
      </w:pPr>
      <w:r/>
      <w:r>
        <w:rPr>
          <w:b/>
        </w:rPr>
        <w:t>Bilan pré-thérapeutique</w:t>
      </w:r>
      <w:r>
        <w:t xml:space="preserve"> : NFS-plaquettes (avant chaque cure), créatininémie et ClCr avant chaque cure (seuil &gt; 30 mL/min), bilan hépatique, β-hCG, sérologies (VHB, VHC, VIH, EBV, CMV), Coombs direct.</w:t>
      </w:r>
    </w:p>
    <w:p>
      <w:pPr>
        <w:pStyle w:val="ListBullet"/>
      </w:pPr>
      <w:r/>
      <w:r>
        <w:rPr>
          <w:b/>
        </w:rPr>
        <w:t>Prophylaxie pneumocystose</w:t>
      </w:r>
      <w:r>
        <w:t xml:space="preserve"> : cotrimoxazole Bactrim® 400/80 mg per os 3x/sem pendant toute la durée du traitement et 6 mois après.</w:t>
      </w:r>
    </w:p>
    <w:p>
      <w:pPr>
        <w:pStyle w:val="ListBullet"/>
      </w:pPr>
      <w:r/>
      <w:r>
        <w:rPr>
          <w:b/>
        </w:rPr>
        <w:t>Prophylaxie herpès/zona</w:t>
      </w:r>
      <w:r>
        <w:t xml:space="preserve"> : valacyclovir 500 mg x 2/j per os ou aciclovir 200 mg x 3/j pendant toute la durée du traitement et 6 mois après.</w:t>
      </w:r>
    </w:p>
    <w:p>
      <w:pPr>
        <w:pStyle w:val="ListBullet"/>
      </w:pPr>
      <w:r/>
      <w:r>
        <w:rPr>
          <w:b/>
        </w:rPr>
        <w:t>Prophylaxie CMV</w:t>
      </w:r>
      <w:r>
        <w:t xml:space="preserve"> : surveillance antigénémie CMV mensuelle, valganciclovir si réactivation.</w:t>
      </w:r>
    </w:p>
    <w:p>
      <w:pPr>
        <w:pStyle w:val="ListBullet"/>
      </w:pPr>
      <w:r/>
      <w:r>
        <w:rPr>
          <w:b/>
        </w:rPr>
        <w:t>Irradiation des culots globulaires</w:t>
      </w:r>
      <w:r>
        <w:t xml:space="preserve"> : systématique (prévention de la réaction du greffon contre l'hôte [GVH] transfusionnelle) — toute transfusion de produit sanguin labile doit être irradiée (25 Gy) et cytomegalovirus-négative.</w:t>
      </w:r>
    </w:p>
    <w:p>
      <w:pPr>
        <w:pStyle w:val="ListBullet"/>
      </w:pPr>
      <w:r/>
      <w:r>
        <w:rPr>
          <w:b/>
        </w:rPr>
        <w:t>Hydratation</w:t>
      </w:r>
      <w:r>
        <w:t xml:space="preserve"> : 1,5-2 L/j.</w:t>
      </w:r>
    </w:p>
    <w:p>
      <w:pPr>
        <w:pStyle w:val="ListBullet"/>
      </w:pPr>
      <w:r/>
      <w:r>
        <w:rPr>
          <w:b/>
        </w:rPr>
        <w:t>Vaccins</w:t>
      </w:r>
      <w:r>
        <w:t xml:space="preserve"> : éviter vaccins vivants atténués pendant et 6 mois après.</w:t>
      </w:r>
    </w:p>
    <w:p>
      <w:pPr>
        <w:pStyle w:val="ListBullet"/>
      </w:pPr>
      <w:r/>
      <w:r>
        <w:rPr>
          <w:b/>
        </w:rPr>
        <w:t>Contraception</w:t>
      </w:r>
      <w:r>
        <w:t xml:space="preserve"> : obligatoire pendant et 6 mois après (femme et homme).</w:t>
      </w:r>
    </w:p>
    <w:p>
      <w:pPr>
        <w:pStyle w:val="ListBullet"/>
      </w:pPr>
      <w:r/>
      <w:r>
        <w:rPr>
          <w:b/>
        </w:rPr>
        <w:t>Surveillance NFS</w:t>
      </w:r>
      <w:r>
        <w:t xml:space="preserve"> : avant chaque cure et à J10-J14.</w:t>
      </w:r>
    </w:p>
    <w:p>
      <w:pPr>
        <w:pStyle w:val="ListBullet"/>
      </w:pPr>
      <w:r/>
      <w:r>
        <w:rPr>
          <w:b/>
        </w:rPr>
        <w:t>Interactions médicamenteuses</w:t>
      </w:r>
      <w:r>
        <w:t xml:space="preserve"> :</w:t>
      </w:r>
    </w:p>
    <w:p>
      <w:pPr>
        <w:pStyle w:val="ListBullet"/>
      </w:pPr>
      <w:r/>
      <w:r>
        <w:rPr>
          <w:b/>
        </w:rPr>
        <w:t>Fludarabine + cytarabine</w:t>
      </w:r>
      <w:r>
        <w:t xml:space="preserve"> : synergie pharmacodynamique (protocole FA — fludarabine + Ara-C, plus efficace que Ara-C seul dans les LAM).</w:t>
      </w:r>
    </w:p>
    <w:p>
      <w:pPr>
        <w:pStyle w:val="ListBullet"/>
      </w:pPr>
      <w:r/>
      <w:r>
        <w:rPr>
          <w:b/>
        </w:rPr>
        <w:t>Fludarabine + cyclophosphamide</w:t>
      </w:r>
      <w:r>
        <w:t xml:space="preserve"> : synergie (protocole FC, FCR) — toxicité hématologique additive.</w:t>
      </w:r>
    </w:p>
    <w:p>
      <w:pPr>
        <w:pStyle w:val="ListBullet"/>
      </w:pPr>
      <w:r/>
      <w:r>
        <w:rPr>
          <w:b/>
        </w:rPr>
        <w:t>Fludarabine + rituximab</w:t>
      </w:r>
      <w:r>
        <w:t xml:space="preserve"> : synergie (protocole FCR) — surveillance infuser réaction.</w:t>
      </w:r>
    </w:p>
    <w:p>
      <w:pPr>
        <w:pStyle w:val="ListBullet"/>
      </w:pPr>
      <w:r/>
      <w:r>
        <w:rPr>
          <w:b/>
        </w:rPr>
        <w:t>Fludarabine + pentostatine</w:t>
      </w:r>
      <w:r>
        <w:t xml:space="preserve"> : toxicité pulmonaire et neurologique additive — </w:t>
      </w:r>
      <w:r>
        <w:rPr>
          <w:b/>
        </w:rPr>
        <w:t>contre-indication</w:t>
      </w:r>
      <w:r>
        <w:t>.</w:t>
      </w:r>
    </w:p>
    <w:p>
      <w:pPr>
        <w:pStyle w:val="ListBullet"/>
      </w:pPr>
      <w:r/>
      <w:r>
        <w:rPr>
          <w:b/>
        </w:rPr>
        <w:t>Fludarabine + cladribine</w:t>
      </w:r>
      <w:r>
        <w:t xml:space="preserve"> : toxicité hématologique majeure — éviter.</w:t>
      </w:r>
    </w:p>
    <w:p>
      <w:pPr>
        <w:pStyle w:val="ListBullet"/>
      </w:pPr>
      <w:r/>
      <w:r>
        <w:rPr>
          <w:b/>
        </w:rPr>
        <w:t>Fludarabine + dipyridamole</w:t>
      </w:r>
      <w:r>
        <w:t xml:space="preserve"> : inhibition de la capture cellulaire → réduire efficacité.</w:t>
      </w:r>
    </w:p>
    <w:p>
      <w:pPr>
        <w:pStyle w:val="ListBullet"/>
      </w:pPr>
      <w:r/>
      <w:r>
        <w:rPr>
          <w:b/>
        </w:rPr>
        <w:t>Fludarabine + vaccins vivants atténués</w:t>
      </w:r>
      <w:r>
        <w:t xml:space="preserve"> : contre-indication (immunosuppression).</w:t>
      </w:r>
    </w:p>
    <w:p>
      <w:pPr>
        <w:pStyle w:val="ListBullet"/>
      </w:pPr>
      <w:r/>
      <w:r>
        <w:rPr>
          <w:b/>
        </w:rPr>
        <w:t>Fludarabine + ciprofloxacine, ofloxacine</w:t>
      </w:r>
      <w:r>
        <w:t xml:space="preserve"> (prophylaxie neutropénie) : autorisée, surveillance.</w:t>
      </w:r>
    </w:p>
    <w:p>
      <w:pPr>
        <w:pStyle w:val="ListBullet"/>
      </w:pPr>
      <w:r/>
      <w:r>
        <w:rPr>
          <w:b/>
        </w:rPr>
        <w:t>Fludarabine + énalapril, autres IEC</w:t>
      </w:r>
      <w:r>
        <w:t xml:space="preserve"> : risque d'anémie hémolytique (rare).</w:t>
      </w:r>
    </w:p>
    <w:p>
      <w:pPr>
        <w:pStyle w:val="ListBullet"/>
      </w:pPr>
      <w:r/>
      <w:r>
        <w:rPr>
          <w:b/>
        </w:rPr>
        <w:t>Fludarabine + transfusion de sang non irradié</w:t>
      </w:r>
      <w:r>
        <w:t xml:space="preserve"> : risque de GVH transfusionnelle — </w:t>
      </w:r>
      <w:r>
        <w:rPr>
          <w:b/>
        </w:rPr>
        <w:t>toutes les transfusions doivent être irradiées</w:t>
      </w:r>
      <w:r>
        <w:t xml:space="preserve"> (25 Gy).</w:t>
      </w:r>
    </w:p>
    <w:p>
      <w:pPr>
        <w:pStyle w:val="ListBullet"/>
      </w:pPr>
      <w:r/>
      <w:r>
        <w:rPr>
          <w:b/>
        </w:rPr>
        <w:t>Grossesse et allaitement (CRAT)</w:t>
      </w:r>
      <w:r>
        <w:t xml:space="preserve"> :</w:t>
      </w:r>
    </w:p>
    <w:p>
      <w:pPr>
        <w:pStyle w:val="ListBullet"/>
      </w:pPr>
      <w:r/>
      <w:r>
        <w:rPr>
          <w:b/>
        </w:rPr>
        <w:t>Grossesse</w:t>
      </w:r>
      <w:r>
        <w:t xml:space="preserve"> : selon le CRAT, la fludarabine est </w:t>
      </w:r>
      <w:r>
        <w:rPr>
          <w:b/>
        </w:rPr>
        <w:t>tératogène</w:t>
      </w:r>
      <w:r>
        <w:t xml:space="preserve"> chez l'animal (anomalies squelettiques, abortif). Pas de données humaines mais risque théorique majeur. Catégorie D (à éviter formellement). </w:t>
      </w:r>
      <w:r>
        <w:rPr>
          <w:b/>
        </w:rPr>
        <w:t>Contraception obligatoire</w:t>
      </w:r>
      <w:r>
        <w:t xml:space="preserve"> pendant et 6 mois après (femme et homme).</w:t>
      </w:r>
    </w:p>
    <w:p>
      <w:pPr>
        <w:pStyle w:val="ListBullet"/>
      </w:pPr>
      <w:r/>
      <w:r>
        <w:rPr>
          <w:b/>
        </w:rPr>
        <w:t>Allaitement</w:t>
      </w:r>
      <w:r>
        <w:t xml:space="preserve"> : contre-indiqué (passe dans le lait, lymphotoxicité pour le nourrisson).</w:t>
      </w:r>
    </w:p>
    <w:p>
      <w:pPr>
        <w:pStyle w:val="ListBullet"/>
      </w:pPr>
      <w:r/>
      <w:r>
        <w:rPr>
          <w:b/>
        </w:rPr>
        <w:t>Posologie</w:t>
      </w:r>
      <w:r>
        <w:t xml:space="preserve"> :</w:t>
      </w:r>
    </w:p>
    <w:p>
      <w:pPr>
        <w:pStyle w:val="ListBullet"/>
      </w:pPr>
      <w:r/>
      <w:r>
        <w:rPr>
          <w:b/>
        </w:rPr>
        <w:t>Adulte IV</w:t>
      </w:r>
      <w:r>
        <w:t xml:space="preserve"> : 25 mg/m²/j IV en perfusion de 30 min dans 100 mL NaCl 0,9 %, pendant </w:t>
      </w:r>
      <w:r>
        <w:rPr>
          <w:b/>
        </w:rPr>
        <w:t>5 jours consécutifs</w:t>
      </w:r>
      <w:r>
        <w:t xml:space="preserve"> (J1-J5), toutes les 4 semaines. Jusqu'à 6 cures selon réponse.</w:t>
      </w:r>
    </w:p>
    <w:p>
      <w:pPr>
        <w:pStyle w:val="ListBullet"/>
      </w:pPr>
      <w:r/>
      <w:r>
        <w:rPr>
          <w:b/>
        </w:rPr>
        <w:t>Adulte per os</w:t>
      </w:r>
      <w:r>
        <w:t xml:space="preserve"> : 40 mg/m²/j per os en 1 prise, pendant 5 jours, toutes les 4 semaines. Forme orale équivalente à la forme IV.</w:t>
      </w:r>
    </w:p>
    <w:p>
      <w:pPr>
        <w:pStyle w:val="ListBullet"/>
      </w:pPr>
      <w:r/>
      <w:r>
        <w:rPr>
          <w:b/>
        </w:rPr>
        <w:t>Adaptation rénale</w:t>
      </w:r>
      <w:r>
        <w:t xml:space="preserve"> : ClCr 30-70 mL/min → réduire 25-50 % ; ClCr &lt; 30 mL/min → contre-indication.</w:t>
      </w:r>
    </w:p>
    <w:p>
      <w:pPr>
        <w:pStyle w:val="ListBullet"/>
      </w:pPr>
      <w:r/>
      <w:r>
        <w:rPr>
          <w:b/>
        </w:rPr>
        <w:t>Adaptation hépatique</w:t>
      </w:r>
      <w:r>
        <w:t xml:space="preserve"> : modérée : pas d'adaptation ; sévère : non recommandée.</w:t>
      </w:r>
    </w:p>
    <w:p>
      <w:pPr>
        <w:pStyle w:val="ListBullet"/>
      </w:pPr>
      <w:r/>
      <w:r>
        <w:rPr>
          <w:b/>
        </w:rPr>
        <w:t>Sujet âgé</w:t>
      </w:r>
      <w:r>
        <w:t xml:space="preserve"> : surveillance ++ (risque neurotoxicité), pas d'adaptation systématique.</w:t>
      </w:r>
    </w:p>
    <w:p>
      <w:pPr>
        <w:pStyle w:val="ListBullet"/>
      </w:pPr>
      <w:r/>
      <w:r>
        <w:rPr>
          <w:b/>
        </w:rPr>
        <w:t>Toxicité grade 3-4</w:t>
      </w:r>
      <w:r>
        <w:t xml:space="preserve"> : retarder la cure suivante, réduire dose 25 %.</w:t>
      </w:r>
    </w:p>
    <w:p>
      <w:pPr>
        <w:pStyle w:val="ListBullet"/>
      </w:pPr>
      <w:r/>
      <w:r>
        <w:rPr>
          <w:b/>
        </w:rPr>
        <w:t>Formes galéniques</w:t>
      </w:r>
      <w:r>
        <w:t xml:space="preserve"> :</w:t>
      </w:r>
    </w:p>
    <w:p>
      <w:pPr>
        <w:pStyle w:val="ListBullet"/>
      </w:pPr>
      <w:r/>
      <w:r>
        <w:rPr>
          <w:b/>
        </w:rPr>
        <w:t>Lyophilisat pour solution injectable pour perfusion IV 50 mg/flacon</w:t>
      </w:r>
      <w:r>
        <w:t xml:space="preserve"> (FLUDARA Genzyme actif) : reconstitution avec 2 mL d'eau pour préparation injectable (concentration 25 mg/mL), puis dilution dans 100 mL NaCl 0,9 % ou G5 % pour perfusion IV de 30 min. Boîte de 5 flacons (suffisante pour 1 cure complète à dose standard). Conservation &lt; 25 °C, à l'abri de la lumière. Solution reconstituée stable 8 h à température ambiante.</w:t>
      </w:r>
    </w:p>
    <w:p>
      <w:pPr>
        <w:pStyle w:val="ListBullet"/>
      </w:pPr>
      <w:r/>
      <w:r>
        <w:rPr>
          <w:b/>
        </w:rPr>
        <w:t>Comprimés pelliculés 10 mg</w:t>
      </w:r>
      <w:r>
        <w:t xml:space="preserve"> (FLUDARA Genzyme actif) : forme orale équivalente à la forme IV (biodisponibilité 55-75 %). Flacon de 20 comprimés. Pratique pour traitement ambulatoire. Conservation &lt; 25 °C.</w:t>
      </w:r>
    </w:p>
    <w:p>
      <w:pPr>
        <w:pStyle w:val="ListBullet"/>
      </w:pPr>
      <w:r/>
      <w:r>
        <w:rPr>
          <w:b/>
        </w:rPr>
        <w:t>Concentré solution injectable 25 mg/mL (50 mg/2 mL)</w:t>
      </w:r>
      <w:r>
        <w:t xml:space="preserve"> (FLUDARABINE EBEWE non renouvelable) : alternative historique à la forme lyophilisat.</w:t>
      </w:r>
    </w:p>
    <w:p>
      <w:pPr>
        <w:pStyle w:val="ListBullet"/>
      </w:pPr>
      <w:r/>
      <w:r>
        <w:rPr>
          <w:b/>
        </w:rPr>
        <w:t>Manipulation</w:t>
      </w:r>
      <w:r>
        <w:t xml:space="preserve"> : précautions cytotoxiques standard.</w:t>
      </w:r>
    </w:p>
    <w:p>
      <w:pPr>
        <w:pStyle w:val="ListBullet"/>
      </w:pPr>
      <w:r/>
      <w:r>
        <w:rPr>
          <w:b/>
        </w:rPr>
        <w:t>Conservation</w:t>
      </w:r>
      <w:r>
        <w:t xml:space="preserve"> : formes lyophilisées et comprimés à température &lt; 25 °C, à l'abri de la lumière. Solutions diluées à utiliser dans les 8 h.</w:t>
      </w:r>
    </w:p>
    <w:p>
      <w:pPr>
        <w:pStyle w:val="ListBullet"/>
      </w:pPr>
      <w:r/>
      <w:r>
        <w:rPr>
          <w:b/>
        </w:rPr>
        <w:t>Conseils aux patients</w:t>
      </w:r>
      <w:r>
        <w:t xml:space="preserve"> :</w:t>
      </w:r>
    </w:p>
    <w:p>
      <w:pPr>
        <w:pStyle w:val="ListBullet"/>
      </w:pPr>
      <w:r/>
      <w:r>
        <w:rPr>
          <w:b/>
        </w:rPr>
        <w:t>Communication au comptoir</w:t>
      </w:r>
      <w:r>
        <w:t xml:space="preserve"> : « Voici votre fludarabine. Vous la prenez pendant 5 jours consécutifs toutes les 4 semaines. Pensez à prendre le Bactrim (cotrimoxazole) 3 fois par semaine et le Zelitrex (valacyclovir) 2 fois par jour pendant 6 mois après la fin du traitement — pour prévenir les infections graves (pneumocystose, herpès). Buvez 1,5-2 L d'eau par jour. Surveillez votre température : si fièvre &gt; 38,5 °C, consultez en urgence. </w:t>
      </w:r>
      <w:r>
        <w:rPr>
          <w:b/>
        </w:rPr>
        <w:t>Si vous devez recevoir une transfusion sanguine, signalez absolument votre traitement par fludarabine — le sang doit être irradié</w:t>
      </w:r>
      <w:r>
        <w:t>. »</w:t>
      </w:r>
    </w:p>
    <w:p>
      <w:pPr>
        <w:pStyle w:val="ListBullet"/>
      </w:pPr>
      <w:r/>
      <w:r>
        <w:rPr>
          <w:b/>
        </w:rPr>
        <w:t>Mode d'utilisation</w:t>
      </w:r>
      <w:r>
        <w:t xml:space="preserve"> : per os à heure fixe, à jeun ou pendant repas ; IV à l'hôpital.</w:t>
      </w:r>
    </w:p>
    <w:p>
      <w:pPr>
        <w:pStyle w:val="ListBullet"/>
      </w:pPr>
      <w:r/>
      <w:r>
        <w:rPr>
          <w:b/>
        </w:rPr>
        <w:t>Surveillance</w:t>
      </w:r>
      <w:r>
        <w:t xml:space="preserve"> : NFS avant chaque cure et à J10-J14, créatininémie avant chaque cure, sérologies mensuelles.</w:t>
      </w:r>
    </w:p>
    <w:p>
      <w:pPr>
        <w:pStyle w:val="ListBullet"/>
      </w:pPr>
      <w:r/>
      <w:r>
        <w:rPr>
          <w:b/>
        </w:rPr>
        <w:t>Prophylaxie infectieuse</w:t>
      </w:r>
      <w:r>
        <w:t xml:space="preserve"> : cotrimoxazole 3x/sem, valacyclovir 2x/j pendant 6 mois après la dernière cure.</w:t>
      </w:r>
    </w:p>
    <w:p>
      <w:pPr>
        <w:pStyle w:val="ListBullet"/>
      </w:pPr>
      <w:r/>
      <w:r>
        <w:rPr>
          <w:b/>
        </w:rPr>
        <w:t>Irradiation des transfusions</w:t>
      </w:r>
      <w:r>
        <w:t xml:space="preserve"> : à signaler à tout soignant.</w:t>
      </w:r>
    </w:p>
    <w:p>
      <w:pPr>
        <w:pStyle w:val="ListBullet"/>
      </w:pPr>
      <w:r/>
      <w:r>
        <w:rPr>
          <w:b/>
        </w:rPr>
        <w:t>Hydratation</w:t>
      </w:r>
      <w:r>
        <w:t xml:space="preserve"> : 1,5-2 L/j.</w:t>
      </w:r>
    </w:p>
    <w:p>
      <w:pPr>
        <w:pStyle w:val="ListBullet"/>
      </w:pPr>
      <w:r/>
      <w:r>
        <w:rPr>
          <w:b/>
        </w:rPr>
        <w:t>Vaccins</w:t>
      </w:r>
      <w:r>
        <w:t xml:space="preserve"> : éviter vaccins vivants atténués pendant et 6 mois après.</w:t>
      </w:r>
    </w:p>
    <w:p>
      <w:pPr>
        <w:pStyle w:val="ListBullet"/>
      </w:pPr>
      <w:r/>
      <w:r>
        <w:rPr>
          <w:b/>
        </w:rPr>
        <w:t>Contraception</w:t>
      </w:r>
      <w:r>
        <w:t xml:space="preserve"> : obligatoire pendant et 6 mois après.</w:t>
      </w:r>
    </w:p>
    <w:p>
      <w:pPr>
        <w:pStyle w:val="ListBullet"/>
      </w:pPr>
      <w:r/>
      <w:r>
        <w:rPr>
          <w:b/>
        </w:rPr>
        <w:t>Pièges classiques</w:t>
      </w:r>
      <w:r>
        <w:t xml:space="preserve"> :</w:t>
      </w:r>
    </w:p>
    <w:p>
      <w:pPr>
        <w:pStyle w:val="ListBullet"/>
      </w:pPr>
      <w:r/>
      <w:r>
        <w:rPr>
          <w:b/>
        </w:rPr>
        <w:t>Piège de la transfusion non irradiée</w:t>
      </w:r>
      <w:r>
        <w:t xml:space="preserve"> : risque de GVH transfusionnelle fatale — signaler le traitement par fludarabine à tout soignant.</w:t>
      </w:r>
    </w:p>
    <w:p>
      <w:pPr>
        <w:pStyle w:val="ListBullet"/>
      </w:pPr>
      <w:r/>
      <w:r>
        <w:rPr>
          <w:b/>
        </w:rPr>
        <w:t>Piège de l'hémolyse auto-immune</w:t>
      </w:r>
      <w:r>
        <w:t xml:space="preserve"> : parfois déclenchée ou aggravée par la fludarabine — arrêter si HAI sévère.</w:t>
      </w:r>
    </w:p>
    <w:p>
      <w:pPr>
        <w:pStyle w:val="ListBullet"/>
      </w:pPr>
      <w:r/>
      <w:r>
        <w:rPr>
          <w:b/>
        </w:rPr>
        <w:t>Piège de la neurotoxicité</w:t>
      </w:r>
      <w:r>
        <w:t xml:space="preserve"> : sujet âgé, insuffisance rénale, fortes doses — surveillance clinique.</w:t>
      </w:r>
    </w:p>
    <w:p>
      <w:pPr>
        <w:pStyle w:val="ListBullet"/>
      </w:pPr>
      <w:r/>
      <w:r>
        <w:rPr>
          <w:b/>
        </w:rPr>
        <w:t>Piège du déficit immunitaire prolongé</w:t>
      </w:r>
      <w:r>
        <w:t xml:space="preserve"> : infections opportunistes jusqu'à 6-12 mois après la dernière cure — poursuivre prophylaxie.</w:t>
      </w:r>
    </w:p>
    <w:p>
      <w:pPr>
        <w:pStyle w:val="ListBullet"/>
      </w:pPr>
      <w:r/>
      <w:r>
        <w:rPr>
          <w:b/>
        </w:rPr>
        <w:t>Piège de la pentostatine associée</w:t>
      </w:r>
      <w:r>
        <w:t xml:space="preserve"> : toxicité pulmonaire/neurologique — contre-indication.</w:t>
      </w:r>
    </w:p>
    <w:p>
      <w:pPr>
        <w:pStyle w:val="ListBullet"/>
      </w:pPr>
      <w:r/>
      <w:r>
        <w:rPr>
          <w:b/>
        </w:rPr>
        <w:t>Piège de la clairance rénale limite</w:t>
      </w:r>
      <w:r>
        <w:t xml:space="preserve"> : ClCr 30-70 → réduire 25-50 % ; &lt; 30 → contre-indication.</w:t>
      </w:r>
    </w:p>
    <w:p>
      <w:pPr>
        <w:pStyle w:val="ListBullet"/>
      </w:pPr>
      <w:r/>
      <w:r>
        <w:rPr>
          <w:b/>
        </w:rPr>
        <w:t>Piège de l'association avec cytarabine</w:t>
      </w:r>
      <w:r>
        <w:t xml:space="preserve"> : synergie mais toxicité hématologique additive.</w:t>
      </w:r>
    </w:p>
    <w:p>
      <w:pPr>
        <w:pStyle w:val="ListBullet"/>
      </w:pPr>
      <w:r/>
      <w:r>
        <w:rPr>
          <w:b/>
        </w:rPr>
        <w:t>Piège de substitution de marque</w:t>
      </w:r>
      <w:r>
        <w:t xml:space="preserve"> : FLUDARABINE EBEWE non renouvelable — anticiper le FLUDARA Genzyme.</w:t>
      </w:r>
    </w:p>
    <w:p>
      <w:pPr>
        <w:pStyle w:val="Heading3"/>
      </w:pPr>
      <w:r>
        <w:t>7. DCI : Cladribine (usage oncologique / SEP)</w:t>
      </w:r>
    </w:p>
    <w:p>
      <w:pPr>
        <w:pStyle w:val="ListBullet"/>
      </w:pPr>
      <w:r/>
      <w:r>
        <w:rPr>
          <w:b/>
        </w:rPr>
        <w:t>Catégories</w:t>
      </w:r>
      <w:r>
        <w:t xml:space="preserve"> : Antimétabolite analogue de purine (analogue de la 2'-désoxyadénosine, résistant à l'ADA) ; cytotoxique phase S ; immunosuppresseur profond ; classe ATC L01BB04 (oncologie) / L04AA40 (neurologie-SEP).</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MARVYL</w:t>
            </w:r>
          </w:p>
        </w:tc>
        <w:tc>
          <w:tcPr>
            <w:tcW w:type="dxa" w:w="1559"/>
          </w:tcPr>
          <w:p>
            <w:r>
              <w:rPr>
                <w:sz w:val="20"/>
              </w:rPr>
              <w:t>HIKMA PHARMA ALGERIA</w:t>
            </w:r>
          </w:p>
        </w:tc>
        <w:tc>
          <w:tcPr>
            <w:tcW w:type="dxa" w:w="1559"/>
          </w:tcPr>
          <w:p>
            <w:r>
              <w:rPr>
                <w:sz w:val="20"/>
              </w:rPr>
              <w:t>Comprimé, 10 mg</w:t>
            </w:r>
          </w:p>
        </w:tc>
        <w:tc>
          <w:tcPr>
            <w:tcW w:type="dxa" w:w="1559"/>
          </w:tcPr>
          <w:p>
            <w:r>
              <w:rPr>
                <w:sz w:val="20"/>
              </w:rPr>
              <w:t>B/01, B/04, B/06</w:t>
            </w:r>
          </w:p>
        </w:tc>
        <w:tc>
          <w:tcPr>
            <w:tcW w:type="dxa" w:w="1559"/>
          </w:tcPr>
          <w:p>
            <w:r>
              <w:rPr>
                <w:sz w:val="20"/>
              </w:rPr>
              <w:t>LISTE I</w:t>
            </w:r>
          </w:p>
        </w:tc>
        <w:tc>
          <w:tcPr>
            <w:tcW w:type="dxa" w:w="1559"/>
          </w:tcPr>
          <w:p>
            <w:r>
              <w:rPr>
                <w:sz w:val="20"/>
              </w:rPr>
              <w:t>ACTIF</w:t>
            </w:r>
          </w:p>
        </w:tc>
      </w:tr>
      <w:tr>
        <w:tc>
          <w:tcPr>
            <w:tcW w:type="dxa" w:w="1559"/>
          </w:tcPr>
          <w:p>
            <w:r>
              <w:rPr>
                <w:sz w:val="20"/>
              </w:rPr>
              <w:t>MAVENCLAD</w:t>
            </w:r>
          </w:p>
        </w:tc>
        <w:tc>
          <w:tcPr>
            <w:tcW w:type="dxa" w:w="1559"/>
          </w:tcPr>
          <w:p>
            <w:r>
              <w:rPr>
                <w:sz w:val="20"/>
              </w:rPr>
              <w:t>MERCK EUROPE B.V.</w:t>
            </w:r>
          </w:p>
        </w:tc>
        <w:tc>
          <w:tcPr>
            <w:tcW w:type="dxa" w:w="1559"/>
          </w:tcPr>
          <w:p>
            <w:r>
              <w:rPr>
                <w:sz w:val="20"/>
              </w:rPr>
              <w:t>Comprimé, 10 mg</w:t>
            </w:r>
          </w:p>
        </w:tc>
        <w:tc>
          <w:tcPr>
            <w:tcW w:type="dxa" w:w="1559"/>
          </w:tcPr>
          <w:p>
            <w:r>
              <w:rPr>
                <w:sz w:val="20"/>
              </w:rPr>
              <w:t>B/01, B/04, B/06</w:t>
            </w:r>
          </w:p>
        </w:tc>
        <w:tc>
          <w:tcPr>
            <w:tcW w:type="dxa" w:w="1559"/>
          </w:tcPr>
          <w:p>
            <w:r>
              <w:rPr>
                <w:sz w:val="20"/>
              </w:rPr>
              <w:t>LISTE I</w:t>
            </w:r>
          </w:p>
        </w:tc>
        <w:tc>
          <w:tcPr>
            <w:tcW w:type="dxa" w:w="1559"/>
          </w:tcPr>
          <w:p>
            <w:r>
              <w:rPr>
                <w:sz w:val="20"/>
              </w:rPr>
              <w:t>ACTIF</w:t>
            </w:r>
          </w:p>
        </w:tc>
      </w:tr>
    </w:tbl>
    <w:p/>
    <w:p>
      <w:pPr>
        <w:pStyle w:val="ListBullet"/>
      </w:pPr>
      <w:r/>
      <w:r>
        <w:rPr>
          <w:b/>
        </w:rPr>
        <w:t>Mécanisme d'action</w:t>
      </w:r>
      <w:r>
        <w:t xml:space="preserve"> : la cladribine (2-chloro-2'-désoxyadénosine, 2-CdA) est un </w:t>
      </w:r>
      <w:r>
        <w:rPr>
          <w:b/>
        </w:rPr>
        <w:t>analogue de la 2'-désoxyadénosine</w:t>
      </w:r>
      <w:r>
        <w:t xml:space="preserve"> dans lequel un atome de chlore en position 2 du cycle purique la rend </w:t>
      </w:r>
      <w:r>
        <w:rPr>
          <w:b/>
        </w:rPr>
        <w:t>résistante à l'adénosine désaminase (ADA)</w:t>
      </w:r>
      <w:r>
        <w:t xml:space="preserve"> — enzyme responsable de la dégradation physiologique de la désoxyadénosine. Cette résistance à l'ADA entraîne une accumulation intracellulaire massive de cladribine, qui est phosphorylée par la déoxycytidine kinase (dCK) en </w:t>
      </w:r>
      <w:r>
        <w:rPr>
          <w:b/>
        </w:rPr>
        <w:t>2-CdA monophosphate</w:t>
      </w:r>
      <w:r>
        <w:t xml:space="preserve"> (CdAMP), puis diphosphate (CdADP) et triphosphate (CdATP) — métabolite actif. Le CdATP est (1) </w:t>
      </w:r>
      <w:r>
        <w:rPr>
          <w:b/>
        </w:rPr>
        <w:t>inhibiteur de la ribonucléotide réductase (RNR)</w:t>
      </w:r>
      <w:r>
        <w:t xml:space="preserve"> — déplétion des désoxyribonucléotides et arrêt de la synthèse de l'ADN ; (2) </w:t>
      </w:r>
      <w:r>
        <w:rPr>
          <w:b/>
        </w:rPr>
        <w:t>substrat de l'ADN polymérase α</w:t>
      </w:r>
      <w:r>
        <w:t xml:space="preserve"> — incorporation dans l'ADN naissant, terminaison de la chaîne (le chlore en 2' empêche l'élongation) ; (3) </w:t>
      </w:r>
      <w:r>
        <w:rPr>
          <w:b/>
        </w:rPr>
        <w:t>inducteur de l'apoptose</w:t>
      </w:r>
      <w:r>
        <w:t xml:space="preserve"> par déséquilibre dNTP/dNTP (rapport anormal), activation des caspases, modification du potentiel mitochondrial. Le métabolisme par dCK (activation) et 5'-nucléotidase (5'-NT, inactivation) est </w:t>
      </w:r>
      <w:r>
        <w:rPr>
          <w:b/>
        </w:rPr>
        <w:t>déséquilibré en faveur de l'activation dans les lymphocytes</w:t>
      </w:r>
      <w:r>
        <w:t xml:space="preserve"> (T et B) — qui ont une activité dCK élevée et une 5'-NT faible — d'où l'efficacité prédominante sur les hémopathies lymphoïdes et la lymphotoxicité profonde. La déplétion lymphocytaire CD4+ est prolongée (jusqu'à 12-24 mois après la dernière cure), justifiant la surveillance immunologique et la prophylaxie anti-infectieuse prolongée.</w:t>
      </w:r>
    </w:p>
    <w:p>
      <w:pPr>
        <w:pStyle w:val="ListBullet"/>
      </w:pPr>
      <w:r/>
      <w:r>
        <w:rPr>
          <w:b/>
        </w:rPr>
        <w:t>Profil pharmacocinétique</w:t>
      </w:r>
      <w:r>
        <w:t xml:space="preserve"> : absorption orale complète (biodisponibilité 40-50 % en moyenne, mais variable), Tmax 1-1,5 h. Distribution large (Vd 1,5-3 L/kg), passage LCR modéré (10-20 %). Liaison aux protéines ≈ 20 %. Métabolisme intracellulaire par phosphorylation (dCK) en CdATP actif, puis déphosphorylation par la 5'-NT. Demi-vie d'élimination 5-7 h (forme mère) ; demi-vie intracellulaire du CdATP = 15-20 h (longue, expliquant l'effet prolongé). Élimination </w:t>
      </w:r>
      <w:r>
        <w:rPr>
          <w:b/>
        </w:rPr>
        <w:t>principalement rénale</w:t>
      </w:r>
      <w:r>
        <w:t xml:space="preserve"> (50-60 % sous forme inchangée + métabolites). Insuffisance rénale : réduction posologique recommandée si ClCr &lt; 60 mL/min. Insuffisance hépatique : pas d'adaptation standard mais surveillance ++. La forme orale (Mavenclad® / Marvyl®) a transformé la prise en charge de la SEP (2 cures annuelles de 5 jours chacune, à 1 an d'intervalle — schéma court d'induction puis rémission prolongée).</w:t>
      </w:r>
    </w:p>
    <w:p>
      <w:pPr>
        <w:pStyle w:val="ListBullet"/>
      </w:pPr>
      <w:r/>
      <w:r>
        <w:rPr>
          <w:b/>
        </w:rPr>
        <w:t>Indications</w:t>
      </w:r>
      <w:r>
        <w:t xml:space="preserve"> :</w:t>
      </w:r>
    </w:p>
    <w:p>
      <w:pPr>
        <w:pStyle w:val="ListBullet"/>
      </w:pPr>
      <w:r/>
      <w:r>
        <w:rPr>
          <w:b/>
        </w:rPr>
        <w:t>Leucémie à trichocytes (HCL)</w:t>
      </w:r>
      <w:r>
        <w:t xml:space="preserve"> : indication princeps (1993), traitement de référence en 1ère intention. Rémissions complètes prolongées dans 80-90 % des cas. Dose 0,09 mg/kg/j IV en perfusion continue 24 h pendant 7 jours, ou 0,14 mg/kg/j SC 5 jours.</w:t>
      </w:r>
    </w:p>
    <w:p>
      <w:pPr>
        <w:pStyle w:val="ListBullet"/>
      </w:pPr>
      <w:r/>
      <w:r>
        <w:rPr>
          <w:b/>
        </w:rPr>
        <w:t>Lymphome à cellules mantelaires</w:t>
      </w:r>
      <w:r>
        <w:t xml:space="preserve"> réfractaire (2ème ligne).</w:t>
      </w:r>
    </w:p>
    <w:p>
      <w:pPr>
        <w:pStyle w:val="ListBullet"/>
      </w:pPr>
      <w:r/>
      <w:r>
        <w:rPr>
          <w:b/>
        </w:rPr>
        <w:t>Leucémie lymphoïde chronique (LLC)</w:t>
      </w:r>
      <w:r>
        <w:t xml:space="preserve"> réfractaire (alternative à la fludarabine).</w:t>
      </w:r>
    </w:p>
    <w:p>
      <w:pPr>
        <w:pStyle w:val="ListBullet"/>
      </w:pPr>
      <w:r/>
      <w:r>
        <w:rPr>
          <w:b/>
        </w:rPr>
        <w:t>Sclérose en plaques (SEP) récurrente-rémittente</w:t>
      </w:r>
      <w:r>
        <w:t xml:space="preserve"> : protocole oral Mavenclad® — 2 cures annuelles (Année 1 et Année 2), 5 jours consécutifs par cure (10 mg/j per os). Total dose cumulative 3,5 mg/kg. Rémission prolongée après 2 cures (parfois 5-10 ans sans rechute).</w:t>
      </w:r>
    </w:p>
    <w:p>
      <w:pPr>
        <w:pStyle w:val="ListBullet"/>
      </w:pPr>
      <w:r>
        <w:t>Hors AMM : histiocytose à cellules de Langerhans réfractaire.</w:t>
      </w:r>
    </w:p>
    <w:p>
      <w:pPr>
        <w:pStyle w:val="ListBullet"/>
      </w:pPr>
      <w:r/>
      <w:r>
        <w:rPr>
          <w:b/>
        </w:rPr>
        <w:t>Contre-indications</w:t>
      </w:r>
      <w:r>
        <w:t xml:space="preserve"> : (1) </w:t>
      </w:r>
      <w:r>
        <w:rPr>
          <w:b/>
        </w:rPr>
        <w:t>Patiente enceinte ou allaitant</w:t>
      </w:r>
      <w:r>
        <w:t xml:space="preserve"> (catégorie X du CRAT — contraception obligatoire pendant et 6 mois après chez la femme ET chez l'homme) ; (2) </w:t>
      </w:r>
      <w:r>
        <w:rPr>
          <w:b/>
        </w:rPr>
        <w:t>Infection évolutive sévère</w:t>
      </w:r>
      <w:r>
        <w:t xml:space="preserve"> (VIH, tuberculose, hépatites) ; (3) </w:t>
      </w:r>
      <w:r>
        <w:rPr>
          <w:b/>
        </w:rPr>
        <w:t>Aplasie médullaire préexistante</w:t>
      </w:r>
      <w:r>
        <w:t xml:space="preserve"> ; (4) </w:t>
      </w:r>
      <w:r>
        <w:rPr>
          <w:b/>
        </w:rPr>
        <w:t>Insuffisance rénale sévère</w:t>
      </w:r>
      <w:r>
        <w:t xml:space="preserve"> (ClCr &lt; 30 mL/min) ; (5) </w:t>
      </w:r>
      <w:r>
        <w:rPr>
          <w:b/>
        </w:rPr>
        <w:t>Insuffisance hépatique sévère</w:t>
      </w:r>
      <w:r>
        <w:t xml:space="preserve"> ; (6) </w:t>
      </w:r>
      <w:r>
        <w:rPr>
          <w:b/>
        </w:rPr>
        <w:t>Vaccination par vaccin vivant atténué</w:t>
      </w:r>
      <w:r>
        <w:t xml:space="preserve"> pendant et 6 mois après ; (7) </w:t>
      </w:r>
      <w:r>
        <w:rPr>
          <w:b/>
        </w:rPr>
        <w:t>Déficit immunitaire</w:t>
      </w:r>
      <w:r>
        <w:t xml:space="preserve"> (CD4 &lt; 200/mm³) ; (8) </w:t>
      </w:r>
      <w:r>
        <w:rPr>
          <w:b/>
        </w:rPr>
        <w:t>Allaitement</w:t>
      </w:r>
      <w:r>
        <w:t xml:space="preserve"> ; (9) </w:t>
      </w:r>
      <w:r>
        <w:rPr>
          <w:b/>
        </w:rPr>
        <w:t>Cancer évolutif concomitant</w:t>
      </w:r>
      <w:r>
        <w:t xml:space="preserve"> ; (10) </w:t>
      </w:r>
      <w:r>
        <w:rPr>
          <w:b/>
        </w:rPr>
        <w:t>Hypersensibilité à la cladribine</w:t>
      </w:r>
      <w:r>
        <w:t>.</w:t>
      </w:r>
    </w:p>
    <w:p>
      <w:pPr>
        <w:pStyle w:val="ListBullet"/>
      </w:pPr>
      <w:r/>
      <w:r>
        <w:rPr>
          <w:b/>
        </w:rPr>
        <w:t>Effets indésirables</w:t>
      </w:r>
      <w:r>
        <w:t xml:space="preserve"> :</w:t>
      </w:r>
    </w:p>
    <w:p>
      <w:pPr>
        <w:pStyle w:val="ListBullet"/>
      </w:pPr>
      <w:r/>
      <w:r>
        <w:rPr>
          <w:b/>
        </w:rPr>
        <w:t>Hématologique</w:t>
      </w:r>
      <w:r>
        <w:t xml:space="preserve"> : myélotoxicité dose-limitante — neutropénie (nadir J14-J21, parfois prolongée), thrombopénie, anémie. Risque d'aplasie fébrile.</w:t>
      </w:r>
    </w:p>
    <w:p>
      <w:pPr>
        <w:pStyle w:val="ListBullet"/>
      </w:pPr>
      <w:r/>
      <w:r>
        <w:rPr>
          <w:b/>
        </w:rPr>
        <w:t>Immunosuppression</w:t>
      </w:r>
      <w:r>
        <w:t xml:space="preserve"> : lymphopénie CD4+ profonde et prolongée (12-24 mois après la dernière cure) → infections opportunistes (pneumocystose, herpès/zona, CMV, mycobactéries, listériose). Prophylaxie obligatoire.</w:t>
      </w:r>
    </w:p>
    <w:p>
      <w:pPr>
        <w:pStyle w:val="ListBullet"/>
      </w:pPr>
      <w:r/>
      <w:r>
        <w:rPr>
          <w:b/>
        </w:rPr>
        <w:t>Infectieuse</w:t>
      </w:r>
      <w:r>
        <w:t xml:space="preserve"> : zona (10-15 %), herpès (5-10 %), tuberculose réactivation (à dépister).</w:t>
      </w:r>
    </w:p>
    <w:p>
      <w:pPr>
        <w:pStyle w:val="ListBullet"/>
      </w:pPr>
      <w:r/>
      <w:r>
        <w:rPr>
          <w:b/>
        </w:rPr>
        <w:t>Digestive</w:t>
      </w:r>
      <w:r>
        <w:t xml:space="preserve"> : nausées modérées, anorexie, mucite légère.</w:t>
      </w:r>
    </w:p>
    <w:p>
      <w:pPr>
        <w:pStyle w:val="ListBullet"/>
      </w:pPr>
      <w:r/>
      <w:r>
        <w:rPr>
          <w:b/>
        </w:rPr>
        <w:t>Cutanée</w:t>
      </w:r>
      <w:r>
        <w:t xml:space="preserve"> : rash, éruptions, réactions au point d'injection (forme SC).</w:t>
      </w:r>
    </w:p>
    <w:p>
      <w:pPr>
        <w:pStyle w:val="ListBullet"/>
      </w:pPr>
      <w:r/>
      <w:r>
        <w:rPr>
          <w:b/>
        </w:rPr>
        <w:t>Fatigue</w:t>
      </w:r>
      <w:r>
        <w:t xml:space="preserve"> : quasi-constante.</w:t>
      </w:r>
    </w:p>
    <w:p>
      <w:pPr>
        <w:pStyle w:val="ListBullet"/>
      </w:pPr>
      <w:r/>
      <w:r>
        <w:rPr>
          <w:b/>
        </w:rPr>
        <w:t>Neurologique</w:t>
      </w:r>
      <w:r>
        <w:t xml:space="preserve"> : neuropathie périphérique légère.</w:t>
      </w:r>
    </w:p>
    <w:p>
      <w:pPr>
        <w:pStyle w:val="ListBullet"/>
      </w:pPr>
      <w:r/>
      <w:r>
        <w:rPr>
          <w:b/>
        </w:rPr>
        <w:t>Hépatique</w:t>
      </w:r>
      <w:r>
        <w:t xml:space="preserve"> : élévation transitoire des transaminases (5-15 %).</w:t>
      </w:r>
    </w:p>
    <w:p>
      <w:pPr>
        <w:pStyle w:val="ListBullet"/>
      </w:pPr>
      <w:r/>
      <w:r>
        <w:rPr>
          <w:b/>
        </w:rPr>
        <w:t>Risque de néoplasie</w:t>
      </w:r>
      <w:r>
        <w:t xml:space="preserve"> : à long terme, possible augmentation de l'incidence des cancers solides et hématologiques — surveillance prolongée.</w:t>
      </w:r>
    </w:p>
    <w:p>
      <w:pPr>
        <w:pStyle w:val="ListBullet"/>
      </w:pPr>
      <w:r/>
      <w:r>
        <w:rPr>
          <w:b/>
        </w:rPr>
        <w:t>Mesures préventives</w:t>
      </w:r>
      <w:r>
        <w:t xml:space="preserve"> :</w:t>
      </w:r>
    </w:p>
    <w:p>
      <w:pPr>
        <w:pStyle w:val="ListBullet"/>
      </w:pPr>
      <w:r/>
      <w:r>
        <w:rPr>
          <w:b/>
        </w:rPr>
        <w:t>Bilan pré-thérapeutique</w:t>
      </w:r>
      <w:r>
        <w:t xml:space="preserve"> : NFS-plaquettes, créatininémie, bilan hépatique, β-hCG, sérologies (VHB, VHC, VIH, EBV, CMV, VZV) — IgG anti-VZV obligatoire (vacciner si négatif avant traitement), IDR à la tuberculine ou IGRA, échographie abdominale.</w:t>
      </w:r>
    </w:p>
    <w:p>
      <w:pPr>
        <w:pStyle w:val="ListBullet"/>
      </w:pPr>
      <w:r/>
      <w:r>
        <w:rPr>
          <w:b/>
        </w:rPr>
        <w:t>Vaccination préalable</w:t>
      </w:r>
      <w:r>
        <w:t xml:space="preserve"> : vaccins inactivés obligatoires (grippe, pneumocoque, hépatite B, tétanos) au moins 6 semaines avant traitement ; vaccin VZV (Varivax®) si séronégatif, au moins 4-6 semaines avant.</w:t>
      </w:r>
    </w:p>
    <w:p>
      <w:pPr>
        <w:pStyle w:val="ListBullet"/>
      </w:pPr>
      <w:r/>
      <w:r>
        <w:rPr>
          <w:b/>
        </w:rPr>
        <w:t>Prophylaxie pneumocystose</w:t>
      </w:r>
      <w:r>
        <w:t xml:space="preserve"> : cotrimoxazole 400/80 mg 3x/sem pendant toute la durée et 6 mois après.</w:t>
      </w:r>
    </w:p>
    <w:p>
      <w:pPr>
        <w:pStyle w:val="ListBullet"/>
      </w:pPr>
      <w:r/>
      <w:r>
        <w:rPr>
          <w:b/>
        </w:rPr>
        <w:t>Prophylaxie herpès/zona</w:t>
      </w:r>
      <w:r>
        <w:t xml:space="preserve"> : valacyclovir 500 mg x 2/j pendant 6 mois après.</w:t>
      </w:r>
    </w:p>
    <w:p>
      <w:pPr>
        <w:pStyle w:val="ListBullet"/>
      </w:pPr>
      <w:r/>
      <w:r>
        <w:rPr>
          <w:b/>
        </w:rPr>
        <w:t>Surveillance NFS</w:t>
      </w:r>
      <w:r>
        <w:t xml:space="preserve"> : avant chaque cure, à J14 et J28 après chaque cure.</w:t>
      </w:r>
    </w:p>
    <w:p>
      <w:pPr>
        <w:pStyle w:val="ListBullet"/>
      </w:pPr>
      <w:r/>
      <w:r>
        <w:rPr>
          <w:b/>
        </w:rPr>
        <w:t>Surveillance immunologique</w:t>
      </w:r>
      <w:r>
        <w:t xml:space="preserve"> : lymphocytes CD4/CD8 avant chaque cure et mensuellement pendant 1 an.</w:t>
      </w:r>
    </w:p>
    <w:p>
      <w:pPr>
        <w:pStyle w:val="ListBullet"/>
      </w:pPr>
      <w:r/>
      <w:r>
        <w:rPr>
          <w:b/>
        </w:rPr>
        <w:t>Contraception</w:t>
      </w:r>
      <w:r>
        <w:t xml:space="preserve"> : obligatoire pendant et 6 mois après la dernière cure (femme ET homme) — la cladribine est tératogène chez l'animal, troubles de la fertilité masculine possibles.</w:t>
      </w:r>
    </w:p>
    <w:p>
      <w:pPr>
        <w:pStyle w:val="ListBullet"/>
      </w:pPr>
      <w:r/>
      <w:r>
        <w:rPr>
          <w:b/>
        </w:rPr>
        <w:t>Vaccins</w:t>
      </w:r>
      <w:r>
        <w:t xml:space="preserve"> : éviter vaccins vivants atténués pendant et 6 mois après.</w:t>
      </w:r>
    </w:p>
    <w:p>
      <w:pPr>
        <w:pStyle w:val="ListBullet"/>
      </w:pPr>
      <w:r/>
      <w:r>
        <w:rPr>
          <w:b/>
        </w:rPr>
        <w:t>Hydratation</w:t>
      </w:r>
      <w:r>
        <w:t xml:space="preserve"> : 1,5-2 L/j.</w:t>
      </w:r>
    </w:p>
    <w:p>
      <w:pPr>
        <w:pStyle w:val="ListBullet"/>
      </w:pPr>
      <w:r/>
      <w:r>
        <w:rPr>
          <w:b/>
        </w:rPr>
        <w:t>Prophylaxie tuberculose</w:t>
      </w:r>
      <w:r>
        <w:t xml:space="preserve"> : si IGRA positif, traitement d'une tuberculose latente (isoniazide 5 mg/kg/j x 6 mois) avant cladribine.</w:t>
      </w:r>
    </w:p>
    <w:p>
      <w:pPr>
        <w:pStyle w:val="ListBullet"/>
      </w:pPr>
      <w:r/>
      <w:r>
        <w:rPr>
          <w:b/>
        </w:rPr>
        <w:t>Interactions médicamenteuses</w:t>
      </w:r>
      <w:r>
        <w:t xml:space="preserve"> :</w:t>
      </w:r>
    </w:p>
    <w:p>
      <w:pPr>
        <w:pStyle w:val="ListBullet"/>
      </w:pPr>
      <w:r/>
      <w:r>
        <w:rPr>
          <w:b/>
        </w:rPr>
        <w:t>Cladribine + interféron-bêta, glatiramer</w:t>
      </w:r>
      <w:r>
        <w:t xml:space="preserve"> : contre-indication (immunosuppression additive).</w:t>
      </w:r>
    </w:p>
    <w:p>
      <w:pPr>
        <w:pStyle w:val="ListBullet"/>
      </w:pPr>
      <w:r/>
      <w:r>
        <w:rPr>
          <w:b/>
        </w:rPr>
        <w:t>Cladribine + natalizumab, fingolimod, diméthyl fumarate</w:t>
      </w:r>
      <w:r>
        <w:t xml:space="preserve"> : contre-indication (immunosuppression combinée).</w:t>
      </w:r>
    </w:p>
    <w:p>
      <w:pPr>
        <w:pStyle w:val="ListBullet"/>
      </w:pPr>
      <w:r/>
      <w:r>
        <w:rPr>
          <w:b/>
        </w:rPr>
        <w:t>Cladribine + anticorps anti-CD20 (rituximab, ocrelizumab, ofatumumab)</w:t>
      </w:r>
      <w:r>
        <w:t xml:space="preserve"> : surveillance ++ (déplétion lymphocytaire B additive).</w:t>
      </w:r>
    </w:p>
    <w:p>
      <w:pPr>
        <w:pStyle w:val="ListBullet"/>
      </w:pPr>
      <w:r/>
      <w:r>
        <w:rPr>
          <w:b/>
        </w:rPr>
        <w:t>Cladribine + vaccins vivants atténués</w:t>
      </w:r>
      <w:r>
        <w:t xml:space="preserve"> : contre-indication.</w:t>
      </w:r>
    </w:p>
    <w:p>
      <w:pPr>
        <w:pStyle w:val="ListBullet"/>
      </w:pPr>
      <w:r/>
      <w:r>
        <w:rPr>
          <w:b/>
        </w:rPr>
        <w:t>Cladribine + antiviraux</w:t>
      </w:r>
      <w:r>
        <w:t xml:space="preserve"> (aciclovir, valacyclovir) : autorisée en prophylaxie.</w:t>
      </w:r>
    </w:p>
    <w:p>
      <w:pPr>
        <w:pStyle w:val="ListBullet"/>
      </w:pPr>
      <w:r/>
      <w:r>
        <w:rPr>
          <w:b/>
        </w:rPr>
        <w:t>Cladribine + 5-FU, capécitabine</w:t>
      </w:r>
      <w:r>
        <w:t xml:space="preserve"> : toxicité hématologique additive — éviter.</w:t>
      </w:r>
    </w:p>
    <w:p>
      <w:pPr>
        <w:pStyle w:val="ListBullet"/>
      </w:pPr>
      <w:r/>
      <w:r>
        <w:rPr>
          <w:b/>
        </w:rPr>
        <w:t>Cladribine + cyclophosphamide, étoposide</w:t>
      </w:r>
      <w:r>
        <w:t xml:space="preserve"> : toxicité additive.</w:t>
      </w:r>
    </w:p>
    <w:p>
      <w:pPr>
        <w:pStyle w:val="ListBullet"/>
      </w:pPr>
      <w:r/>
      <w:r>
        <w:rPr>
          <w:b/>
        </w:rPr>
        <w:t>Cladribine + dipyridamole</w:t>
      </w:r>
      <w:r>
        <w:t xml:space="preserve"> : inhibition de la capture cellulaire — réduire efficacité.</w:t>
      </w:r>
    </w:p>
    <w:p>
      <w:pPr>
        <w:pStyle w:val="ListBullet"/>
      </w:pPr>
      <w:r/>
      <w:r>
        <w:rPr>
          <w:b/>
        </w:rPr>
        <w:t>Grossesse et allaitement (CRAT)</w:t>
      </w:r>
      <w:r>
        <w:t xml:space="preserve"> :</w:t>
      </w:r>
    </w:p>
    <w:p>
      <w:pPr>
        <w:pStyle w:val="ListBullet"/>
      </w:pPr>
      <w:r/>
      <w:r>
        <w:rPr>
          <w:b/>
        </w:rPr>
        <w:t>Grossesse</w:t>
      </w:r>
      <w:r>
        <w:t xml:space="preserve"> : selon le CRAT, la cladribine est </w:t>
      </w:r>
      <w:r>
        <w:rPr>
          <w:b/>
        </w:rPr>
        <w:t>tératogène</w:t>
      </w:r>
      <w:r>
        <w:t xml:space="preserve"> chez l'animal (anomalies squelettiques, fœtotoxicité). Catégorie X / </w:t>
      </w:r>
      <w:r>
        <w:rPr>
          <w:b/>
        </w:rPr>
        <w:t>contre-indication absolue</w:t>
      </w:r>
      <w:r>
        <w:t xml:space="preserve"> chez la femme enceinte. Contraception obligatoire </w:t>
      </w:r>
      <w:r>
        <w:rPr>
          <w:b/>
        </w:rPr>
        <w:t>pendant le traitement et 6 mois après la dernière cure chez la FEMME ET chez l'HOMME</w:t>
      </w:r>
      <w:r>
        <w:t xml:space="preserve"> (la cladribine peut altérer la spermatogenèse et induire des anomalies génétiques sur les spermatozoïdes). Test de grossesse négatif obligatoire avant chaque cure.</w:t>
      </w:r>
    </w:p>
    <w:p>
      <w:pPr>
        <w:pStyle w:val="ListBullet"/>
      </w:pPr>
      <w:r/>
      <w:r>
        <w:rPr>
          <w:b/>
        </w:rPr>
        <w:t>Allaitement</w:t>
      </w:r>
      <w:r>
        <w:t xml:space="preserve"> : contre-indiqué (passe dans le lait, toxicité pour le nourrisson).</w:t>
      </w:r>
    </w:p>
    <w:p>
      <w:pPr>
        <w:pStyle w:val="ListBullet"/>
      </w:pPr>
      <w:r/>
      <w:r>
        <w:rPr>
          <w:b/>
        </w:rPr>
        <w:t>Posologie</w:t>
      </w:r>
      <w:r>
        <w:t xml:space="preserve"> :</w:t>
      </w:r>
    </w:p>
    <w:p>
      <w:pPr>
        <w:pStyle w:val="ListBullet"/>
      </w:pPr>
      <w:r/>
      <w:r>
        <w:rPr>
          <w:b/>
        </w:rPr>
        <w:t>Oncologie (HCL)</w:t>
      </w:r>
      <w:r>
        <w:t xml:space="preserve"> : 0,09 mg/kg/j IV en perfusion continue 24 h pendant 7 jours consécutifs, ou 0,14 mg/kg/j SC pendant 5 jours consécutifs. Cure unique généralement suffisante (rémission complète dans 80 % des cas).</w:t>
      </w:r>
    </w:p>
    <w:p>
      <w:pPr>
        <w:pStyle w:val="ListBullet"/>
      </w:pPr>
      <w:r/>
      <w:r>
        <w:rPr>
          <w:b/>
        </w:rPr>
        <w:t>SEP (Mavenclad® / Marvyl®)</w:t>
      </w:r>
      <w:r>
        <w:t xml:space="preserve"> : schéma oral court de 2 cures annuelles.</w:t>
      </w:r>
    </w:p>
    <w:p>
      <w:pPr>
        <w:pStyle w:val="ListBullet"/>
      </w:pPr>
      <w:r>
        <w:t>Année 1 : 10 mg/j per os pendant 5 jours consécutifs (à J1-J5) — soit 50 mg au total pour un patient de 70 kg.</w:t>
      </w:r>
    </w:p>
    <w:p>
      <w:pPr>
        <w:pStyle w:val="ListBullet"/>
      </w:pPr>
      <w:r>
        <w:t>Année 2 : 10 mg/j per os pendant 5 jours consécutifs (à J1-J5) — soit 50 mg au total. À au moins 43 semaines après la cure 1.</w:t>
      </w:r>
    </w:p>
    <w:p>
      <w:pPr>
        <w:pStyle w:val="ListBullet"/>
      </w:pPr>
      <w:r>
        <w:t>Dose totale cumulée sur 2 ans = 3,5 mg/kg (calculée sur poids).</w:t>
      </w:r>
    </w:p>
    <w:p>
      <w:pPr>
        <w:pStyle w:val="ListBullet"/>
      </w:pPr>
      <w:r>
        <w:t>Adaptation posologique selon NFS : si lymphocytes ≥ 800/mm³ : cure à dose standard ; si 500-800 : réduire dose à 50 % ; si &lt; 500 : retarder la cure.</w:t>
      </w:r>
    </w:p>
    <w:p>
      <w:pPr>
        <w:pStyle w:val="ListBullet"/>
      </w:pPr>
      <w:r/>
      <w:r>
        <w:rPr>
          <w:b/>
        </w:rPr>
        <w:t>Adaptation rénale</w:t>
      </w:r>
      <w:r>
        <w:t xml:space="preserve"> : ClCr &lt; 60 mL/min → réduire 25-50 % ; &lt; 30 → contre-indication.</w:t>
      </w:r>
    </w:p>
    <w:p>
      <w:pPr>
        <w:pStyle w:val="ListBullet"/>
      </w:pPr>
      <w:r/>
      <w:r>
        <w:rPr>
          <w:b/>
        </w:rPr>
        <w:t>Adaptation hépatique</w:t>
      </w:r>
      <w:r>
        <w:t xml:space="preserve"> : modérée : pas d'adaptation ; sévère : non recommandée.</w:t>
      </w:r>
    </w:p>
    <w:p>
      <w:pPr>
        <w:pStyle w:val="ListBullet"/>
      </w:pPr>
      <w:r/>
      <w:r>
        <w:rPr>
          <w:b/>
        </w:rPr>
        <w:t>Sujet âgé</w:t>
      </w:r>
      <w:r>
        <w:t xml:space="preserve"> : pas d'adaptation systématique (surveillance ++).</w:t>
      </w:r>
    </w:p>
    <w:p>
      <w:pPr>
        <w:pStyle w:val="ListBullet"/>
      </w:pPr>
      <w:r/>
      <w:r>
        <w:rPr>
          <w:b/>
        </w:rPr>
        <w:t>Formes galéniques</w:t>
      </w:r>
      <w:r>
        <w:t xml:space="preserve"> :</w:t>
      </w:r>
    </w:p>
    <w:p>
      <w:pPr>
        <w:pStyle w:val="ListBullet"/>
      </w:pPr>
      <w:r/>
      <w:r>
        <w:rPr>
          <w:b/>
        </w:rPr>
        <w:t>Comprimés 10 mg</w:t>
      </w:r>
      <w:r>
        <w:t xml:space="preserve"> (MARVYL Hikma Pharma Algeria actif, MAVENCLAD Merck actif) : forme orale unique disponible en Algérie, pratique pour le traitement ambulatoire de la SEP. Boîtes de 1, 4 ou 6 comprimés (selon le poids du patient, schéma personnalisé). Conservation &lt; 25 °C, à l'abri de l'humidité. Tenir hors de portée des enfants.</w:t>
      </w:r>
    </w:p>
    <w:p>
      <w:pPr>
        <w:pStyle w:val="ListBullet"/>
      </w:pPr>
      <w:r/>
      <w:r>
        <w:rPr>
          <w:b/>
        </w:rPr>
        <w:t>Solution injectable IV/SC</w:t>
      </w:r>
      <w:r>
        <w:t xml:space="preserve"> : indisponible en Algérie (à l'import pour HCL).</w:t>
      </w:r>
    </w:p>
    <w:p>
      <w:pPr>
        <w:pStyle w:val="ListBullet"/>
      </w:pPr>
      <w:r/>
      <w:r>
        <w:rPr>
          <w:b/>
        </w:rPr>
        <w:t>Manipulation</w:t>
      </w:r>
      <w:r>
        <w:t xml:space="preserve"> : précautions cytotoxiques standard. Ne pas écraser ou casser les comprimés.</w:t>
      </w:r>
    </w:p>
    <w:p>
      <w:pPr>
        <w:pStyle w:val="ListBullet"/>
      </w:pPr>
      <w:r/>
      <w:r>
        <w:rPr>
          <w:b/>
        </w:rPr>
        <w:t>Conservation</w:t>
      </w:r>
      <w:r>
        <w:t xml:space="preserve"> : comprimés à température &lt; 25 °C, à l'abri de l'humidité et de la lumière.</w:t>
      </w:r>
    </w:p>
    <w:p>
      <w:pPr>
        <w:pStyle w:val="ListBullet"/>
      </w:pPr>
      <w:r/>
      <w:r>
        <w:rPr>
          <w:b/>
        </w:rPr>
        <w:t>Conseils aux patients</w:t>
      </w:r>
      <w:r>
        <w:t xml:space="preserve"> :</w:t>
      </w:r>
    </w:p>
    <w:p>
      <w:pPr>
        <w:pStyle w:val="ListBullet"/>
      </w:pPr>
      <w:r/>
      <w:r>
        <w:rPr>
          <w:b/>
        </w:rPr>
        <w:t>Communication au comptoir</w:t>
      </w:r>
      <w:r>
        <w:t xml:space="preserve"> : « Voici votre cladribine. Vous prenez 1 comprimé par jour pendant 5 jours (Année 1), puis de nouveau 5 jours après 1 an (Année 2). Contrôle strict de la contraception obligatoire pendant le traitement et 6 mois après — chez la femme ET chez l'homme. Prenez le Bactrim (cotrimoxazole) 3 fois par semaine et le Zelitrex (valacyclovir) 2 fois par jour pendant 6 mois après la cure. Surveillez votre température : si fièvre &gt; 38 °C, consultez en urgence. Évitez les vaccins vivants. »</w:t>
      </w:r>
    </w:p>
    <w:p>
      <w:pPr>
        <w:pStyle w:val="ListBullet"/>
      </w:pPr>
      <w:r/>
      <w:r>
        <w:rPr>
          <w:b/>
        </w:rPr>
        <w:t>Mode d'utilisation</w:t>
      </w:r>
      <w:r>
        <w:t xml:space="preserve"> : per os, à heure fixe, avec un grand verre d'eau, pendant ou en dehors des repas (sans incidence).</w:t>
      </w:r>
    </w:p>
    <w:p>
      <w:pPr>
        <w:pStyle w:val="ListBullet"/>
      </w:pPr>
      <w:r/>
      <w:r>
        <w:rPr>
          <w:b/>
        </w:rPr>
        <w:t>Surveillance NFS</w:t>
      </w:r>
      <w:r>
        <w:t xml:space="preserve"> : avant chaque cure, à J14 et J28 après chaque cure, puis mensuelle.</w:t>
      </w:r>
    </w:p>
    <w:p>
      <w:pPr>
        <w:pStyle w:val="ListBullet"/>
      </w:pPr>
      <w:r/>
      <w:r>
        <w:rPr>
          <w:b/>
        </w:rPr>
        <w:t>Surveillance immunologique</w:t>
      </w:r>
      <w:r>
        <w:t xml:space="preserve"> : lymphocytes CD4/CD8 mensuels pendant 1 an.</w:t>
      </w:r>
    </w:p>
    <w:p>
      <w:pPr>
        <w:pStyle w:val="ListBullet"/>
      </w:pPr>
      <w:r/>
      <w:r>
        <w:rPr>
          <w:b/>
        </w:rPr>
        <w:t>Contraception stricte</w:t>
      </w:r>
      <w:r>
        <w:t xml:space="preserve"> : pendant le traitement et 6 mois après (femme et homme) — méthode efficace (double méthode recommandée : préservatif + contraception hormonale ou DIU).</w:t>
      </w:r>
    </w:p>
    <w:p>
      <w:pPr>
        <w:pStyle w:val="ListBullet"/>
      </w:pPr>
      <w:r/>
      <w:r>
        <w:rPr>
          <w:b/>
        </w:rPr>
        <w:t>Vaccins</w:t>
      </w:r>
      <w:r>
        <w:t xml:space="preserve"> : vaccins inactivés recommandés avant traitement (grippe, pneumocoque, hépatite B, tétanos) — éviter vaccins vivants pendant et 6 mois après.</w:t>
      </w:r>
    </w:p>
    <w:p>
      <w:pPr>
        <w:pStyle w:val="ListBullet"/>
      </w:pPr>
      <w:r/>
      <w:r>
        <w:rPr>
          <w:b/>
        </w:rPr>
        <w:t>Prophylaxie infectieuse</w:t>
      </w:r>
      <w:r>
        <w:t xml:space="preserve"> : cotrimoxazole 3x/sem + valacyclovir 2x/j pendant 6 mois.</w:t>
      </w:r>
    </w:p>
    <w:p>
      <w:pPr>
        <w:pStyle w:val="ListBullet"/>
      </w:pPr>
      <w:r/>
      <w:r>
        <w:rPr>
          <w:b/>
        </w:rPr>
        <w:t>Hydratation</w:t>
      </w:r>
      <w:r>
        <w:t xml:space="preserve"> : 1,5-2 L/j.</w:t>
      </w:r>
    </w:p>
    <w:p>
      <w:pPr>
        <w:pStyle w:val="ListBullet"/>
      </w:pPr>
      <w:r/>
      <w:r>
        <w:rPr>
          <w:b/>
        </w:rPr>
        <w:t>En cas de fièvre, ulcère buccal, saignement, éruption cutanée</w:t>
      </w:r>
      <w:r>
        <w:t xml:space="preserve"> : consulter en urgence.</w:t>
      </w:r>
    </w:p>
    <w:p>
      <w:pPr>
        <w:pStyle w:val="ListBullet"/>
      </w:pPr>
      <w:r/>
      <w:r>
        <w:rPr>
          <w:b/>
        </w:rPr>
        <w:t>Éviter le contact avec personnes malades</w:t>
      </w:r>
      <w:r>
        <w:t xml:space="preserve"> (varicelle, zona, herpès).</w:t>
      </w:r>
    </w:p>
    <w:p>
      <w:pPr>
        <w:pStyle w:val="ListBullet"/>
      </w:pPr>
      <w:r/>
      <w:r>
        <w:rPr>
          <w:b/>
        </w:rPr>
        <w:t>Pièges classiques</w:t>
      </w:r>
      <w:r>
        <w:t xml:space="preserve"> :</w:t>
      </w:r>
    </w:p>
    <w:p>
      <w:pPr>
        <w:pStyle w:val="ListBullet"/>
      </w:pPr>
      <w:r/>
      <w:r>
        <w:rPr>
          <w:b/>
        </w:rPr>
        <w:t>Piège de la grossesse</w:t>
      </w:r>
      <w:r>
        <w:t xml:space="preserve"> : contraception obligatoire chez la femme ET chez l'homme — souvent oubliée chez l'homme.</w:t>
      </w:r>
    </w:p>
    <w:p>
      <w:pPr>
        <w:pStyle w:val="ListBullet"/>
      </w:pPr>
      <w:r/>
      <w:r>
        <w:rPr>
          <w:b/>
        </w:rPr>
        <w:t>Piège de la lymphopénie prolongée</w:t>
      </w:r>
      <w:r>
        <w:t xml:space="preserve"> : surveillance CD4 pendant 1 an, prophylaxie 6 mois.</w:t>
      </w:r>
    </w:p>
    <w:p>
      <w:pPr>
        <w:pStyle w:val="ListBullet"/>
      </w:pPr>
      <w:r/>
      <w:r>
        <w:rPr>
          <w:b/>
        </w:rPr>
        <w:t>Piège du zona</w:t>
      </w:r>
      <w:r>
        <w:t xml:space="preserve"> : fréquent (10-15 %) — valacyclovir préventif.</w:t>
      </w:r>
    </w:p>
    <w:p>
      <w:pPr>
        <w:pStyle w:val="ListBullet"/>
      </w:pPr>
      <w:r/>
      <w:r>
        <w:rPr>
          <w:b/>
        </w:rPr>
        <w:t>Piège de la tuberculose</w:t>
      </w:r>
      <w:r>
        <w:t xml:space="preserve"> : réactivation possible — IDR/IGRA préalable.</w:t>
      </w:r>
    </w:p>
    <w:p>
      <w:pPr>
        <w:pStyle w:val="ListBullet"/>
      </w:pPr>
      <w:r/>
      <w:r>
        <w:rPr>
          <w:b/>
        </w:rPr>
        <w:t>Piège de la vaccination par vaccin vivant</w:t>
      </w:r>
      <w:r>
        <w:t xml:space="preserve"> : contre-indication pendant et 6 mois après.</w:t>
      </w:r>
    </w:p>
    <w:p>
      <w:pPr>
        <w:pStyle w:val="ListBullet"/>
      </w:pPr>
      <w:r/>
      <w:r>
        <w:rPr>
          <w:b/>
        </w:rPr>
        <w:t>Piège du déficit immunitaire préexistant</w:t>
      </w:r>
      <w:r>
        <w:t xml:space="preserve"> : CD4 &lt; 200 → contre-indication.</w:t>
      </w:r>
    </w:p>
    <w:p>
      <w:pPr>
        <w:pStyle w:val="ListBullet"/>
      </w:pPr>
      <w:r/>
      <w:r>
        <w:rPr>
          <w:b/>
        </w:rPr>
        <w:t>Piège de la combinaison avec autres immunosuppresseurs</w:t>
      </w:r>
      <w:r>
        <w:t xml:space="preserve"> : contre-indication avec natalizumab, fingolimod.</w:t>
      </w:r>
    </w:p>
    <w:p>
      <w:pPr>
        <w:pStyle w:val="ListBullet"/>
      </w:pPr>
      <w:r/>
      <w:r>
        <w:rPr>
          <w:b/>
        </w:rPr>
        <w:t>Piège de l'adaptation de dose selon le poids</w:t>
      </w:r>
      <w:r>
        <w:t xml:space="preserve"> : 10 mg/j fixe mais à moduler selon lymphocytes.</w:t>
      </w:r>
    </w:p>
    <w:p>
      <w:pPr>
        <w:pStyle w:val="ListBullet"/>
      </w:pPr>
      <w:r/>
      <w:r>
        <w:rPr>
          <w:b/>
        </w:rPr>
        <w:t>Piège de la substitution MARVYL ↔ MAVENCLAD</w:t>
      </w:r>
      <w:r>
        <w:t xml:space="preserve"> : bioéquivalents mais à signaler au patient pour éviter la double prise.</w:t>
      </w:r>
    </w:p>
    <w:p>
      <w:pPr>
        <w:pStyle w:val="Heading2"/>
      </w:pPr>
      <w:r>
        <w:t>Sous-classe 6 — Antimétabolites analogues de pyrimidines — Cytarabine, Gemcitabine</w:t>
      </w:r>
    </w:p>
    <w:p>
      <w:r>
        <w:t xml:space="preserve">Les </w:t>
      </w:r>
      <w:r>
        <w:rPr>
          <w:b/>
        </w:rPr>
        <w:t>analogues de pyrimidines</w:t>
      </w:r>
      <w:r>
        <w:t xml:space="preserve"> constituent une famille d'antimétabolites structurellement apparentés aux pyrimidines endogènes (cytidine, uridine) qui, après activation intracellulaire par phosphorylation, sont incorporés dans l'ADN naissant à la place des nucléotides naturels et provoquent soit une terminaison de chaîne (cytarabine), soit un « masquage » (gemcitabine — la gemcitabine est incorporée puis un autre nucléotide normal s'ajoute après, ce qui rend la gemcitabine « masquée » et donc non détectable par les systèmes de réparation d'ADN). Deux molécules sont étudiées ici : la </w:t>
      </w:r>
      <w:r>
        <w:rPr>
          <w:b/>
        </w:rPr>
        <w:t>cytarabine (Ara-C)</w:t>
      </w:r>
      <w:r>
        <w:t xml:space="preserve"> et la </w:t>
      </w:r>
      <w:r>
        <w:rPr>
          <w:b/>
        </w:rPr>
        <w:t>gemcitabine (dFdC)</w:t>
      </w:r>
      <w:r>
        <w:t>.</w:t>
      </w:r>
    </w:p>
    <w:p>
      <w:r>
        <w:t xml:space="preserve">La </w:t>
      </w:r>
      <w:r>
        <w:rPr>
          <w:b/>
        </w:rPr>
        <w:t>cytarabine</w:t>
      </w:r>
      <w:r>
        <w:t xml:space="preserve"> (1-β-D-arabinofuranosylcytosine, Ara-C), synthétisée en 1959 par Charles Heidelberger, est indiquée dans les </w:t>
      </w:r>
      <w:r>
        <w:rPr>
          <w:b/>
        </w:rPr>
        <w:t>leucémies aiguës myéloïdes (LAM)</w:t>
      </w:r>
      <w:r>
        <w:t xml:space="preserve"> en induction (protocole 7+3 : cytarabine 7 jours + daunorubicine 3 jours) et dans les </w:t>
      </w:r>
      <w:r>
        <w:rPr>
          <w:b/>
        </w:rPr>
        <w:t>leucémies aiguës lymphoblastiques (LAL)</w:t>
      </w:r>
      <w:r>
        <w:t xml:space="preserve"> en consolidation. Ses doses s'étendent de 100 mg/m²/j (standard) à 3 g/m²/12 h (hautes doses, protocoles HD-Ara-C) avec saut d'organes sanctuaires (méninges). Sa toxicité hématologique est profonde (aplasie de 3-4 semaines) et son syndrome caractéristique est le </w:t>
      </w:r>
      <w:r>
        <w:rPr>
          <w:b/>
        </w:rPr>
        <w:t>syndrome de différenciation</w:t>
      </w:r>
      <w:r>
        <w:t xml:space="preserve"> (anomalies dermatologiques, péricardite, fièvre sans infection) qui survient à J7-J14 après initiation et qui répond aux corticoïdes.</w:t>
      </w:r>
    </w:p>
    <w:p>
      <w:r>
        <w:t xml:space="preserve">La </w:t>
      </w:r>
      <w:r>
        <w:rPr>
          <w:b/>
        </w:rPr>
        <w:t>gemcitabine (2',2'-difluoro-déoxycytidine, dFdC)</w:t>
      </w:r>
      <w:r>
        <w:t xml:space="preserve">, plus récente (Lilly, 1995), est indiquée dans les cancers du pancréas, de la vessie (BCG-refractory), du poumon non à petites cellules (CBNPC), de l'ovaire (en association avec carboplatine), du sein (en association avec paclitaxel), et de la voie biliaire. Sa particularité pharmacocinétique est la </w:t>
      </w:r>
      <w:r>
        <w:rPr>
          <w:b/>
        </w:rPr>
        <w:t>surveillance hépatique obligatoire</w:t>
      </w:r>
      <w:r>
        <w:t xml:space="preserve"> (transaminases, bilirubine) avec ajustement posologique selon le grade de l'hépatotoxicité. Sa toxicité caractéristique est l'</w:t>
      </w:r>
      <w:r>
        <w:rPr>
          <w:b/>
        </w:rPr>
        <w:t>hémolyse microangiopathique</w:t>
      </w:r>
      <w:r>
        <w:t xml:space="preserve"> (syndrome hémolytique et urémique [SHU] atypique, rare mais sévère), la pneumopathie interstitielle, le syndrome capillaire leak (rare), et l'alopécie modérée.</w:t>
      </w:r>
    </w:p>
    <w:p>
      <w:pPr>
        <w:pStyle w:val="Heading3"/>
      </w:pPr>
      <w:r>
        <w:t>8. DCI : Cytarabine (Ara-C)</w:t>
      </w:r>
    </w:p>
    <w:p>
      <w:pPr>
        <w:pStyle w:val="ListBullet"/>
      </w:pPr>
      <w:r/>
      <w:r>
        <w:rPr>
          <w:b/>
        </w:rPr>
        <w:t>Catégories</w:t>
      </w:r>
      <w:r>
        <w:t xml:space="preserve"> : Antimétabolite analogue de pyrimidine (analogue de la cytidine) ; cytotoxique phase S ; classe ATC L01BC01.</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CYTARABINE-BELMED</w:t>
            </w:r>
          </w:p>
        </w:tc>
        <w:tc>
          <w:tcPr>
            <w:tcW w:type="dxa" w:w="1559"/>
          </w:tcPr>
          <w:p>
            <w:r>
              <w:rPr>
                <w:sz w:val="20"/>
              </w:rPr>
              <w:t>BELMEDPREPARATY</w:t>
            </w:r>
          </w:p>
        </w:tc>
        <w:tc>
          <w:tcPr>
            <w:tcW w:type="dxa" w:w="1559"/>
          </w:tcPr>
          <w:p>
            <w:r>
              <w:rPr>
                <w:sz w:val="20"/>
              </w:rPr>
              <w:t>Poudre lyophilisée pour solution injectable, 1000 mg</w:t>
            </w:r>
          </w:p>
        </w:tc>
        <w:tc>
          <w:tcPr>
            <w:tcW w:type="dxa" w:w="1559"/>
          </w:tcPr>
          <w:p>
            <w:r>
              <w:rPr>
                <w:sz w:val="20"/>
              </w:rPr>
              <w:t>B/1 flacon de 20 mL</w:t>
            </w:r>
          </w:p>
        </w:tc>
        <w:tc>
          <w:tcPr>
            <w:tcW w:type="dxa" w:w="1559"/>
          </w:tcPr>
          <w:p>
            <w:r>
              <w:rPr>
                <w:sz w:val="20"/>
              </w:rPr>
              <w:t>LISTE I</w:t>
            </w:r>
          </w:p>
        </w:tc>
        <w:tc>
          <w:tcPr>
            <w:tcW w:type="dxa" w:w="1559"/>
          </w:tcPr>
          <w:p>
            <w:r>
              <w:rPr>
                <w:sz w:val="20"/>
              </w:rPr>
              <w:t>ACTIF</w:t>
            </w:r>
          </w:p>
        </w:tc>
      </w:tr>
      <w:tr>
        <w:tc>
          <w:tcPr>
            <w:tcW w:type="dxa" w:w="1559"/>
          </w:tcPr>
          <w:p>
            <w:r>
              <w:rPr>
                <w:sz w:val="20"/>
              </w:rPr>
              <w:t>CYTABINE</w:t>
            </w:r>
          </w:p>
        </w:tc>
        <w:tc>
          <w:tcPr>
            <w:tcW w:type="dxa" w:w="1559"/>
          </w:tcPr>
          <w:p>
            <w:r>
              <w:rPr>
                <w:sz w:val="20"/>
              </w:rPr>
              <w:t>BELMEDPREPARATY</w:t>
            </w:r>
          </w:p>
        </w:tc>
        <w:tc>
          <w:tcPr>
            <w:tcW w:type="dxa" w:w="1559"/>
          </w:tcPr>
          <w:p>
            <w:r>
              <w:rPr>
                <w:sz w:val="20"/>
              </w:rPr>
              <w:t>Poudre lyophilisée pour solution injectable, 100 mg/mL</w:t>
            </w:r>
          </w:p>
        </w:tc>
        <w:tc>
          <w:tcPr>
            <w:tcW w:type="dxa" w:w="1559"/>
          </w:tcPr>
          <w:p>
            <w:r>
              <w:rPr>
                <w:sz w:val="20"/>
              </w:rPr>
              <w:t>B/1 flacon de 10 mL</w:t>
            </w:r>
          </w:p>
        </w:tc>
        <w:tc>
          <w:tcPr>
            <w:tcW w:type="dxa" w:w="1559"/>
          </w:tcPr>
          <w:p>
            <w:r>
              <w:rPr>
                <w:sz w:val="20"/>
              </w:rPr>
              <w:t>LISTE I</w:t>
            </w:r>
          </w:p>
        </w:tc>
        <w:tc>
          <w:tcPr>
            <w:tcW w:type="dxa" w:w="1559"/>
          </w:tcPr>
          <w:p>
            <w:r>
              <w:rPr>
                <w:sz w:val="20"/>
              </w:rPr>
              <w:t>ACTIF</w:t>
            </w:r>
          </w:p>
        </w:tc>
      </w:tr>
      <w:tr>
        <w:tc>
          <w:tcPr>
            <w:tcW w:type="dxa" w:w="1559"/>
          </w:tcPr>
          <w:p>
            <w:r>
              <w:rPr>
                <w:sz w:val="20"/>
              </w:rPr>
              <w:t>ARASID 100 - ARASID 500 - ARASID 1000</w:t>
            </w:r>
          </w:p>
        </w:tc>
        <w:tc>
          <w:tcPr>
            <w:tcW w:type="dxa" w:w="1559"/>
          </w:tcPr>
          <w:p>
            <w:r>
              <w:rPr>
                <w:sz w:val="20"/>
              </w:rPr>
              <w:t>CHIMIE PHARMACIE COMMERCE MULTIPLE SARL (CPCM)</w:t>
            </w:r>
          </w:p>
        </w:tc>
        <w:tc>
          <w:tcPr>
            <w:tcW w:type="dxa" w:w="1559"/>
          </w:tcPr>
          <w:p>
            <w:r>
              <w:rPr>
                <w:sz w:val="20"/>
              </w:rPr>
              <w:t>Solution injectable pour perfusion IV ou SC, 100 mg/mL (100 mg/1 mL ; 500 mg/5 mL ; 1000 mg/10 mL)</w:t>
            </w:r>
          </w:p>
        </w:tc>
        <w:tc>
          <w:tcPr>
            <w:tcW w:type="dxa" w:w="1559"/>
          </w:tcPr>
          <w:p>
            <w:r>
              <w:rPr>
                <w:sz w:val="20"/>
              </w:rPr>
              <w:t>B/1 flacon 1 mL ; B/1 flacon 5 mL ; B/1 flacon 10 mL</w:t>
            </w:r>
          </w:p>
        </w:tc>
        <w:tc>
          <w:tcPr>
            <w:tcW w:type="dxa" w:w="1559"/>
          </w:tcPr>
          <w:p>
            <w:r>
              <w:rPr>
                <w:sz w:val="20"/>
              </w:rPr>
              <w:t>LISTE I</w:t>
            </w:r>
          </w:p>
        </w:tc>
        <w:tc>
          <w:tcPr>
            <w:tcW w:type="dxa" w:w="1559"/>
          </w:tcPr>
          <w:p>
            <w:r>
              <w:rPr>
                <w:sz w:val="20"/>
              </w:rPr>
              <w:t>ACTIF</w:t>
            </w:r>
          </w:p>
        </w:tc>
      </w:tr>
      <w:tr>
        <w:tc>
          <w:tcPr>
            <w:tcW w:type="dxa" w:w="1559"/>
          </w:tcPr>
          <w:p>
            <w:r>
              <w:rPr>
                <w:sz w:val="20"/>
              </w:rPr>
              <w:t>ZECYTE-100</w:t>
            </w:r>
          </w:p>
        </w:tc>
        <w:tc>
          <w:tcPr>
            <w:tcW w:type="dxa" w:w="1559"/>
          </w:tcPr>
          <w:p>
            <w:r>
              <w:rPr>
                <w:sz w:val="20"/>
              </w:rPr>
              <w:t>CIPLA LIMITED</w:t>
            </w:r>
          </w:p>
        </w:tc>
        <w:tc>
          <w:tcPr>
            <w:tcW w:type="dxa" w:w="1559"/>
          </w:tcPr>
          <w:p>
            <w:r>
              <w:rPr>
                <w:sz w:val="20"/>
              </w:rPr>
              <w:t>Solution injectable IV, 100 mg/mL</w:t>
            </w:r>
          </w:p>
        </w:tc>
        <w:tc>
          <w:tcPr>
            <w:tcW w:type="dxa" w:w="1559"/>
          </w:tcPr>
          <w:p>
            <w:r>
              <w:rPr>
                <w:sz w:val="20"/>
              </w:rPr>
              <w:t>B/1 flacon de 1 mL</w:t>
            </w:r>
          </w:p>
        </w:tc>
        <w:tc>
          <w:tcPr>
            <w:tcW w:type="dxa" w:w="1559"/>
          </w:tcPr>
          <w:p>
            <w:r>
              <w:rPr>
                <w:sz w:val="20"/>
              </w:rPr>
              <w:t>LISTE I</w:t>
            </w:r>
          </w:p>
        </w:tc>
        <w:tc>
          <w:tcPr>
            <w:tcW w:type="dxa" w:w="1559"/>
          </w:tcPr>
          <w:p>
            <w:r>
              <w:rPr>
                <w:sz w:val="20"/>
              </w:rPr>
              <w:t>ACTIF</w:t>
            </w:r>
          </w:p>
        </w:tc>
      </w:tr>
      <w:tr>
        <w:tc>
          <w:tcPr>
            <w:tcW w:type="dxa" w:w="1559"/>
          </w:tcPr>
          <w:p>
            <w:r>
              <w:rPr>
                <w:sz w:val="20"/>
              </w:rPr>
              <w:t>ALEXAN</w:t>
            </w:r>
          </w:p>
        </w:tc>
        <w:tc>
          <w:tcPr>
            <w:tcW w:type="dxa" w:w="1559"/>
          </w:tcPr>
          <w:p>
            <w:r>
              <w:rPr>
                <w:sz w:val="20"/>
              </w:rPr>
              <w:t>EBEWE PHARMA</w:t>
            </w:r>
          </w:p>
        </w:tc>
        <w:tc>
          <w:tcPr>
            <w:tcW w:type="dxa" w:w="1559"/>
          </w:tcPr>
          <w:p>
            <w:r>
              <w:rPr>
                <w:sz w:val="20"/>
              </w:rPr>
              <w:t>Solution injectable, 20 mg/mL (100 mg/5 mL)</w:t>
            </w:r>
          </w:p>
        </w:tc>
        <w:tc>
          <w:tcPr>
            <w:tcW w:type="dxa" w:w="1559"/>
          </w:tcPr>
          <w:p>
            <w:r>
              <w:rPr>
                <w:sz w:val="20"/>
              </w:rPr>
              <w:t>Flacon 5 mL</w:t>
            </w:r>
          </w:p>
        </w:tc>
        <w:tc>
          <w:tcPr>
            <w:tcW w:type="dxa" w:w="1559"/>
          </w:tcPr>
          <w:p>
            <w:r>
              <w:rPr>
                <w:sz w:val="20"/>
              </w:rPr>
              <w:t>LISTE I</w:t>
            </w:r>
          </w:p>
        </w:tc>
        <w:tc>
          <w:tcPr>
            <w:tcW w:type="dxa" w:w="1559"/>
          </w:tcPr>
          <w:p>
            <w:r>
              <w:rPr>
                <w:sz w:val="20"/>
              </w:rPr>
              <w:t>NON RENOUVELABLE</w:t>
            </w:r>
          </w:p>
        </w:tc>
      </w:tr>
      <w:tr>
        <w:tc>
          <w:tcPr>
            <w:tcW w:type="dxa" w:w="1559"/>
          </w:tcPr>
          <w:p>
            <w:r>
              <w:rPr>
                <w:sz w:val="20"/>
              </w:rPr>
              <w:t>ALEXAN</w:t>
            </w:r>
          </w:p>
        </w:tc>
        <w:tc>
          <w:tcPr>
            <w:tcW w:type="dxa" w:w="1559"/>
          </w:tcPr>
          <w:p>
            <w:r>
              <w:rPr>
                <w:sz w:val="20"/>
              </w:rPr>
              <w:t>EBEWE PHARMA</w:t>
            </w:r>
          </w:p>
        </w:tc>
        <w:tc>
          <w:tcPr>
            <w:tcW w:type="dxa" w:w="1559"/>
          </w:tcPr>
          <w:p>
            <w:r>
              <w:rPr>
                <w:sz w:val="20"/>
              </w:rPr>
              <w:t>Solution injectable, 50 mg/mL (500 mg/10 mL ; 1000 mg/20 mL)</w:t>
            </w:r>
          </w:p>
        </w:tc>
        <w:tc>
          <w:tcPr>
            <w:tcW w:type="dxa" w:w="1559"/>
          </w:tcPr>
          <w:p>
            <w:r>
              <w:rPr>
                <w:sz w:val="20"/>
              </w:rPr>
              <w:t>1 flacon 10 mL et 1 flacon 20 mL</w:t>
            </w:r>
          </w:p>
        </w:tc>
        <w:tc>
          <w:tcPr>
            <w:tcW w:type="dxa" w:w="1559"/>
          </w:tcPr>
          <w:p>
            <w:r>
              <w:rPr>
                <w:sz w:val="20"/>
              </w:rPr>
              <w:t>LISTE I</w:t>
            </w:r>
          </w:p>
        </w:tc>
        <w:tc>
          <w:tcPr>
            <w:tcW w:type="dxa" w:w="1559"/>
          </w:tcPr>
          <w:p>
            <w:r>
              <w:rPr>
                <w:sz w:val="20"/>
              </w:rPr>
              <w:t>NON RENOUVELABLE</w:t>
            </w:r>
          </w:p>
        </w:tc>
      </w:tr>
      <w:tr>
        <w:tc>
          <w:tcPr>
            <w:tcW w:type="dxa" w:w="1559"/>
          </w:tcPr>
          <w:p>
            <w:r>
              <w:rPr>
                <w:sz w:val="20"/>
              </w:rPr>
              <w:t>CYTARABINE</w:t>
            </w:r>
          </w:p>
        </w:tc>
        <w:tc>
          <w:tcPr>
            <w:tcW w:type="dxa" w:w="1559"/>
          </w:tcPr>
          <w:p>
            <w:r>
              <w:rPr>
                <w:sz w:val="20"/>
              </w:rPr>
              <w:t>THERABEL PHARMA S.A.</w:t>
            </w:r>
          </w:p>
        </w:tc>
        <w:tc>
          <w:tcPr>
            <w:tcW w:type="dxa" w:w="1559"/>
          </w:tcPr>
          <w:p>
            <w:r>
              <w:rPr>
                <w:sz w:val="20"/>
              </w:rPr>
              <w:t>Solution injectable, 100 mg/5 mL</w:t>
            </w:r>
          </w:p>
        </w:tc>
        <w:tc>
          <w:tcPr>
            <w:tcW w:type="dxa" w:w="1559"/>
          </w:tcPr>
          <w:p>
            <w:r>
              <w:rPr>
                <w:sz w:val="20"/>
              </w:rPr>
              <w:t>B/10 flacons de 5 mL</w:t>
            </w:r>
          </w:p>
        </w:tc>
        <w:tc>
          <w:tcPr>
            <w:tcW w:type="dxa" w:w="1559"/>
          </w:tcPr>
          <w:p>
            <w:r>
              <w:rPr>
                <w:sz w:val="20"/>
              </w:rPr>
              <w:t>LISTE I</w:t>
            </w:r>
          </w:p>
        </w:tc>
        <w:tc>
          <w:tcPr>
            <w:tcW w:type="dxa" w:w="1559"/>
          </w:tcPr>
          <w:p>
            <w:r>
              <w:rPr>
                <w:sz w:val="20"/>
              </w:rPr>
              <w:t>RETRAIT (R)</w:t>
            </w:r>
          </w:p>
        </w:tc>
      </w:tr>
      <w:tr>
        <w:tc>
          <w:tcPr>
            <w:tcW w:type="dxa" w:w="1559"/>
          </w:tcPr>
          <w:p>
            <w:r>
              <w:rPr>
                <w:sz w:val="20"/>
              </w:rPr>
              <w:t>LARACIT</w:t>
            </w:r>
          </w:p>
        </w:tc>
        <w:tc>
          <w:tcPr>
            <w:tcW w:type="dxa" w:w="1559"/>
          </w:tcPr>
          <w:p>
            <w:r>
              <w:rPr>
                <w:sz w:val="20"/>
              </w:rPr>
              <w:t>LEMERY</w:t>
            </w:r>
          </w:p>
        </w:tc>
        <w:tc>
          <w:tcPr>
            <w:tcW w:type="dxa" w:w="1559"/>
          </w:tcPr>
          <w:p>
            <w:r>
              <w:rPr>
                <w:sz w:val="20"/>
              </w:rPr>
              <w:t>Solution injectable, 100 mg/5 mL</w:t>
            </w:r>
          </w:p>
        </w:tc>
        <w:tc>
          <w:tcPr>
            <w:tcW w:type="dxa" w:w="1559"/>
          </w:tcPr>
          <w:p>
            <w:r>
              <w:rPr>
                <w:sz w:val="20"/>
              </w:rPr>
              <w:t>B/01</w:t>
            </w:r>
          </w:p>
        </w:tc>
        <w:tc>
          <w:tcPr>
            <w:tcW w:type="dxa" w:w="1559"/>
          </w:tcPr>
          <w:p>
            <w:r>
              <w:rPr>
                <w:sz w:val="20"/>
              </w:rPr>
              <w:t>LISTE I</w:t>
            </w:r>
          </w:p>
        </w:tc>
        <w:tc>
          <w:tcPr>
            <w:tcW w:type="dxa" w:w="1559"/>
          </w:tcPr>
          <w:p>
            <w:r>
              <w:rPr>
                <w:sz w:val="20"/>
              </w:rPr>
              <w:t>RETRAIT (R)</w:t>
            </w:r>
          </w:p>
        </w:tc>
      </w:tr>
      <w:tr>
        <w:tc>
          <w:tcPr>
            <w:tcW w:type="dxa" w:w="1559"/>
          </w:tcPr>
          <w:p>
            <w:r>
              <w:rPr>
                <w:sz w:val="20"/>
              </w:rPr>
              <w:t>ARACYTINE</w:t>
            </w:r>
          </w:p>
        </w:tc>
        <w:tc>
          <w:tcPr>
            <w:tcW w:type="dxa" w:w="1559"/>
          </w:tcPr>
          <w:p>
            <w:r>
              <w:rPr>
                <w:sz w:val="20"/>
              </w:rPr>
              <w:t>PHARMACIA UPJOHN</w:t>
            </w:r>
          </w:p>
        </w:tc>
        <w:tc>
          <w:tcPr>
            <w:tcW w:type="dxa" w:w="1559"/>
          </w:tcPr>
          <w:p>
            <w:r>
              <w:rPr>
                <w:sz w:val="20"/>
              </w:rPr>
              <w:t>Poudre et solvant pour solution injectable, 100 mg</w:t>
            </w:r>
          </w:p>
        </w:tc>
        <w:tc>
          <w:tcPr>
            <w:tcW w:type="dxa" w:w="1559"/>
          </w:tcPr>
          <w:p>
            <w:r>
              <w:rPr>
                <w:sz w:val="20"/>
              </w:rPr>
              <w:t>B/1 flacon de poudre + 1 ampoule de 5 mL de solvant</w:t>
            </w:r>
          </w:p>
        </w:tc>
        <w:tc>
          <w:tcPr>
            <w:tcW w:type="dxa" w:w="1559"/>
          </w:tcPr>
          <w:p>
            <w:r>
              <w:rPr>
                <w:sz w:val="20"/>
              </w:rPr>
              <w:t>LISTE I</w:t>
            </w:r>
          </w:p>
        </w:tc>
        <w:tc>
          <w:tcPr>
            <w:tcW w:type="dxa" w:w="1559"/>
          </w:tcPr>
          <w:p>
            <w:r>
              <w:rPr>
                <w:sz w:val="20"/>
              </w:rPr>
              <w:t>RETRAIT (R)</w:t>
            </w:r>
          </w:p>
        </w:tc>
      </w:tr>
      <w:tr>
        <w:tc>
          <w:tcPr>
            <w:tcW w:type="dxa" w:w="1559"/>
          </w:tcPr>
          <w:p>
            <w:r>
              <w:rPr>
                <w:sz w:val="20"/>
              </w:rPr>
              <w:t>ARACYTINE</w:t>
            </w:r>
          </w:p>
        </w:tc>
        <w:tc>
          <w:tcPr>
            <w:tcW w:type="dxa" w:w="1559"/>
          </w:tcPr>
          <w:p>
            <w:r>
              <w:rPr>
                <w:sz w:val="20"/>
              </w:rPr>
              <w:t>PHARMACIA UPJOHN</w:t>
            </w:r>
          </w:p>
        </w:tc>
        <w:tc>
          <w:tcPr>
            <w:tcW w:type="dxa" w:w="1559"/>
          </w:tcPr>
          <w:p>
            <w:r>
              <w:rPr>
                <w:sz w:val="20"/>
              </w:rPr>
              <w:t>Poudre pour solution injectable, 500 mg</w:t>
            </w:r>
          </w:p>
        </w:tc>
        <w:tc>
          <w:tcPr>
            <w:tcW w:type="dxa" w:w="1559"/>
          </w:tcPr>
          <w:p>
            <w:r>
              <w:rPr>
                <w:sz w:val="20"/>
              </w:rPr>
              <w:t>B/1 flacon de poudre</w:t>
            </w:r>
          </w:p>
        </w:tc>
        <w:tc>
          <w:tcPr>
            <w:tcW w:type="dxa" w:w="1559"/>
          </w:tcPr>
          <w:p>
            <w:r>
              <w:rPr>
                <w:sz w:val="20"/>
              </w:rPr>
              <w:t>LISTE I</w:t>
            </w:r>
          </w:p>
        </w:tc>
        <w:tc>
          <w:tcPr>
            <w:tcW w:type="dxa" w:w="1559"/>
          </w:tcPr>
          <w:p>
            <w:r>
              <w:rPr>
                <w:sz w:val="20"/>
              </w:rPr>
              <w:t>RETRAIT (R)</w:t>
            </w:r>
          </w:p>
        </w:tc>
      </w:tr>
      <w:tr>
        <w:tc>
          <w:tcPr>
            <w:tcW w:type="dxa" w:w="1559"/>
          </w:tcPr>
          <w:p>
            <w:r>
              <w:rPr>
                <w:sz w:val="20"/>
              </w:rPr>
              <w:t>ARACYTINE</w:t>
            </w:r>
          </w:p>
        </w:tc>
        <w:tc>
          <w:tcPr>
            <w:tcW w:type="dxa" w:w="1559"/>
          </w:tcPr>
          <w:p>
            <w:r>
              <w:rPr>
                <w:sz w:val="20"/>
              </w:rPr>
              <w:t>PHARMACIA UPJOHN</w:t>
            </w:r>
          </w:p>
        </w:tc>
        <w:tc>
          <w:tcPr>
            <w:tcW w:type="dxa" w:w="1559"/>
          </w:tcPr>
          <w:p>
            <w:r>
              <w:rPr>
                <w:sz w:val="20"/>
              </w:rPr>
              <w:t>Lyophilisat pour usage parentéral IV, 1 g</w:t>
            </w:r>
          </w:p>
        </w:tc>
        <w:tc>
          <w:tcPr>
            <w:tcW w:type="dxa" w:w="1559"/>
          </w:tcPr>
          <w:p>
            <w:r>
              <w:rPr>
                <w:sz w:val="20"/>
              </w:rPr>
              <w:t>B/101 flacons de poudre</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cytarabine (Ara-C, 1-β-D-arabinofuranosylcytosine) est un </w:t>
      </w:r>
      <w:r>
        <w:rPr>
          <w:b/>
        </w:rPr>
        <w:t>analogue de la déoxycytidine</w:t>
      </w:r>
      <w:r>
        <w:t xml:space="preserve"> dans lequel le groupement hydroxyle en position 2' du sucre est en configuration arabinose (β-L au lieu de β-D) — d'où sa résistance à la déamination par la cytidine désaminase (qui reste néanmoins active, mais plus lentement). Inactive par elle-même, elle subit une </w:t>
      </w:r>
      <w:r>
        <w:rPr>
          <w:b/>
        </w:rPr>
        <w:t>activation intracellulaire par phosphorylations successives</w:t>
      </w:r>
      <w:r>
        <w:t xml:space="preserve"> : (1) déoxycytidine kinase (dCK) → Ara-CMP ; (2) déoxycytidylate kinase → Ara-CDP ; (3) ribonucléotide réductase (fournit le dCTP compétiteur) ; (4) nucléoside diphosphate kinase → Ara-CTP (métabolite actif). L'Ara-CTP est </w:t>
      </w:r>
      <w:r>
        <w:rPr>
          <w:b/>
        </w:rPr>
        <w:t>incorporé dans l'ADN naissant</w:t>
      </w:r>
      <w:r>
        <w:t xml:space="preserve"> à la place du dCTP par l'ADN polymérase α. Après incorporation, l'</w:t>
      </w:r>
      <w:r>
        <w:rPr>
          <w:b/>
        </w:rPr>
        <w:t>ADN polymérase ne peut pas ajouter le nucléotide suivant</w:t>
      </w:r>
      <w:r>
        <w:t xml:space="preserve"> (le groupement OH en 2' en position arabinose gêne stériquement) — d'où </w:t>
      </w:r>
      <w:r>
        <w:rPr>
          <w:b/>
        </w:rPr>
        <w:t>terminaison de chaîne</w:t>
      </w:r>
      <w:r>
        <w:t xml:space="preserve"> et inhibition de la synthèse de l'ADN. L'Ara-CTP inhibe également les ADN polymérases β et γ (réparation et synthèse mitochondriale). La cytotoxicité est </w:t>
      </w:r>
      <w:r>
        <w:rPr>
          <w:b/>
        </w:rPr>
        <w:t>phase S-spécifique</w:t>
      </w:r>
      <w:r>
        <w:t xml:space="preserve"> (cellules en division rapide). Mécanismes de résistance : diminution de l'activité dCK, augmentation de la cytidine désaminase, diminution de l'incorporation. Les doses « hautes » (≥ 1 g/m²) permettent de saturer la déamination intracellulaire et de franchir la barrière hémato-encéphalique (Ara-CTP dans le LCR).</w:t>
      </w:r>
    </w:p>
    <w:p>
      <w:pPr>
        <w:pStyle w:val="ListBullet"/>
      </w:pPr>
      <w:r/>
      <w:r>
        <w:rPr>
          <w:b/>
        </w:rPr>
        <w:t>Profil pharmacocinétique</w:t>
      </w:r>
      <w:r>
        <w:t xml:space="preserve"> : administration IV (perfusion continue 24 h, perfusion courte 30 min, ou bolus), SC (entretien LAM), ou intrathécale (méningite carcinomateuse, prophylaxie LAL). Distribution rapide (Vd 0,7 L/kg), passage LCR modéré à dose standard (20-30 %), élevé à dose ≥ 1 g/m² (40-50 %). Liaison aux protéines ≈ 13 %. Métabolisme hépatique et tissulaire principal par la </w:t>
      </w:r>
      <w:r>
        <w:rPr>
          <w:b/>
        </w:rPr>
        <w:t>cytidine désaminase</w:t>
      </w:r>
      <w:r>
        <w:t xml:space="preserve"> en Ara-U (uracil-arabinoside, inactif) — clearance rapide (Cl 50-100 mL/min/m²). Demi-vie d'élimination biphasique : t1/2α = 7-15 min (forme mère), t1/2β = 1-3 h. La forme intrathécale a une demi-vie prolongée dans le LCR (3-8 h) — d'où son utilisation en méningite carcinomateuse et prophylaxie LAL. Élimination urinaire 80-90 % sous forme de métabolites (Ara-U, Ara-CMP). Insuffisance rénale : pas d'adaptation systématique (métabolisme hépatique prédominant). Insuffisance hépatique : prudence (réduction 25-50 % en cas de bilirubine &gt; 3 mg/dL).</w:t>
      </w:r>
    </w:p>
    <w:p>
      <w:pPr>
        <w:pStyle w:val="ListBullet"/>
      </w:pPr>
      <w:r/>
      <w:r>
        <w:rPr>
          <w:b/>
        </w:rPr>
        <w:t>Indications</w:t>
      </w:r>
      <w:r>
        <w:t xml:space="preserve"> :</w:t>
      </w:r>
    </w:p>
    <w:p>
      <w:pPr>
        <w:pStyle w:val="ListBullet"/>
      </w:pPr>
      <w:r/>
      <w:r>
        <w:rPr>
          <w:b/>
        </w:rPr>
        <w:t>Leucémie aiguë myéloïde (LAM)</w:t>
      </w:r>
      <w:r>
        <w:t xml:space="preserve"> : (i) induction de rémission (protocole 7+3 : Ara-C 100-200 mg/m²/j perfusion continue 24 h J1-J7 + daunorubicine 60-90 mg/m² J1-J3, ou idarubicine 12 mg/m² J1-J3) ; (ii) consolidation après rémission complète (4 cures de HD-Ara-C 3 g/m²/12 h J1, J3, J5, total 6 doses par cure) ; (iii) entretien à faible dose (10-20 mg/m² SC) dans LAM à risque faible (protocoles anciens).</w:t>
      </w:r>
    </w:p>
    <w:p>
      <w:pPr>
        <w:pStyle w:val="ListBullet"/>
      </w:pPr>
      <w:r/>
      <w:r>
        <w:rPr>
          <w:b/>
        </w:rPr>
        <w:t>Leucémie aiguë lymphoblastique (LAL)</w:t>
      </w:r>
      <w:r>
        <w:t xml:space="preserve"> : (i) consolidation (HD-Ara-C 2-3 g/m²/12 h J1-J2) ; (ii) prophylaxie méningée (intrathécal 30-70 mg selon âge, 4-6 injections pendant toute la durée du traitement).</w:t>
      </w:r>
    </w:p>
    <w:p>
      <w:pPr>
        <w:pStyle w:val="ListBullet"/>
      </w:pPr>
      <w:r/>
      <w:r>
        <w:rPr>
          <w:b/>
        </w:rPr>
        <w:t>Lymphomes non hodgkiniens (LNH)</w:t>
      </w:r>
      <w:r>
        <w:t xml:space="preserve"> : (i) protocole DHAP (dexaméthasone + cisplatine + Ara-C 2 g/m²/12 h J1-J2) en rechute ; (ii) protocole ESHAP, PRIMESPACE.</w:t>
      </w:r>
    </w:p>
    <w:p>
      <w:pPr>
        <w:pStyle w:val="ListBullet"/>
      </w:pPr>
      <w:r/>
      <w:r>
        <w:rPr>
          <w:b/>
        </w:rPr>
        <w:t>Méningite carcinomateuse</w:t>
      </w:r>
      <w:r>
        <w:t xml:space="preserve"> : intrathécal 30-70 mg, 2x/sem jusqu'à LCR clair.</w:t>
      </w:r>
    </w:p>
    <w:p>
      <w:pPr>
        <w:pStyle w:val="ListBullet"/>
      </w:pPr>
      <w:r>
        <w:t>Hors AMM : rechute de LAM (Mylotarg® + Ara-C).</w:t>
      </w:r>
    </w:p>
    <w:p>
      <w:pPr>
        <w:pStyle w:val="ListBullet"/>
      </w:pPr>
      <w:r/>
      <w:r>
        <w:rPr>
          <w:b/>
        </w:rPr>
        <w:t>Contre-indications</w:t>
      </w:r>
      <w:r>
        <w:t xml:space="preserve"> : (1) </w:t>
      </w:r>
      <w:r>
        <w:rPr>
          <w:b/>
        </w:rPr>
        <w:t>Aplasie médullaire préexistante sévère</w:t>
      </w:r>
      <w:r>
        <w:t xml:space="preserve"> (sauf indication oncologique) ; (2) </w:t>
      </w:r>
      <w:r>
        <w:rPr>
          <w:b/>
        </w:rPr>
        <w:t>Patiente enceinte ou allaitant</w:t>
      </w:r>
      <w:r>
        <w:t xml:space="preserve"> ; (3) </w:t>
      </w:r>
      <w:r>
        <w:rPr>
          <w:b/>
        </w:rPr>
        <w:t>Insuffisance hépatique sévère</w:t>
      </w:r>
      <w:r>
        <w:t xml:space="preserve"> (bilirubine &gt; 5 mg/dL) ; (4) </w:t>
      </w:r>
      <w:r>
        <w:rPr>
          <w:b/>
        </w:rPr>
        <w:t>Infection sévère non contrôlée</w:t>
      </w:r>
      <w:r>
        <w:t xml:space="preserve"> ; (5) </w:t>
      </w:r>
      <w:r>
        <w:rPr>
          <w:b/>
        </w:rPr>
        <w:t>Vaccination par vaccin vivant atténué</w:t>
      </w:r>
      <w:r>
        <w:t xml:space="preserve"> ; (6) </w:t>
      </w:r>
      <w:r>
        <w:rPr>
          <w:b/>
        </w:rPr>
        <w:t>Hypersensibilité à la cytarabine</w:t>
      </w:r>
      <w:r>
        <w:t>.</w:t>
      </w:r>
    </w:p>
    <w:p>
      <w:pPr>
        <w:pStyle w:val="ListBullet"/>
      </w:pPr>
      <w:r/>
      <w:r>
        <w:rPr>
          <w:b/>
        </w:rPr>
        <w:t>Effets indésirables</w:t>
      </w:r>
      <w:r>
        <w:t xml:space="preserve"> :</w:t>
      </w:r>
    </w:p>
    <w:p>
      <w:pPr>
        <w:pStyle w:val="ListBullet"/>
      </w:pPr>
      <w:r/>
      <w:r>
        <w:rPr>
          <w:b/>
        </w:rPr>
        <w:t>Hématologique</w:t>
      </w:r>
      <w:r>
        <w:t xml:space="preserve"> : myélotoxicité profonde et dose-limitante — leucopénie (nadir J7-J14, sometimes &lt; 0,5 G/L), thrombopénie (nadir J10-J14), anémie (plus tardive). Aplasie obligatoire en induction LAM (3-4 semaines), imposant antibiothérapie prophylactique et transfusions.</w:t>
      </w:r>
    </w:p>
    <w:p>
      <w:pPr>
        <w:pStyle w:val="ListBullet"/>
      </w:pPr>
      <w:r/>
      <w:r>
        <w:rPr>
          <w:b/>
        </w:rPr>
        <w:t>Digestive</w:t>
      </w:r>
      <w:r>
        <w:t xml:space="preserve"> : mucite orale et digestive sévère (parfois grade 3-4), nausées/vomissements (modérés), diarrhée, anorexie.</w:t>
      </w:r>
    </w:p>
    <w:p>
      <w:pPr>
        <w:pStyle w:val="ListBullet"/>
      </w:pPr>
      <w:r/>
      <w:r>
        <w:rPr>
          <w:b/>
        </w:rPr>
        <w:t>Hépatique</w:t>
      </w:r>
      <w:r>
        <w:t xml:space="preserve"> : élévation transitoire ALAT/ASAT (5-15 %), cholestase rare.</w:t>
      </w:r>
    </w:p>
    <w:p>
      <w:pPr>
        <w:pStyle w:val="ListBullet"/>
      </w:pPr>
      <w:r/>
      <w:r>
        <w:rPr>
          <w:b/>
        </w:rPr>
        <w:t>Syndrome de différenciation</w:t>
      </w:r>
      <w:r>
        <w:t xml:space="preserve"> (caractéristique des LAM) : à J7-J14 après initiation (quand les blastes commencent à se différencier) — fièvre sans infection, rash cutané (érythème, vésicules, pustules), épanchements péricardique et pleural, atteinte rénale et hépatique. Répond rapidement aux </w:t>
      </w:r>
      <w:r>
        <w:rPr>
          <w:b/>
        </w:rPr>
        <w:t>corticoïdes</w:t>
      </w:r>
      <w:r>
        <w:t xml:space="preserve"> (dexaméthasone 10 mg x 2/j IV).</w:t>
      </w:r>
    </w:p>
    <w:p>
      <w:pPr>
        <w:pStyle w:val="ListBullet"/>
      </w:pPr>
      <w:r/>
      <w:r>
        <w:rPr>
          <w:b/>
        </w:rPr>
        <w:t>Cérébelleux</w:t>
      </w:r>
      <w:r>
        <w:t xml:space="preserve"> (aux doses ≥ 3 g/m²) : ataxie, dysarthrie, nystagmus — souvent réversible à l'arrêt mais peut être définitif. Surveiller la marche et l'élocution. Sujet âgé &gt; 60 ans et insuffisance rénale = facteurs de risque.</w:t>
      </w:r>
    </w:p>
    <w:p>
      <w:pPr>
        <w:pStyle w:val="ListBullet"/>
      </w:pPr>
      <w:r/>
      <w:r>
        <w:rPr>
          <w:b/>
        </w:rPr>
        <w:t>Conjonctivite</w:t>
      </w:r>
      <w:r>
        <w:t xml:space="preserve"> (aux doses ≥ 1 g/m²) : prévention par collyre corticoïde (dexaméthasone 0,1 %) 4x/j pendant la cure.</w:t>
      </w:r>
    </w:p>
    <w:p>
      <w:pPr>
        <w:pStyle w:val="ListBullet"/>
      </w:pPr>
      <w:r/>
      <w:r>
        <w:rPr>
          <w:b/>
        </w:rPr>
        <w:t>Pulmonaire</w:t>
      </w:r>
      <w:r>
        <w:t xml:space="preserve"> : pneumopathie interstitielle, syndrome de détresse respiratoire aiguë (SDRA) — rare mais sévère.</w:t>
      </w:r>
    </w:p>
    <w:p>
      <w:pPr>
        <w:pStyle w:val="ListBullet"/>
      </w:pPr>
      <w:r/>
      <w:r>
        <w:rPr>
          <w:b/>
        </w:rPr>
        <w:t>Cutanée</w:t>
      </w:r>
      <w:r>
        <w:t xml:space="preserve"> : rash, éruptions, desquamation, nécrose au point d'injection (extravasation).</w:t>
      </w:r>
    </w:p>
    <w:p>
      <w:pPr>
        <w:pStyle w:val="ListBullet"/>
      </w:pPr>
      <w:r/>
      <w:r>
        <w:rPr>
          <w:b/>
        </w:rPr>
        <w:t>Fièvre</w:t>
      </w:r>
      <w:r>
        <w:t xml:space="preserve"> sans infection (pro-inflammatoire).</w:t>
      </w:r>
    </w:p>
    <w:p>
      <w:pPr>
        <w:pStyle w:val="ListBullet"/>
      </w:pPr>
      <w:r/>
      <w:r>
        <w:rPr>
          <w:b/>
        </w:rPr>
        <w:t>Panncréatite</w:t>
      </w:r>
      <w:r>
        <w:t xml:space="preserve"> (rare).</w:t>
      </w:r>
    </w:p>
    <w:p>
      <w:pPr>
        <w:pStyle w:val="ListBullet"/>
      </w:pPr>
      <w:r/>
      <w:r>
        <w:rPr>
          <w:b/>
        </w:rPr>
        <w:t>Mesures préventives</w:t>
      </w:r>
      <w:r>
        <w:t xml:space="preserve"> :</w:t>
      </w:r>
    </w:p>
    <w:p>
      <w:pPr>
        <w:pStyle w:val="ListBullet"/>
      </w:pPr>
      <w:r/>
      <w:r>
        <w:rPr>
          <w:b/>
        </w:rPr>
        <w:t>Bilan pré-thérapeutique</w:t>
      </w:r>
      <w:r>
        <w:t xml:space="preserve"> : NFS-plaquettes (avant chaque cure), créatininémie (surtout si HD-Ara-C), bilan hépatique (ALAT, ASAT, PAL, γGT, bilirubine), β-hCG, EFR (référence si HD), échographie cardiaque.</w:t>
      </w:r>
    </w:p>
    <w:p>
      <w:pPr>
        <w:pStyle w:val="ListBullet"/>
      </w:pPr>
      <w:r/>
      <w:r>
        <w:rPr>
          <w:b/>
        </w:rPr>
        <w:t>Hydratation IV</w:t>
      </w:r>
      <w:r>
        <w:t xml:space="preserve"> : 3 L/m²/24 h pendant HD-Ara-C (prévention néphrotoxicité et cérébelleuse).</w:t>
      </w:r>
    </w:p>
    <w:p>
      <w:pPr>
        <w:pStyle w:val="ListBullet"/>
      </w:pPr>
      <w:r/>
      <w:r>
        <w:rPr>
          <w:b/>
        </w:rPr>
        <w:t>Prophylaxie conjonctivite</w:t>
      </w:r>
      <w:r>
        <w:t xml:space="preserve"> : collyre dexaméthasone 0,1 % 4x/j pendant HD-Ara-C (J1-J5) — réduit de 80 % les conjonctivites.</w:t>
      </w:r>
    </w:p>
    <w:p>
      <w:pPr>
        <w:pStyle w:val="ListBullet"/>
      </w:pPr>
      <w:r/>
      <w:r>
        <w:rPr>
          <w:b/>
        </w:rPr>
        <w:t>Prophylaxie mucite</w:t>
      </w:r>
      <w:r>
        <w:t xml:space="preserve"> : bains de bouche bicarbonatés 4-6/j, cryothérapie orale pendant perfusion.</w:t>
      </w:r>
    </w:p>
    <w:p>
      <w:pPr>
        <w:pStyle w:val="ListBullet"/>
      </w:pPr>
      <w:r/>
      <w:r>
        <w:rPr>
          <w:b/>
        </w:rPr>
        <w:t>Antiemetic prophylaxie</w:t>
      </w:r>
      <w:r>
        <w:t xml:space="preserve"> : antagoniste 5-HT3 (ondansétron 8 mg IV) + dexaméthasone 8 mg IV.</w:t>
      </w:r>
    </w:p>
    <w:p>
      <w:pPr>
        <w:pStyle w:val="ListBullet"/>
      </w:pPr>
      <w:r/>
      <w:r>
        <w:rPr>
          <w:b/>
        </w:rPr>
        <w:t>Antibiothérapie prophylactique</w:t>
      </w:r>
      <w:r>
        <w:t xml:space="preserve"> (induction LAM) : levofloxacine 500 mg/j per os + aciclovir 200 mg x 3/j + cotrimoxazole 400/80 mg 3x/sem + fluconazole 100 mg/j — dès J7 (aplasie).</w:t>
      </w:r>
    </w:p>
    <w:p>
      <w:pPr>
        <w:pStyle w:val="ListBullet"/>
      </w:pPr>
      <w:r/>
      <w:r>
        <w:rPr>
          <w:b/>
        </w:rPr>
        <w:t>Surveillance neurologique</w:t>
      </w:r>
      <w:r>
        <w:t xml:space="preserve"> (HD-Ara-C) : évaluation quotidienne de la marche, de la parole et de la coordination (testing cérébelleux).</w:t>
      </w:r>
    </w:p>
    <w:p>
      <w:pPr>
        <w:pStyle w:val="ListBullet"/>
      </w:pPr>
      <w:r/>
      <w:r>
        <w:rPr>
          <w:b/>
        </w:rPr>
        <w:t>Surveillance NFS</w:t>
      </w:r>
      <w:r>
        <w:t xml:space="preserve"> : quotidienne en induction LAM, avant chaque cure et J7-J14 (nadir).</w:t>
      </w:r>
    </w:p>
    <w:p>
      <w:pPr>
        <w:pStyle w:val="ListBullet"/>
      </w:pPr>
      <w:r/>
      <w:r>
        <w:rPr>
          <w:b/>
        </w:rPr>
        <w:t>Transfusions</w:t>
      </w:r>
      <w:r>
        <w:t xml:space="preserve"> : culots globulaires irradiés (prévention GVH) et plaquettaires prophylactiques (seuil transfusion = 10-20 G/L).</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 pendant et 6 mois après.</w:t>
      </w:r>
    </w:p>
    <w:p>
      <w:pPr>
        <w:pStyle w:val="ListBullet"/>
      </w:pPr>
      <w:r/>
      <w:r>
        <w:rPr>
          <w:b/>
        </w:rPr>
        <w:t>Interactions médicamenteuses</w:t>
      </w:r>
      <w:r>
        <w:t xml:space="preserve"> :</w:t>
      </w:r>
    </w:p>
    <w:p>
      <w:pPr>
        <w:pStyle w:val="ListBullet"/>
      </w:pPr>
      <w:r/>
      <w:r>
        <w:rPr>
          <w:b/>
        </w:rPr>
        <w:t>Ara-C + méthotrexate</w:t>
      </w:r>
      <w:r>
        <w:t xml:space="preserve"> : synergie (protocoles LAL) — séquence d'administration (MTX avant Ara-C).</w:t>
      </w:r>
    </w:p>
    <w:p>
      <w:pPr>
        <w:pStyle w:val="ListBullet"/>
      </w:pPr>
      <w:r/>
      <w:r>
        <w:rPr>
          <w:b/>
        </w:rPr>
        <w:t>Ara-C + cytarabine (HD) + asparaginase</w:t>
      </w:r>
      <w:r>
        <w:t xml:space="preserve"> : antagonisme (asparaginase inhibe la synthèse protéique et donc la synthèse de dCK) — séquence à respecter (asparaginase 24 h après Ara-C).</w:t>
      </w:r>
    </w:p>
    <w:p>
      <w:pPr>
        <w:pStyle w:val="ListBullet"/>
      </w:pPr>
      <w:r/>
      <w:r>
        <w:rPr>
          <w:b/>
        </w:rPr>
        <w:t>Ara-C + daunorubicine, idarubicine</w:t>
      </w:r>
      <w:r>
        <w:t xml:space="preserve"> : synergie classique (protocole 7+3).</w:t>
      </w:r>
    </w:p>
    <w:p>
      <w:pPr>
        <w:pStyle w:val="ListBullet"/>
      </w:pPr>
      <w:r/>
      <w:r>
        <w:rPr>
          <w:b/>
        </w:rPr>
        <w:t>Ara-C + fludarabine</w:t>
      </w:r>
      <w:r>
        <w:t xml:space="preserve"> : synergie (protocole FA, LAM réfractaire).</w:t>
      </w:r>
    </w:p>
    <w:p>
      <w:pPr>
        <w:pStyle w:val="ListBullet"/>
      </w:pPr>
      <w:r/>
      <w:r>
        <w:rPr>
          <w:b/>
        </w:rPr>
        <w:t>Ara-C + 5-FU</w:t>
      </w:r>
      <w:r>
        <w:t xml:space="preserve"> : toxicité hématologique additive — éviter.</w:t>
      </w:r>
    </w:p>
    <w:p>
      <w:pPr>
        <w:pStyle w:val="ListBullet"/>
      </w:pPr>
      <w:r/>
      <w:r>
        <w:rPr>
          <w:b/>
        </w:rPr>
        <w:t>Ara-C + digoxine</w:t>
      </w:r>
      <w:r>
        <w:t xml:space="preserve"> : diminution de l'absorption de la digoxine (toxicité muqueuse digestive).</w:t>
      </w:r>
    </w:p>
    <w:p>
      <w:pPr>
        <w:pStyle w:val="ListBullet"/>
      </w:pPr>
      <w:r/>
      <w:r>
        <w:rPr>
          <w:b/>
        </w:rPr>
        <w:t>Ara-C + vaccins vivants atténués</w:t>
      </w:r>
      <w:r>
        <w:t xml:space="preserve"> : contre-indication (immunosuppression).</w:t>
      </w:r>
    </w:p>
    <w:p>
      <w:pPr>
        <w:pStyle w:val="ListBullet"/>
      </w:pPr>
      <w:r/>
      <w:r>
        <w:rPr>
          <w:b/>
        </w:rPr>
        <w:t>Ara-C + gentamicine, autres néphrotoxiques</w:t>
      </w:r>
      <w:r>
        <w:t xml:space="preserve"> : prudence.</w:t>
      </w:r>
    </w:p>
    <w:p>
      <w:pPr>
        <w:pStyle w:val="ListBullet"/>
      </w:pPr>
      <w:r/>
      <w:r>
        <w:rPr>
          <w:b/>
        </w:rPr>
        <w:t>Ara-C + sargramostim (GM-CSF), G-CSF</w:t>
      </w:r>
      <w:r>
        <w:t xml:space="preserve"> : utilisation pour raccourcir l'aplasie (autorisée en consolidation).</w:t>
      </w:r>
    </w:p>
    <w:p>
      <w:pPr>
        <w:pStyle w:val="ListBullet"/>
      </w:pPr>
      <w:r/>
      <w:r>
        <w:rPr>
          <w:b/>
        </w:rPr>
        <w:t>Grossesse et allaitement (CRAT)</w:t>
      </w:r>
      <w:r>
        <w:t xml:space="preserve"> :</w:t>
      </w:r>
    </w:p>
    <w:p>
      <w:pPr>
        <w:pStyle w:val="ListBullet"/>
      </w:pPr>
      <w:r/>
      <w:r>
        <w:rPr>
          <w:b/>
        </w:rPr>
        <w:t>Grossesse</w:t>
      </w:r>
      <w:r>
        <w:t xml:space="preserve"> : selon le CRAT, la cytarabine est </w:t>
      </w:r>
      <w:r>
        <w:rPr>
          <w:b/>
        </w:rPr>
        <w:t>tératogène</w:t>
      </w:r>
      <w:r>
        <w:t xml:space="preserve"> chez l'animal (anomalies squelettiques, fœtotoxicité, mort in utero). Catégorie D (à éviter formellement). Si LAM diagnostiquée pendant grossesse : discussion multidisciplinaire ; protocoles possibles au 2ème et 3ème trimestre avec cytarabine + daunorubicine (données limitées mais compatibles selon CRAT). 1er trimestre : tératogénicité majeure, discussion d'IMG. Contraception obligatoire pendant et 3 mois après (femme et homme).</w:t>
      </w:r>
    </w:p>
    <w:p>
      <w:pPr>
        <w:pStyle w:val="ListBullet"/>
      </w:pPr>
      <w:r/>
      <w:r>
        <w:rPr>
          <w:b/>
        </w:rPr>
        <w:t>Allaitement</w:t>
      </w:r>
      <w:r>
        <w:t xml:space="preserve"> : contre-indiqué (passe dans le lait, toxicité hématologique pour le nourrisson).</w:t>
      </w:r>
    </w:p>
    <w:p>
      <w:pPr>
        <w:pStyle w:val="ListBullet"/>
      </w:pPr>
      <w:r/>
      <w:r>
        <w:rPr>
          <w:b/>
        </w:rPr>
        <w:t>Posologie</w:t>
      </w:r>
      <w:r>
        <w:t xml:space="preserve"> :</w:t>
      </w:r>
    </w:p>
    <w:p>
      <w:pPr>
        <w:pStyle w:val="ListBullet"/>
      </w:pPr>
      <w:r/>
      <w:r>
        <w:rPr>
          <w:b/>
        </w:rPr>
        <w:t>LAM induction (adulte)</w:t>
      </w:r>
      <w:r>
        <w:t xml:space="preserve"> : Ara-C 100-200 mg/m²/j perfusion continue 24 h J1-J7 + daunorubicine 60-90 mg/m² J1-J3 (protocole 7+3).</w:t>
      </w:r>
    </w:p>
    <w:p>
      <w:pPr>
        <w:pStyle w:val="ListBullet"/>
      </w:pPr>
      <w:r/>
      <w:r>
        <w:rPr>
          <w:b/>
        </w:rPr>
        <w:t>LAM consolidation</w:t>
      </w:r>
      <w:r>
        <w:t xml:space="preserve"> : HD-Ara-C 3 g/m²/12 h en perfusion IV de 3 h, J1, J3, J5 (total 6 doses), toutes les 4 semaines, 4 cures.</w:t>
      </w:r>
    </w:p>
    <w:p>
      <w:pPr>
        <w:pStyle w:val="ListBullet"/>
      </w:pPr>
      <w:r/>
      <w:r>
        <w:rPr>
          <w:b/>
        </w:rPr>
        <w:t>LAL consolidation</w:t>
      </w:r>
      <w:r>
        <w:t xml:space="preserve"> : Ara-C 2-3 g/m²/12 h J1-J2 (4 doses), protocole hyper-CVAD.</w:t>
      </w:r>
    </w:p>
    <w:p>
      <w:pPr>
        <w:pStyle w:val="ListBullet"/>
      </w:pPr>
      <w:r/>
      <w:r>
        <w:rPr>
          <w:b/>
        </w:rPr>
        <w:t>LAM entretien</w:t>
      </w:r>
      <w:r>
        <w:t xml:space="preserve"> : Ara-C 20 mg/m² SC 2x/sem + thioguanine, 5 jours/sem (protocoles anciens, peu utilisés).</w:t>
      </w:r>
    </w:p>
    <w:p>
      <w:pPr>
        <w:pStyle w:val="ListBullet"/>
      </w:pPr>
      <w:r/>
      <w:r>
        <w:rPr>
          <w:b/>
        </w:rPr>
        <w:t>LNH (DHAP)</w:t>
      </w:r>
      <w:r>
        <w:t xml:space="preserve"> : Ara-C 2 g/m²/12 h J1-J2 (4 doses) + cisplatine 100 mg/m² J1 + dexaméthasone 40 mg J1-J4.</w:t>
      </w:r>
    </w:p>
    <w:p>
      <w:pPr>
        <w:pStyle w:val="ListBullet"/>
      </w:pPr>
      <w:r/>
      <w:r>
        <w:rPr>
          <w:b/>
        </w:rPr>
        <w:t>Intrathécal</w:t>
      </w:r>
      <w:r>
        <w:t xml:space="preserve"> : 30-70 mg (1 an = 30 mg ; 2 ans = 50 mg ; ≥ 3 ans = 70 mg adulte) dilués dans 5-10 mL NaCl 0,9 % isotonique (sans conservateur) — JAMAIS avec la forme contenant du phénol ou du benzyle.</w:t>
      </w:r>
    </w:p>
    <w:p>
      <w:pPr>
        <w:pStyle w:val="ListBullet"/>
      </w:pPr>
      <w:r/>
      <w:r>
        <w:rPr>
          <w:b/>
        </w:rPr>
        <w:t>Adaptation</w:t>
      </w:r>
      <w:r>
        <w:t xml:space="preserve"> : insuffisance rénale (réduction 25-50 % si HD-Ara-C et ClCr &lt; 60) ; insuffisance hépatique (réduction 25-50 % si bilirubine &gt; 3 mg/dL, contre-indication si &gt; 5) ; sujet âgé &gt; 60 ans (réduction 25 %, surveillance neuro ++).</w:t>
      </w:r>
    </w:p>
    <w:p>
      <w:pPr>
        <w:pStyle w:val="ListBullet"/>
      </w:pPr>
      <w:r/>
      <w:r>
        <w:rPr>
          <w:b/>
        </w:rPr>
        <w:t>Formes galéniques</w:t>
      </w:r>
      <w:r>
        <w:t xml:space="preserve"> :</w:t>
      </w:r>
    </w:p>
    <w:p>
      <w:pPr>
        <w:pStyle w:val="ListBullet"/>
      </w:pPr>
      <w:r/>
      <w:r>
        <w:rPr>
          <w:b/>
        </w:rPr>
        <w:t>Poudre lyophilisée pour solution injectable 1000 mg</w:t>
      </w:r>
      <w:r>
        <w:t xml:space="preserve"> (CYTARABINE-BELMED actif) : reconstitution avec 20 mL d'eau PPI (concentration 50 mg/mL), puis dilution dans G5 % ou NaCl 0,9 % pour perfusion continue ou perfusion IV courte. Conservation &lt; 25 °C, à l'abri de la lumière.</w:t>
      </w:r>
    </w:p>
    <w:p>
      <w:pPr>
        <w:pStyle w:val="ListBullet"/>
      </w:pPr>
      <w:r/>
      <w:r>
        <w:rPr>
          <w:b/>
        </w:rPr>
        <w:t>Poudre lyophilisée pour solution injectable 100 mg/mL</w:t>
      </w:r>
      <w:r>
        <w:t xml:space="preserve"> (CYTABINE Belmed actif, flacon 10 mL) : forme plus concentrée pour usage IV bolus ou perfusion courte, ou SC (entretien LAM).</w:t>
      </w:r>
    </w:p>
    <w:p>
      <w:pPr>
        <w:pStyle w:val="ListBullet"/>
      </w:pPr>
      <w:r/>
      <w:r>
        <w:rPr>
          <w:b/>
        </w:rPr>
        <w:t>Solution injectable pour perfusion IV ou SC 100 mg/mL</w:t>
      </w:r>
      <w:r>
        <w:t xml:space="preserve"> (ARASID 100/500/1000 CPCM actif, flacons 1 mL/5 mL/10 mL) : forme déjà reconstituée (prête à l'emploi) — pratique pour l'urgence, la perfusion continue, l'injection SC.</w:t>
      </w:r>
    </w:p>
    <w:p>
      <w:pPr>
        <w:pStyle w:val="ListBullet"/>
      </w:pPr>
      <w:r/>
      <w:r>
        <w:rPr>
          <w:b/>
        </w:rPr>
        <w:t>Solution injectable IV 100 mg/mL</w:t>
      </w:r>
      <w:r>
        <w:t xml:space="preserve"> (ZECYTE-100 Cipla actif, flacon 1 mL) : alternative pour usage IV.</w:t>
      </w:r>
    </w:p>
    <w:p>
      <w:pPr>
        <w:pStyle w:val="ListBullet"/>
      </w:pPr>
      <w:r/>
      <w:r>
        <w:rPr>
          <w:b/>
        </w:rPr>
        <w:t>Formes historiques non renouvelables</w:t>
      </w:r>
      <w:r>
        <w:t xml:space="preserve"> (ALEXAN Ebewe 20 et 50 mg/mL) : anciennes formes de référence.</w:t>
      </w:r>
    </w:p>
    <w:p>
      <w:pPr>
        <w:pStyle w:val="ListBullet"/>
      </w:pPr>
      <w:r/>
      <w:r>
        <w:rPr>
          <w:b/>
        </w:rPr>
        <w:t>Forme intrathécale</w:t>
      </w:r>
      <w:r>
        <w:t xml:space="preserve"> : utiliser la forme 100 mg/mL diluée avec NaCl 0,9 % isotonique sans conservateur — vérifier l'absence de conservateur (phénol, benzyle) sur l'étiquetage.</w:t>
      </w:r>
    </w:p>
    <w:p>
      <w:pPr>
        <w:pStyle w:val="ListBullet"/>
      </w:pPr>
      <w:r/>
      <w:r>
        <w:rPr>
          <w:b/>
        </w:rPr>
        <w:t>Conservation</w:t>
      </w:r>
      <w:r>
        <w:t xml:space="preserve"> : formes poudre et solution à température &lt; 25 °C, à l'abri de la lumière. Solutions diluées à utiliser dans les 24 h (NaCl 0,9 % ou G5 %).</w:t>
      </w:r>
    </w:p>
    <w:p>
      <w:pPr>
        <w:pStyle w:val="ListBullet"/>
      </w:pPr>
      <w:r/>
      <w:r>
        <w:rPr>
          <w:b/>
        </w:rPr>
        <w:t>Manipulation</w:t>
      </w:r>
      <w:r>
        <w:t xml:space="preserve"> : précautions cytotoxiques standard.</w:t>
      </w:r>
    </w:p>
    <w:p>
      <w:pPr>
        <w:pStyle w:val="ListBullet"/>
      </w:pPr>
      <w:r/>
      <w:r>
        <w:rPr>
          <w:b/>
        </w:rPr>
        <w:t>Conseils aux patients</w:t>
      </w:r>
      <w:r>
        <w:t xml:space="preserve"> :</w:t>
      </w:r>
    </w:p>
    <w:p>
      <w:pPr>
        <w:pStyle w:val="ListBullet"/>
      </w:pPr>
      <w:r/>
      <w:r>
        <w:rPr>
          <w:b/>
        </w:rPr>
        <w:t>Communication au comptoir</w:t>
      </w:r>
      <w:r>
        <w:t xml:space="preserve"> : « Voici votre cytarabine. Elle sera administrée à l'hôpital par perfusion IV (en continu ou en perfusions courtes répétées). Pendant le traitement, surveillez votre température : si fièvre &gt; 38,5 °C, consultez en urgence (risque d'infection grave lié à la baisse des globules blancs). Prenez les collyres prescrits (dexaméthasone) 4 fois par jour pour protéger vos yeux. Si vous avez des aphtes, des lésions dans la bouche, des saignements, des vertiges, des troubles de la marche ou de la parole, prévenez immédiatement votre médecin. Buvez 1,5-2 L d'eau par jour. »</w:t>
      </w:r>
    </w:p>
    <w:p>
      <w:pPr>
        <w:pStyle w:val="ListBullet"/>
      </w:pPr>
      <w:r/>
      <w:r>
        <w:rPr>
          <w:b/>
        </w:rPr>
        <w:t>Mode d'utilisation</w:t>
      </w:r>
      <w:r>
        <w:t xml:space="preserve"> : perfusion IV à l'hôpital, injection SC à domicile (entretien LAM), injection intrathécale à l'hôpital.</w:t>
      </w:r>
    </w:p>
    <w:p>
      <w:pPr>
        <w:pStyle w:val="ListBullet"/>
      </w:pPr>
      <w:r/>
      <w:r>
        <w:rPr>
          <w:b/>
        </w:rPr>
        <w:t>Surveillance</w:t>
      </w:r>
      <w:r>
        <w:t xml:space="preserve"> : NFS quotidienne en induction LAM, avant chaque cure en consolidation ; bilan hépatique avant chaque cure.</w:t>
      </w:r>
    </w:p>
    <w:p>
      <w:pPr>
        <w:pStyle w:val="ListBullet"/>
      </w:pPr>
      <w:r/>
      <w:r>
        <w:rPr>
          <w:b/>
        </w:rPr>
        <w:t>Hydratation</w:t>
      </w:r>
      <w:r>
        <w:t xml:space="preserve"> : 1,5-2 L/j.</w:t>
      </w:r>
    </w:p>
    <w:p>
      <w:pPr>
        <w:pStyle w:val="ListBullet"/>
      </w:pPr>
      <w:r/>
      <w:r>
        <w:rPr>
          <w:b/>
        </w:rPr>
        <w:t>Collyre</w:t>
      </w:r>
      <w:r>
        <w:t xml:space="preserve"> : dexaméthasone 0,1 %, 4 gouttes x 4/j pendant HD-Ara-C.</w:t>
      </w:r>
    </w:p>
    <w:p>
      <w:pPr>
        <w:pStyle w:val="ListBullet"/>
      </w:pPr>
      <w:r/>
      <w:r>
        <w:rPr>
          <w:b/>
        </w:rPr>
        <w:t>Bains de bouche</w:t>
      </w:r>
      <w:r>
        <w:t xml:space="preserve"> : bicarbonate + eau, 4-6/j.</w:t>
      </w:r>
    </w:p>
    <w:p>
      <w:pPr>
        <w:pStyle w:val="ListBullet"/>
      </w:pPr>
      <w:r/>
      <w:r>
        <w:rPr>
          <w:b/>
        </w:rPr>
        <w:t>Antibiothérapie prophylactique</w:t>
      </w:r>
      <w:r>
        <w:t xml:space="preserve"> : selon protocole (cotrimoxazole + aciclovir + fluconazole + levofloxacine).</w:t>
      </w:r>
    </w:p>
    <w:p>
      <w:pPr>
        <w:pStyle w:val="ListBullet"/>
      </w:pPr>
      <w:r/>
      <w:r>
        <w:rPr>
          <w:b/>
        </w:rPr>
        <w:t>Transfusions</w:t>
      </w:r>
      <w:r>
        <w:t xml:space="preserve"> : culots irradiés (à signaler à tout soignant).</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 pendant et 6 mois après.</w:t>
      </w:r>
    </w:p>
    <w:p>
      <w:pPr>
        <w:pStyle w:val="ListBullet"/>
      </w:pPr>
      <w:r/>
      <w:r>
        <w:rPr>
          <w:b/>
        </w:rPr>
        <w:t>En cas de fièvre, ulcère buccal, saignement, troubles visuels, vertiges</w:t>
      </w:r>
      <w:r>
        <w:t xml:space="preserve"> : consulter en urgence.</w:t>
      </w:r>
    </w:p>
    <w:p>
      <w:pPr>
        <w:pStyle w:val="ListBullet"/>
      </w:pPr>
      <w:r/>
      <w:r>
        <w:rPr>
          <w:b/>
        </w:rPr>
        <w:t>Pièges classiques</w:t>
      </w:r>
      <w:r>
        <w:t xml:space="preserve"> :</w:t>
      </w:r>
    </w:p>
    <w:p>
      <w:pPr>
        <w:pStyle w:val="ListBullet"/>
      </w:pPr>
      <w:r/>
      <w:r>
        <w:rPr>
          <w:b/>
        </w:rPr>
        <w:t>Piège du syndrome de différenciation</w:t>
      </w:r>
      <w:r>
        <w:t xml:space="preserve"> : souvent diagnostiqué à tort comme une infection ou une allergie — penser aux corticoïdes (dexaméthasone 10 mg x 2/j).</w:t>
      </w:r>
    </w:p>
    <w:p>
      <w:pPr>
        <w:pStyle w:val="ListBullet"/>
      </w:pPr>
      <w:r/>
      <w:r>
        <w:rPr>
          <w:b/>
        </w:rPr>
        <w:t>Piège de la neurotoxicité cérébelleuse</w:t>
      </w:r>
      <w:r>
        <w:t xml:space="preserve"> : HD-Ara-C et sujet âgé — surveillance quotidienne de la marche et de l'élocution.</w:t>
      </w:r>
    </w:p>
    <w:p>
      <w:pPr>
        <w:pStyle w:val="ListBullet"/>
      </w:pPr>
      <w:r/>
      <w:r>
        <w:rPr>
          <w:b/>
        </w:rPr>
        <w:t>Piège de l'intrathécale avec la forme phénolée</w:t>
      </w:r>
      <w:r>
        <w:t xml:space="preserve"> : paralysie ascendante fatale — utiliser uniquement la forme sans conservateur.</w:t>
      </w:r>
    </w:p>
    <w:p>
      <w:pPr>
        <w:pStyle w:val="ListBullet"/>
      </w:pPr>
      <w:r/>
      <w:r>
        <w:rPr>
          <w:b/>
        </w:rPr>
        <w:t>Piège de la conjonctivite non prévenue</w:t>
      </w:r>
      <w:r>
        <w:t xml:space="preserve"> : collyre dexaméthasone obligatoire en HD-Ara-C.</w:t>
      </w:r>
    </w:p>
    <w:p>
      <w:pPr>
        <w:pStyle w:val="ListBullet"/>
      </w:pPr>
      <w:r/>
      <w:r>
        <w:rPr>
          <w:b/>
        </w:rPr>
        <w:t>Piège de l'aplasie prolongée en induction LAM</w:t>
      </w:r>
      <w:r>
        <w:t xml:space="preserve"> : hospitalisation en secteur protégé, antibiothérapie prophylactique, transfusions irradiées.</w:t>
      </w:r>
    </w:p>
    <w:p>
      <w:pPr>
        <w:pStyle w:val="ListBullet"/>
      </w:pPr>
      <w:r/>
      <w:r>
        <w:rPr>
          <w:b/>
        </w:rPr>
        <w:t>Piège de l'association avec asparaginase</w:t>
      </w:r>
      <w:r>
        <w:t xml:space="preserve"> : séquence stricte — asparaginase 24 h après la dernière dose d'Ara-C.</w:t>
      </w:r>
    </w:p>
    <w:p>
      <w:pPr>
        <w:pStyle w:val="ListBullet"/>
      </w:pPr>
      <w:r/>
      <w:r>
        <w:rPr>
          <w:b/>
        </w:rPr>
        <w:t>Piège de l'extravasation</w:t>
      </w:r>
      <w:r>
        <w:t xml:space="preserve"> : cytarabine est peu vésicante mais nécrose possible si extravasation massive.</w:t>
      </w:r>
    </w:p>
    <w:p>
      <w:pPr>
        <w:pStyle w:val="ListBullet"/>
      </w:pPr>
      <w:r/>
      <w:r>
        <w:rPr>
          <w:b/>
        </w:rPr>
        <w:t>Piège de l'adaptation rénale</w:t>
      </w:r>
      <w:r>
        <w:t xml:space="preserve"> : ClCr &lt; 60 en HD-Ara-C → réduire 25-50 %.</w:t>
      </w:r>
    </w:p>
    <w:p>
      <w:pPr>
        <w:pStyle w:val="ListBullet"/>
      </w:pPr>
      <w:r/>
      <w:r>
        <w:rPr>
          <w:b/>
        </w:rPr>
        <w:t>Piège de substitution de marque</w:t>
      </w:r>
      <w:r>
        <w:t xml:space="preserve"> : passage ARACYTINE (retiré) → CYTARABINE-BELMED ou ARASID — vérifier la concentration (100 mg/mL vs 50 mg/mL après reconstitution).</w:t>
      </w:r>
    </w:p>
    <w:p>
      <w:pPr>
        <w:pStyle w:val="Heading3"/>
      </w:pPr>
      <w:r>
        <w:t>9. DCI : Gemcitabine</w:t>
      </w:r>
    </w:p>
    <w:p>
      <w:pPr>
        <w:pStyle w:val="ListBullet"/>
      </w:pPr>
      <w:r/>
      <w:r>
        <w:rPr>
          <w:b/>
        </w:rPr>
        <w:t>Catégories</w:t>
      </w:r>
      <w:r>
        <w:t xml:space="preserve"> : Antimétabolite analogue de pyrimidine (analogue de la cytidine, difluoré) ; cytotoxique phase S ; classe ATC L01BC05.</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GEMCITABEL</w:t>
            </w:r>
          </w:p>
        </w:tc>
        <w:tc>
          <w:tcPr>
            <w:tcW w:type="dxa" w:w="1559"/>
          </w:tcPr>
          <w:p>
            <w:r>
              <w:rPr>
                <w:sz w:val="20"/>
              </w:rPr>
              <w:t>LES LABORATOIRES BELMEDPREPARATY</w:t>
            </w:r>
          </w:p>
        </w:tc>
        <w:tc>
          <w:tcPr>
            <w:tcW w:type="dxa" w:w="1559"/>
          </w:tcPr>
          <w:p>
            <w:r>
              <w:rPr>
                <w:sz w:val="20"/>
              </w:rPr>
              <w:t>Poudre lyophilisée pour préparation injectable en perfusion IV, 1000 mg</w:t>
            </w:r>
          </w:p>
        </w:tc>
        <w:tc>
          <w:tcPr>
            <w:tcW w:type="dxa" w:w="1559"/>
          </w:tcPr>
          <w:p>
            <w:r>
              <w:rPr>
                <w:sz w:val="20"/>
              </w:rPr>
              <w:t>Boîte de 1 flacon de 50 mL</w:t>
            </w:r>
          </w:p>
        </w:tc>
        <w:tc>
          <w:tcPr>
            <w:tcW w:type="dxa" w:w="1559"/>
          </w:tcPr>
          <w:p>
            <w:r>
              <w:rPr>
                <w:sz w:val="20"/>
              </w:rPr>
              <w:t>LISTE I</w:t>
            </w:r>
          </w:p>
        </w:tc>
        <w:tc>
          <w:tcPr>
            <w:tcW w:type="dxa" w:w="1559"/>
          </w:tcPr>
          <w:p>
            <w:r>
              <w:rPr>
                <w:sz w:val="20"/>
              </w:rPr>
              <w:t>ACTIF</w:t>
            </w:r>
          </w:p>
        </w:tc>
      </w:tr>
      <w:tr>
        <w:tc>
          <w:tcPr>
            <w:tcW w:type="dxa" w:w="1559"/>
          </w:tcPr>
          <w:p>
            <w:r>
              <w:rPr>
                <w:sz w:val="20"/>
              </w:rPr>
              <w:t>GEMCITABEL</w:t>
            </w:r>
          </w:p>
        </w:tc>
        <w:tc>
          <w:tcPr>
            <w:tcW w:type="dxa" w:w="1559"/>
          </w:tcPr>
          <w:p>
            <w:r>
              <w:rPr>
                <w:sz w:val="20"/>
              </w:rPr>
              <w:t>LES LABORATOIRES BELMEDPREPARATY</w:t>
            </w:r>
          </w:p>
        </w:tc>
        <w:tc>
          <w:tcPr>
            <w:tcW w:type="dxa" w:w="1559"/>
          </w:tcPr>
          <w:p>
            <w:r>
              <w:rPr>
                <w:sz w:val="20"/>
              </w:rPr>
              <w:t>Poudre lyophilisée, 200 mg</w:t>
            </w:r>
          </w:p>
        </w:tc>
        <w:tc>
          <w:tcPr>
            <w:tcW w:type="dxa" w:w="1559"/>
          </w:tcPr>
          <w:p>
            <w:r>
              <w:rPr>
                <w:sz w:val="20"/>
              </w:rPr>
              <w:t>Boîte de 1 flacon de 10 mL</w:t>
            </w:r>
          </w:p>
        </w:tc>
        <w:tc>
          <w:tcPr>
            <w:tcW w:type="dxa" w:w="1559"/>
          </w:tcPr>
          <w:p>
            <w:r>
              <w:rPr>
                <w:sz w:val="20"/>
              </w:rPr>
              <w:t>LISTE I</w:t>
            </w:r>
          </w:p>
        </w:tc>
        <w:tc>
          <w:tcPr>
            <w:tcW w:type="dxa" w:w="1559"/>
          </w:tcPr>
          <w:p>
            <w:r>
              <w:rPr>
                <w:sz w:val="20"/>
              </w:rPr>
              <w:t>ACTIF</w:t>
            </w:r>
          </w:p>
        </w:tc>
      </w:tr>
      <w:tr>
        <w:tc>
          <w:tcPr>
            <w:tcW w:type="dxa" w:w="1559"/>
          </w:tcPr>
          <w:p>
            <w:r>
              <w:rPr>
                <w:sz w:val="20"/>
              </w:rPr>
              <w:t>GEZT</w:t>
            </w:r>
          </w:p>
        </w:tc>
        <w:tc>
          <w:tcPr>
            <w:tcW w:type="dxa" w:w="1559"/>
          </w:tcPr>
          <w:p>
            <w:r>
              <w:rPr>
                <w:sz w:val="20"/>
              </w:rPr>
              <w:t>RICHMOND S,A,C,I,F</w:t>
            </w:r>
          </w:p>
        </w:tc>
        <w:tc>
          <w:tcPr>
            <w:tcW w:type="dxa" w:w="1559"/>
          </w:tcPr>
          <w:p>
            <w:r>
              <w:rPr>
                <w:sz w:val="20"/>
              </w:rPr>
              <w:t>Poudre en lyophilisat pour perfusion IV, 1000 mg</w:t>
            </w:r>
          </w:p>
        </w:tc>
        <w:tc>
          <w:tcPr>
            <w:tcW w:type="dxa" w:w="1559"/>
          </w:tcPr>
          <w:p>
            <w:r>
              <w:rPr>
                <w:sz w:val="20"/>
              </w:rPr>
              <w:t>B/1</w:t>
            </w:r>
          </w:p>
        </w:tc>
        <w:tc>
          <w:tcPr>
            <w:tcW w:type="dxa" w:w="1559"/>
          </w:tcPr>
          <w:p>
            <w:r>
              <w:rPr>
                <w:sz w:val="20"/>
              </w:rPr>
              <w:t>LISTE I</w:t>
            </w:r>
          </w:p>
        </w:tc>
        <w:tc>
          <w:tcPr>
            <w:tcW w:type="dxa" w:w="1559"/>
          </w:tcPr>
          <w:p>
            <w:r>
              <w:rPr>
                <w:sz w:val="20"/>
              </w:rPr>
              <w:t>ACTIF</w:t>
            </w:r>
          </w:p>
        </w:tc>
      </w:tr>
      <w:tr>
        <w:tc>
          <w:tcPr>
            <w:tcW w:type="dxa" w:w="1559"/>
          </w:tcPr>
          <w:p>
            <w:r>
              <w:rPr>
                <w:sz w:val="20"/>
              </w:rPr>
              <w:t>GEZT</w:t>
            </w:r>
          </w:p>
        </w:tc>
        <w:tc>
          <w:tcPr>
            <w:tcW w:type="dxa" w:w="1559"/>
          </w:tcPr>
          <w:p>
            <w:r>
              <w:rPr>
                <w:sz w:val="20"/>
              </w:rPr>
              <w:t>RICHMOND S,A,C,I,F</w:t>
            </w:r>
          </w:p>
        </w:tc>
        <w:tc>
          <w:tcPr>
            <w:tcW w:type="dxa" w:w="1559"/>
          </w:tcPr>
          <w:p>
            <w:r>
              <w:rPr>
                <w:sz w:val="20"/>
              </w:rPr>
              <w:t>Poudre lyophilisée pour perfusion IV, 200 mg</w:t>
            </w:r>
          </w:p>
        </w:tc>
        <w:tc>
          <w:tcPr>
            <w:tcW w:type="dxa" w:w="1559"/>
          </w:tcPr>
          <w:p>
            <w:r>
              <w:rPr>
                <w:sz w:val="20"/>
              </w:rPr>
              <w:t>B/1</w:t>
            </w:r>
          </w:p>
        </w:tc>
        <w:tc>
          <w:tcPr>
            <w:tcW w:type="dxa" w:w="1559"/>
          </w:tcPr>
          <w:p>
            <w:r>
              <w:rPr>
                <w:sz w:val="20"/>
              </w:rPr>
              <w:t>LISTE I</w:t>
            </w:r>
          </w:p>
        </w:tc>
        <w:tc>
          <w:tcPr>
            <w:tcW w:type="dxa" w:w="1559"/>
          </w:tcPr>
          <w:p>
            <w:r>
              <w:rPr>
                <w:sz w:val="20"/>
              </w:rPr>
              <w:t>ACTIF</w:t>
            </w:r>
          </w:p>
        </w:tc>
      </w:tr>
      <w:tr>
        <w:tc>
          <w:tcPr>
            <w:tcW w:type="dxa" w:w="1559"/>
          </w:tcPr>
          <w:p>
            <w:r>
              <w:rPr>
                <w:sz w:val="20"/>
              </w:rPr>
              <w:t>MECITABINE</w:t>
            </w:r>
          </w:p>
        </w:tc>
        <w:tc>
          <w:tcPr>
            <w:tcW w:type="dxa" w:w="1559"/>
          </w:tcPr>
          <w:p>
            <w:r>
              <w:rPr>
                <w:sz w:val="20"/>
              </w:rPr>
              <w:t>HIKMA PHARMA ALGERIA</w:t>
            </w:r>
          </w:p>
        </w:tc>
        <w:tc>
          <w:tcPr>
            <w:tcW w:type="dxa" w:w="1559"/>
          </w:tcPr>
          <w:p>
            <w:r>
              <w:rPr>
                <w:sz w:val="20"/>
              </w:rPr>
              <w:t>Poudre lyophilisée pour solution pour perfusion IV, 1000 mg</w:t>
            </w:r>
          </w:p>
        </w:tc>
        <w:tc>
          <w:tcPr>
            <w:tcW w:type="dxa" w:w="1559"/>
          </w:tcPr>
          <w:p>
            <w:r>
              <w:rPr>
                <w:sz w:val="20"/>
              </w:rPr>
              <w:t>B/1 flacon de poudre</w:t>
            </w:r>
          </w:p>
        </w:tc>
        <w:tc>
          <w:tcPr>
            <w:tcW w:type="dxa" w:w="1559"/>
          </w:tcPr>
          <w:p>
            <w:r>
              <w:rPr>
                <w:sz w:val="20"/>
              </w:rPr>
              <w:t>LISTE I</w:t>
            </w:r>
          </w:p>
        </w:tc>
        <w:tc>
          <w:tcPr>
            <w:tcW w:type="dxa" w:w="1559"/>
          </w:tcPr>
          <w:p>
            <w:r>
              <w:rPr>
                <w:sz w:val="20"/>
              </w:rPr>
              <w:t>ACTIF</w:t>
            </w:r>
          </w:p>
        </w:tc>
      </w:tr>
      <w:tr>
        <w:tc>
          <w:tcPr>
            <w:tcW w:type="dxa" w:w="1559"/>
          </w:tcPr>
          <w:p>
            <w:r>
              <w:rPr>
                <w:sz w:val="20"/>
              </w:rPr>
              <w:t>MECITABINE</w:t>
            </w:r>
          </w:p>
        </w:tc>
        <w:tc>
          <w:tcPr>
            <w:tcW w:type="dxa" w:w="1559"/>
          </w:tcPr>
          <w:p>
            <w:r>
              <w:rPr>
                <w:sz w:val="20"/>
              </w:rPr>
              <w:t>HIKMA PHARMA ALGERIA</w:t>
            </w:r>
          </w:p>
        </w:tc>
        <w:tc>
          <w:tcPr>
            <w:tcW w:type="dxa" w:w="1559"/>
          </w:tcPr>
          <w:p>
            <w:r>
              <w:rPr>
                <w:sz w:val="20"/>
              </w:rPr>
              <w:t>Poudre lyophilisée pour injection en perfusion IV, 200 mg</w:t>
            </w:r>
          </w:p>
        </w:tc>
        <w:tc>
          <w:tcPr>
            <w:tcW w:type="dxa" w:w="1559"/>
          </w:tcPr>
          <w:p>
            <w:r>
              <w:rPr>
                <w:sz w:val="20"/>
              </w:rPr>
              <w:t>B/1 flacon de poudre</w:t>
            </w:r>
          </w:p>
        </w:tc>
        <w:tc>
          <w:tcPr>
            <w:tcW w:type="dxa" w:w="1559"/>
          </w:tcPr>
          <w:p>
            <w:r>
              <w:rPr>
                <w:sz w:val="20"/>
              </w:rPr>
              <w:t>LISTE I</w:t>
            </w:r>
          </w:p>
        </w:tc>
        <w:tc>
          <w:tcPr>
            <w:tcW w:type="dxa" w:w="1559"/>
          </w:tcPr>
          <w:p>
            <w:r>
              <w:rPr>
                <w:sz w:val="20"/>
              </w:rPr>
              <w:t>ACTIF</w:t>
            </w:r>
          </w:p>
        </w:tc>
      </w:tr>
      <w:tr>
        <w:tc>
          <w:tcPr>
            <w:tcW w:type="dxa" w:w="1559"/>
          </w:tcPr>
          <w:p>
            <w:r>
              <w:rPr>
                <w:sz w:val="20"/>
              </w:rPr>
              <w:t>ZYGEM 1000</w:t>
            </w:r>
          </w:p>
        </w:tc>
        <w:tc>
          <w:tcPr>
            <w:tcW w:type="dxa" w:w="1559"/>
          </w:tcPr>
          <w:p>
            <w:r>
              <w:rPr>
                <w:sz w:val="20"/>
              </w:rPr>
              <w:t>ZYDUS HOSPIRA</w:t>
            </w:r>
          </w:p>
        </w:tc>
        <w:tc>
          <w:tcPr>
            <w:tcW w:type="dxa" w:w="1559"/>
          </w:tcPr>
          <w:p>
            <w:r>
              <w:rPr>
                <w:sz w:val="20"/>
              </w:rPr>
              <w:t>Poudre lyophilisée pour perfusion IV, 1000 mg</w:t>
            </w:r>
          </w:p>
        </w:tc>
        <w:tc>
          <w:tcPr>
            <w:tcW w:type="dxa" w:w="1559"/>
          </w:tcPr>
          <w:p>
            <w:r>
              <w:rPr>
                <w:sz w:val="20"/>
              </w:rPr>
              <w:t>B/1</w:t>
            </w:r>
          </w:p>
        </w:tc>
        <w:tc>
          <w:tcPr>
            <w:tcW w:type="dxa" w:w="1559"/>
          </w:tcPr>
          <w:p>
            <w:r>
              <w:rPr>
                <w:sz w:val="20"/>
              </w:rPr>
              <w:t>LISTE I</w:t>
            </w:r>
          </w:p>
        </w:tc>
        <w:tc>
          <w:tcPr>
            <w:tcW w:type="dxa" w:w="1559"/>
          </w:tcPr>
          <w:p>
            <w:r>
              <w:rPr>
                <w:sz w:val="20"/>
              </w:rPr>
              <w:t>ACTIF</w:t>
            </w:r>
          </w:p>
        </w:tc>
      </w:tr>
      <w:tr>
        <w:tc>
          <w:tcPr>
            <w:tcW w:type="dxa" w:w="1559"/>
          </w:tcPr>
          <w:p>
            <w:r>
              <w:rPr>
                <w:sz w:val="20"/>
              </w:rPr>
              <w:t>ZYGEM 999</w:t>
            </w:r>
          </w:p>
        </w:tc>
        <w:tc>
          <w:tcPr>
            <w:tcW w:type="dxa" w:w="1559"/>
          </w:tcPr>
          <w:p>
            <w:r>
              <w:rPr>
                <w:sz w:val="20"/>
              </w:rPr>
              <w:t>ZYDUS HOSPIRA</w:t>
            </w:r>
          </w:p>
        </w:tc>
        <w:tc>
          <w:tcPr>
            <w:tcW w:type="dxa" w:w="1559"/>
          </w:tcPr>
          <w:p>
            <w:r>
              <w:rPr>
                <w:sz w:val="20"/>
              </w:rPr>
              <w:t>Poudre lyophilisée pour perfusion IV, 200 mg</w:t>
            </w:r>
          </w:p>
        </w:tc>
        <w:tc>
          <w:tcPr>
            <w:tcW w:type="dxa" w:w="1559"/>
          </w:tcPr>
          <w:p>
            <w:r>
              <w:rPr>
                <w:sz w:val="20"/>
              </w:rPr>
              <w:t>B/1</w:t>
            </w:r>
          </w:p>
        </w:tc>
        <w:tc>
          <w:tcPr>
            <w:tcW w:type="dxa" w:w="1559"/>
          </w:tcPr>
          <w:p>
            <w:r>
              <w:rPr>
                <w:sz w:val="20"/>
              </w:rPr>
              <w:t>LISTE I</w:t>
            </w:r>
          </w:p>
        </w:tc>
        <w:tc>
          <w:tcPr>
            <w:tcW w:type="dxa" w:w="1559"/>
          </w:tcPr>
          <w:p>
            <w:r>
              <w:rPr>
                <w:sz w:val="20"/>
              </w:rPr>
              <w:t>ACTIF</w:t>
            </w:r>
          </w:p>
        </w:tc>
      </w:tr>
      <w:tr>
        <w:tc>
          <w:tcPr>
            <w:tcW w:type="dxa" w:w="1559"/>
          </w:tcPr>
          <w:p>
            <w:r>
              <w:rPr>
                <w:sz w:val="20"/>
              </w:rPr>
              <w:t>GEMTERO</w:t>
            </w:r>
          </w:p>
        </w:tc>
        <w:tc>
          <w:tcPr>
            <w:tcW w:type="dxa" w:w="1559"/>
          </w:tcPr>
          <w:p>
            <w:r>
              <w:rPr>
                <w:sz w:val="20"/>
              </w:rPr>
              <w:t>HETERO LABS LIMITED</w:t>
            </w:r>
          </w:p>
        </w:tc>
        <w:tc>
          <w:tcPr>
            <w:tcW w:type="dxa" w:w="1559"/>
          </w:tcPr>
          <w:p>
            <w:r>
              <w:rPr>
                <w:sz w:val="20"/>
              </w:rPr>
              <w:t>Poudre lyophilisée pour solution pour perfusion IV, 200 mg</w:t>
            </w:r>
          </w:p>
        </w:tc>
        <w:tc>
          <w:tcPr>
            <w:tcW w:type="dxa" w:w="1559"/>
          </w:tcPr>
          <w:p>
            <w:r>
              <w:rPr>
                <w:sz w:val="20"/>
              </w:rPr>
              <w:t>Boîte de 1 flacon de 10 mL</w:t>
            </w:r>
          </w:p>
        </w:tc>
        <w:tc>
          <w:tcPr>
            <w:tcW w:type="dxa" w:w="1559"/>
          </w:tcPr>
          <w:p>
            <w:r>
              <w:rPr>
                <w:sz w:val="20"/>
              </w:rPr>
              <w:t>LISTE I</w:t>
            </w:r>
          </w:p>
        </w:tc>
        <w:tc>
          <w:tcPr>
            <w:tcW w:type="dxa" w:w="1559"/>
          </w:tcPr>
          <w:p>
            <w:r>
              <w:rPr>
                <w:sz w:val="20"/>
              </w:rPr>
              <w:t>ACTIF</w:t>
            </w:r>
          </w:p>
        </w:tc>
      </w:tr>
      <w:tr>
        <w:tc>
          <w:tcPr>
            <w:tcW w:type="dxa" w:w="1559"/>
          </w:tcPr>
          <w:p>
            <w:r>
              <w:rPr>
                <w:sz w:val="20"/>
              </w:rPr>
              <w:t>GEMTERO</w:t>
            </w:r>
          </w:p>
        </w:tc>
        <w:tc>
          <w:tcPr>
            <w:tcW w:type="dxa" w:w="1559"/>
          </w:tcPr>
          <w:p>
            <w:r>
              <w:rPr>
                <w:sz w:val="20"/>
              </w:rPr>
              <w:t>HETERO LABS LIMITED</w:t>
            </w:r>
          </w:p>
        </w:tc>
        <w:tc>
          <w:tcPr>
            <w:tcW w:type="dxa" w:w="1559"/>
          </w:tcPr>
          <w:p>
            <w:r>
              <w:rPr>
                <w:sz w:val="20"/>
              </w:rPr>
              <w:t>Lyophilisat pour solution pour perfusion IV, 1 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ONGECIN 200</w:t>
            </w:r>
          </w:p>
        </w:tc>
        <w:tc>
          <w:tcPr>
            <w:tcW w:type="dxa" w:w="1559"/>
          </w:tcPr>
          <w:p>
            <w:r>
              <w:rPr>
                <w:sz w:val="20"/>
              </w:rPr>
              <w:t>LABORATOIRES ACCURE LABS PVT.LTD</w:t>
            </w:r>
          </w:p>
        </w:tc>
        <w:tc>
          <w:tcPr>
            <w:tcW w:type="dxa" w:w="1559"/>
          </w:tcPr>
          <w:p>
            <w:r>
              <w:rPr>
                <w:sz w:val="20"/>
              </w:rPr>
              <w:t>Poudre lyophilisée pour solution pour perfusion IV, 200 mg</w:t>
            </w:r>
          </w:p>
        </w:tc>
        <w:tc>
          <w:tcPr>
            <w:tcW w:type="dxa" w:w="1559"/>
          </w:tcPr>
          <w:p>
            <w:r>
              <w:rPr>
                <w:sz w:val="20"/>
              </w:rPr>
              <w:t>B/1</w:t>
            </w:r>
          </w:p>
        </w:tc>
        <w:tc>
          <w:tcPr>
            <w:tcW w:type="dxa" w:w="1559"/>
          </w:tcPr>
          <w:p>
            <w:r>
              <w:rPr>
                <w:sz w:val="20"/>
              </w:rPr>
              <w:t>LISTE I</w:t>
            </w:r>
          </w:p>
        </w:tc>
        <w:tc>
          <w:tcPr>
            <w:tcW w:type="dxa" w:w="1559"/>
          </w:tcPr>
          <w:p>
            <w:r>
              <w:rPr>
                <w:sz w:val="20"/>
              </w:rPr>
              <w:t>ACTIF</w:t>
            </w:r>
          </w:p>
        </w:tc>
      </w:tr>
      <w:tr>
        <w:tc>
          <w:tcPr>
            <w:tcW w:type="dxa" w:w="1559"/>
          </w:tcPr>
          <w:p>
            <w:r>
              <w:rPr>
                <w:sz w:val="20"/>
              </w:rPr>
              <w:t>ONGECIN 100</w:t>
            </w:r>
          </w:p>
        </w:tc>
        <w:tc>
          <w:tcPr>
            <w:tcW w:type="dxa" w:w="1559"/>
          </w:tcPr>
          <w:p>
            <w:r>
              <w:rPr>
                <w:sz w:val="20"/>
              </w:rPr>
              <w:t>LABORATOIRES ACCURE LABS PVT.LTD</w:t>
            </w:r>
          </w:p>
        </w:tc>
        <w:tc>
          <w:tcPr>
            <w:tcW w:type="dxa" w:w="1559"/>
          </w:tcPr>
          <w:p>
            <w:r>
              <w:rPr>
                <w:sz w:val="20"/>
              </w:rPr>
              <w:t>Poudre lyophilisée pour solution à diluer pour perfusion IV, 1 g/flacon de poudre</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CITAFINE</w:t>
            </w:r>
          </w:p>
        </w:tc>
        <w:tc>
          <w:tcPr>
            <w:tcW w:type="dxa" w:w="1559"/>
          </w:tcPr>
          <w:p>
            <w:r>
              <w:rPr>
                <w:sz w:val="20"/>
              </w:rPr>
              <w:t>EMCURE PHARMACEUTICALS LTD</w:t>
            </w:r>
          </w:p>
        </w:tc>
        <w:tc>
          <w:tcPr>
            <w:tcW w:type="dxa" w:w="1559"/>
          </w:tcPr>
          <w:p>
            <w:r>
              <w:rPr>
                <w:sz w:val="20"/>
              </w:rPr>
              <w:t>Poudre pour solution injectable IV, 1 g/flacon de poudre</w:t>
            </w:r>
          </w:p>
        </w:tc>
        <w:tc>
          <w:tcPr>
            <w:tcW w:type="dxa" w:w="1559"/>
          </w:tcPr>
          <w:p>
            <w:r>
              <w:rPr>
                <w:sz w:val="20"/>
              </w:rPr>
              <w:t>B/1 flacon de poudre</w:t>
            </w:r>
          </w:p>
        </w:tc>
        <w:tc>
          <w:tcPr>
            <w:tcW w:type="dxa" w:w="1559"/>
          </w:tcPr>
          <w:p>
            <w:r>
              <w:rPr>
                <w:sz w:val="20"/>
              </w:rPr>
              <w:t>LISTE I</w:t>
            </w:r>
          </w:p>
        </w:tc>
        <w:tc>
          <w:tcPr>
            <w:tcW w:type="dxa" w:w="1559"/>
          </w:tcPr>
          <w:p>
            <w:r>
              <w:rPr>
                <w:sz w:val="20"/>
              </w:rPr>
              <w:t>ACTIF</w:t>
            </w:r>
          </w:p>
        </w:tc>
      </w:tr>
      <w:tr>
        <w:tc>
          <w:tcPr>
            <w:tcW w:type="dxa" w:w="1559"/>
          </w:tcPr>
          <w:p>
            <w:r>
              <w:rPr>
                <w:sz w:val="20"/>
              </w:rPr>
              <w:t>GEMCITABINE SOL IMGSA</w:t>
            </w:r>
          </w:p>
        </w:tc>
        <w:tc>
          <w:tcPr>
            <w:tcW w:type="dxa" w:w="1559"/>
          </w:tcPr>
          <w:p>
            <w:r>
              <w:rPr>
                <w:sz w:val="20"/>
              </w:rPr>
              <w:t>IMGSA GROUPE INDUSTRIE PHARMACEUTIQUE</w:t>
            </w:r>
          </w:p>
        </w:tc>
        <w:tc>
          <w:tcPr>
            <w:tcW w:type="dxa" w:w="1559"/>
          </w:tcPr>
          <w:p>
            <w:r>
              <w:rPr>
                <w:sz w:val="20"/>
              </w:rPr>
              <w:t>Solution à diluer pour perfusion IV, 200 mg/5,26 mL (38 mg/mL)</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GEMCITABINE SOL IMGSA</w:t>
            </w:r>
          </w:p>
        </w:tc>
        <w:tc>
          <w:tcPr>
            <w:tcW w:type="dxa" w:w="1559"/>
          </w:tcPr>
          <w:p>
            <w:r>
              <w:rPr>
                <w:sz w:val="20"/>
              </w:rPr>
              <w:t>IMGSA GROUPE INDUSTRIE PHARMACEUTIQUE</w:t>
            </w:r>
          </w:p>
        </w:tc>
        <w:tc>
          <w:tcPr>
            <w:tcW w:type="dxa" w:w="1559"/>
          </w:tcPr>
          <w:p>
            <w:r>
              <w:rPr>
                <w:sz w:val="20"/>
              </w:rPr>
              <w:t>Solution à diluer pour perfusion IV, 1000 mg/26,31 mL</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GEMZAR</w:t>
            </w:r>
          </w:p>
        </w:tc>
        <w:tc>
          <w:tcPr>
            <w:tcW w:type="dxa" w:w="1559"/>
          </w:tcPr>
          <w:p>
            <w:r>
              <w:rPr>
                <w:sz w:val="20"/>
              </w:rPr>
              <w:t>ELI LILLY</w:t>
            </w:r>
          </w:p>
        </w:tc>
        <w:tc>
          <w:tcPr>
            <w:tcW w:type="dxa" w:w="1559"/>
          </w:tcPr>
          <w:p>
            <w:r>
              <w:rPr>
                <w:sz w:val="20"/>
              </w:rPr>
              <w:t>Lyophilisat solution injectable IV, 1 g/50 mL</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r>
        <w:tc>
          <w:tcPr>
            <w:tcW w:type="dxa" w:w="1559"/>
          </w:tcPr>
          <w:p>
            <w:r>
              <w:rPr>
                <w:sz w:val="20"/>
              </w:rPr>
              <w:t>GEMZAR</w:t>
            </w:r>
          </w:p>
        </w:tc>
        <w:tc>
          <w:tcPr>
            <w:tcW w:type="dxa" w:w="1559"/>
          </w:tcPr>
          <w:p>
            <w:r>
              <w:rPr>
                <w:sz w:val="20"/>
              </w:rPr>
              <w:t>LILLY</w:t>
            </w:r>
          </w:p>
        </w:tc>
        <w:tc>
          <w:tcPr>
            <w:tcW w:type="dxa" w:w="1559"/>
          </w:tcPr>
          <w:p>
            <w:r>
              <w:rPr>
                <w:sz w:val="20"/>
              </w:rPr>
              <w:t>Poudre pour solution pour perfusion IV, 200 mg</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r>
        <w:tc>
          <w:tcPr>
            <w:tcW w:type="dxa" w:w="1559"/>
          </w:tcPr>
          <w:p>
            <w:r>
              <w:rPr>
                <w:sz w:val="20"/>
              </w:rPr>
              <w:t>GEMCITABIN EBEWE</w:t>
            </w:r>
          </w:p>
        </w:tc>
        <w:tc>
          <w:tcPr>
            <w:tcW w:type="dxa" w:w="1559"/>
          </w:tcPr>
          <w:p>
            <w:r>
              <w:rPr>
                <w:sz w:val="20"/>
              </w:rPr>
              <w:t>EBEWE PHARMA Ges.m.b.h Nfg KG</w:t>
            </w:r>
          </w:p>
        </w:tc>
        <w:tc>
          <w:tcPr>
            <w:tcW w:type="dxa" w:w="1559"/>
          </w:tcPr>
          <w:p>
            <w:r>
              <w:rPr>
                <w:sz w:val="20"/>
              </w:rPr>
              <w:t>Concentré pour solution injectable pour perfusion IV, 10 mg/mL (200 mg/20 mL)</w:t>
            </w:r>
          </w:p>
        </w:tc>
        <w:tc>
          <w:tcPr>
            <w:tcW w:type="dxa" w:w="1559"/>
          </w:tcPr>
          <w:p>
            <w:r>
              <w:rPr>
                <w:sz w:val="20"/>
              </w:rPr>
              <w:t>Flacon 20 mL</w:t>
            </w:r>
          </w:p>
        </w:tc>
        <w:tc>
          <w:tcPr>
            <w:tcW w:type="dxa" w:w="1559"/>
          </w:tcPr>
          <w:p>
            <w:r>
              <w:rPr>
                <w:sz w:val="20"/>
              </w:rPr>
              <w:t>LISTE I</w:t>
            </w:r>
          </w:p>
        </w:tc>
        <w:tc>
          <w:tcPr>
            <w:tcW w:type="dxa" w:w="1559"/>
          </w:tcPr>
          <w:p>
            <w:r>
              <w:rPr>
                <w:sz w:val="20"/>
              </w:rPr>
              <w:t>NON RENOUVELABLE</w:t>
            </w:r>
          </w:p>
        </w:tc>
      </w:tr>
      <w:tr>
        <w:tc>
          <w:tcPr>
            <w:tcW w:type="dxa" w:w="1559"/>
          </w:tcPr>
          <w:p>
            <w:r>
              <w:rPr>
                <w:sz w:val="20"/>
              </w:rPr>
              <w:t>GEMZAR</w:t>
            </w:r>
          </w:p>
        </w:tc>
        <w:tc>
          <w:tcPr>
            <w:tcW w:type="dxa" w:w="1559"/>
          </w:tcPr>
          <w:p>
            <w:r>
              <w:rPr>
                <w:sz w:val="20"/>
              </w:rPr>
              <w:t>ELI LILLY</w:t>
            </w:r>
          </w:p>
        </w:tc>
        <w:tc>
          <w:tcPr>
            <w:tcW w:type="dxa" w:w="1559"/>
          </w:tcPr>
          <w:p>
            <w:r>
              <w:rPr>
                <w:sz w:val="20"/>
              </w:rPr>
              <w:t>Lyophilisat solution injectable IV, 1 g/50 mL</w:t>
            </w:r>
          </w:p>
        </w:tc>
        <w:tc>
          <w:tcPr>
            <w:tcW w:type="dxa" w:w="1559"/>
          </w:tcPr>
          <w:p>
            <w:r>
              <w:rPr>
                <w:sz w:val="20"/>
              </w:rPr>
              <w:t>B/1 flacon</w:t>
            </w:r>
          </w:p>
        </w:tc>
        <w:tc>
          <w:tcPr>
            <w:tcW w:type="dxa" w:w="1559"/>
          </w:tcPr>
          <w:p>
            <w:r>
              <w:rPr>
                <w:sz w:val="20"/>
              </w:rPr>
              <w:t>LISTE I</w:t>
            </w:r>
          </w:p>
        </w:tc>
        <w:tc>
          <w:tcPr>
            <w:tcW w:type="dxa" w:w="1559"/>
          </w:tcPr>
          <w:p>
            <w:r>
              <w:rPr>
                <w:sz w:val="20"/>
              </w:rPr>
              <w:t>RETRAIT (R)</w:t>
            </w:r>
          </w:p>
        </w:tc>
      </w:tr>
      <w:tr>
        <w:tc>
          <w:tcPr>
            <w:tcW w:type="dxa" w:w="1559"/>
          </w:tcPr>
          <w:p>
            <w:r>
              <w:rPr>
                <w:sz w:val="20"/>
              </w:rPr>
              <w:t>GEMZAR</w:t>
            </w:r>
          </w:p>
        </w:tc>
        <w:tc>
          <w:tcPr>
            <w:tcW w:type="dxa" w:w="1559"/>
          </w:tcPr>
          <w:p>
            <w:r>
              <w:rPr>
                <w:sz w:val="20"/>
              </w:rPr>
              <w:t>LILLY</w:t>
            </w:r>
          </w:p>
        </w:tc>
        <w:tc>
          <w:tcPr>
            <w:tcW w:type="dxa" w:w="1559"/>
          </w:tcPr>
          <w:p>
            <w:r>
              <w:rPr>
                <w:sz w:val="20"/>
              </w:rPr>
              <w:t>Poudre pour solution pour perfusion IV, 200 mg</w:t>
            </w:r>
          </w:p>
        </w:tc>
        <w:tc>
          <w:tcPr>
            <w:tcW w:type="dxa" w:w="1559"/>
          </w:tcPr>
          <w:p>
            <w:r>
              <w:rPr>
                <w:sz w:val="20"/>
              </w:rPr>
              <w:t>B/1 flacon</w:t>
            </w:r>
          </w:p>
        </w:tc>
        <w:tc>
          <w:tcPr>
            <w:tcW w:type="dxa" w:w="1559"/>
          </w:tcPr>
          <w:p>
            <w:r>
              <w:rPr>
                <w:sz w:val="20"/>
              </w:rPr>
              <w:t>LISTE I</w:t>
            </w:r>
          </w:p>
        </w:tc>
        <w:tc>
          <w:tcPr>
            <w:tcW w:type="dxa" w:w="1559"/>
          </w:tcPr>
          <w:p>
            <w:r>
              <w:rPr>
                <w:sz w:val="20"/>
              </w:rPr>
              <w:t>RETRAIT (R)</w:t>
            </w:r>
          </w:p>
        </w:tc>
      </w:tr>
      <w:tr>
        <w:tc>
          <w:tcPr>
            <w:tcW w:type="dxa" w:w="1559"/>
          </w:tcPr>
          <w:p>
            <w:r>
              <w:rPr>
                <w:sz w:val="20"/>
              </w:rPr>
              <w:t>OKAGEM-1000</w:t>
            </w:r>
          </w:p>
        </w:tc>
        <w:tc>
          <w:tcPr>
            <w:tcW w:type="dxa" w:w="1559"/>
          </w:tcPr>
          <w:p>
            <w:r>
              <w:rPr>
                <w:sz w:val="20"/>
              </w:rPr>
              <w:t>BIOVITAL</w:t>
            </w:r>
          </w:p>
        </w:tc>
        <w:tc>
          <w:tcPr>
            <w:tcW w:type="dxa" w:w="1559"/>
          </w:tcPr>
          <w:p>
            <w:r>
              <w:rPr>
                <w:sz w:val="20"/>
              </w:rPr>
              <w:t>Lyophilisat à diluer pour perfusion IV, 1000 mg/flacon de poudre</w:t>
            </w:r>
          </w:p>
        </w:tc>
        <w:tc>
          <w:tcPr>
            <w:tcW w:type="dxa" w:w="1559"/>
          </w:tcPr>
          <w:p>
            <w:r>
              <w:rPr>
                <w:sz w:val="20"/>
              </w:rPr>
              <w:t>B/01 flacon de poudre</w:t>
            </w:r>
          </w:p>
        </w:tc>
        <w:tc>
          <w:tcPr>
            <w:tcW w:type="dxa" w:w="1559"/>
          </w:tcPr>
          <w:p>
            <w:r>
              <w:rPr>
                <w:sz w:val="20"/>
              </w:rPr>
              <w:t>LISTE I</w:t>
            </w:r>
          </w:p>
        </w:tc>
        <w:tc>
          <w:tcPr>
            <w:tcW w:type="dxa" w:w="1559"/>
          </w:tcPr>
          <w:p>
            <w:r>
              <w:rPr>
                <w:sz w:val="20"/>
              </w:rPr>
              <w:t>RETRAIT (R)</w:t>
            </w:r>
          </w:p>
        </w:tc>
      </w:tr>
      <w:tr>
        <w:tc>
          <w:tcPr>
            <w:tcW w:type="dxa" w:w="1559"/>
          </w:tcPr>
          <w:p>
            <w:r>
              <w:rPr>
                <w:sz w:val="20"/>
              </w:rPr>
              <w:t>GEMCITABIN EBEWE</w:t>
            </w:r>
          </w:p>
        </w:tc>
        <w:tc>
          <w:tcPr>
            <w:tcW w:type="dxa" w:w="1559"/>
          </w:tcPr>
          <w:p>
            <w:r>
              <w:rPr>
                <w:sz w:val="20"/>
              </w:rPr>
              <w:t>EBEWE PHARMA Ges.m.b.h Nfg KG</w:t>
            </w:r>
          </w:p>
        </w:tc>
        <w:tc>
          <w:tcPr>
            <w:tcW w:type="dxa" w:w="1559"/>
          </w:tcPr>
          <w:p>
            <w:r>
              <w:rPr>
                <w:sz w:val="20"/>
              </w:rPr>
              <w:t>Concentré pour solution injectable pour perfusion IV, 10 mg/mL (1000 mg/100 mL)</w:t>
            </w:r>
          </w:p>
        </w:tc>
        <w:tc>
          <w:tcPr>
            <w:tcW w:type="dxa" w:w="1559"/>
          </w:tcPr>
          <w:p>
            <w:r>
              <w:rPr>
                <w:sz w:val="20"/>
              </w:rPr>
              <w:t>Flacon 100 mL</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gemcitabine (2',2'-difluoro-déoxycytidine, dFdC) est un </w:t>
      </w:r>
      <w:r>
        <w:rPr>
          <w:b/>
        </w:rPr>
        <w:t>analogue de la déoxycytidine</w:t>
      </w:r>
      <w:r>
        <w:t xml:space="preserve"> dans lequel deux atomes de fluor sont substitués en position 2' du sucre. Inactive par elle-même, elle subit une </w:t>
      </w:r>
      <w:r>
        <w:rPr>
          <w:b/>
        </w:rPr>
        <w:t>activation intracellulaire par phosphorylations successives</w:t>
      </w:r>
      <w:r>
        <w:t xml:space="preserve"> : (1) </w:t>
      </w:r>
      <w:r>
        <w:rPr>
          <w:b/>
        </w:rPr>
        <w:t>déoxycytidine kinase (dCK)</w:t>
      </w:r>
      <w:r>
        <w:t xml:space="preserve"> → dFdCMP ; (2) nucléoside monophosphate kinase → dFdCDP ; (3) nucléoside diphosphate kinase → dFdCTP (métabolite actif). Le dFdCTP est </w:t>
      </w:r>
      <w:r>
        <w:rPr>
          <w:b/>
        </w:rPr>
        <w:t>incorporé dans l'ADN naissant</w:t>
      </w:r>
      <w:r>
        <w:t xml:space="preserve"> à la place du dCTP par l'ADN polymérale α — après incorporation, </w:t>
      </w:r>
      <w:r>
        <w:rPr>
          <w:b/>
        </w:rPr>
        <w:t>un seul nucléotide normal s'ajoute</w:t>
      </w:r>
      <w:r>
        <w:t xml:space="preserve"> (le plus souvent un dA en face du dT du brin opposé), puis l'ADN polymérale est incapable de poursuivre l'élongation (masquage). Cette propriété est appelée </w:t>
      </w:r>
      <w:r>
        <w:rPr>
          <w:b/>
        </w:rPr>
        <w:t>« masquage » (masking)</w:t>
      </w:r>
      <w:r>
        <w:t xml:space="preserve"> — l'ADN polymérase ne reconnaît pas la gemcitabine comme un nucléotide anormal, ce qui empêche les systèmes de réparation MMR de la retirer. Résultat : terminaison de chaîne masquée, apoptose cellulaire. La gemcitabine a également deux effets d'auto-potentialisation remarquables : (1) le </w:t>
      </w:r>
      <w:r>
        <w:rPr>
          <w:b/>
        </w:rPr>
        <w:t>dFdCDP est un inhibiteur de la ribonucléotide réductase (RNR)</w:t>
      </w:r>
      <w:r>
        <w:t xml:space="preserve"> — déplétion des dCTP cellulaires normaux, ce qui augmente l'incorporation de dFdCTP dans l'ADN (puisque la cellule n'a plus de dCTP normal à incorporer) ; (2) le </w:t>
      </w:r>
      <w:r>
        <w:rPr>
          <w:b/>
        </w:rPr>
        <w:t>dFdCTP inhibe la déoxycytidylate déaminase</w:t>
      </w:r>
      <w:r>
        <w:t xml:space="preserve"> (qui normalement inactive le dFdCMP) — d'où prolongation de la demi-vie intracellulaire active. Cette triple action (incorporation masquée + inhibition RNR + inhibition déaminase) explique l'efficacité remarquable de la gemcitabine sur les tumeurs solides chimiorésistantes.</w:t>
      </w:r>
    </w:p>
    <w:p>
      <w:pPr>
        <w:pStyle w:val="ListBullet"/>
      </w:pPr>
      <w:r/>
      <w:r>
        <w:rPr>
          <w:b/>
        </w:rPr>
        <w:t>Profil pharmacocinétique</w:t>
      </w:r>
      <w:r>
        <w:t xml:space="preserve"> : administration IV stricte (perfusion courte 30 min dans 250 mL NaCl 0,9 %) — la perfusion prolongée &gt; 70 min augmente la toxicité (cinétique de saturation de la déamination). Distribution rapide (Vd 50-80 L/m²), passage LCR faible. Liaison aux protéines &lt; 10 %. Métabolisme : déamination intracellulaire et plasmatique par la </w:t>
      </w:r>
      <w:r>
        <w:rPr>
          <w:b/>
        </w:rPr>
        <w:t>déoxycytidine déaminase</w:t>
      </w:r>
      <w:r>
        <w:t xml:space="preserve"> en dFdU (difluorodéoxyuridine, inactif) — clearance rapide. Demi-vie d'élimination biphasique : t1/2α = 8-15 min, t1/2β = 0,5-2 h (forme mère). Élimination urinaire 90 % sous forme de dFdU. Insuffisance rénale : pas d'adaptation systématique (métabolisme hépatique prédominant), mais surveillance accrue. Insuffisance hépatique : adaptation posologique selon le grade (bilirubine &gt; 1,5 LSN → réduire 25 % ; &gt; 3 LSN → réduire 50 % ; &gt; 5 LSN → contre-indication). Sujet âgé : surveillance ++ mais pas d'adaptation systématique.</w:t>
      </w:r>
    </w:p>
    <w:p>
      <w:pPr>
        <w:pStyle w:val="ListBullet"/>
      </w:pPr>
      <w:r/>
      <w:r>
        <w:rPr>
          <w:b/>
        </w:rPr>
        <w:t>Indications</w:t>
      </w:r>
      <w:r>
        <w:t xml:space="preserve"> :</w:t>
      </w:r>
    </w:p>
    <w:p>
      <w:pPr>
        <w:pStyle w:val="ListBullet"/>
      </w:pPr>
      <w:r/>
      <w:r>
        <w:rPr>
          <w:b/>
        </w:rPr>
        <w:t>Cancer du pancréas</w:t>
      </w:r>
      <w:r>
        <w:t xml:space="preserve"> : (i) adénocarcinome métastatique ou localement avancé (1ère ligne — gemcitabine 1000 mg/m² J1, J8, J15 toutes les 4 semaines, ou protocole FOLFIRINOX si PS 0-1) ; (ii) en adjuvant (gemcitabine 1000 mg/m² J1, J8, J15 toutes les 4 semaines, 6 cures) ; (iii) en association avec nab-paclitaxel (gemcitabine + Abraxane).</w:t>
      </w:r>
    </w:p>
    <w:p>
      <w:pPr>
        <w:pStyle w:val="ListBullet"/>
      </w:pPr>
      <w:r/>
      <w:r>
        <w:rPr>
          <w:b/>
        </w:rPr>
        <w:t>Cancer du poumon non à petites cellules (CBNPC)</w:t>
      </w:r>
      <w:r>
        <w:t xml:space="preserve"> : (i) 1ère ligne en association avec cisplatine (gemcitabine 1250 mg/m² J1, J8 + cisplatine 75 mg/m² J1 toutes les 3 semaines) ; (ii) en 2ème ligne en monothérapie.</w:t>
      </w:r>
    </w:p>
    <w:p>
      <w:pPr>
        <w:pStyle w:val="ListBullet"/>
      </w:pPr>
      <w:r/>
      <w:r>
        <w:rPr>
          <w:b/>
        </w:rPr>
        <w:t>Cancer de la vessie</w:t>
      </w:r>
      <w:r>
        <w:t xml:space="preserve"> : (i) métastatique en association avec cisplatine (GC : gemcitabine 1000 mg/m² J1, J8, J15 + cisplatine 70 mg/m² J1) ; (ii) BCG-réfractaire non métastatique (alternative à la cystectomie).</w:t>
      </w:r>
    </w:p>
    <w:p>
      <w:pPr>
        <w:pStyle w:val="ListBullet"/>
      </w:pPr>
      <w:r/>
      <w:r>
        <w:rPr>
          <w:b/>
        </w:rPr>
        <w:t>Cancer de l'ovaire</w:t>
      </w:r>
      <w:r>
        <w:t xml:space="preserve"> : en 2ème ligne en association avec carboplatine (GCarb).</w:t>
      </w:r>
    </w:p>
    <w:p>
      <w:pPr>
        <w:pStyle w:val="ListBullet"/>
      </w:pPr>
      <w:r/>
      <w:r>
        <w:rPr>
          <w:b/>
        </w:rPr>
        <w:t>Cancer du sein</w:t>
      </w:r>
      <w:r>
        <w:t xml:space="preserve"> : en 2ème ou 3ème ligne en association avec paclitaxel (protocole GT : gemcitabine 1250 mg/m² J1, J8 + paclitaxel 175 mg/m² J1 toutes les 3 semaines).</w:t>
      </w:r>
    </w:p>
    <w:p>
      <w:pPr>
        <w:pStyle w:val="ListBullet"/>
      </w:pPr>
      <w:r/>
      <w:r>
        <w:rPr>
          <w:b/>
        </w:rPr>
        <w:t>Cholangiocarcinome</w:t>
      </w:r>
      <w:r>
        <w:t xml:space="preserve"> : en association avec cisplatine (gemcitabine 1000 mg/m² J1, J8 + cisplatine 25 mg/m² J1, J8 toutes les 3 semaines).</w:t>
      </w:r>
    </w:p>
    <w:p>
      <w:pPr>
        <w:pStyle w:val="ListBullet"/>
      </w:pPr>
      <w:r/>
      <w:r>
        <w:rPr>
          <w:b/>
        </w:rPr>
        <w:t>Sarcome des tissus mous</w:t>
      </w:r>
      <w:r>
        <w:t xml:space="preserve"> : en 2ème ligne.</w:t>
      </w:r>
    </w:p>
    <w:p>
      <w:pPr>
        <w:pStyle w:val="ListBullet"/>
      </w:pPr>
      <w:r>
        <w:t>Hors AMM : cancer de l'endomètre, cancer de la prostate (2ème ligne hormono-réfractaire).</w:t>
      </w:r>
    </w:p>
    <w:p>
      <w:pPr>
        <w:pStyle w:val="ListBullet"/>
      </w:pPr>
      <w:r/>
      <w:r>
        <w:rPr>
          <w:b/>
        </w:rPr>
        <w:t>Contre-indications</w:t>
      </w:r>
      <w:r>
        <w:t xml:space="preserve"> : (1) </w:t>
      </w:r>
      <w:r>
        <w:rPr>
          <w:b/>
        </w:rPr>
        <w:t>Aplasie médullaire préexistante</w:t>
      </w:r>
      <w:r>
        <w:t xml:space="preserve"> (N &lt; 1,5 G/L, plaquettes &lt; 100 G/L) ; (2) </w:t>
      </w:r>
      <w:r>
        <w:rPr>
          <w:b/>
        </w:rPr>
        <w:t>Patiente enceinte ou allaitant</w:t>
      </w:r>
      <w:r>
        <w:t xml:space="preserve"> ; (3) </w:t>
      </w:r>
      <w:r>
        <w:rPr>
          <w:b/>
        </w:rPr>
        <w:t>Insuffisance hépatique sévère</w:t>
      </w:r>
      <w:r>
        <w:t xml:space="preserve"> (bilirubine &gt; 5 LSN) ; (4) </w:t>
      </w:r>
      <w:r>
        <w:rPr>
          <w:b/>
        </w:rPr>
        <w:t>Infection sévère non contrôlée</w:t>
      </w:r>
      <w:r>
        <w:t xml:space="preserve"> ; (5) </w:t>
      </w:r>
      <w:r>
        <w:rPr>
          <w:b/>
        </w:rPr>
        <w:t>Vaccination par vaccin vivant atténué</w:t>
      </w:r>
      <w:r>
        <w:t xml:space="preserve"> ; (6) </w:t>
      </w:r>
      <w:r>
        <w:rPr>
          <w:b/>
        </w:rPr>
        <w:t>Allaitement</w:t>
      </w:r>
      <w:r>
        <w:t xml:space="preserve"> ; (7) </w:t>
      </w:r>
      <w:r>
        <w:rPr>
          <w:b/>
        </w:rPr>
        <w:t>Hypersensibilité à la gemcitabine</w:t>
      </w:r>
      <w:r>
        <w:t>.</w:t>
      </w:r>
    </w:p>
    <w:p>
      <w:pPr>
        <w:pStyle w:val="ListBullet"/>
      </w:pPr>
      <w:r/>
      <w:r>
        <w:rPr>
          <w:b/>
        </w:rPr>
        <w:t>Effets indésirables</w:t>
      </w:r>
      <w:r>
        <w:t xml:space="preserve"> :</w:t>
      </w:r>
    </w:p>
    <w:p>
      <w:pPr>
        <w:pStyle w:val="ListBullet"/>
      </w:pPr>
      <w:r/>
      <w:r>
        <w:rPr>
          <w:b/>
        </w:rPr>
        <w:t>Hématologique</w:t>
      </w:r>
      <w:r>
        <w:t xml:space="preserve"> : myélotoxicité dose-limitante — leucopénie (nadir J8-J14), thrombopénie (parfois sévère grade 3-4), anémie. Risque de pancytopénie fébrile.</w:t>
      </w:r>
    </w:p>
    <w:p>
      <w:pPr>
        <w:pStyle w:val="ListBullet"/>
      </w:pPr>
      <w:r/>
      <w:r>
        <w:rPr>
          <w:b/>
        </w:rPr>
        <w:t>Digestive</w:t>
      </w:r>
      <w:r>
        <w:t xml:space="preserve"> : nausées/vomissements modérés, mucite modérée, diarrhée, anorexie, élévation transitoire des transaminases (très fréquente 50-70 %).</w:t>
      </w:r>
    </w:p>
    <w:p>
      <w:pPr>
        <w:pStyle w:val="ListBullet"/>
      </w:pPr>
      <w:r/>
      <w:r>
        <w:rPr>
          <w:b/>
        </w:rPr>
        <w:t>Hépatique</w:t>
      </w:r>
      <w:r>
        <w:t xml:space="preserve"> : élévation ALAT/ASAT (modérée dans 50-70 %, sévère grade 3-4 dans 5-10 %), cholestase rare, hépatotoxicité sévère chez sujet âgé ou avec maladie hépatique préexistante — surveillance obligatoire avant chaque cure.</w:t>
      </w:r>
    </w:p>
    <w:p>
      <w:pPr>
        <w:pStyle w:val="ListBullet"/>
      </w:pPr>
      <w:r/>
      <w:r>
        <w:rPr>
          <w:b/>
        </w:rPr>
        <w:t>Cutanée</w:t>
      </w:r>
      <w:r>
        <w:t xml:space="preserve"> : rash, éruptions maculo-papuleuses (10-15 %), alopécie modérée, syndrome main-pied rare.</w:t>
      </w:r>
    </w:p>
    <w:p>
      <w:pPr>
        <w:pStyle w:val="ListBullet"/>
      </w:pPr>
      <w:r/>
      <w:r>
        <w:rPr>
          <w:b/>
        </w:rPr>
        <w:t>Pulmonaire</w:t>
      </w:r>
      <w:r>
        <w:t xml:space="preserve"> : pneumopathie interstitielle (rare mais sévère), dyspnée, hémoptysie (rare). Syndrome de détresse respiratoire aiguë (SDRA) — arrêter immédiatement en cas de dyspnée inexpliquée.</w:t>
      </w:r>
    </w:p>
    <w:p>
      <w:pPr>
        <w:pStyle w:val="ListBullet"/>
      </w:pPr>
      <w:r/>
      <w:r>
        <w:rPr>
          <w:b/>
        </w:rPr>
        <w:t>Syndrome hémolytique et urémique (SHU) atypique</w:t>
      </w:r>
      <w:r>
        <w:t xml:space="preserve"> : rare (0,5-1 %) mais potentiellement fatal — anémie hémolytique mécanique, thrombopénie, insuffisance rénale aiguë, hypertension. Arrêter définitivement la gemcitabine en cas de SHU.</w:t>
      </w:r>
    </w:p>
    <w:p>
      <w:pPr>
        <w:pStyle w:val="ListBullet"/>
      </w:pPr>
      <w:r/>
      <w:r>
        <w:rPr>
          <w:b/>
        </w:rPr>
        <w:t>Capillaire leak syndrome</w:t>
      </w:r>
      <w:r>
        <w:t xml:space="preserve"> : rare, œdème pulmonaire, hypotension, hypoalbuminémie.</w:t>
      </w:r>
    </w:p>
    <w:p>
      <w:pPr>
        <w:pStyle w:val="ListBullet"/>
      </w:pPr>
      <w:r/>
      <w:r>
        <w:rPr>
          <w:b/>
        </w:rPr>
        <w:t>Grippal</w:t>
      </w:r>
      <w:r>
        <w:t xml:space="preserve"> : syndrome pseudo-grippal (fièvre, frissons, myalgies) — antipyrétiques.</w:t>
      </w:r>
    </w:p>
    <w:p>
      <w:pPr>
        <w:pStyle w:val="ListBullet"/>
      </w:pPr>
      <w:r/>
      <w:r>
        <w:rPr>
          <w:b/>
        </w:rPr>
        <w:t>Cardiaque</w:t>
      </w:r>
      <w:r>
        <w:t xml:space="preserve"> : rarement, arythmies, insuffisance cardiaque — prudence chez le coronarien.</w:t>
      </w:r>
    </w:p>
    <w:p>
      <w:pPr>
        <w:pStyle w:val="ListBullet"/>
      </w:pPr>
      <w:r/>
      <w:r>
        <w:rPr>
          <w:b/>
        </w:rPr>
        <w:t>Réaction à la perfusion</w:t>
      </w:r>
      <w:r>
        <w:t xml:space="preserve"> : rare (&lt; 1 %), rash, dyspnée, hypotension.</w:t>
      </w:r>
    </w:p>
    <w:p>
      <w:pPr>
        <w:pStyle w:val="ListBullet"/>
      </w:pPr>
      <w:r/>
      <w:r>
        <w:rPr>
          <w:b/>
        </w:rPr>
        <w:t>Mesures préventives</w:t>
      </w:r>
      <w:r>
        <w:t xml:space="preserve"> :</w:t>
      </w:r>
    </w:p>
    <w:p>
      <w:pPr>
        <w:pStyle w:val="ListBullet"/>
      </w:pPr>
      <w:r/>
      <w:r>
        <w:rPr>
          <w:b/>
        </w:rPr>
        <w:t>Bilan pré-thérapeutique</w:t>
      </w:r>
      <w:r>
        <w:t xml:space="preserve"> : NFS-plaquettes (avant chaque cure), créatininémie et ClCr, bilan hépatique (ALAT, ASAT, PAL, γGT, bilirubine) — surveillance +++ hépatique, β-hCG, EFR (référence si antécédents pulmonaires), échographie cardiaque si antécédent.</w:t>
      </w:r>
    </w:p>
    <w:p>
      <w:pPr>
        <w:pStyle w:val="ListBullet"/>
      </w:pPr>
      <w:r/>
      <w:r>
        <w:rPr>
          <w:b/>
        </w:rPr>
        <w:t>Surveillance hépatique</w:t>
      </w:r>
      <w:r>
        <w:t xml:space="preserve"> : bilan hépatique avant chaque cure et adaptatation posologique selon grade : bilirubine &lt; 1,5 LSN → dose standard ; 1,5-3 LSN → réduire 25 % ; 3-5 LSN → réduire 50 % ; &gt; 5 LSN → contre-indication.</w:t>
      </w:r>
    </w:p>
    <w:p>
      <w:pPr>
        <w:pStyle w:val="ListBullet"/>
      </w:pPr>
      <w:r/>
      <w:r>
        <w:rPr>
          <w:b/>
        </w:rPr>
        <w:t>Surveillance pulmonaire</w:t>
      </w:r>
      <w:r>
        <w:t xml:space="preserve"> : clinique (dyspnée, toux, fièvre) ; EFR si suspicion de pneumopathie interstitielle.</w:t>
      </w:r>
    </w:p>
    <w:p>
      <w:pPr>
        <w:pStyle w:val="ListBullet"/>
      </w:pPr>
      <w:r/>
      <w:r>
        <w:rPr>
          <w:b/>
        </w:rPr>
        <w:t>Surveillance rénale</w:t>
      </w:r>
      <w:r>
        <w:t xml:space="preserve"> : créatininémie avant chaque cure ; arrêter en cas de SHU (anémie hémolytique + thrombopénie + IRA).</w:t>
      </w:r>
    </w:p>
    <w:p>
      <w:pPr>
        <w:pStyle w:val="ListBullet"/>
      </w:pPr>
      <w:r/>
      <w:r>
        <w:rPr>
          <w:b/>
        </w:rPr>
        <w:t>Hydratation</w:t>
      </w:r>
      <w:r>
        <w:t xml:space="preserve"> : 1,5-2 L/j.</w:t>
      </w:r>
    </w:p>
    <w:p>
      <w:pPr>
        <w:pStyle w:val="ListBullet"/>
      </w:pPr>
      <w:r/>
      <w:r>
        <w:rPr>
          <w:b/>
        </w:rPr>
        <w:t>Antiemetic prophylaxie</w:t>
      </w:r>
      <w:r>
        <w:t xml:space="preserve"> : antagoniste 5-HT3 (ondansétron 8 mg IV) + dexaméthasone 8 mg IV.</w:t>
      </w:r>
    </w:p>
    <w:p>
      <w:pPr>
        <w:pStyle w:val="ListBullet"/>
      </w:pPr>
      <w:r/>
      <w:r>
        <w:rPr>
          <w:b/>
        </w:rPr>
        <w:t>Contraception</w:t>
      </w:r>
      <w:r>
        <w:t xml:space="preserve"> : obligatoire pendant et 3 mois après (femme et homme).</w:t>
      </w:r>
    </w:p>
    <w:p>
      <w:pPr>
        <w:pStyle w:val="ListBullet"/>
      </w:pPr>
      <w:r/>
      <w:r>
        <w:rPr>
          <w:b/>
        </w:rPr>
        <w:t>Vaccins</w:t>
      </w:r>
      <w:r>
        <w:t xml:space="preserve"> : éviter vaccins vivants atténués pendant et 3 mois après.</w:t>
      </w:r>
    </w:p>
    <w:p>
      <w:pPr>
        <w:pStyle w:val="ListBullet"/>
      </w:pPr>
      <w:r/>
      <w:r>
        <w:rPr>
          <w:b/>
        </w:rPr>
        <w:t>Surveillance NFS</w:t>
      </w:r>
      <w:r>
        <w:t xml:space="preserve"> : avant chaque cure et J10-J14 (nadir).</w:t>
      </w:r>
    </w:p>
    <w:p>
      <w:pPr>
        <w:pStyle w:val="ListBullet"/>
      </w:pPr>
      <w:r/>
      <w:r>
        <w:rPr>
          <w:b/>
        </w:rPr>
        <w:t>Toxicité cutanée</w:t>
      </w:r>
      <w:r>
        <w:t xml:space="preserve"> : crème hydratante, écran solaire SPF 50.</w:t>
      </w:r>
    </w:p>
    <w:p>
      <w:pPr>
        <w:pStyle w:val="ListBullet"/>
      </w:pPr>
      <w:r/>
      <w:r>
        <w:rPr>
          <w:b/>
        </w:rPr>
        <w:t>Interactions médicamenteuses</w:t>
      </w:r>
      <w:r>
        <w:t xml:space="preserve"> :</w:t>
      </w:r>
    </w:p>
    <w:p>
      <w:pPr>
        <w:pStyle w:val="ListBullet"/>
      </w:pPr>
      <w:r/>
      <w:r>
        <w:rPr>
          <w:b/>
        </w:rPr>
        <w:t>Gemcitabine + cisplatine, carboplatine, oxaliplatine</w:t>
      </w:r>
      <w:r>
        <w:t xml:space="preserve"> : synergies classiques (GC, GCarb, GEMOX).</w:t>
      </w:r>
    </w:p>
    <w:p>
      <w:pPr>
        <w:pStyle w:val="ListBullet"/>
      </w:pPr>
      <w:r/>
      <w:r>
        <w:rPr>
          <w:b/>
        </w:rPr>
        <w:t>Gemcitabine + paclitaxel, docétaxel, nab-paclitaxel</w:t>
      </w:r>
      <w:r>
        <w:t xml:space="preserve"> : synergies classiques (GT, GA, nab-paclitaxel + gemcitabine pancréas).</w:t>
      </w:r>
    </w:p>
    <w:p>
      <w:pPr>
        <w:pStyle w:val="ListBullet"/>
      </w:pPr>
      <w:r/>
      <w:r>
        <w:rPr>
          <w:b/>
        </w:rPr>
        <w:t>Gemcitabine + warfarine, AVK</w:t>
      </w:r>
      <w:r>
        <w:t xml:space="preserve"> : majoration de l'effet anticoagulant (hépatotoxicité additive) — surveillance INR ++.</w:t>
      </w:r>
    </w:p>
    <w:p>
      <w:pPr>
        <w:pStyle w:val="ListBullet"/>
      </w:pPr>
      <w:r/>
      <w:r>
        <w:rPr>
          <w:b/>
        </w:rPr>
        <w:t>Gemcitabine + vaccins vivants atténués</w:t>
      </w:r>
      <w:r>
        <w:t xml:space="preserve"> : contre-indication (immunosuppression).</w:t>
      </w:r>
    </w:p>
    <w:p>
      <w:pPr>
        <w:pStyle w:val="ListBullet"/>
      </w:pPr>
      <w:r/>
      <w:r>
        <w:rPr>
          <w:b/>
        </w:rPr>
        <w:t>Gemcitabine + radiothérapie thoracique concomitante</w:t>
      </w:r>
      <w:r>
        <w:t xml:space="preserve"> : toxicité pulmonaire et œsophagienne majeure — à éviter ou surveillance stricte.</w:t>
      </w:r>
    </w:p>
    <w:p>
      <w:pPr>
        <w:pStyle w:val="ListBullet"/>
      </w:pPr>
      <w:r/>
      <w:r>
        <w:rPr>
          <w:b/>
        </w:rPr>
        <w:t>Gemcitabine + phénytoïne</w:t>
      </w:r>
      <w:r>
        <w:t xml:space="preserve"> : augmentation de la phénytoïnémie — surveillance.</w:t>
      </w:r>
    </w:p>
    <w:p>
      <w:pPr>
        <w:pStyle w:val="ListBullet"/>
      </w:pPr>
      <w:r/>
      <w:r>
        <w:rPr>
          <w:b/>
        </w:rPr>
        <w:t>Gemcitabine + 5-FU, capécitabine</w:t>
      </w:r>
      <w:r>
        <w:t xml:space="preserve"> : toxicité hématologique et hépatique additive — prudence.</w:t>
      </w:r>
    </w:p>
    <w:p>
      <w:pPr>
        <w:pStyle w:val="ListBullet"/>
      </w:pPr>
      <w:r/>
      <w:r>
        <w:rPr>
          <w:b/>
        </w:rPr>
        <w:t>Grossesse et allaitement (CRAT)</w:t>
      </w:r>
      <w:r>
        <w:t xml:space="preserve"> :</w:t>
      </w:r>
    </w:p>
    <w:p>
      <w:pPr>
        <w:pStyle w:val="ListBullet"/>
      </w:pPr>
      <w:r/>
      <w:r>
        <w:rPr>
          <w:b/>
        </w:rPr>
        <w:t>Grossesse</w:t>
      </w:r>
      <w:r>
        <w:t xml:space="preserve"> : selon le CRAT, la gemcitabine est </w:t>
      </w:r>
      <w:r>
        <w:rPr>
          <w:b/>
        </w:rPr>
        <w:t>tératogène</w:t>
      </w:r>
      <w:r>
        <w:t xml:space="preserve"> chez l'animal (anomalies squelettiques, fœtotoxicité, mort in utero). Catégorie D (à éviter formellement). Contraception obligatoire pendant et 3 mois après (femme et homme).</w:t>
      </w:r>
    </w:p>
    <w:p>
      <w:pPr>
        <w:pStyle w:val="ListBullet"/>
      </w:pPr>
      <w:r/>
      <w:r>
        <w:rPr>
          <w:b/>
        </w:rPr>
        <w:t>Allaitement</w:t>
      </w:r>
      <w:r>
        <w:t xml:space="preserve"> : contre-indiqué (passe dans le lait, toxicité pour le nourrisson).</w:t>
      </w:r>
    </w:p>
    <w:p>
      <w:pPr>
        <w:pStyle w:val="ListBullet"/>
      </w:pPr>
      <w:r/>
      <w:r>
        <w:rPr>
          <w:b/>
        </w:rPr>
        <w:t>Posologie</w:t>
      </w:r>
      <w:r>
        <w:t xml:space="preserve"> :</w:t>
      </w:r>
    </w:p>
    <w:p>
      <w:pPr>
        <w:pStyle w:val="ListBullet"/>
      </w:pPr>
      <w:r/>
      <w:r>
        <w:rPr>
          <w:b/>
        </w:rPr>
        <w:t>Adulte</w:t>
      </w:r>
      <w:r>
        <w:t xml:space="preserve"> : 1000-1250 mg/m² IV en perfusion de 30 min dans 250 mL NaCl 0,9 %, J1, J8, J15 (parfois J1, J8) toutes les 3-4 semaines, selon le protocole et l'indication.</w:t>
      </w:r>
    </w:p>
    <w:p>
      <w:pPr>
        <w:pStyle w:val="ListBullet"/>
      </w:pPr>
      <w:r/>
      <w:r>
        <w:rPr>
          <w:b/>
        </w:rPr>
        <w:t>Cancer du pancréas</w:t>
      </w:r>
      <w:r>
        <w:t xml:space="preserve"> : 1000 mg/m² J1, J8, J15 toutes les 4 semaines.</w:t>
      </w:r>
    </w:p>
    <w:p>
      <w:pPr>
        <w:pStyle w:val="ListBullet"/>
      </w:pPr>
      <w:r/>
      <w:r>
        <w:rPr>
          <w:b/>
        </w:rPr>
        <w:t>CBNPC</w:t>
      </w:r>
      <w:r>
        <w:t xml:space="preserve"> : 1250 mg/m² J1, J8 + cisplatine 75 mg/m² J1 toutes les 3 semaines.</w:t>
      </w:r>
    </w:p>
    <w:p>
      <w:pPr>
        <w:pStyle w:val="ListBullet"/>
      </w:pPr>
      <w:r/>
      <w:r>
        <w:rPr>
          <w:b/>
        </w:rPr>
        <w:t>Vessie</w:t>
      </w:r>
      <w:r>
        <w:t xml:space="preserve"> : 1000 mg/m² J1, J8, J15 + cisplatine 70 mg/m² J1 toutes les 4 semaines.</w:t>
      </w:r>
    </w:p>
    <w:p>
      <w:pPr>
        <w:pStyle w:val="ListBullet"/>
      </w:pPr>
      <w:r/>
      <w:r>
        <w:rPr>
          <w:b/>
        </w:rPr>
        <w:t>Ovaire</w:t>
      </w:r>
      <w:r>
        <w:t xml:space="preserve"> : 1000 mg/m² J1, J8 + carboplatine AUC5 J1 toutes les 3 semaines.</w:t>
      </w:r>
    </w:p>
    <w:p>
      <w:pPr>
        <w:pStyle w:val="ListBullet"/>
      </w:pPr>
      <w:r/>
      <w:r>
        <w:rPr>
          <w:b/>
        </w:rPr>
        <w:t>Sein</w:t>
      </w:r>
      <w:r>
        <w:t xml:space="preserve"> : 1250 mg/m² J1, J8 + paclitaxel 175 mg/m² J1 toutes les 3 semaines.</w:t>
      </w:r>
    </w:p>
    <w:p>
      <w:pPr>
        <w:pStyle w:val="ListBullet"/>
      </w:pPr>
      <w:r/>
      <w:r>
        <w:rPr>
          <w:b/>
        </w:rPr>
        <w:t>Cholangiocarcinome</w:t>
      </w:r>
      <w:r>
        <w:t xml:space="preserve"> : 1000 mg/m² J1, J8 + cisplatine 25 mg/m² J1, J8 toutes les 3 semaines.</w:t>
      </w:r>
    </w:p>
    <w:p>
      <w:pPr>
        <w:pStyle w:val="ListBullet"/>
      </w:pPr>
      <w:r/>
      <w:r>
        <w:rPr>
          <w:b/>
        </w:rPr>
        <w:t>Adaptation hépatique</w:t>
      </w:r>
      <w:r>
        <w:t xml:space="preserve"> : bilirubine &lt; 1,5 LSN → dose standard ; 1,5-3 LSN → réduire 25 % ; 3-5 LSN → réduire 50 % ; &gt; 5 LSN → contre-indication.</w:t>
      </w:r>
    </w:p>
    <w:p>
      <w:pPr>
        <w:pStyle w:val="ListBullet"/>
      </w:pPr>
      <w:r/>
      <w:r>
        <w:rPr>
          <w:b/>
        </w:rPr>
        <w:t>Adaptation hématologique</w:t>
      </w:r>
      <w:r>
        <w:t xml:space="preserve"> : si PNN &lt; 1,5 G/L ou plaquettes &lt; 100 G/L → retarder la cure d'1 semaine ; si récidive → réduire dose 25 %.</w:t>
      </w:r>
    </w:p>
    <w:p>
      <w:pPr>
        <w:pStyle w:val="ListBullet"/>
      </w:pPr>
      <w:r/>
      <w:r>
        <w:rPr>
          <w:b/>
        </w:rPr>
        <w:t>Sujet âgé &gt; 65 ans</w:t>
      </w:r>
      <w:r>
        <w:t xml:space="preserve"> : surveillance ++ mais pas d'adaptation systématique.</w:t>
      </w:r>
    </w:p>
    <w:p>
      <w:pPr>
        <w:pStyle w:val="ListBullet"/>
      </w:pPr>
      <w:r/>
      <w:r>
        <w:rPr>
          <w:b/>
        </w:rPr>
        <w:t>Formes galéniques</w:t>
      </w:r>
      <w:r>
        <w:t xml:space="preserve"> :</w:t>
      </w:r>
    </w:p>
    <w:p>
      <w:pPr>
        <w:pStyle w:val="ListBullet"/>
      </w:pPr>
      <w:r/>
      <w:r>
        <w:rPr>
          <w:b/>
        </w:rPr>
        <w:t>Poudre lyophilisée pour solution pour perfusion IV 200 mg</w:t>
      </w:r>
      <w:r>
        <w:t xml:space="preserve"> (GEMCITABEL Belmed, GEZT Richmond, MECITABINE Hikma, ZYGEM 999 Zydus, GEMTERO Hetero, ONGECIN 200 Accure) : reconstitution avec 5 mL de NaCl 0,9 % (concentration 40 mg/mL), puis dilution dans 250 mL NaCl 0,9 % pour perfusion de 30 min. Forme adaptée aux faibles surfaces corporelles (enfant, sujet âgé fragile).</w:t>
      </w:r>
    </w:p>
    <w:p>
      <w:pPr>
        <w:pStyle w:val="ListBullet"/>
      </w:pPr>
      <w:r/>
      <w:r>
        <w:rPr>
          <w:b/>
        </w:rPr>
        <w:t>Poudre lyophilisée pour solution pour perfusion IV 1000 mg</w:t>
      </w:r>
      <w:r>
        <w:t xml:space="preserve"> (GEMCITABEL Belmed, GEZT Richmond, MECITABINE Hikma, ZYGEM 1000 Zydus, GEMTERO Hetero, ONGECIN 100 Accure, CITAFINE Emcure) : reconstitution avec 25 mL de NaCl 0,9 % (concentration 40 mg/mL), puis dilution dans 250 mL NaCl 0,9 %. Forme de référence pour l'adulte.</w:t>
      </w:r>
    </w:p>
    <w:p>
      <w:pPr>
        <w:pStyle w:val="ListBullet"/>
      </w:pPr>
      <w:r/>
      <w:r>
        <w:rPr>
          <w:b/>
        </w:rPr>
        <w:t>Solution à diluer pour perfusion IV 200 mg/5,26 mL et 1000 mg/26,31 mL</w:t>
      </w:r>
      <w:r>
        <w:t xml:space="preserve"> (GEMCITABINE SOL IMGSA — solution prête à l'emploi, concentration 38 mg/mL) : avantage pratique de préparation (pas de reconstitution), réduction du risque d'erreur de dose.</w:t>
      </w:r>
    </w:p>
    <w:p>
      <w:pPr>
        <w:pStyle w:val="ListBullet"/>
      </w:pPr>
      <w:r/>
      <w:r>
        <w:rPr>
          <w:b/>
        </w:rPr>
        <w:t>Formes historiques</w:t>
      </w:r>
      <w:r>
        <w:t xml:space="preserve"> (GEMZAR Lilly non renouvelable / retiré, GEMCITABIN EBEWE non renouvelable / retiré, OKAGEM-1000 Biovital retiré) : anciennes formes de référence.</w:t>
      </w:r>
    </w:p>
    <w:p>
      <w:pPr>
        <w:pStyle w:val="ListBullet"/>
      </w:pPr>
      <w:r/>
      <w:r>
        <w:rPr>
          <w:b/>
        </w:rPr>
        <w:t>Conservation</w:t>
      </w:r>
      <w:r>
        <w:t xml:space="preserve"> : à température &lt; 25 °C, à l'abri de la lumière. Solutions reconstituées stables 24 h à température ambiante.</w:t>
      </w:r>
    </w:p>
    <w:p>
      <w:pPr>
        <w:pStyle w:val="ListBullet"/>
      </w:pPr>
      <w:r/>
      <w:r>
        <w:rPr>
          <w:b/>
        </w:rPr>
        <w:t>Manipulation</w:t>
      </w:r>
      <w:r>
        <w:t xml:space="preserve"> : précautions cytotoxiques standard.</w:t>
      </w:r>
    </w:p>
    <w:p>
      <w:pPr>
        <w:pStyle w:val="ListBullet"/>
      </w:pPr>
      <w:r/>
      <w:r>
        <w:rPr>
          <w:b/>
        </w:rPr>
        <w:t>Conseils aux patients</w:t>
      </w:r>
      <w:r>
        <w:t xml:space="preserve"> :</w:t>
      </w:r>
    </w:p>
    <w:p>
      <w:pPr>
        <w:pStyle w:val="ListBullet"/>
      </w:pPr>
      <w:r/>
      <w:r>
        <w:rPr>
          <w:b/>
        </w:rPr>
        <w:t>Communication au comptoir</w:t>
      </w:r>
      <w:r>
        <w:t xml:space="preserve"> : « Voici votre gemcitabine. Elle sera administrée à l'hôpital par perfusion IV de 30 minutes, en général les jours J1, J8 et J15 d'un cycle de 28 jours. Pensez à boire 1,5-2 L d'eau par jour. Surveillez votre température : si fièvre &gt; 38,5 °C, consultez en urgence. Prévenez votre médecin si vous avez des jaunissess, des urines foncées, des douleurs abdominales (surveillance hépatique), ou si vous êtes essoufflé (surveillance pulmonaire). Évitez les vaccins vivants pendant le traitement. »</w:t>
      </w:r>
    </w:p>
    <w:p>
      <w:pPr>
        <w:pStyle w:val="ListBullet"/>
      </w:pPr>
      <w:r/>
      <w:r>
        <w:rPr>
          <w:b/>
        </w:rPr>
        <w:t>Mode d'utilisation</w:t>
      </w:r>
      <w:r>
        <w:t xml:space="preserve"> : perfusion IV à l'hôpital, 30 min, à heure fixe.</w:t>
      </w:r>
    </w:p>
    <w:p>
      <w:pPr>
        <w:pStyle w:val="ListBullet"/>
      </w:pPr>
      <w:r/>
      <w:r>
        <w:rPr>
          <w:b/>
        </w:rPr>
        <w:t>Surveillance</w:t>
      </w:r>
      <w:r>
        <w:t xml:space="preserve"> : NFS avant chaque cure et J10-J14, bilan hépatique avant chaque cure (adaptation posologique), créatininémie avant chaque cure.</w:t>
      </w:r>
    </w:p>
    <w:p>
      <w:pPr>
        <w:pStyle w:val="ListBullet"/>
      </w:pPr>
      <w:r/>
      <w:r>
        <w:rPr>
          <w:b/>
        </w:rPr>
        <w:t>Hydratation</w:t>
      </w:r>
      <w:r>
        <w:t xml:space="preserve"> : 1,5-2 L/j.</w:t>
      </w:r>
    </w:p>
    <w:p>
      <w:pPr>
        <w:pStyle w:val="ListBullet"/>
      </w:pPr>
      <w:r/>
      <w:r>
        <w:rPr>
          <w:b/>
        </w:rPr>
        <w:t>Antibiothérapie prophylactique</w:t>
      </w:r>
      <w:r>
        <w:t xml:space="preserve"> : selon protocole.</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 pendant et 3 mois après.</w:t>
      </w:r>
    </w:p>
    <w:p>
      <w:pPr>
        <w:pStyle w:val="ListBullet"/>
      </w:pPr>
      <w:r/>
      <w:r>
        <w:rPr>
          <w:b/>
        </w:rPr>
        <w:t>En cas de fièvre, ulcère buccal, saignement, jaunisse, dyspnée</w:t>
      </w:r>
      <w:r>
        <w:t xml:space="preserve"> : consulter en urgence.</w:t>
      </w:r>
    </w:p>
    <w:p>
      <w:pPr>
        <w:pStyle w:val="ListBullet"/>
      </w:pPr>
      <w:r/>
      <w:r>
        <w:rPr>
          <w:b/>
        </w:rPr>
        <w:t>Pièges classiques</w:t>
      </w:r>
      <w:r>
        <w:t xml:space="preserve"> :</w:t>
      </w:r>
    </w:p>
    <w:p>
      <w:pPr>
        <w:pStyle w:val="ListBullet"/>
      </w:pPr>
      <w:r/>
      <w:r>
        <w:rPr>
          <w:b/>
        </w:rPr>
        <w:t>Piège de la perfusion prolongée &gt; 70 min</w:t>
      </w:r>
      <w:r>
        <w:t xml:space="preserve"> : toxicité hématologique et hépatique majeure (cinétique de saturation de la déamination) — respecter strictement 30 min.</w:t>
      </w:r>
    </w:p>
    <w:p>
      <w:pPr>
        <w:pStyle w:val="ListBullet"/>
      </w:pPr>
      <w:r/>
      <w:r>
        <w:rPr>
          <w:b/>
        </w:rPr>
        <w:t>Piège de la toxicité hépatique</w:t>
      </w:r>
      <w:r>
        <w:t xml:space="preserve"> : surveillance obligatoire avant chaque cure, adaptation posologique selon bilirubine.</w:t>
      </w:r>
    </w:p>
    <w:p>
      <w:pPr>
        <w:pStyle w:val="ListBullet"/>
      </w:pPr>
      <w:r/>
      <w:r>
        <w:rPr>
          <w:b/>
        </w:rPr>
        <w:t>Piège du SHU</w:t>
      </w:r>
      <w:r>
        <w:t xml:space="preserve"> : rare mais potentiellement fatal — arrêter définitivement en cas d'anémie hémolytique + thrombopénie + IRA.</w:t>
      </w:r>
    </w:p>
    <w:p>
      <w:pPr>
        <w:pStyle w:val="ListBullet"/>
      </w:pPr>
      <w:r/>
      <w:r>
        <w:rPr>
          <w:b/>
        </w:rPr>
        <w:t>Piège de la pneumopathie interstitielle</w:t>
      </w:r>
      <w:r>
        <w:t xml:space="preserve"> : arrêter immédiatement en cas de dyspnée inexpliquée, opacités interstitielles à la radio/scanner.</w:t>
      </w:r>
    </w:p>
    <w:p>
      <w:pPr>
        <w:pStyle w:val="ListBullet"/>
      </w:pPr>
      <w:r/>
      <w:r>
        <w:rPr>
          <w:b/>
        </w:rPr>
        <w:t>Piège de l'adaptation hépatique</w:t>
      </w:r>
      <w:r>
        <w:t xml:space="preserve"> : bilirubine &gt; 1,5 LSN → réduire 25 % ; &gt; 3 → 50 % ; &gt; 5 → contre-indication.</w:t>
      </w:r>
    </w:p>
    <w:p>
      <w:pPr>
        <w:pStyle w:val="ListBullet"/>
      </w:pPr>
      <w:r/>
      <w:r>
        <w:rPr>
          <w:b/>
        </w:rPr>
        <w:t>Piège de l'association avec radiothérapie thoracique</w:t>
      </w:r>
      <w:r>
        <w:t xml:space="preserve"> : toxicité pulmonaire et œsophagienne majeure — à éviter.</w:t>
      </w:r>
    </w:p>
    <w:p>
      <w:pPr>
        <w:pStyle w:val="ListBullet"/>
      </w:pPr>
      <w:r/>
      <w:r>
        <w:rPr>
          <w:b/>
        </w:rPr>
        <w:t>Piège de l'AVK</w:t>
      </w:r>
      <w:r>
        <w:t xml:space="preserve"> : surveillance INR accrue.</w:t>
      </w:r>
    </w:p>
    <w:p>
      <w:pPr>
        <w:pStyle w:val="ListBullet"/>
      </w:pPr>
      <w:r/>
      <w:r>
        <w:rPr>
          <w:b/>
        </w:rPr>
        <w:t>Piège de l'adaptation hématologique</w:t>
      </w:r>
      <w:r>
        <w:t xml:space="preserve"> : PNN &lt; 1,5 ou plaquettes &lt; 100 → retarder 1 semaine.</w:t>
      </w:r>
    </w:p>
    <w:p>
      <w:pPr>
        <w:pStyle w:val="ListBullet"/>
      </w:pPr>
      <w:r/>
      <w:r>
        <w:rPr>
          <w:b/>
        </w:rPr>
        <w:t>Piège de substitution de marque</w:t>
      </w:r>
      <w:r>
        <w:t xml:space="preserve"> : passage GEMZAR (retiré) → MECITABINE Hikma ou ZYGEM Zydus ou CITAFINE Emcure (génériques) — surveillance accrue à la première cure.</w:t>
      </w:r>
    </w:p>
    <w:p>
      <w:pPr>
        <w:pStyle w:val="Heading2"/>
      </w:pPr>
      <w:r>
        <w:t>Sous-classe 7 — Antimétabolites hypométhylants — Azacitidine</w:t>
      </w:r>
    </w:p>
    <w:p>
      <w:r>
        <w:t xml:space="preserve">Les </w:t>
      </w:r>
      <w:r>
        <w:rPr>
          <w:b/>
        </w:rPr>
        <w:t>hypométhylants</w:t>
      </w:r>
      <w:r>
        <w:t xml:space="preserve"> (azanucleosides) sont une famille relativement récente d'antimétabolites qui ont transformé la prise en charge des syndromes myélodysplasiques (SMD) et des leucémies aiguës myéloïdes (LAM) de bas grade chez le sujet âgé. Ils agissent par </w:t>
      </w:r>
      <w:r>
        <w:rPr>
          <w:b/>
        </w:rPr>
        <w:t>piégeage des ADN méthyltransférases (DNMT)</w:t>
      </w:r>
      <w:r>
        <w:t xml:space="preserve"> : après incorporation dans l'ADN, ils forment un complexe covalent irréversible avec les DNMT, ce qui entraîne leur dégradation et la </w:t>
      </w:r>
      <w:r>
        <w:rPr>
          <w:b/>
        </w:rPr>
        <w:t>déméthylation globale du génome</w:t>
      </w:r>
      <w:r>
        <w:t>, réexprimant ainsi des gènes suppresseurs de tumeurs précédemment silenciés par méthylation anormale de leurs promoteurs (p15, p16, etc.). Cette modification épigénétique a une action anti-tumorale et différenciation-induisante, sans cytotoxicité directe massive. L'</w:t>
      </w:r>
      <w:r>
        <w:rPr>
          <w:b/>
        </w:rPr>
        <w:t>azacitidine</w:t>
      </w:r>
      <w:r>
        <w:t xml:space="preserve"> (Vidaza®, Celgene, 2004 — premier hypométhylant commercialisé) est indiquée dans les SMD de risque intermédiaire-2 ou élevé (selon IPSS), les LAM de l'adulte âgé (&gt; 65 ans) non éligible à une chimiothérapie d'induction standard ou à une allogreffe de moelle, et les LAM avec myéldysplasies associées. Elle est administrée en sous-cutané (ou IV) à raison de 75 mg/m²/j pendant 7 jours consécutifs, toutes les 4 semaines, pendant au moins 6 cures (souvent plus, jusqu'à progression). Sa tolérance est dominée par la myélotoxicité (aggravation transitoire de la cytopénie initiale, puis récupération à partir de la 3-4ème cure), les nausées/vomissements modérés, les réactions au point d'injection SC. La disponibilité de 5 marques en Algérie (dont 2 productions locales SAIDAL et ALFACARE) garantit l'accès aux soins pour une population âgée croissante.</w:t>
      </w:r>
    </w:p>
    <w:p>
      <w:pPr>
        <w:pStyle w:val="Heading3"/>
      </w:pPr>
      <w:r>
        <w:t>10. DCI : Azacitidine</w:t>
      </w:r>
    </w:p>
    <w:p>
      <w:pPr>
        <w:pStyle w:val="ListBullet"/>
      </w:pPr>
      <w:r/>
      <w:r>
        <w:rPr>
          <w:b/>
        </w:rPr>
        <w:t>Catégories</w:t>
      </w:r>
      <w:r>
        <w:t xml:space="preserve"> : Antimétabolite hypométhylant (azanucleoside, analogue de la cytidine) ; agent épigénétique ; classe ATC L01BC07.</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AZACITIDINE ALFACARE</w:t>
            </w:r>
          </w:p>
        </w:tc>
        <w:tc>
          <w:tcPr>
            <w:tcW w:type="dxa" w:w="1559"/>
          </w:tcPr>
          <w:p>
            <w:r>
              <w:rPr>
                <w:sz w:val="20"/>
              </w:rPr>
              <w:t>ALFACARE</w:t>
            </w:r>
          </w:p>
        </w:tc>
        <w:tc>
          <w:tcPr>
            <w:tcW w:type="dxa" w:w="1559"/>
          </w:tcPr>
          <w:p>
            <w:r>
              <w:rPr>
                <w:sz w:val="20"/>
              </w:rPr>
              <w:t>Poudre pour suspension injectable SC, 25 mg/mL (100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AMILIX</w:t>
            </w:r>
          </w:p>
        </w:tc>
        <w:tc>
          <w:tcPr>
            <w:tcW w:type="dxa" w:w="1559"/>
          </w:tcPr>
          <w:p>
            <w:r>
              <w:rPr>
                <w:sz w:val="20"/>
              </w:rPr>
              <w:t>BIOSIDUS S.A.</w:t>
            </w:r>
          </w:p>
        </w:tc>
        <w:tc>
          <w:tcPr>
            <w:tcW w:type="dxa" w:w="1559"/>
          </w:tcPr>
          <w:p>
            <w:r>
              <w:rPr>
                <w:sz w:val="20"/>
              </w:rPr>
              <w:t>Poudre pour suspension injectable SC, 25 mg/mL (100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AZACITIDINE-SAIDAL</w:t>
            </w:r>
          </w:p>
        </w:tc>
        <w:tc>
          <w:tcPr>
            <w:tcW w:type="dxa" w:w="1559"/>
          </w:tcPr>
          <w:p>
            <w:r>
              <w:rPr>
                <w:sz w:val="20"/>
              </w:rPr>
              <w:t>GROUPE SAIDAL</w:t>
            </w:r>
          </w:p>
        </w:tc>
        <w:tc>
          <w:tcPr>
            <w:tcW w:type="dxa" w:w="1559"/>
          </w:tcPr>
          <w:p>
            <w:r>
              <w:rPr>
                <w:sz w:val="20"/>
              </w:rPr>
              <w:t>Poudre pour suspension injectable SC, 25 mg/mL (100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VIDAZA</w:t>
            </w:r>
          </w:p>
        </w:tc>
        <w:tc>
          <w:tcPr>
            <w:tcW w:type="dxa" w:w="1559"/>
          </w:tcPr>
          <w:p>
            <w:r>
              <w:rPr>
                <w:sz w:val="20"/>
              </w:rPr>
              <w:t>CELGENE EUROPE LIMITED</w:t>
            </w:r>
          </w:p>
        </w:tc>
        <w:tc>
          <w:tcPr>
            <w:tcW w:type="dxa" w:w="1559"/>
          </w:tcPr>
          <w:p>
            <w:r>
              <w:rPr>
                <w:sz w:val="20"/>
              </w:rPr>
              <w:t>Poudre pour suspension injectable SC, 25 mg/mL (100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WINDUZA</w:t>
            </w:r>
          </w:p>
        </w:tc>
        <w:tc>
          <w:tcPr>
            <w:tcW w:type="dxa" w:w="1559"/>
          </w:tcPr>
          <w:p>
            <w:r>
              <w:rPr>
                <w:sz w:val="20"/>
              </w:rPr>
              <w:t>DR. REDDY'S LABORATORIES LIMITED</w:t>
            </w:r>
          </w:p>
        </w:tc>
        <w:tc>
          <w:tcPr>
            <w:tcW w:type="dxa" w:w="1559"/>
          </w:tcPr>
          <w:p>
            <w:r>
              <w:rPr>
                <w:sz w:val="20"/>
              </w:rPr>
              <w:t>Poudre pour suspension injectable SC, 25 mg/mL (100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bl>
    <w:p/>
    <w:p>
      <w:pPr>
        <w:pStyle w:val="ListBullet"/>
      </w:pPr>
      <w:r/>
      <w:r>
        <w:rPr>
          <w:b/>
        </w:rPr>
        <w:t>Mécanisme d'action</w:t>
      </w:r>
      <w:r>
        <w:t xml:space="preserve"> : l'azacitidine (5-azacytidine, 5-AzaC) est un </w:t>
      </w:r>
      <w:r>
        <w:rPr>
          <w:b/>
        </w:rPr>
        <w:t>analogue structural de la cytidine</w:t>
      </w:r>
      <w:r>
        <w:t xml:space="preserve"> dans lequel un atome d'azote remplace le carbone en position 5 du cycle pyrimidique. Cette substitution rend l'azacitidine incorporable dans l'ADN et l'ARN, mais le complexe formé avec l'ADN méthyltransférase (DNMT) est </w:t>
      </w:r>
      <w:r>
        <w:rPr>
          <w:b/>
        </w:rPr>
        <w:t>irréversiblement covalent</w:t>
      </w:r>
      <w:r>
        <w:t xml:space="preserve"> — l'azacitidine agit comme un </w:t>
      </w:r>
      <w:r>
        <w:rPr>
          <w:b/>
        </w:rPr>
        <w:t>« leurre suicide »</w:t>
      </w:r>
      <w:r>
        <w:t xml:space="preserve"> des DNMT. Mécanisme détaillé : (1) l'azacitidine est phosphorylée intracellulairement par la déoxycytidine kinase (dCK) en azacitidine-MP, -DP, et -TP ; (2) l'azacitidine-TP est incorporée dans l'ARN naissant à la place de la cytidine (≈ 80-90 % de l'incorporation), altérant la fonction et la maturation des ARNm, ARNt et ARNr ; (3) une fraction (10-20 %) est réduite par la ribonucléotide réductase en </w:t>
      </w:r>
      <w:r>
        <w:rPr>
          <w:b/>
        </w:rPr>
        <w:t>désoxy-azacitidine-TP</w:t>
      </w:r>
      <w:r>
        <w:t xml:space="preserve">, qui est incorporée dans l'ADN naissant à la place du dCTP ; (4) les DNMT1, DNMT3A et DNMT3B tentent de méthyler l'azacitidine en position N5 (comme ils le font normalement pour la cytosine), mais forment un </w:t>
      </w:r>
      <w:r>
        <w:rPr>
          <w:b/>
        </w:rPr>
        <w:t>complex covalent irréversible</w:t>
      </w:r>
      <w:r>
        <w:t xml:space="preserve"> avec l'azacitidine, ce qui conduit à leur </w:t>
      </w:r>
      <w:r>
        <w:rPr>
          <w:b/>
        </w:rPr>
        <w:t>dégradation par les protéasomes</w:t>
      </w:r>
      <w:r>
        <w:t xml:space="preserve"> ; (5) la diminution des DNMT actives entraîne une </w:t>
      </w:r>
      <w:r>
        <w:rPr>
          <w:b/>
        </w:rPr>
        <w:t>déméthylation passive</w:t>
      </w:r>
      <w:r>
        <w:t xml:space="preserve"> du génome lors des cycles de réplication successifs — réexpression de gènes suppresseurs de tumeurs (p15INK4b, p16INK4a, p21, p53) et de gènes de différenciation (HoxA, marqueurs de différenciation myéloïde) ; (6) l'effet net est une </w:t>
      </w:r>
      <w:r>
        <w:rPr>
          <w:b/>
        </w:rPr>
        <w:t>différenciation cellulaire</w:t>
      </w:r>
      <w:r>
        <w:t xml:space="preserve"> des blastes myéloïdes anormaux, une </w:t>
      </w:r>
      <w:r>
        <w:rPr>
          <w:b/>
        </w:rPr>
        <w:t>apoptose</w:t>
      </w:r>
      <w:r>
        <w:t xml:space="preserve"> des cellules les plus anormales, et une </w:t>
      </w:r>
      <w:r>
        <w:rPr>
          <w:b/>
        </w:rPr>
        <w:t>reprise de l'hématopoïèse normale</w:t>
      </w:r>
      <w:r>
        <w:t xml:space="preserve">. L'effet est </w:t>
      </w:r>
      <w:r>
        <w:rPr>
          <w:b/>
        </w:rPr>
        <w:t>épigénétique</w:t>
      </w:r>
      <w:r>
        <w:t xml:space="preserve"> et dépend du nombre de cycles cellulaires — d'où la nécessité d'un traitement prolongé (6 cures minimum, souvent 12-24 cures).</w:t>
      </w:r>
    </w:p>
    <w:p>
      <w:pPr>
        <w:pStyle w:val="ListBullet"/>
      </w:pPr>
      <w:r/>
      <w:r>
        <w:rPr>
          <w:b/>
        </w:rPr>
        <w:t>Profil pharmacocinétique</w:t>
      </w:r>
      <w:r>
        <w:t xml:space="preserve"> : administration SC (préférentielle, suspension reconstituée avec 4 mL d'eau PPI) ou IV (rare, perfusion de 30 min). Absorption SC rapide et quasi-complète (biodisponibilité 89 % par rapport à IV). Tmax 30 min après SC. Distribution Vd 76 L, liaison aux protéines négligeable. Métabolisme hépatique et tissulaire principal par la </w:t>
      </w:r>
      <w:r>
        <w:rPr>
          <w:b/>
        </w:rPr>
        <w:t>cytidine désaminase</w:t>
      </w:r>
      <w:r>
        <w:t xml:space="preserve"> (enzyme ubiquitaire, particulièrement active dans le foie, le tube digestif et le plasma) en 5-azauridine (inactif). Demi-vie d'élimination courte (t1/2 = 4 h,forme mère), avec une exposition systémique prolongée à la 5-azacytidine incorporée dans les cellules (cellules hématopoïétiques : 24 h). Élimination urinaire 50-85 % sous forme de métabolites inactifs (5-azauridine, 5-azacytosine). Insuffisance rénale : pas d'adaptation systématique mais surveillance accrue (l'azacitidine et ses métabolites sont partiellement éliminés par filtration). Insuffisance hépatique : pas d'adaptation standard ( métabolisme hépatique prédominant mais aussi extra-hépatique). Sujet âgé : pas d'adaptation systématique (indication principale).</w:t>
      </w:r>
    </w:p>
    <w:p>
      <w:pPr>
        <w:pStyle w:val="ListBullet"/>
      </w:pPr>
      <w:r/>
      <w:r>
        <w:rPr>
          <w:b/>
        </w:rPr>
        <w:t>Indications</w:t>
      </w:r>
      <w:r>
        <w:t xml:space="preserve"> :</w:t>
      </w:r>
    </w:p>
    <w:p>
      <w:pPr>
        <w:pStyle w:val="ListBullet"/>
      </w:pPr>
      <w:r/>
      <w:r>
        <w:rPr>
          <w:b/>
        </w:rPr>
        <w:t>Syndromes myélodysplasiques (SMD)</w:t>
      </w:r>
      <w:r>
        <w:t xml:space="preserve"> : SMD de risque intermédiaire-2 ou élevé selon l'IPSS (International Prognostic Scoring System), SMD avec excès de blastes (AREB-1, AREB-2), SMD avec délétion 5q- (en alternative à la lénalidomide).</w:t>
      </w:r>
    </w:p>
    <w:p>
      <w:pPr>
        <w:pStyle w:val="ListBullet"/>
      </w:pPr>
      <w:r/>
      <w:r>
        <w:rPr>
          <w:b/>
        </w:rPr>
        <w:t>Leucémie aiguë myéloïde (LAM)</w:t>
      </w:r>
      <w:r>
        <w:t xml:space="preserve"> de l'adulte âgé (&gt; 65 ans) non éligible à une chimiothérapie d'induction standard ou à une allogreffe de moelle : (i) LAM avec mutation DNMT3A, TET2, ASXL1 (réponse préférentielle) ; (ii) LAM avec composante myélodysplasique ; (iii) LAM secondaire à un SMD.</w:t>
      </w:r>
    </w:p>
    <w:p>
      <w:pPr>
        <w:pStyle w:val="ListBullet"/>
      </w:pPr>
      <w:r/>
      <w:r>
        <w:rPr>
          <w:b/>
        </w:rPr>
        <w:t>Leucémie chronique myélomonocytaire (LCMM)</w:t>
      </w:r>
      <w:r>
        <w:t xml:space="preserve"> : indication AMM européenne.</w:t>
      </w:r>
    </w:p>
    <w:p>
      <w:pPr>
        <w:pStyle w:val="ListBullet"/>
      </w:pPr>
      <w:r>
        <w:t>Hors AMM : LAM pédiatrique réfractaire, maladies myéloprolifératives en transformation aiguë.</w:t>
      </w:r>
    </w:p>
    <w:p>
      <w:pPr>
        <w:pStyle w:val="ListBullet"/>
      </w:pPr>
      <w:r/>
      <w:r>
        <w:rPr>
          <w:b/>
        </w:rPr>
        <w:t>Contre-indications</w:t>
      </w:r>
      <w:r>
        <w:t xml:space="preserve"> : (1) </w:t>
      </w:r>
      <w:r>
        <w:rPr>
          <w:b/>
        </w:rPr>
        <w:t>Aplasie médullaire préexistante sévère non liée au SMD</w:t>
      </w:r>
      <w:r>
        <w:t xml:space="preserve"> ; (2) </w:t>
      </w:r>
      <w:r>
        <w:rPr>
          <w:b/>
        </w:rPr>
        <w:t>Patiente enceinte ou allaitant</w:t>
      </w:r>
      <w:r>
        <w:t xml:space="preserve"> ; (3) </w:t>
      </w:r>
      <w:r>
        <w:rPr>
          <w:b/>
        </w:rPr>
        <w:t>Insuffisance hépatique sévère</w:t>
      </w:r>
      <w:r>
        <w:t xml:space="preserve"> (bilirubine &gt; 3 LSN) ; (4) </w:t>
      </w:r>
      <w:r>
        <w:rPr>
          <w:b/>
        </w:rPr>
        <w:t>Infection sévère non contrôlée</w:t>
      </w:r>
      <w:r>
        <w:t xml:space="preserve"> ; (5) </w:t>
      </w:r>
      <w:r>
        <w:rPr>
          <w:b/>
        </w:rPr>
        <w:t>Vaccination par vaccin vivant atténué</w:t>
      </w:r>
      <w:r>
        <w:t xml:space="preserve"> ; (6) </w:t>
      </w:r>
      <w:r>
        <w:rPr>
          <w:b/>
        </w:rPr>
        <w:t>Hypersensibilité à l'azacitidine</w:t>
      </w:r>
      <w:r>
        <w:t>.</w:t>
      </w:r>
    </w:p>
    <w:p>
      <w:pPr>
        <w:pStyle w:val="ListBullet"/>
      </w:pPr>
      <w:r/>
      <w:r>
        <w:rPr>
          <w:b/>
        </w:rPr>
        <w:t>Effets indésirables</w:t>
      </w:r>
      <w:r>
        <w:t xml:space="preserve"> :</w:t>
      </w:r>
    </w:p>
    <w:p>
      <w:pPr>
        <w:pStyle w:val="ListBullet"/>
      </w:pPr>
      <w:r/>
      <w:r>
        <w:rPr>
          <w:b/>
        </w:rPr>
        <w:t>Hématologique</w:t>
      </w:r>
      <w:r>
        <w:t xml:space="preserve"> : myélotoxicité transitoire — aggravation initiale de la cytopénie (nadir J14-J21 du cycle 1, puis récupération), thrombopénie (parfois grade 3-4), neutropénie, anémie. Risque infectieux et hémorragique.</w:t>
      </w:r>
    </w:p>
    <w:p>
      <w:pPr>
        <w:pStyle w:val="ListBullet"/>
      </w:pPr>
      <w:r/>
      <w:r>
        <w:rPr>
          <w:b/>
        </w:rPr>
        <w:t>Digestive</w:t>
      </w:r>
      <w:r>
        <w:t xml:space="preserve"> : nausées/vomissements (très fréquents 50-70 %, grade 3-4 dans 10 %), diarrhée, constipation, anorexie, mucite modérée, douleurs abdominales.</w:t>
      </w:r>
    </w:p>
    <w:p>
      <w:pPr>
        <w:pStyle w:val="ListBullet"/>
      </w:pPr>
      <w:r/>
      <w:r>
        <w:rPr>
          <w:b/>
        </w:rPr>
        <w:t>Cutanée</w:t>
      </w:r>
      <w:r>
        <w:t xml:space="preserve"> : réactions au point d'injection SC (rougeur, induration, prurit, hématome, nécrose rare), rash, éruptions maculo-papuleuses.</w:t>
      </w:r>
    </w:p>
    <w:p>
      <w:pPr>
        <w:pStyle w:val="ListBullet"/>
      </w:pPr>
      <w:r/>
      <w:r>
        <w:rPr>
          <w:b/>
        </w:rPr>
        <w:t>Hépatique</w:t>
      </w:r>
      <w:r>
        <w:t xml:space="preserve"> : élévation transitoire des transaminases (5-15 %), hépatotoxicité sévère rare.</w:t>
      </w:r>
    </w:p>
    <w:p>
      <w:pPr>
        <w:pStyle w:val="ListBullet"/>
      </w:pPr>
      <w:r/>
      <w:r>
        <w:rPr>
          <w:b/>
        </w:rPr>
        <w:t>Pulmonaire</w:t>
      </w:r>
      <w:r>
        <w:t xml:space="preserve"> : pneumopathie interstitielle (rare mais sévère), dyspnée, toux.</w:t>
      </w:r>
    </w:p>
    <w:p>
      <w:pPr>
        <w:pStyle w:val="ListBullet"/>
      </w:pPr>
      <w:r/>
      <w:r>
        <w:rPr>
          <w:b/>
        </w:rPr>
        <w:t>Fatigue</w:t>
      </w:r>
      <w:r>
        <w:t xml:space="preserve"> : quasi-constante (60-80 %), souvent marquée.</w:t>
      </w:r>
    </w:p>
    <w:p>
      <w:pPr>
        <w:pStyle w:val="ListBullet"/>
      </w:pPr>
      <w:r/>
      <w:r>
        <w:rPr>
          <w:b/>
        </w:rPr>
        <w:t>Fièvre</w:t>
      </w:r>
      <w:r>
        <w:t xml:space="preserve"> : souvent sans infection (effet inflammatoire).</w:t>
      </w:r>
    </w:p>
    <w:p>
      <w:pPr>
        <w:pStyle w:val="ListBullet"/>
      </w:pPr>
      <w:r/>
      <w:r>
        <w:rPr>
          <w:b/>
        </w:rPr>
        <w:t>Cardiaque</w:t>
      </w:r>
      <w:r>
        <w:t xml:space="preserve"> : rarement, œdèmes périphériques, hypotension, arythmies.</w:t>
      </w:r>
    </w:p>
    <w:p>
      <w:pPr>
        <w:pStyle w:val="ListBullet"/>
      </w:pPr>
      <w:r/>
      <w:r>
        <w:rPr>
          <w:b/>
        </w:rPr>
        <w:t>Neurologique</w:t>
      </w:r>
      <w:r>
        <w:t xml:space="preserve"> : confusion, vertiges, céphalées (modérés).</w:t>
      </w:r>
    </w:p>
    <w:p>
      <w:pPr>
        <w:pStyle w:val="ListBullet"/>
      </w:pPr>
      <w:r/>
      <w:r>
        <w:rPr>
          <w:b/>
        </w:rPr>
        <w:t>Syndrome de lyse tumorale</w:t>
      </w:r>
      <w:r>
        <w:t xml:space="preserve"> : rare (à forte masse tumorale) — prophylaxie allopurinol.</w:t>
      </w:r>
    </w:p>
    <w:p>
      <w:pPr>
        <w:pStyle w:val="ListBullet"/>
      </w:pPr>
      <w:r/>
      <w:r>
        <w:rPr>
          <w:b/>
        </w:rPr>
        <w:t>Néphrotoxicité</w:t>
      </w:r>
      <w:r>
        <w:t xml:space="preserve"> : rare (élévation créatinine, IRA), protéinurie.</w:t>
      </w:r>
    </w:p>
    <w:p>
      <w:pPr>
        <w:pStyle w:val="ListBullet"/>
      </w:pPr>
      <w:r/>
      <w:r>
        <w:rPr>
          <w:b/>
        </w:rPr>
        <w:t>Mesures préventives</w:t>
      </w:r>
      <w:r>
        <w:t xml:space="preserve"> :</w:t>
      </w:r>
    </w:p>
    <w:p>
      <w:pPr>
        <w:pStyle w:val="ListBullet"/>
      </w:pPr>
      <w:r/>
      <w:r>
        <w:rPr>
          <w:b/>
        </w:rPr>
        <w:t>Bilan pré-thérapeutique</w:t>
      </w:r>
      <w:r>
        <w:t xml:space="preserve"> : NFS-plaquettes (avant chaque cure, pendant le cycle 1 surveillance quotidienne), créatininémie et ClCr, bilan hépatique (ALAT, ASAT, PAL, γGT, bilirubine), β-hCG, sérologies (VHB, VHC, VIH), caryotype médullaire, biopsie ostéomédullaire.</w:t>
      </w:r>
    </w:p>
    <w:p>
      <w:pPr>
        <w:pStyle w:val="ListBullet"/>
      </w:pPr>
      <w:r/>
      <w:r>
        <w:rPr>
          <w:b/>
        </w:rPr>
        <w:t>Antiemetic prophylaxie</w:t>
      </w:r>
      <w:r>
        <w:t xml:space="preserve"> : antagoniste 5-HT3 (ondansétron 8 mg IV) 30 min avant l'injection ; à poursuivre per os 24-48 h (cycle 1).</w:t>
      </w:r>
    </w:p>
    <w:p>
      <w:pPr>
        <w:pStyle w:val="ListBullet"/>
      </w:pPr>
      <w:r/>
      <w:r>
        <w:rPr>
          <w:b/>
        </w:rPr>
        <w:t>Prophylaxie infectieuse</w:t>
      </w:r>
      <w:r>
        <w:t xml:space="preserve"> : selon le degré de neutropénie — antibiothérapie prophylactique (levofloxacine 500 mg/j si PNN &lt; 0,5 G/L), antifongique (fluconazole 100 mg/j si PNN &lt; 0,5 G/L prolongée), antiviral (aciclovir 200 mg x 3/j si lymphopénie CD4 &lt; 200).</w:t>
      </w:r>
    </w:p>
    <w:p>
      <w:pPr>
        <w:pStyle w:val="ListBullet"/>
      </w:pPr>
      <w:r/>
      <w:r>
        <w:rPr>
          <w:b/>
        </w:rPr>
        <w:t>Transfusions</w:t>
      </w:r>
      <w:r>
        <w:t xml:space="preserve"> : culots globulaires et plaquettaires prophylactiques (seuil transfusion = Hb &lt; 8 g/dL, plaquettes &lt; 10-20 G/L).</w:t>
      </w:r>
    </w:p>
    <w:p>
      <w:pPr>
        <w:pStyle w:val="ListBullet"/>
      </w:pPr>
      <w:r/>
      <w:r>
        <w:rPr>
          <w:b/>
        </w:rPr>
        <w:t>Prophylaxie syndrome de lyse</w:t>
      </w:r>
      <w:r>
        <w:t xml:space="preserve"> : allopurinol 100-200 mg/j per os (attention : pas d'interaction avec azacitidine, mais surveillance hépatique) pendant le cycle 1 si forte masse tumorale ; hydratation IV 3 L/24 h.</w:t>
      </w:r>
    </w:p>
    <w:p>
      <w:pPr>
        <w:pStyle w:val="ListBullet"/>
      </w:pPr>
      <w:r/>
      <w:r>
        <w:rPr>
          <w:b/>
        </w:rPr>
        <w:t>Surveillance NFS</w:t>
      </w:r>
      <w:r>
        <w:t xml:space="preserve"> : quotidienne pendant cycle 1, hebdomadaire ensuite.</w:t>
      </w:r>
    </w:p>
    <w:p>
      <w:pPr>
        <w:pStyle w:val="ListBullet"/>
      </w:pPr>
      <w:r/>
      <w:r>
        <w:rPr>
          <w:b/>
        </w:rPr>
        <w:t>Surveillance hépatique</w:t>
      </w:r>
      <w:r>
        <w:t xml:space="preserve"> : avant chaque cure, surveillance quotidienne pendant cycle 1.</w:t>
      </w:r>
    </w:p>
    <w:p>
      <w:pPr>
        <w:pStyle w:val="ListBullet"/>
      </w:pPr>
      <w:r/>
      <w:r>
        <w:rPr>
          <w:b/>
        </w:rPr>
        <w:t>Contraception</w:t>
      </w:r>
      <w:r>
        <w:t xml:space="preserve"> : obligatoire pendant et 3 mois après (femme et homme).</w:t>
      </w:r>
    </w:p>
    <w:p>
      <w:pPr>
        <w:pStyle w:val="ListBullet"/>
      </w:pPr>
      <w:r/>
      <w:r>
        <w:rPr>
          <w:b/>
        </w:rPr>
        <w:t>Vaccins</w:t>
      </w:r>
      <w:r>
        <w:t xml:space="preserve"> : éviter vaccins vivants atténués pendant et 3 mois après.</w:t>
      </w:r>
    </w:p>
    <w:p>
      <w:pPr>
        <w:pStyle w:val="ListBullet"/>
      </w:pPr>
      <w:r/>
      <w:r>
        <w:rPr>
          <w:b/>
        </w:rPr>
        <w:t>Prévention réaction injection SC</w:t>
      </w:r>
      <w:r>
        <w:t xml:space="preserve"> : rotation des sites d'injection (cuisses droites et gauches alternées, abdomen), massage doux après injection, application de froid 5 min.</w:t>
      </w:r>
    </w:p>
    <w:p>
      <w:pPr>
        <w:pStyle w:val="ListBullet"/>
      </w:pPr>
      <w:r/>
      <w:r>
        <w:rPr>
          <w:b/>
        </w:rPr>
        <w:t>Interactions médicamenteuses</w:t>
      </w:r>
      <w:r>
        <w:t xml:space="preserve"> :</w:t>
      </w:r>
    </w:p>
    <w:p>
      <w:pPr>
        <w:pStyle w:val="ListBullet"/>
      </w:pPr>
      <w:r/>
      <w:r>
        <w:rPr>
          <w:b/>
        </w:rPr>
        <w:t>Azacitidine + vaccins vivants atténués</w:t>
      </w:r>
      <w:r>
        <w:t xml:space="preserve"> : contre-indication (immunosuppression).</w:t>
      </w:r>
    </w:p>
    <w:p>
      <w:pPr>
        <w:pStyle w:val="ListBullet"/>
      </w:pPr>
      <w:r/>
      <w:r>
        <w:rPr>
          <w:b/>
        </w:rPr>
        <w:t>Azacitidine + allopurinol</w:t>
      </w:r>
      <w:r>
        <w:t xml:space="preserve"> : autorisée (pas d'interaction avec azacitidine, contrairement au 5-FU).</w:t>
      </w:r>
    </w:p>
    <w:p>
      <w:pPr>
        <w:pStyle w:val="ListBullet"/>
      </w:pPr>
      <w:r/>
      <w:r>
        <w:rPr>
          <w:b/>
        </w:rPr>
        <w:t>Azacitidine + cytarabine</w:t>
      </w:r>
      <w:r>
        <w:t xml:space="preserve"> : toxicité hématologique additive — éviter.</w:t>
      </w:r>
    </w:p>
    <w:p>
      <w:pPr>
        <w:pStyle w:val="ListBullet"/>
      </w:pPr>
      <w:r/>
      <w:r>
        <w:rPr>
          <w:b/>
        </w:rPr>
        <w:t>Azacitidine + warfarine, AVK</w:t>
      </w:r>
      <w:r>
        <w:t xml:space="preserve"> : modification de l'effet anticoagulant — surveillance INR.</w:t>
      </w:r>
    </w:p>
    <w:p>
      <w:pPr>
        <w:pStyle w:val="ListBullet"/>
      </w:pPr>
      <w:r/>
      <w:r>
        <w:rPr>
          <w:b/>
        </w:rPr>
        <w:t>Azacitidine + phénytoïne</w:t>
      </w:r>
      <w:r>
        <w:t xml:space="preserve"> : augmentation de la phénytoïnémie — surveillance.</w:t>
      </w:r>
    </w:p>
    <w:p>
      <w:pPr>
        <w:pStyle w:val="ListBullet"/>
      </w:pPr>
      <w:r/>
      <w:r>
        <w:rPr>
          <w:b/>
        </w:rPr>
        <w:t>Azacitidine +autres hypométhylants (décitabine)</w:t>
      </w:r>
      <w:r>
        <w:t xml:space="preserve"> : contre-indication (mécanisme similaire, toxicité additive).</w:t>
      </w:r>
    </w:p>
    <w:p>
      <w:pPr>
        <w:pStyle w:val="ListBullet"/>
      </w:pPr>
      <w:r/>
      <w:r>
        <w:rPr>
          <w:b/>
        </w:rPr>
        <w:t>Azacitidine + antibiotiques néphrotoxiques</w:t>
      </w:r>
      <w:r>
        <w:t xml:space="preserve"> (aminosides, vancomycine) : surveillance rénale.</w:t>
      </w:r>
    </w:p>
    <w:p>
      <w:pPr>
        <w:pStyle w:val="ListBullet"/>
      </w:pPr>
      <w:r/>
      <w:r>
        <w:rPr>
          <w:b/>
        </w:rPr>
        <w:t>Grossesse et allaitement (CRAT)</w:t>
      </w:r>
      <w:r>
        <w:t xml:space="preserve"> :</w:t>
      </w:r>
    </w:p>
    <w:p>
      <w:pPr>
        <w:pStyle w:val="ListBullet"/>
      </w:pPr>
      <w:r/>
      <w:r>
        <w:rPr>
          <w:b/>
        </w:rPr>
        <w:t>Grossesse</w:t>
      </w:r>
      <w:r>
        <w:t xml:space="preserve"> : selon le CRAT, l'azacitidine est </w:t>
      </w:r>
      <w:r>
        <w:rPr>
          <w:b/>
        </w:rPr>
        <w:t>tératogène</w:t>
      </w:r>
      <w:r>
        <w:t xml:space="preserve"> chez l'animal (anomalies cranio-faciales, squelettiques, fœtotoxicité). Catégorie D (à éviter formellement). Contraception obligatoire pendant et 3 mois après (femme et homme).</w:t>
      </w:r>
    </w:p>
    <w:p>
      <w:pPr>
        <w:pStyle w:val="ListBullet"/>
      </w:pPr>
      <w:r/>
      <w:r>
        <w:rPr>
          <w:b/>
        </w:rPr>
        <w:t>Allaitement</w:t>
      </w:r>
      <w:r>
        <w:t xml:space="preserve"> : contre-indiqué (passe dans le lait, toxicité pour le nourrisson).</w:t>
      </w:r>
    </w:p>
    <w:p>
      <w:pPr>
        <w:pStyle w:val="ListBullet"/>
      </w:pPr>
      <w:r/>
      <w:r>
        <w:rPr>
          <w:b/>
        </w:rPr>
        <w:t>Posologie</w:t>
      </w:r>
      <w:r>
        <w:t xml:space="preserve"> :</w:t>
      </w:r>
    </w:p>
    <w:p>
      <w:pPr>
        <w:pStyle w:val="ListBullet"/>
      </w:pPr>
      <w:r/>
      <w:r>
        <w:rPr>
          <w:b/>
        </w:rPr>
        <w:t>Adulte</w:t>
      </w:r>
      <w:r>
        <w:t xml:space="preserve"> : 75 mg/m²/j SC (ou IV rare) pendant </w:t>
      </w:r>
      <w:r>
        <w:rPr>
          <w:b/>
        </w:rPr>
        <w:t>7 jours consécutifs</w:t>
      </w:r>
      <w:r>
        <w:t xml:space="preserve"> (J1-J7), toutes les </w:t>
      </w:r>
      <w:r>
        <w:rPr>
          <w:b/>
        </w:rPr>
        <w:t>4 semaines</w:t>
      </w:r>
      <w:r>
        <w:t xml:space="preserve"> (cycle de 28 jours). Réévaluation après 4-6 cures.</w:t>
      </w:r>
    </w:p>
    <w:p>
      <w:pPr>
        <w:pStyle w:val="ListBullet"/>
      </w:pPr>
      <w:r/>
      <w:r>
        <w:rPr>
          <w:b/>
        </w:rPr>
        <w:t>Adaptation à J1 du cycle 2 selon tolérance</w:t>
      </w:r>
      <w:r>
        <w:t xml:space="preserve"> : si PNN &lt; 0,5 G/L et plaquettes &lt; 25 G/L au nadir du cycle 1 → réduire dose à 50 mg/m²/J1-J7 ; si récupération complète → maintenir 75 mg/m² ; si récupération mais nadir sévère → 75 mg/m² mais retarder J1 du cycle suivant jusqu'à récupération.</w:t>
      </w:r>
    </w:p>
    <w:p>
      <w:pPr>
        <w:pStyle w:val="ListBullet"/>
      </w:pPr>
      <w:r/>
      <w:r>
        <w:rPr>
          <w:b/>
        </w:rPr>
        <w:t>Toxicité grade 3-4 non hématologique</w:t>
      </w:r>
      <w:r>
        <w:t xml:space="preserve"> : arrêter jusqu'à résolution grade ≤ 1, reprise à 50 mg/m².</w:t>
      </w:r>
    </w:p>
    <w:p>
      <w:pPr>
        <w:pStyle w:val="ListBullet"/>
      </w:pPr>
      <w:r/>
      <w:r>
        <w:rPr>
          <w:b/>
        </w:rPr>
        <w:t>Sujet âgé</w:t>
      </w:r>
      <w:r>
        <w:t xml:space="preserve"> : pas d'adaptation systématique.</w:t>
      </w:r>
    </w:p>
    <w:p>
      <w:pPr>
        <w:pStyle w:val="ListBullet"/>
      </w:pPr>
      <w:r/>
      <w:r>
        <w:rPr>
          <w:b/>
        </w:rPr>
        <w:t>Insuffisance rénale</w:t>
      </w:r>
      <w:r>
        <w:t xml:space="preserve"> : pas d'adaptation systématique mais surveillance créatininémie (si IRA grade 3-4 → arrêter).</w:t>
      </w:r>
    </w:p>
    <w:p>
      <w:pPr>
        <w:pStyle w:val="ListBullet"/>
      </w:pPr>
      <w:r/>
      <w:r>
        <w:rPr>
          <w:b/>
        </w:rPr>
        <w:t>Insuffisance hépatique</w:t>
      </w:r>
      <w:r>
        <w:t xml:space="preserve"> : modérée : surveiller ; sévère (bilirubine &gt; 3 LSN) : contre-indication.</w:t>
      </w:r>
    </w:p>
    <w:p>
      <w:pPr>
        <w:pStyle w:val="ListBullet"/>
      </w:pPr>
      <w:r/>
      <w:r>
        <w:rPr>
          <w:b/>
        </w:rPr>
        <w:t>Durée du traitement</w:t>
      </w:r>
      <w:r>
        <w:t xml:space="preserve"> : jusqu'à progression ou toxicité non gérable. En moyenne 6-12 cures ; parfois 24+ cures chez les répondeurs prolongés.</w:t>
      </w:r>
    </w:p>
    <w:p>
      <w:pPr>
        <w:pStyle w:val="ListBullet"/>
      </w:pPr>
      <w:r/>
      <w:r>
        <w:rPr>
          <w:b/>
        </w:rPr>
        <w:t>Formes galéniques</w:t>
      </w:r>
      <w:r>
        <w:t xml:space="preserve"> :</w:t>
      </w:r>
    </w:p>
    <w:p>
      <w:pPr>
        <w:pStyle w:val="ListBullet"/>
      </w:pPr>
      <w:r/>
      <w:r>
        <w:rPr>
          <w:b/>
        </w:rPr>
        <w:t>Poudre pour suspension injectable SC 100 mg/flacon</w:t>
      </w:r>
      <w:r>
        <w:t xml:space="preserve"> (toutes les formes actives : AZACITIDINE ALFACARE, AMILIX Biosidus, AZACITIDINE-SAIDAL, VIDAZA Celgene, WINDUZA Dr Reddy's) : reconstitution avec 4 mL d'eau pour préparations injectables (concentration 25 mg/mL), injection SC immédiate (stabilité 1 h à température ambiante selon RCP, jusqu'à 22 h selon certaines autorisations). Site d'injection : cuisses (alternance droite/gauche) ou abdomen.</w:t>
      </w:r>
    </w:p>
    <w:p>
      <w:pPr>
        <w:pStyle w:val="ListBullet"/>
      </w:pPr>
      <w:r/>
      <w:r>
        <w:rPr>
          <w:b/>
        </w:rPr>
        <w:t>Forme IV</w:t>
      </w:r>
      <w:r>
        <w:t xml:space="preserve"> : reconstitution identique, dilution dans 50-100 mL NaCl 0,9 % ou G5 %, perfusion IV de 30 min — rarement utilisée en pratique courante.</w:t>
      </w:r>
    </w:p>
    <w:p>
      <w:pPr>
        <w:pStyle w:val="ListBullet"/>
      </w:pPr>
      <w:r/>
      <w:r>
        <w:rPr>
          <w:b/>
        </w:rPr>
        <w:t>Forme orale</w:t>
      </w:r>
      <w:r>
        <w:t xml:space="preserve"> (CC-486, Onureg®) : indisponible en Algérie — développement récent pour LAM en maintenance, mais réservée à des protocoles spécifiques.</w:t>
      </w:r>
    </w:p>
    <w:p>
      <w:pPr>
        <w:pStyle w:val="ListBullet"/>
      </w:pPr>
      <w:r/>
      <w:r>
        <w:rPr>
          <w:b/>
        </w:rPr>
        <w:t>Conservation</w:t>
      </w:r>
      <w:r>
        <w:t xml:space="preserve"> : à température &lt; 25 °C (à conserver au réfrigérateur à 2-8 °C après reconstitution selon RCP). Ne pas congeler. Tenir hors de portée des enfants.</w:t>
      </w:r>
    </w:p>
    <w:p>
      <w:pPr>
        <w:pStyle w:val="ListBullet"/>
      </w:pPr>
      <w:r/>
      <w:r>
        <w:rPr>
          <w:b/>
        </w:rPr>
        <w:t>Manipulation</w:t>
      </w:r>
      <w:r>
        <w:t xml:space="preserve"> : précautions cytotoxiques standard.</w:t>
      </w:r>
    </w:p>
    <w:p>
      <w:pPr>
        <w:pStyle w:val="ListBullet"/>
      </w:pPr>
      <w:r/>
      <w:r>
        <w:rPr>
          <w:b/>
        </w:rPr>
        <w:t>Conseils aux patients</w:t>
      </w:r>
      <w:r>
        <w:t xml:space="preserve"> :</w:t>
      </w:r>
    </w:p>
    <w:p>
      <w:pPr>
        <w:pStyle w:val="ListBullet"/>
      </w:pPr>
      <w:r/>
      <w:r>
        <w:rPr>
          <w:b/>
        </w:rPr>
        <w:t>Communication au comptoir</w:t>
      </w:r>
      <w:r>
        <w:t xml:space="preserve"> : « Voici votre azacitidine. Elle sera administrée en sous-cutané (comme l'insuline) à l'hôpital ou à domicile pendant 7 jours consécutifs, tous les 28 jours. Les premiers cycles peuvent aggraver transitoirement votre fatigue et vos cytopénies — c'est normal, l'efficacité apparaît après 4-6 cures. Prenez les antinauséeux prescrits. Buvez 1,5-2 L d'eau par jour. Surveillez votre température : si fièvre &gt; 38,5 °C, consultez en urgence. Si vous avez des douleurs au point d'injection, appliquez du froid et changez de cuisse à chaque injection. »</w:t>
      </w:r>
    </w:p>
    <w:p>
      <w:pPr>
        <w:pStyle w:val="ListBullet"/>
      </w:pPr>
      <w:r/>
      <w:r>
        <w:rPr>
          <w:b/>
        </w:rPr>
        <w:t>Mode d'utilisation</w:t>
      </w:r>
      <w:r>
        <w:t xml:space="preserve"> : SC à l'hôpital ou auto-injection à domicile (formation patient obligatoire — sites d'injection alternés cuisses et abdomen).</w:t>
      </w:r>
    </w:p>
    <w:p>
      <w:pPr>
        <w:pStyle w:val="ListBullet"/>
      </w:pPr>
      <w:r/>
      <w:r>
        <w:rPr>
          <w:b/>
        </w:rPr>
        <w:t>Surveillance NFS</w:t>
      </w:r>
      <w:r>
        <w:t xml:space="preserve"> : quotidienne pendant cycle 1, hebdomadaire ensuite.</w:t>
      </w:r>
    </w:p>
    <w:p>
      <w:pPr>
        <w:pStyle w:val="ListBullet"/>
      </w:pPr>
      <w:r/>
      <w:r>
        <w:rPr>
          <w:b/>
        </w:rPr>
        <w:t>Hydratation</w:t>
      </w:r>
      <w:r>
        <w:t xml:space="preserve"> : 1,5-2 L/j.</w:t>
      </w:r>
    </w:p>
    <w:p>
      <w:pPr>
        <w:pStyle w:val="ListBullet"/>
      </w:pPr>
      <w:r/>
      <w:r>
        <w:rPr>
          <w:b/>
        </w:rPr>
        <w:t>Antiemetic</w:t>
      </w:r>
      <w:r>
        <w:t xml:space="preserve"> : ondansétron per os avant chaque injection, à poursuivre 24-48 h pendant le cycle 1.</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 pendant et 3 mois après.</w:t>
      </w:r>
    </w:p>
    <w:p>
      <w:pPr>
        <w:pStyle w:val="ListBullet"/>
      </w:pPr>
      <w:r/>
      <w:r>
        <w:rPr>
          <w:b/>
        </w:rPr>
        <w:t>En cas de fièvre, ulcère buccal, saignement, dyspnée, confusion</w:t>
      </w:r>
      <w:r>
        <w:t xml:space="preserve"> : consulter en urgence.</w:t>
      </w:r>
    </w:p>
    <w:p>
      <w:pPr>
        <w:pStyle w:val="ListBullet"/>
      </w:pPr>
      <w:r/>
      <w:r>
        <w:rPr>
          <w:b/>
        </w:rPr>
        <w:t>Évaluation de la réponse</w:t>
      </w:r>
      <w:r>
        <w:t xml:space="preserve"> : NFS, biopsie ostéomédullaire et caryotype à 4-6 cures, puis toutes les 3-6 mois.</w:t>
      </w:r>
    </w:p>
    <w:p>
      <w:pPr>
        <w:pStyle w:val="ListBullet"/>
      </w:pPr>
      <w:r/>
      <w:r>
        <w:rPr>
          <w:b/>
        </w:rPr>
        <w:t>Pièges classiques</w:t>
      </w:r>
      <w:r>
        <w:t xml:space="preserve"> :</w:t>
      </w:r>
    </w:p>
    <w:p>
      <w:pPr>
        <w:pStyle w:val="ListBullet"/>
      </w:pPr>
      <w:r/>
      <w:r>
        <w:rPr>
          <w:b/>
        </w:rPr>
        <w:t>Piège de l'aggravation initiale</w:t>
      </w:r>
      <w:r>
        <w:t xml:space="preserve"> : toujours prévenir le patient que la cytopénie peut s'aggraver transitoirement pendant les 2 premiers cycles — ne pas conclure à un échec thérapeutique prématuré.</w:t>
      </w:r>
    </w:p>
    <w:p>
      <w:pPr>
        <w:pStyle w:val="ListBullet"/>
      </w:pPr>
      <w:r/>
      <w:r>
        <w:rPr>
          <w:b/>
        </w:rPr>
        <w:t>Piège de l'évaluation précoce</w:t>
      </w:r>
      <w:r>
        <w:t xml:space="preserve"> : ne juger l'efficacité qu'après 4-6 cures (effet épigénétique retardé).</w:t>
      </w:r>
    </w:p>
    <w:p>
      <w:pPr>
        <w:pStyle w:val="ListBullet"/>
      </w:pPr>
      <w:r/>
      <w:r>
        <w:rPr>
          <w:b/>
        </w:rPr>
        <w:t>Piège des nausées</w:t>
      </w:r>
      <w:r>
        <w:t xml:space="preserve"> : prophylaxie systématique ondansétron ++ (surtout cycle 1).</w:t>
      </w:r>
    </w:p>
    <w:p>
      <w:pPr>
        <w:pStyle w:val="ListBullet"/>
      </w:pPr>
      <w:r/>
      <w:r>
        <w:rPr>
          <w:b/>
        </w:rPr>
        <w:t>Piège de la réaction au point d'injection SC</w:t>
      </w:r>
      <w:r>
        <w:t xml:space="preserve"> : rotation des sites obligatoire, application de froid, surveillance des nécroses.</w:t>
      </w:r>
    </w:p>
    <w:p>
      <w:pPr>
        <w:pStyle w:val="ListBullet"/>
      </w:pPr>
      <w:r/>
      <w:r>
        <w:rPr>
          <w:b/>
        </w:rPr>
        <w:t>Piège de la fièvre sans infection</w:t>
      </w:r>
      <w:r>
        <w:t xml:space="preserve"> : fréquente (effet inflammatoire) — mais toujours éliminer une infection (NFS, hémocultures, ECBU).</w:t>
      </w:r>
    </w:p>
    <w:p>
      <w:pPr>
        <w:pStyle w:val="ListBullet"/>
      </w:pPr>
      <w:r/>
      <w:r>
        <w:rPr>
          <w:b/>
        </w:rPr>
        <w:t>Piège du sujet âgé fragile</w:t>
      </w:r>
      <w:r>
        <w:t xml:space="preserve"> : surveillance ++ des effets indésirables (confusion, fatigabilité, infections).</w:t>
      </w:r>
    </w:p>
    <w:p>
      <w:pPr>
        <w:pStyle w:val="ListBullet"/>
      </w:pPr>
      <w:r/>
      <w:r>
        <w:rPr>
          <w:b/>
        </w:rPr>
        <w:t>Piège de l'insuffisance rénale aiguë</w:t>
      </w:r>
      <w:r>
        <w:t xml:space="preserve"> : rare mais à surveiller (créatininémie avant chaque cure).</w:t>
      </w:r>
    </w:p>
    <w:p>
      <w:pPr>
        <w:pStyle w:val="ListBullet"/>
      </w:pPr>
      <w:r/>
      <w:r>
        <w:rPr>
          <w:b/>
        </w:rPr>
        <w:t>Piège de l'arrêt prématuré</w:t>
      </w:r>
      <w:r>
        <w:t xml:space="preserve"> : ne pas arrêter avant 4-6 cures sauf toxicité sévère non gérable.</w:t>
      </w:r>
    </w:p>
    <w:p>
      <w:pPr>
        <w:pStyle w:val="ListBullet"/>
      </w:pPr>
      <w:r/>
      <w:r>
        <w:rPr>
          <w:b/>
        </w:rPr>
        <w:t>Piège de substitution de marque</w:t>
      </w:r>
      <w:r>
        <w:t xml:space="preserve"> : 5 marques disponibles (VIDAZA, AZACITIDINE-SAIDAL, ALFACARE, AMILIX, WINDUZA) — bioéquivalence à vérifier (première cure sous surveillance hospitalière).</w:t>
      </w:r>
    </w:p>
    <w:p>
      <w:pPr>
        <w:pStyle w:val="Heading2"/>
      </w:pPr>
      <w:r>
        <w:t>Sous-classe 8 — Antimétabolites — Hydroxyurée / Hydroxycarbamide</w:t>
      </w:r>
    </w:p>
    <w:p>
      <w:r>
        <w:t>L'</w:t>
      </w:r>
      <w:r>
        <w:rPr>
          <w:b/>
        </w:rPr>
        <w:t>hydroxyurée</w:t>
      </w:r>
      <w:r>
        <w:t xml:space="preserve"> ou </w:t>
      </w:r>
      <w:r>
        <w:rPr>
          <w:b/>
        </w:rPr>
        <w:t>hydroxycarbamide</w:t>
      </w:r>
      <w:r>
        <w:t xml:space="preserve"> (Hydréa® Bristol-Myers Squibb, 1960) est l'</w:t>
      </w:r>
      <w:r>
        <w:rPr>
          <w:b/>
        </w:rPr>
        <w:t>inhibiteur de référence de la ribonucléotide réductase (RNR)</w:t>
      </w:r>
      <w:r>
        <w:t xml:space="preserve"> — enzyme qui convertit les ribonucléotides (RN) en désoxyribonucléotides (dNTP), précurseurs indispensables à la synthèse de l'ADN. En bloquant le site non-hème de la RNR (sous-unité M2) par chélation du tyrosyl radical, l'hydroxycarbamide déplète les pools intracellulaires de dATP, dGTP, dCTP et dTTP, arrêtant ainsi la synthèse de l'ADN sans affecter celle de l'ARN. Sa particularité est sa </w:t>
      </w:r>
      <w:r>
        <w:rPr>
          <w:b/>
        </w:rPr>
        <w:t>rapidité d'action</w:t>
      </w:r>
      <w:r>
        <w:t xml:space="preserve"> (effet en 24-48 h sur les chiffres de NFS) qui en fait le traitement de référence de la </w:t>
      </w:r>
      <w:r>
        <w:rPr>
          <w:b/>
        </w:rPr>
        <w:t>leucémie myéloïde chronique (LMC) en phase blastique</w:t>
      </w:r>
      <w:r>
        <w:t xml:space="preserve"> (autrefois, avant l'ère des inhibiteurs de tyrosine kinase comme l'imatinib), des </w:t>
      </w:r>
      <w:r>
        <w:rPr>
          <w:b/>
        </w:rPr>
        <w:t>syndromes myéloprolifératifs</w:t>
      </w:r>
      <w:r>
        <w:t xml:space="preserve"> (maladie de Vaquez, thrombocythémie essentielle, myélofibrose), de la </w:t>
      </w:r>
      <w:r>
        <w:rPr>
          <w:b/>
        </w:rPr>
        <w:t>drépanocytose</w:t>
      </w:r>
      <w:r>
        <w:t xml:space="preserve"> (augmentation de l'Hb F, réduction des crises vaso-occlusives, SVT — démontrée par l'essai MSH 1995), de la </w:t>
      </w:r>
      <w:r>
        <w:rPr>
          <w:b/>
        </w:rPr>
        <w:t>maladie de Langerhans</w:t>
      </w:r>
      <w:r>
        <w:t xml:space="preserve">, et de la </w:t>
      </w:r>
      <w:r>
        <w:rPr>
          <w:b/>
        </w:rPr>
        <w:t>psoriasis réfractaire</w:t>
      </w:r>
      <w:r>
        <w:t xml:space="preserve">. Son effet est strictement cytostatique (blocage en phase S, sans apoptose directe) — à la différence de la plupart des autres cytotoxiques. Sa tolérance est dominée par la myélotoxicité dose-dépendante, la toxicité cutanée (ulcères de jambe,hyperpigmentation, atrophie cutanée à long terme), et la </w:t>
      </w:r>
      <w:r>
        <w:rPr>
          <w:b/>
        </w:rPr>
        <w:t>leucémogénicité potentielle</w:t>
      </w:r>
      <w:r>
        <w:t xml:space="preserve"> à long terme (raison pour laquelle elle a été remplacée par l'imatinib dans la LMC chronique). En Algérie, deux formes sont disponibles (HYDREA Bristol-Myers Squibb et HYDROCURE Hikma) — toutes deux à la dose de 500 mg en gélule.</w:t>
      </w:r>
    </w:p>
    <w:p>
      <w:pPr>
        <w:pStyle w:val="Heading3"/>
      </w:pPr>
      <w:r>
        <w:t>11. DCI : Hydroxycarbamide</w:t>
      </w:r>
    </w:p>
    <w:p>
      <w:pPr>
        <w:pStyle w:val="ListBullet"/>
      </w:pPr>
      <w:r/>
      <w:r>
        <w:rPr>
          <w:b/>
        </w:rPr>
        <w:t>Catégories</w:t>
      </w:r>
      <w:r>
        <w:t xml:space="preserve"> : Antimétabolite inhibiteur de la ribonucléotide réductase ; agent cytostatique phase S ; inducteur de l'hémoglobine fœtale (HbF) ; classe ATC L01XX05.</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HYDREA</w:t>
            </w:r>
          </w:p>
        </w:tc>
        <w:tc>
          <w:tcPr>
            <w:tcW w:type="dxa" w:w="1559"/>
          </w:tcPr>
          <w:p>
            <w:r>
              <w:rPr>
                <w:sz w:val="20"/>
              </w:rPr>
              <w:t>BRISTOL MYERS SQUIBB PHARMA EEIG</w:t>
            </w:r>
          </w:p>
        </w:tc>
        <w:tc>
          <w:tcPr>
            <w:tcW w:type="dxa" w:w="1559"/>
          </w:tcPr>
          <w:p>
            <w:r>
              <w:rPr>
                <w:sz w:val="20"/>
              </w:rPr>
              <w:t>Gélule, 500 mg</w:t>
            </w:r>
          </w:p>
        </w:tc>
        <w:tc>
          <w:tcPr>
            <w:tcW w:type="dxa" w:w="1559"/>
          </w:tcPr>
          <w:p>
            <w:r>
              <w:rPr>
                <w:sz w:val="20"/>
              </w:rPr>
              <w:t>B/20</w:t>
            </w:r>
          </w:p>
        </w:tc>
        <w:tc>
          <w:tcPr>
            <w:tcW w:type="dxa" w:w="1559"/>
          </w:tcPr>
          <w:p>
            <w:r>
              <w:rPr>
                <w:sz w:val="20"/>
              </w:rPr>
              <w:t>LISTE I</w:t>
            </w:r>
          </w:p>
        </w:tc>
        <w:tc>
          <w:tcPr>
            <w:tcW w:type="dxa" w:w="1559"/>
          </w:tcPr>
          <w:p>
            <w:r>
              <w:rPr>
                <w:sz w:val="20"/>
              </w:rPr>
              <w:t>ACTIF</w:t>
            </w:r>
          </w:p>
        </w:tc>
      </w:tr>
      <w:tr>
        <w:tc>
          <w:tcPr>
            <w:tcW w:type="dxa" w:w="1559"/>
          </w:tcPr>
          <w:p>
            <w:r>
              <w:rPr>
                <w:sz w:val="20"/>
              </w:rPr>
              <w:t>HYDROCURE</w:t>
            </w:r>
          </w:p>
        </w:tc>
        <w:tc>
          <w:tcPr>
            <w:tcW w:type="dxa" w:w="1559"/>
          </w:tcPr>
          <w:p>
            <w:r>
              <w:rPr>
                <w:sz w:val="20"/>
              </w:rPr>
              <w:t>HIKMA PHARMA ALGERIA</w:t>
            </w:r>
          </w:p>
        </w:tc>
        <w:tc>
          <w:tcPr>
            <w:tcW w:type="dxa" w:w="1559"/>
          </w:tcPr>
          <w:p>
            <w:r>
              <w:rPr>
                <w:sz w:val="20"/>
              </w:rPr>
              <w:t>Gélule, 500 mg</w:t>
            </w:r>
          </w:p>
        </w:tc>
        <w:tc>
          <w:tcPr>
            <w:tcW w:type="dxa" w:w="1559"/>
          </w:tcPr>
          <w:p>
            <w:r>
              <w:rPr>
                <w:sz w:val="20"/>
              </w:rPr>
              <w:t>B/20</w:t>
            </w:r>
          </w:p>
        </w:tc>
        <w:tc>
          <w:tcPr>
            <w:tcW w:type="dxa" w:w="1559"/>
          </w:tcPr>
          <w:p>
            <w:r>
              <w:rPr>
                <w:sz w:val="20"/>
              </w:rPr>
              <w:t>LISTE I</w:t>
            </w:r>
          </w:p>
        </w:tc>
        <w:tc>
          <w:tcPr>
            <w:tcW w:type="dxa" w:w="1559"/>
          </w:tcPr>
          <w:p>
            <w:r>
              <w:rPr>
                <w:sz w:val="20"/>
              </w:rPr>
              <w:t>ACTIF</w:t>
            </w:r>
          </w:p>
        </w:tc>
      </w:tr>
    </w:tbl>
    <w:p/>
    <w:p>
      <w:pPr>
        <w:pStyle w:val="ListBullet"/>
      </w:pPr>
      <w:r/>
      <w:r>
        <w:rPr>
          <w:b/>
        </w:rPr>
        <w:t>Mécanisme d'action</w:t>
      </w:r>
      <w:r>
        <w:t xml:space="preserve"> : l'hydroxycarbamide (N-hydroxyurée, HU) est un </w:t>
      </w:r>
      <w:r>
        <w:rPr>
          <w:b/>
        </w:rPr>
        <w:t>inhibiteur de la ribonucléotide réductase (RNR)</w:t>
      </w:r>
      <w:r>
        <w:t xml:space="preserve">, enzyme hétérodimérique (M1 + M2) qui catalyse la conversion des ribonucléosides diphosphates (NDP) en désoxyribonucléosides diphosphates (dNDP) — étape limitante de la synthèse des désoxyribonucléotides (dATP, dGTP, dCTP, dTTP). L'hydroxycarbamide chélate spécifiquement le </w:t>
      </w:r>
      <w:r>
        <w:rPr>
          <w:b/>
        </w:rPr>
        <w:t>tyrosyl radical</w:t>
      </w:r>
      <w:r>
        <w:t xml:space="preserve"> de la sous-unité M2 de la RNR (site non-hème contenant un atome de fer), bloquant ainsi l'activité catalytique de l'enzyme. Sans dNTP disponibles, l'ADN polymérase α ne peut pas synthétiser l'ADN naissant → </w:t>
      </w:r>
      <w:r>
        <w:rPr>
          <w:b/>
        </w:rPr>
        <w:t>blocage en phase S</w:t>
      </w:r>
      <w:r>
        <w:t xml:space="preserve"> du cycle cellulaire (sans blocage en G1, G2 ou M — d'où l'effet cytostatique et non cytotoxique). L'ARN synthèse n'est pas affectée (elle utilise des ribonucléotides et non des désoxyribonucléotides). Effets secondaires : (1) induction de la </w:t>
      </w:r>
      <w:r>
        <w:rPr>
          <w:b/>
        </w:rPr>
        <w:t>synthèse d'hémoglobine fœtale (HbF)</w:t>
      </w:r>
      <w:r>
        <w:t xml:space="preserve"> dans les cellules souches hématopoïétiques — mécanisme mal élucidé (peut-être déméthylation du promoteur du gène γ-globine ou inhibition de la réplication des cellules qui éteignent HbF) — utilisation dans la drépanocytose ; (2) </w:t>
      </w:r>
      <w:r>
        <w:rPr>
          <w:b/>
        </w:rPr>
        <w:t>régulation négative de l'expression de l'ICAM-1</w:t>
      </w:r>
      <w:r>
        <w:t xml:space="preserve"> et réduction de l'adhésion des globules rouges falciformes à l'endothélium vasculaire — réduction des crises vaso-occlusives ; (3) </w:t>
      </w:r>
      <w:r>
        <w:rPr>
          <w:b/>
        </w:rPr>
        <w:t>réduction de la viscosité sanguine</w:t>
      </w:r>
      <w:r>
        <w:t xml:space="preserve"> par diminution du nombre de leucocytes et de la rigidité des hématies falciformes. La résistance est rare, liée à une amplification de la RNR ou une mutation de la sous-unité M2.</w:t>
      </w:r>
    </w:p>
    <w:p>
      <w:pPr>
        <w:pStyle w:val="ListBullet"/>
      </w:pPr>
      <w:r/>
      <w:r>
        <w:rPr>
          <w:b/>
        </w:rPr>
        <w:t>Profil pharmacocinétique</w:t>
      </w:r>
      <w:r>
        <w:t xml:space="preserve"> : absorption orale rapide et quasi-complète (biodisponibilité 80-100 %), Tmax 1-2 h. Distribution large (Vd 0,5-1 L/kg), passage LCR modéré (10-30 %), passage placentaire (tératogène). Liaison aux protéines négligeable. Métabolisme hépatique minoritaire (60 % métabolisé en urée + dioxyde de carbone ; 40 % éliminé inchangé). Demi-vie d'élimination 3-4 h (forme mère), courte — d'où la nécessité d'une administration quotidienne (souvent en 1 ou 2 prises). Élimination urinaire 80 % (40 % inchangée + 40 % métabolites). Insuffisance rénale : adaptation posologique obligatoire selon ClCr (ClCr 30-60 : réduire 25-50 % ; &lt; 30 : réduire 50 %, surveiller). Insuffisance hépatique : pas d'adaptation systématique mais surveillance ++. La forme IV (rare, hospitalière) a une cinétique superposable.</w:t>
      </w:r>
    </w:p>
    <w:p>
      <w:pPr>
        <w:pStyle w:val="ListBullet"/>
      </w:pPr>
      <w:r/>
      <w:r>
        <w:rPr>
          <w:b/>
        </w:rPr>
        <w:t>Indications</w:t>
      </w:r>
      <w:r>
        <w:t xml:space="preserve"> :</w:t>
      </w:r>
    </w:p>
    <w:p>
      <w:pPr>
        <w:pStyle w:val="ListBullet"/>
      </w:pPr>
      <w:r/>
      <w:r>
        <w:rPr>
          <w:b/>
        </w:rPr>
        <w:t>Syndromes myéloprolifératifs</w:t>
      </w:r>
      <w:r>
        <w:t xml:space="preserve"> : (i) </w:t>
      </w:r>
      <w:r>
        <w:rPr>
          <w:b/>
        </w:rPr>
        <w:t>maladie de Vaquez</w:t>
      </w:r>
      <w:r>
        <w:t xml:space="preserve"> (polyglobulie primitive) — traitement de 1ère intention chez le sujet à haut risque (âge &gt; 60 ans ou antécédent thrombotique), en alternative à la saignée ; (ii) </w:t>
      </w:r>
      <w:r>
        <w:rPr>
          <w:b/>
        </w:rPr>
        <w:t>thrombocythémie essentielle (TE)</w:t>
      </w:r>
      <w:r>
        <w:t xml:space="preserve"> — 1ère intention chez le sujet à haut risque ; (iii) </w:t>
      </w:r>
      <w:r>
        <w:rPr>
          <w:b/>
        </w:rPr>
        <w:t>myélofibrose primitive</w:t>
      </w:r>
      <w:r>
        <w:t xml:space="preserve"> ou secondaire — contrôle de la splénomégalie et de la thrombocytose ; (iv) </w:t>
      </w:r>
      <w:r>
        <w:rPr>
          <w:b/>
        </w:rPr>
        <w:t>LMC en phase blastique</w:t>
      </w:r>
      <w:r>
        <w:t xml:space="preserve"> (avant l'imatinib, traitement cytoreducteur d'urgence) — aujourd'hui remplacée par les ITK.</w:t>
      </w:r>
    </w:p>
    <w:p>
      <w:pPr>
        <w:pStyle w:val="ListBullet"/>
      </w:pPr>
      <w:r/>
      <w:r>
        <w:rPr>
          <w:b/>
        </w:rPr>
        <w:t>Drépanocytose</w:t>
      </w:r>
      <w:r>
        <w:t xml:space="preserve"> : indication AMM — patients adultes et pédiatriques (≥ 2 ans) avec drépanocytose (SS, Sβ-thalassémie) présentant des crises vaso-occlusives (CVO) répétées (≥ 3/an) ou un syndrome thoracique aigu (STA), ou une hypertension artérielle pulmonaire (HTAP). Dose initiale 15 mg/kg/j, escalade jusqu'à 25-30 mg/kg/j selon tolérance et réponse HbF.</w:t>
      </w:r>
    </w:p>
    <w:p>
      <w:pPr>
        <w:pStyle w:val="ListBullet"/>
      </w:pPr>
      <w:r/>
      <w:r>
        <w:rPr>
          <w:b/>
        </w:rPr>
        <w:t>Hors AMM</w:t>
      </w:r>
      <w:r>
        <w:t xml:space="preserve"> : (i) psoriasis réfractaire (à faibles doses, effet cytostatique sur les kératinocytes hyperprolifératifs) ; (ii) maladie de Langerhans ; (iii) gliome de bas grade récidivant ; (iv) cancer du col utérin (en association avec radiothérapie) ; (v) mélanome métastatique en association.</w:t>
      </w:r>
    </w:p>
    <w:p>
      <w:pPr>
        <w:pStyle w:val="ListBullet"/>
      </w:pPr>
      <w:r/>
      <w:r>
        <w:rPr>
          <w:b/>
        </w:rPr>
        <w:t>Contre-indications</w:t>
      </w:r>
      <w:r>
        <w:t xml:space="preserve"> : (1) </w:t>
      </w:r>
      <w:r>
        <w:rPr>
          <w:b/>
        </w:rPr>
        <w:t>Patiente enceinte ou allaitant</w:t>
      </w:r>
      <w:r>
        <w:t xml:space="preserve"> (catégorie D du CRAT, cf. infra) ; (2) </w:t>
      </w:r>
      <w:r>
        <w:rPr>
          <w:b/>
        </w:rPr>
        <w:t>Aplasie médullaire préexistante</w:t>
      </w:r>
      <w:r>
        <w:t xml:space="preserve"> (N &lt; 2,5 G/L, plaquettes &lt; 100 G/L) ; (3) </w:t>
      </w:r>
      <w:r>
        <w:rPr>
          <w:b/>
        </w:rPr>
        <w:t>Insuffisance rénale sévère</w:t>
      </w:r>
      <w:r>
        <w:t xml:space="preserve"> (ClCr &lt; 30 mL/min sans adaptation) ; (4) </w:t>
      </w:r>
      <w:r>
        <w:rPr>
          <w:b/>
        </w:rPr>
        <w:t>Insuffisance hépatique sévère</w:t>
      </w:r>
      <w:r>
        <w:t xml:space="preserve"> ; (5) </w:t>
      </w:r>
      <w:r>
        <w:rPr>
          <w:b/>
        </w:rPr>
        <w:t>Vaccination par vaccin vivant atténué</w:t>
      </w:r>
      <w:r>
        <w:t xml:space="preserve"> ; (6) </w:t>
      </w:r>
      <w:r>
        <w:rPr>
          <w:b/>
        </w:rPr>
        <w:t>Hypersensibilité à l'hydroxycarbamide</w:t>
      </w:r>
      <w:r>
        <w:t>.</w:t>
      </w:r>
    </w:p>
    <w:p>
      <w:pPr>
        <w:pStyle w:val="ListBullet"/>
      </w:pPr>
      <w:r/>
      <w:r>
        <w:rPr>
          <w:b/>
        </w:rPr>
        <w:t>Effets indésirables</w:t>
      </w:r>
      <w:r>
        <w:t xml:space="preserve"> :</w:t>
      </w:r>
    </w:p>
    <w:p>
      <w:pPr>
        <w:pStyle w:val="ListBullet"/>
      </w:pPr>
      <w:r/>
      <w:r>
        <w:rPr>
          <w:b/>
        </w:rPr>
        <w:t>Hématologique</w:t>
      </w:r>
      <w:r>
        <w:t xml:space="preserve"> : myélotoxicité dose-dépendante — macrocytose (VGM &gt; 100 fL, quasi-constante, signe d'observance), neutropénie (nadir J10-J14), thrombopénie, anémie (rarement sévère). Récupération rapide à l'arrêt (effet cytostatique non cytotoxique).</w:t>
      </w:r>
    </w:p>
    <w:p>
      <w:pPr>
        <w:pStyle w:val="ListBullet"/>
      </w:pPr>
      <w:r/>
      <w:r>
        <w:rPr>
          <w:b/>
        </w:rPr>
        <w:t>Cutanée</w:t>
      </w:r>
      <w:r>
        <w:t xml:space="preserve"> (caractéristique) : (i) </w:t>
      </w:r>
      <w:r>
        <w:rPr>
          <w:b/>
        </w:rPr>
        <w:t>ulcères de jambe</w:t>
      </w:r>
      <w:r>
        <w:t xml:space="preserve"> (5-10 % des traitements prolongés, surtout drépanocytose) — ulcères malleolaires, douloureux, difficile à cicatriser, imposant arrêt transitoire ; (ii) hyperpigmentation cutanée et muqueuse (lignes de Beau sur les ongles, mélanodermie palmoplantaire) ; (iii) atrophie cutanée, sécheresse, papules érythémato-squameuses ; (iv) alopécie modérée ; (v) photosensibilité ; (vi) rash, prurit.</w:t>
      </w:r>
    </w:p>
    <w:p>
      <w:pPr>
        <w:pStyle w:val="ListBullet"/>
      </w:pPr>
      <w:r/>
      <w:r>
        <w:rPr>
          <w:b/>
        </w:rPr>
        <w:t>Digestive</w:t>
      </w:r>
      <w:r>
        <w:t xml:space="preserve"> : nausées/vomissements modérés (surtout initiation), anorexie, diarrhée, constipation.</w:t>
      </w:r>
    </w:p>
    <w:p>
      <w:pPr>
        <w:pStyle w:val="ListBullet"/>
      </w:pPr>
      <w:r/>
      <w:r>
        <w:rPr>
          <w:b/>
        </w:rPr>
        <w:t>Hépatique</w:t>
      </w:r>
      <w:r>
        <w:t xml:space="preserve"> : élévation transitoire des transaminases (5-15 %).</w:t>
      </w:r>
    </w:p>
    <w:p>
      <w:pPr>
        <w:pStyle w:val="ListBullet"/>
      </w:pPr>
      <w:r/>
      <w:r>
        <w:rPr>
          <w:b/>
        </w:rPr>
        <w:t>Pulmonaire</w:t>
      </w:r>
      <w:r>
        <w:t xml:space="preserve"> : pneumopathie interstitielle (rare mais sévère), fibrose pulmonaire à long terme.</w:t>
      </w:r>
    </w:p>
    <w:p>
      <w:pPr>
        <w:pStyle w:val="ListBullet"/>
      </w:pPr>
      <w:r/>
      <w:r>
        <w:rPr>
          <w:b/>
        </w:rPr>
        <w:t>Rénaux</w:t>
      </w:r>
      <w:r>
        <w:t xml:space="preserve"> : élévation transitoire de la créatinine (rare).</w:t>
      </w:r>
    </w:p>
    <w:p>
      <w:pPr>
        <w:pStyle w:val="ListBullet"/>
      </w:pPr>
      <w:r/>
      <w:r>
        <w:rPr>
          <w:b/>
        </w:rPr>
        <w:t>Neurologique</w:t>
      </w:r>
      <w:r>
        <w:t xml:space="preserve"> : céphalées, vertiges, somnolence, confusion (surtout sujet âgé).</w:t>
      </w:r>
    </w:p>
    <w:p>
      <w:pPr>
        <w:pStyle w:val="ListBullet"/>
      </w:pPr>
      <w:r/>
      <w:r>
        <w:rPr>
          <w:b/>
        </w:rPr>
        <w:t>Génétique</w:t>
      </w:r>
      <w:r>
        <w:t xml:space="preserve"> (long terme) : </w:t>
      </w:r>
      <w:r>
        <w:rPr>
          <w:b/>
        </w:rPr>
        <w:t>leucémogénicité potentielle</w:t>
      </w:r>
      <w:r>
        <w:t xml:space="preserve"> chez les patients traités au long cours pour syndromes myéloprolifératifs (risque de transformation en LAM secondaire, surtout en cas d'association avec d'autres cytotoxiques ou radio-isotopes — pipobroman, phosphore-32) — d'où le suivi régulier du caryotype médullaire.</w:t>
      </w:r>
    </w:p>
    <w:p>
      <w:pPr>
        <w:pStyle w:val="ListBullet"/>
      </w:pPr>
      <w:r/>
      <w:r>
        <w:rPr>
          <w:b/>
        </w:rPr>
        <w:t>Reproduction</w:t>
      </w:r>
      <w:r>
        <w:t xml:space="preserve"> : oligospermie, aménorrhée transitoires (potentiellement réversibles à l'arrêt).</w:t>
      </w:r>
    </w:p>
    <w:p>
      <w:pPr>
        <w:pStyle w:val="ListBullet"/>
      </w:pPr>
      <w:r/>
      <w:r>
        <w:rPr>
          <w:b/>
        </w:rPr>
        <w:t>Fatigue</w:t>
      </w:r>
      <w:r>
        <w:t xml:space="preserve"> : fréquente (30-50 %).</w:t>
      </w:r>
    </w:p>
    <w:p>
      <w:pPr>
        <w:pStyle w:val="ListBullet"/>
      </w:pPr>
      <w:r/>
      <w:r>
        <w:rPr>
          <w:b/>
        </w:rPr>
        <w:t>Mesures préventives</w:t>
      </w:r>
      <w:r>
        <w:t xml:space="preserve"> :</w:t>
      </w:r>
    </w:p>
    <w:p>
      <w:pPr>
        <w:pStyle w:val="ListBullet"/>
      </w:pPr>
      <w:r/>
      <w:r>
        <w:rPr>
          <w:b/>
        </w:rPr>
        <w:t>Bilan pré-thérapeutique</w:t>
      </w:r>
      <w:r>
        <w:t xml:space="preserve"> : NFS-plaquettes (avant initiation puis hebdomadaire pendant 1 mois, puis mensuel), VGM (référence), créatininémie et ClCr, bilan hépatique, β-hCG, sérologies (VHB, VHC, VIH), caryotype médullaire (myéloprolifératif).</w:t>
      </w:r>
    </w:p>
    <w:p>
      <w:pPr>
        <w:pStyle w:val="ListBullet"/>
      </w:pPr>
      <w:r/>
      <w:r>
        <w:rPr>
          <w:b/>
        </w:rPr>
        <w:t>Surveillance NFS</w:t>
      </w:r>
      <w:r>
        <w:t xml:space="preserve"> : hebdomadaire le premier mois, puis mensuelle ; mensuelle ensuite pendant toute la durée du traitement. Adapter la dose selon tolérance : si PNN &lt; 2 G/L ou plaquettes &lt; 100 G/L → arrêter 1 semaine, reprise à dose réduite 25 %.</w:t>
      </w:r>
    </w:p>
    <w:p>
      <w:pPr>
        <w:pStyle w:val="ListBullet"/>
      </w:pPr>
      <w:r/>
      <w:r>
        <w:rPr>
          <w:b/>
        </w:rPr>
        <w:t>Surveillance cutanée</w:t>
      </w:r>
      <w:r>
        <w:t xml:space="preserve"> : examen clinique régulier (pieds, jambes, mains) ; en cas d'ulcère de jambe → arrêt transitoire, soins locaux (pansements hydrocellulaires), antibiothérapie si surinfection.</w:t>
      </w:r>
    </w:p>
    <w:p>
      <w:pPr>
        <w:pStyle w:val="ListBullet"/>
      </w:pPr>
      <w:r/>
      <w:r>
        <w:rPr>
          <w:b/>
        </w:rPr>
        <w:t>Hydratation</w:t>
      </w:r>
      <w:r>
        <w:t xml:space="preserve"> : 1,5-2 L/j.</w:t>
      </w:r>
    </w:p>
    <w:p>
      <w:pPr>
        <w:pStyle w:val="ListBullet"/>
      </w:pPr>
      <w:r/>
      <w:r>
        <w:rPr>
          <w:b/>
        </w:rPr>
        <w:t>Supplémentation acide folique</w:t>
      </w:r>
      <w:r>
        <w:t xml:space="preserve"> : 5 mg/j per os (drépanocytose).</w:t>
      </w:r>
    </w:p>
    <w:p>
      <w:pPr>
        <w:pStyle w:val="ListBullet"/>
      </w:pPr>
      <w:r/>
      <w:r>
        <w:rPr>
          <w:b/>
        </w:rPr>
        <w:t>Contraception</w:t>
      </w:r>
      <w:r>
        <w:t xml:space="preserve"> : obligatoire pendant et 3 mois après (femme et homme) — la leucémogénicité justifie une contraception stricte.</w:t>
      </w:r>
    </w:p>
    <w:p>
      <w:pPr>
        <w:pStyle w:val="ListBullet"/>
      </w:pPr>
      <w:r/>
      <w:r>
        <w:rPr>
          <w:b/>
        </w:rPr>
        <w:t>Vaccins</w:t>
      </w:r>
      <w:r>
        <w:t xml:space="preserve"> : éviter vaccins vivants atténués pendant et 3 mois après.</w:t>
      </w:r>
    </w:p>
    <w:p>
      <w:pPr>
        <w:pStyle w:val="ListBullet"/>
      </w:pPr>
      <w:r/>
      <w:r>
        <w:rPr>
          <w:b/>
        </w:rPr>
        <w:t>Surveillance caryotype médullaire</w:t>
      </w:r>
      <w:r>
        <w:t xml:space="preserve"> : annuel si myéloprolifératif, recherche de clonés anormaux (monosomie 7, trisomie 8, del 5q).</w:t>
      </w:r>
    </w:p>
    <w:p>
      <w:pPr>
        <w:pStyle w:val="ListBullet"/>
      </w:pPr>
      <w:r/>
      <w:r>
        <w:rPr>
          <w:b/>
        </w:rPr>
        <w:t>Photoprotection</w:t>
      </w:r>
      <w:r>
        <w:t xml:space="preserve"> : écran solaire SPF 50.</w:t>
      </w:r>
    </w:p>
    <w:p>
      <w:pPr>
        <w:pStyle w:val="ListBullet"/>
      </w:pPr>
      <w:r/>
      <w:r>
        <w:rPr>
          <w:b/>
        </w:rPr>
        <w:t>Pédicure podologue</w:t>
      </w:r>
      <w:r>
        <w:t xml:space="preserve"> : surveillance pieds (prévention ulcères de jambe en drépanocytose).</w:t>
      </w:r>
    </w:p>
    <w:p>
      <w:pPr>
        <w:pStyle w:val="ListBullet"/>
      </w:pPr>
      <w:r/>
      <w:r>
        <w:rPr>
          <w:b/>
        </w:rPr>
        <w:t>Interactions médicamenteuses</w:t>
      </w:r>
      <w:r>
        <w:t xml:space="preserve"> :</w:t>
      </w:r>
    </w:p>
    <w:p>
      <w:pPr>
        <w:pStyle w:val="ListBullet"/>
      </w:pPr>
      <w:r/>
      <w:r>
        <w:rPr>
          <w:b/>
        </w:rPr>
        <w:t>Hydroxycarbamide + didanosine, stavudine</w:t>
      </w:r>
      <w:r>
        <w:t xml:space="preserve"> (analogues nucléosidiques antirétroviraux) : toxicité pancréatique et hépatique additive (pancréatite sévère, neuropathie périphérique) — </w:t>
      </w:r>
      <w:r>
        <w:rPr>
          <w:b/>
        </w:rPr>
        <w:t>contre-indication</w:t>
      </w:r>
      <w:r>
        <w:t>.</w:t>
      </w:r>
    </w:p>
    <w:p>
      <w:pPr>
        <w:pStyle w:val="ListBullet"/>
      </w:pPr>
      <w:r/>
      <w:r>
        <w:rPr>
          <w:b/>
        </w:rPr>
        <w:t>Hydroxycarbamide + autres myélosuppresseurs</w:t>
      </w:r>
      <w:r>
        <w:t xml:space="preserve"> (azathioprine, mercaptopurine, méthotrexate, cyclophosphamide) : toxicité hématologique additive — surveillance ++.</w:t>
      </w:r>
    </w:p>
    <w:p>
      <w:pPr>
        <w:pStyle w:val="ListBullet"/>
      </w:pPr>
      <w:r/>
      <w:r>
        <w:rPr>
          <w:b/>
        </w:rPr>
        <w:t>Hydroxycarbamide + vaccins vivants atténués</w:t>
      </w:r>
      <w:r>
        <w:t xml:space="preserve"> : contre-indication (immunosuppression).</w:t>
      </w:r>
    </w:p>
    <w:p>
      <w:pPr>
        <w:pStyle w:val="ListBullet"/>
      </w:pPr>
      <w:r/>
      <w:r>
        <w:rPr>
          <w:b/>
        </w:rPr>
        <w:t>Hydroxycarbamide + antirétroviraux</w:t>
      </w:r>
      <w:r>
        <w:t xml:space="preserve"> (tenofovir, abacavir, zidovudine) : surveillance hématologique ++ (toxicité additive).</w:t>
      </w:r>
    </w:p>
    <w:p>
      <w:pPr>
        <w:pStyle w:val="ListBullet"/>
      </w:pPr>
      <w:r/>
      <w:r>
        <w:rPr>
          <w:b/>
        </w:rPr>
        <w:t>Hydroxycarbamide + AVK, antiagrégants</w:t>
      </w:r>
      <w:r>
        <w:t xml:space="preserve"> : surveillance NFS (risque hémorragique si thrombopénie).</w:t>
      </w:r>
    </w:p>
    <w:p>
      <w:pPr>
        <w:pStyle w:val="ListBullet"/>
      </w:pPr>
      <w:r/>
      <w:r>
        <w:rPr>
          <w:b/>
        </w:rPr>
        <w:t>Hydroxycarbamide + allopurinol</w:t>
      </w:r>
      <w:r>
        <w:t xml:space="preserve"> : pas d'interaction majeure (surveillance hépatique).</w:t>
      </w:r>
    </w:p>
    <w:p>
      <w:pPr>
        <w:pStyle w:val="ListBullet"/>
      </w:pPr>
      <w:r/>
      <w:r>
        <w:rPr>
          <w:b/>
        </w:rPr>
        <w:t>Hydroxycarbamide + hydroxyurée concomitante</w:t>
      </w:r>
      <w:r>
        <w:t xml:space="preserve"> (rare) : erreur de prescription — toujours vérifier.</w:t>
      </w:r>
    </w:p>
    <w:p>
      <w:pPr>
        <w:pStyle w:val="ListBullet"/>
      </w:pPr>
      <w:r/>
      <w:r>
        <w:rPr>
          <w:b/>
        </w:rPr>
        <w:t>Grossesse et allaitement (CRAT)</w:t>
      </w:r>
      <w:r>
        <w:t xml:space="preserve"> :</w:t>
      </w:r>
    </w:p>
    <w:p>
      <w:pPr>
        <w:pStyle w:val="ListBullet"/>
      </w:pPr>
      <w:r/>
      <w:r>
        <w:rPr>
          <w:b/>
        </w:rPr>
        <w:t>Grossesse</w:t>
      </w:r>
      <w:r>
        <w:t xml:space="preserve"> : selon le CRAT, l'hydroxycarbamide est </w:t>
      </w:r>
      <w:r>
        <w:rPr>
          <w:b/>
        </w:rPr>
        <w:t>tératogène</w:t>
      </w:r>
      <w:r>
        <w:t xml:space="preserve"> chez l'animal (anomalies squelettiques, vertébrales, cranio-faciales, fœtotoxicité, mort in utero). Catégorie D (à éviter formellement). Chez la femme drépanocytaire enceinte : à éviter en première intention — préférer transfusions prophylactiques. En cas de nécessité absolue (myéloprolifératif évolutif), discussion multidisciplinaire après le 1er trimestre. </w:t>
      </w:r>
      <w:r>
        <w:rPr>
          <w:b/>
        </w:rPr>
        <w:t>Contraception obligatoire</w:t>
      </w:r>
      <w:r>
        <w:t xml:space="preserve"> pendant et 3 mois après (femme et homme) — risque tératogène et leucémogénique.</w:t>
      </w:r>
    </w:p>
    <w:p>
      <w:pPr>
        <w:pStyle w:val="ListBullet"/>
      </w:pPr>
      <w:r/>
      <w:r>
        <w:rPr>
          <w:b/>
        </w:rPr>
        <w:t>Allaitement</w:t>
      </w:r>
      <w:r>
        <w:t xml:space="preserve"> : contre-indiqué (passe dans le lait, cytotoxique pour le nourrisson).</w:t>
      </w:r>
    </w:p>
    <w:p>
      <w:pPr>
        <w:pStyle w:val="ListBullet"/>
      </w:pPr>
      <w:r/>
      <w:r>
        <w:rPr>
          <w:b/>
        </w:rPr>
        <w:t>Posologie</w:t>
      </w:r>
      <w:r>
        <w:t xml:space="preserve"> :</w:t>
      </w:r>
    </w:p>
    <w:p>
      <w:pPr>
        <w:pStyle w:val="ListBullet"/>
      </w:pPr>
      <w:r/>
      <w:r>
        <w:rPr>
          <w:b/>
        </w:rPr>
        <w:t>Maladie de Vaquez / thrombocythémie essentielle</w:t>
      </w:r>
      <w:r>
        <w:t xml:space="preserve"> : 15-25 mg/kg/j per os en 1 prise, adapter selon NFS cible (hématocrite &lt; 45 % Vaquez, plaquettes &lt; 400 G/L TE), dose max 30 mg/kg/j.</w:t>
      </w:r>
    </w:p>
    <w:p>
      <w:pPr>
        <w:pStyle w:val="ListBullet"/>
      </w:pPr>
      <w:r/>
      <w:r>
        <w:rPr>
          <w:b/>
        </w:rPr>
        <w:t>LMC blastique</w:t>
      </w:r>
      <w:r>
        <w:t xml:space="preserve"> (urgence cytoreductrice) : 30-50 mg/kg/j per os jusqu'à normalisation NFS (en attendant ITK).</w:t>
      </w:r>
    </w:p>
    <w:p>
      <w:pPr>
        <w:pStyle w:val="ListBullet"/>
      </w:pPr>
      <w:r/>
      <w:r>
        <w:rPr>
          <w:b/>
        </w:rPr>
        <w:t>Drépanocytose</w:t>
      </w:r>
      <w:r>
        <w:t xml:space="preserve"> : 15 mg/kg/j per os en 1 prise, escalade progressive de 5 mg/kg toutes les 12 semaines selon tolérance et réponse HbF (cible HbF &gt; 20 %), dose max 35 mg/kg/j.</w:t>
      </w:r>
    </w:p>
    <w:p>
      <w:pPr>
        <w:pStyle w:val="ListBullet"/>
      </w:pPr>
      <w:r/>
      <w:r>
        <w:rPr>
          <w:b/>
        </w:rPr>
        <w:t>Psoriasis</w:t>
      </w:r>
      <w:r>
        <w:t xml:space="preserve"> : 500-1000 mg/j per os en 1 prise.</w:t>
      </w:r>
    </w:p>
    <w:p>
      <w:pPr>
        <w:pStyle w:val="ListBullet"/>
      </w:pPr>
      <w:r/>
      <w:r>
        <w:rPr>
          <w:b/>
        </w:rPr>
        <w:t>Adaptation</w:t>
      </w:r>
      <w:r>
        <w:t xml:space="preserve"> : insuffisance rénale (ClCr 30-60 : réduire 25-50 % ; &lt; 30 : réduire 50 %) ; insuffisance hépatique (modérée : surveiller ; sévère : contre-indication) ; sujet âgé (réduction 25 % initiale) ; toxicité grade 3-4 (arrêter 1 semaine, reprise 75 %).</w:t>
      </w:r>
    </w:p>
    <w:p>
      <w:pPr>
        <w:pStyle w:val="ListBullet"/>
      </w:pPr>
      <w:r/>
      <w:r>
        <w:rPr>
          <w:b/>
        </w:rPr>
        <w:t>Surveillance</w:t>
      </w:r>
      <w:r>
        <w:t xml:space="preserve"> : NFS mensuelle, HbF trimestrielle (drépanocytose), caryotype annuel (myéloprolifératif).</w:t>
      </w:r>
    </w:p>
    <w:p>
      <w:pPr>
        <w:pStyle w:val="ListBullet"/>
      </w:pPr>
      <w:r/>
      <w:r>
        <w:rPr>
          <w:b/>
        </w:rPr>
        <w:t>Formes galéniques</w:t>
      </w:r>
      <w:r>
        <w:t xml:space="preserve"> :</w:t>
      </w:r>
    </w:p>
    <w:p>
      <w:pPr>
        <w:pStyle w:val="ListBullet"/>
      </w:pPr>
      <w:r/>
      <w:r>
        <w:rPr>
          <w:b/>
        </w:rPr>
        <w:t>Gélules 500 mg</w:t>
      </w:r>
      <w:r>
        <w:t xml:space="preserve"> (HYDREA Bristol-Myers Squibb actif, HYDROCURE Hikma Pharma Algeria actif) : forme orale unique disponible en Algérie. Boîte de 20 gélules. Pratique pour adaptation posologique fine (500 mg, 1000 mg, 1500 mg par jour). Pour les faibles doses (enfant drépanocytaire), préparation magistrale en sirop (100 mg/mL) à partir des gélules.</w:t>
      </w:r>
    </w:p>
    <w:p>
      <w:pPr>
        <w:pStyle w:val="ListBullet"/>
      </w:pPr>
      <w:r/>
      <w:r>
        <w:rPr>
          <w:b/>
        </w:rPr>
        <w:t>Forme IV</w:t>
      </w:r>
      <w:r>
        <w:t xml:space="preserve"> : indisponible en Algérie.</w:t>
      </w:r>
    </w:p>
    <w:p>
      <w:pPr>
        <w:pStyle w:val="ListBullet"/>
      </w:pPr>
      <w:r/>
      <w:r>
        <w:rPr>
          <w:b/>
        </w:rPr>
        <w:t>Forme enfant (solution buvable)</w:t>
      </w:r>
      <w:r>
        <w:t xml:space="preserve"> : indisponible en Algérie — préparation magistrale.</w:t>
      </w:r>
    </w:p>
    <w:p>
      <w:pPr>
        <w:pStyle w:val="ListBullet"/>
      </w:pPr>
      <w:r/>
      <w:r>
        <w:rPr>
          <w:b/>
        </w:rPr>
        <w:t>Conservation</w:t>
      </w:r>
      <w:r>
        <w:t xml:space="preserve"> : à température &lt; 25 °C, à l'abri de l'humidité et de la lumière. Tenir hors de portée des enfants.</w:t>
      </w:r>
    </w:p>
    <w:p>
      <w:pPr>
        <w:pStyle w:val="ListBullet"/>
      </w:pPr>
      <w:r/>
      <w:r>
        <w:rPr>
          <w:b/>
        </w:rPr>
        <w:t>Manipulation</w:t>
      </w:r>
      <w:r>
        <w:t xml:space="preserve"> : précautions cytotoxiques standard (port de gants par le personnel soignant et l'entourage). Ne pas écraser les gélules (risque d'inhalation de poudre cytotoxique — surtout pour la femme enceinte).</w:t>
      </w:r>
    </w:p>
    <w:p>
      <w:pPr>
        <w:pStyle w:val="ListBullet"/>
      </w:pPr>
      <w:r/>
      <w:r>
        <w:rPr>
          <w:b/>
        </w:rPr>
        <w:t>Conseils aux patients</w:t>
      </w:r>
      <w:r>
        <w:t xml:space="preserve"> :</w:t>
      </w:r>
    </w:p>
    <w:p>
      <w:pPr>
        <w:pStyle w:val="ListBullet"/>
      </w:pPr>
      <w:r/>
      <w:r>
        <w:rPr>
          <w:b/>
        </w:rPr>
        <w:t>Communication au comptoir</w:t>
      </w:r>
      <w:r>
        <w:t xml:space="preserve"> : « Voici votre hydroxycarbamide. Vous prenez les gélules en 1 prise par jour, à heure fixe, avec un grand verre d'eau. Surveillez vos pieds et vos jambes : si vous avez des ulcères, des rougeurs, des douleurs, prévenez votre médecin (risque d'ulcères de jambe). Buvez 1,5-2 L d'eau par jour. Contraception stricte obligatoire pendant le traitement et 3 mois après — chez la femme ET chez l'homme. Évitez les vaccins vivants (BCG, fièvre jaune, ROR). Prenez de l'acide folique si vous êtes drépanocytaire. Évitez le soleil direct (écran solaire SPF 50). »</w:t>
      </w:r>
    </w:p>
    <w:p>
      <w:pPr>
        <w:pStyle w:val="ListBullet"/>
      </w:pPr>
      <w:r/>
      <w:r>
        <w:rPr>
          <w:b/>
        </w:rPr>
        <w:t>Mode d'utilisation</w:t>
      </w:r>
      <w:r>
        <w:t xml:space="preserve"> : per os, en 1 prise par jour, à heure fixe, avec un grand verre d'eau.</w:t>
      </w:r>
    </w:p>
    <w:p>
      <w:pPr>
        <w:pStyle w:val="ListBullet"/>
      </w:pPr>
      <w:r/>
      <w:r>
        <w:rPr>
          <w:b/>
        </w:rPr>
        <w:t>Surveillance NFS</w:t>
      </w:r>
      <w:r>
        <w:t xml:space="preserve"> : mensuelle pendant toute la durée du traitement.</w:t>
      </w:r>
    </w:p>
    <w:p>
      <w:pPr>
        <w:pStyle w:val="ListBullet"/>
      </w:pPr>
      <w:r/>
      <w:r>
        <w:rPr>
          <w:b/>
        </w:rPr>
        <w:t>Surveillance cutanée</w:t>
      </w:r>
      <w:r>
        <w:t xml:space="preserve"> : auto-examen quotidien des pieds, jambes, mains ; consultation si ulcère, rougeur, douleur.</w:t>
      </w:r>
    </w:p>
    <w:p>
      <w:pPr>
        <w:pStyle w:val="ListBullet"/>
      </w:pPr>
      <w:r/>
      <w:r>
        <w:rPr>
          <w:b/>
        </w:rPr>
        <w:t>Hydratation</w:t>
      </w:r>
      <w:r>
        <w:t xml:space="preserve"> : 1,5-2 L/j.</w:t>
      </w:r>
    </w:p>
    <w:p>
      <w:pPr>
        <w:pStyle w:val="ListBullet"/>
      </w:pPr>
      <w:r/>
      <w:r>
        <w:rPr>
          <w:b/>
        </w:rPr>
        <w:t>Acide folique</w:t>
      </w:r>
      <w:r>
        <w:t xml:space="preserve"> : 5 mg/j (drépanocytose).</w:t>
      </w:r>
    </w:p>
    <w:p>
      <w:pPr>
        <w:pStyle w:val="ListBullet"/>
      </w:pPr>
      <w:r/>
      <w:r>
        <w:rPr>
          <w:b/>
        </w:rPr>
        <w:t>Contraception stricte</w:t>
      </w:r>
      <w:r>
        <w:t xml:space="preserve"> : pendant le traitement et 3 mois après (femme et homme).</w:t>
      </w:r>
    </w:p>
    <w:p>
      <w:pPr>
        <w:pStyle w:val="ListBullet"/>
      </w:pPr>
      <w:r/>
      <w:r>
        <w:rPr>
          <w:b/>
        </w:rPr>
        <w:t>Vaccins</w:t>
      </w:r>
      <w:r>
        <w:t xml:space="preserve"> : éviter vaccins vivants atténués pendant et 3 mois après.</w:t>
      </w:r>
    </w:p>
    <w:p>
      <w:pPr>
        <w:pStyle w:val="ListBullet"/>
      </w:pPr>
      <w:r/>
      <w:r>
        <w:rPr>
          <w:b/>
        </w:rPr>
        <w:t>Photoprotection</w:t>
      </w:r>
      <w:r>
        <w:t xml:space="preserve"> : écran solaire SPF 50.</w:t>
      </w:r>
    </w:p>
    <w:p>
      <w:pPr>
        <w:pStyle w:val="ListBullet"/>
      </w:pPr>
      <w:r/>
      <w:r>
        <w:rPr>
          <w:b/>
        </w:rPr>
        <w:t>Pédicure-podologue</w:t>
      </w:r>
      <w:r>
        <w:t xml:space="preserve"> : surveillance régulière.</w:t>
      </w:r>
    </w:p>
    <w:p>
      <w:pPr>
        <w:pStyle w:val="ListBullet"/>
      </w:pPr>
      <w:r/>
      <w:r>
        <w:rPr>
          <w:b/>
        </w:rPr>
        <w:t>En cas de fièvre, ulcère, saignement, essoufflement</w:t>
      </w:r>
      <w:r>
        <w:t xml:space="preserve"> : consulter en urgence.</w:t>
      </w:r>
    </w:p>
    <w:p>
      <w:pPr>
        <w:pStyle w:val="ListBullet"/>
      </w:pPr>
      <w:r/>
      <w:r>
        <w:rPr>
          <w:b/>
        </w:rPr>
        <w:t>Pièges classiques</w:t>
      </w:r>
      <w:r>
        <w:t xml:space="preserve"> :</w:t>
      </w:r>
    </w:p>
    <w:p>
      <w:pPr>
        <w:pStyle w:val="ListBullet"/>
      </w:pPr>
      <w:r/>
      <w:r>
        <w:rPr>
          <w:b/>
        </w:rPr>
        <w:t>Piège de l'ulcère de jambe</w:t>
      </w:r>
      <w:r>
        <w:t xml:space="preserve"> : souvent négligé par le patient — examen systématique des pieds à chaque consultation.</w:t>
      </w:r>
    </w:p>
    <w:p>
      <w:pPr>
        <w:pStyle w:val="ListBullet"/>
      </w:pPr>
      <w:r/>
      <w:r>
        <w:rPr>
          <w:b/>
        </w:rPr>
        <w:t>Piège de la leucémogénicité</w:t>
      </w:r>
      <w:r>
        <w:t xml:space="preserve"> : surveillance caryotype médullaire annuelle (myéloprolifératif).</w:t>
      </w:r>
    </w:p>
    <w:p>
      <w:pPr>
        <w:pStyle w:val="ListBullet"/>
      </w:pPr>
      <w:r/>
      <w:r>
        <w:rPr>
          <w:b/>
        </w:rPr>
        <w:t>Piège de la macrocytose</w:t>
      </w:r>
      <w:r>
        <w:t xml:space="preserve"> : signe d'observance (VGM &gt; 100 fL) — confirme la prise du traitement.</w:t>
      </w:r>
    </w:p>
    <w:p>
      <w:pPr>
        <w:pStyle w:val="ListBullet"/>
      </w:pPr>
      <w:r/>
      <w:r>
        <w:rPr>
          <w:b/>
        </w:rPr>
        <w:t>Piège de la contraception masculine</w:t>
      </w:r>
      <w:r>
        <w:t xml:space="preserve"> : souvent oubliée chez l'homme (pourtant tératogène et génotoxique).</w:t>
      </w:r>
    </w:p>
    <w:p>
      <w:pPr>
        <w:pStyle w:val="ListBullet"/>
      </w:pPr>
      <w:r/>
      <w:r>
        <w:rPr>
          <w:b/>
        </w:rPr>
        <w:t>Piège de l'adaptation rénale</w:t>
      </w:r>
      <w:r>
        <w:t xml:space="preserve"> : ClCr &lt; 60 → réduire 25-50 %.</w:t>
      </w:r>
    </w:p>
    <w:p>
      <w:pPr>
        <w:pStyle w:val="ListBullet"/>
      </w:pPr>
      <w:r/>
      <w:r>
        <w:rPr>
          <w:b/>
        </w:rPr>
        <w:t>Piège de l'association avec didanosine/stavudine</w:t>
      </w:r>
      <w:r>
        <w:t xml:space="preserve"> : contre-indication (pancréatite sévère).</w:t>
      </w:r>
    </w:p>
    <w:p>
      <w:pPr>
        <w:pStyle w:val="ListBullet"/>
      </w:pPr>
      <w:r/>
      <w:r>
        <w:rPr>
          <w:b/>
        </w:rPr>
        <w:t>Piège de l'arrêt brutal</w:t>
      </w:r>
      <w:r>
        <w:t xml:space="preserve"> : en drépanocytose, risque de rebond de CVO — décroissance progressive.</w:t>
      </w:r>
    </w:p>
    <w:p>
      <w:pPr>
        <w:pStyle w:val="ListBullet"/>
      </w:pPr>
      <w:r/>
      <w:r>
        <w:rPr>
          <w:b/>
        </w:rPr>
        <w:t>Piège de substitution HYDREA ↔ HYDROCURE</w:t>
      </w:r>
      <w:r>
        <w:t xml:space="preserve"> : bioéquivalents — pas d'adaptation.</w:t>
      </w:r>
    </w:p>
    <w:p>
      <w:pPr>
        <w:pStyle w:val="ListBullet"/>
      </w:pPr>
      <w:r/>
      <w:r>
        <w:rPr>
          <w:b/>
        </w:rPr>
        <w:t>Piège du sujet âgé</w:t>
      </w:r>
      <w:r>
        <w:t xml:space="preserve"> : réduction 25 % initiale, surveillance neuro (confusion).</w:t>
      </w:r>
    </w:p>
    <w:p>
      <w:pPr>
        <w:pStyle w:val="ListBullet"/>
      </w:pPr>
      <w:r/>
      <w:r>
        <w:rPr>
          <w:b/>
        </w:rPr>
        <w:t>Piège de l'insuffisance hépatique associée</w:t>
      </w:r>
      <w:r>
        <w:t xml:space="preserve"> : surveillance transaminases, contre-indication si bilirubine &gt; 3 LSN.</w:t>
      </w:r>
    </w:p>
    <w:p>
      <w:pPr>
        <w:pStyle w:val="Heading2"/>
      </w:pPr>
      <w:r>
        <w:t>Sous-classe 9 — Anthracyclines — Doxorubicine, Daunorubicine, Epirubicine</w:t>
      </w:r>
    </w:p>
    <w:p>
      <w:r>
        <w:t xml:space="preserve">Les </w:t>
      </w:r>
      <w:r>
        <w:rPr>
          <w:b/>
        </w:rPr>
        <w:t>anthracyclines</w:t>
      </w:r>
      <w:r>
        <w:t xml:space="preserve"> sont des </w:t>
      </w:r>
      <w:r>
        <w:rPr>
          <w:b/>
        </w:rPr>
        <w:t>antibiotiques antitumoraux naturels</w:t>
      </w:r>
      <w:r>
        <w:t xml:space="preserve"> isolés à partir de souches de </w:t>
      </w:r>
      <w:r>
        <w:rPr>
          <w:i/>
        </w:rPr>
        <w:t>Streptomyces peucetius</w:t>
      </w:r>
      <w:r>
        <w:t xml:space="preserve"> var. </w:t>
      </w:r>
      <w:r>
        <w:rPr>
          <w:i/>
        </w:rPr>
        <w:t>caesius</w:t>
      </w:r>
      <w:r>
        <w:t xml:space="preserve"> (doxorubicine, Farmitalia 1969) et </w:t>
      </w:r>
      <w:r>
        <w:rPr>
          <w:i/>
        </w:rPr>
        <w:t>Streptomyces coeruleorubidus</w:t>
      </w:r>
      <w:r>
        <w:t xml:space="preserve"> (daunorubicine, 1963). Elles représentent l'une des classes les plus efficaces et les plus largement utilisées en oncologie (cancers du sein, lymphomes, sarcomes, leucémies, cancers gastriques, vésicaux, ovariens, thyroïdiens). Leur structure commune est une </w:t>
      </w:r>
      <w:r>
        <w:rPr>
          <w:b/>
        </w:rPr>
        <w:t>anthraquinone tétracyclique</w:t>
      </w:r>
      <w:r>
        <w:t xml:space="preserve"> (noyau chromophore rouge planaire) liée à un </w:t>
      </w:r>
      <w:r>
        <w:rPr>
          <w:b/>
        </w:rPr>
        <w:t>sucre aminosé</w:t>
      </w:r>
      <w:r>
        <w:t xml:space="preserve"> (daunosamine) qui confère la solubilité aqueuse et la basicité. Leur mécanisme d'action est multi-factoriel : (1) </w:t>
      </w:r>
      <w:r>
        <w:rPr>
          <w:b/>
        </w:rPr>
        <w:t>intercalation dans l'ADN double brin</w:t>
      </w:r>
      <w:r>
        <w:t xml:space="preserve"> (entre les paires de bases adjacentes) par le noyau plan tétracyclique → distorsion de la double hélice, inhibition de l'ADN et ARN polymérases, blocage de la synthèse ; (2) </w:t>
      </w:r>
      <w:r>
        <w:rPr>
          <w:b/>
        </w:rPr>
        <w:t>inhibition de la topoisomérase II</w:t>
      </w:r>
      <w:r>
        <w:t xml:space="preserve"> (topo II) → stabilisation du complexe ADN-topo II clivable → cassures double brin de l'ADN → apoptose ; (3) </w:t>
      </w:r>
      <w:r>
        <w:rPr>
          <w:b/>
        </w:rPr>
        <w:t>génération de radicaux libres oxygénés</w:t>
      </w:r>
      <w:r>
        <w:t xml:space="preserve"> (RL) par le système Fe²⁺-anthracycline (cycle redox) → peroxydation lipidique des membranes, toxicité mitochondriale, dommages oxydatifs de l'ADN — mécanisme particulièrement impliqué dans la </w:t>
      </w:r>
      <w:r>
        <w:rPr>
          <w:b/>
        </w:rPr>
        <w:t>cardiotoxicité</w:t>
      </w:r>
      <w:r>
        <w:t xml:space="preserve"> ; (4) formation de </w:t>
      </w:r>
      <w:r>
        <w:rPr>
          <w:b/>
        </w:rPr>
        <w:t>complexes anthracycline-ADN-topo II induisant l'apoptose</w:t>
      </w:r>
      <w:r>
        <w:t xml:space="preserve"> via activation des caspases. La </w:t>
      </w:r>
      <w:r>
        <w:rPr>
          <w:b/>
        </w:rPr>
        <w:t>cardiotoxicité</w:t>
      </w:r>
      <w:r>
        <w:t xml:space="preserve"> est la toxicité cumulative dose-dépendante caractéristique et limitante (risque d'insuffisance cardiaque congestive au-delà de </w:t>
      </w:r>
      <w:r>
        <w:rPr>
          <w:b/>
        </w:rPr>
        <w:t>450-550 mg/m² de doxorubicine</w:t>
      </w:r>
      <w:r>
        <w:t xml:space="preserve"> cumulée, 900 mg/m² d'épirubicine, 500 mg/m² de daunorubicine). Le </w:t>
      </w:r>
      <w:r>
        <w:rPr>
          <w:b/>
        </w:rPr>
        <w:t>dexrazoxane</w:t>
      </w:r>
      <w:r>
        <w:t xml:space="preserve"> (cardioxane, chélateur du fer) et la </w:t>
      </w:r>
      <w:r>
        <w:rPr>
          <w:b/>
        </w:rPr>
        <w:t>forme liposomale pegylée</w:t>
      </w:r>
      <w:r>
        <w:t xml:space="preserve"> (LIPODOX) réduisent significativement la cardiotoxicité. La </w:t>
      </w:r>
      <w:r>
        <w:rPr>
          <w:b/>
        </w:rPr>
        <w:t>dose cumulée maximale</w:t>
      </w:r>
      <w:r>
        <w:t xml:space="preserve"> doit toujours être calculée et tracée pour chaque patient.</w:t>
      </w:r>
    </w:p>
    <w:p>
      <w:pPr>
        <w:pStyle w:val="Heading3"/>
      </w:pPr>
      <w:r>
        <w:t>12. DCI : Doxorubicine</w:t>
      </w:r>
    </w:p>
    <w:p>
      <w:pPr>
        <w:pStyle w:val="ListBullet"/>
      </w:pPr>
      <w:r/>
      <w:r>
        <w:rPr>
          <w:b/>
        </w:rPr>
        <w:t>Catégories</w:t>
      </w:r>
      <w:r>
        <w:t xml:space="preserve"> : Antibiotique antitumoral anthracycline ; intercalant de l'ADN ; inhibiteur de la topo-isomérase II ; générateur de radicaux libres ; classe ATC L01DB01.</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ONCODOX-10</w:t>
            </w:r>
          </w:p>
        </w:tc>
        <w:tc>
          <w:tcPr>
            <w:tcW w:type="dxa" w:w="1559"/>
          </w:tcPr>
          <w:p>
            <w:r>
              <w:rPr>
                <w:sz w:val="20"/>
              </w:rPr>
              <w:t>CIPLA LIMITED</w:t>
            </w:r>
          </w:p>
        </w:tc>
        <w:tc>
          <w:tcPr>
            <w:tcW w:type="dxa" w:w="1559"/>
          </w:tcPr>
          <w:p>
            <w:r>
              <w:rPr>
                <w:sz w:val="20"/>
              </w:rPr>
              <w:t>Lyophilisat pour solution injectable IV, 10 mg/flacon de lyophilisat</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ONCODOX-50</w:t>
            </w:r>
          </w:p>
        </w:tc>
        <w:tc>
          <w:tcPr>
            <w:tcW w:type="dxa" w:w="1559"/>
          </w:tcPr>
          <w:p>
            <w:r>
              <w:rPr>
                <w:sz w:val="20"/>
              </w:rPr>
              <w:t>CIPLA LIMITED</w:t>
            </w:r>
          </w:p>
        </w:tc>
        <w:tc>
          <w:tcPr>
            <w:tcW w:type="dxa" w:w="1559"/>
          </w:tcPr>
          <w:p>
            <w:r>
              <w:rPr>
                <w:sz w:val="20"/>
              </w:rPr>
              <w:t>Lyophilisat pour solution injectable IV, 50 mg/flacon de lyophilisat</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LIPODOX</w:t>
            </w:r>
          </w:p>
        </w:tc>
        <w:tc>
          <w:tcPr>
            <w:tcW w:type="dxa" w:w="1559"/>
          </w:tcPr>
          <w:p>
            <w:r>
              <w:rPr>
                <w:sz w:val="20"/>
              </w:rPr>
              <w:t>SUN PHARMACEUTICALS INDUSTRIES LTD</w:t>
            </w:r>
          </w:p>
        </w:tc>
        <w:tc>
          <w:tcPr>
            <w:tcW w:type="dxa" w:w="1559"/>
          </w:tcPr>
          <w:p>
            <w:r>
              <w:rPr>
                <w:sz w:val="20"/>
              </w:rPr>
              <w:t>Solution à diluer pour perfusion IV, 2 mg/mL</w:t>
            </w:r>
          </w:p>
        </w:tc>
        <w:tc>
          <w:tcPr>
            <w:tcW w:type="dxa" w:w="1559"/>
          </w:tcPr>
          <w:p>
            <w:r>
              <w:rPr>
                <w:sz w:val="20"/>
              </w:rPr>
              <w:t>Boîte de 1 flacon de 25 mL (50 mg)</w:t>
            </w:r>
          </w:p>
        </w:tc>
        <w:tc>
          <w:tcPr>
            <w:tcW w:type="dxa" w:w="1559"/>
          </w:tcPr>
          <w:p>
            <w:r>
              <w:rPr>
                <w:sz w:val="20"/>
              </w:rPr>
              <w:t>LISTE I</w:t>
            </w:r>
          </w:p>
        </w:tc>
        <w:tc>
          <w:tcPr>
            <w:tcW w:type="dxa" w:w="1559"/>
          </w:tcPr>
          <w:p>
            <w:r>
              <w:rPr>
                <w:sz w:val="20"/>
              </w:rPr>
              <w:t>ACTIF</w:t>
            </w:r>
          </w:p>
        </w:tc>
      </w:tr>
      <w:tr>
        <w:tc>
          <w:tcPr>
            <w:tcW w:type="dxa" w:w="1559"/>
          </w:tcPr>
          <w:p>
            <w:r>
              <w:rPr>
                <w:sz w:val="20"/>
              </w:rPr>
              <w:t>DOXORUBICINE "EBEWE"</w:t>
            </w:r>
          </w:p>
        </w:tc>
        <w:tc>
          <w:tcPr>
            <w:tcW w:type="dxa" w:w="1559"/>
          </w:tcPr>
          <w:p>
            <w:r>
              <w:rPr>
                <w:sz w:val="20"/>
              </w:rPr>
              <w:t>EBEWE PHARMA GES mbH Nfg KG</w:t>
            </w:r>
          </w:p>
        </w:tc>
        <w:tc>
          <w:tcPr>
            <w:tcW w:type="dxa" w:w="1559"/>
          </w:tcPr>
          <w:p>
            <w:r>
              <w:rPr>
                <w:sz w:val="20"/>
              </w:rPr>
              <w:t>Concentré solution injectable pour perfusion IV, 2 mg/mL (10 mg/5 mL ; 50 mg/25 mL)</w:t>
            </w:r>
          </w:p>
        </w:tc>
        <w:tc>
          <w:tcPr>
            <w:tcW w:type="dxa" w:w="1559"/>
          </w:tcPr>
          <w:p>
            <w:r>
              <w:rPr>
                <w:sz w:val="20"/>
              </w:rPr>
              <w:t>B/1 flacon 5 mL et B/1 flacon 25 mL</w:t>
            </w:r>
          </w:p>
        </w:tc>
        <w:tc>
          <w:tcPr>
            <w:tcW w:type="dxa" w:w="1559"/>
          </w:tcPr>
          <w:p>
            <w:r>
              <w:rPr>
                <w:sz w:val="20"/>
              </w:rPr>
              <w:t>LISTE I</w:t>
            </w:r>
          </w:p>
        </w:tc>
        <w:tc>
          <w:tcPr>
            <w:tcW w:type="dxa" w:w="1559"/>
          </w:tcPr>
          <w:p>
            <w:r>
              <w:rPr>
                <w:sz w:val="20"/>
              </w:rPr>
              <w:t>NON RENOUVELABLE</w:t>
            </w:r>
          </w:p>
        </w:tc>
      </w:tr>
      <w:tr>
        <w:tc>
          <w:tcPr>
            <w:tcW w:type="dxa" w:w="1559"/>
          </w:tcPr>
          <w:p>
            <w:r>
              <w:rPr>
                <w:sz w:val="20"/>
              </w:rPr>
              <w:t>DOXORUBICIN HCL</w:t>
            </w:r>
          </w:p>
        </w:tc>
        <w:tc>
          <w:tcPr>
            <w:tcW w:type="dxa" w:w="1559"/>
          </w:tcPr>
          <w:p>
            <w:r>
              <w:rPr>
                <w:sz w:val="20"/>
              </w:rPr>
              <w:t>CHINA MEHECO</w:t>
            </w:r>
          </w:p>
        </w:tc>
        <w:tc>
          <w:tcPr>
            <w:tcW w:type="dxa" w:w="1559"/>
          </w:tcPr>
          <w:p>
            <w:r>
              <w:rPr>
                <w:sz w:val="20"/>
              </w:rPr>
              <w:t>Poudre pour solution injectable, 10 mg</w:t>
            </w:r>
          </w:p>
        </w:tc>
        <w:tc>
          <w:tcPr>
            <w:tcW w:type="dxa" w:w="1559"/>
          </w:tcPr>
          <w:p>
            <w:r>
              <w:rPr>
                <w:sz w:val="20"/>
              </w:rPr>
              <w:t>B/10 flacons</w:t>
            </w:r>
          </w:p>
        </w:tc>
        <w:tc>
          <w:tcPr>
            <w:tcW w:type="dxa" w:w="1559"/>
          </w:tcPr>
          <w:p>
            <w:r>
              <w:rPr>
                <w:sz w:val="20"/>
              </w:rPr>
              <w:t>LISTE I</w:t>
            </w:r>
          </w:p>
        </w:tc>
        <w:tc>
          <w:tcPr>
            <w:tcW w:type="dxa" w:w="1559"/>
          </w:tcPr>
          <w:p>
            <w:r>
              <w:rPr>
                <w:sz w:val="20"/>
              </w:rPr>
              <w:t>RETRAIT (R)</w:t>
            </w:r>
          </w:p>
        </w:tc>
      </w:tr>
      <w:tr>
        <w:tc>
          <w:tcPr>
            <w:tcW w:type="dxa" w:w="1559"/>
          </w:tcPr>
          <w:p>
            <w:r>
              <w:rPr>
                <w:sz w:val="20"/>
              </w:rPr>
              <w:t>DOXORUBICINE TEDEC</w:t>
            </w:r>
          </w:p>
        </w:tc>
        <w:tc>
          <w:tcPr>
            <w:tcW w:type="dxa" w:w="1559"/>
          </w:tcPr>
          <w:p>
            <w:r>
              <w:rPr>
                <w:sz w:val="20"/>
              </w:rPr>
              <w:t>TEDEC MEIJI</w:t>
            </w:r>
          </w:p>
        </w:tc>
        <w:tc>
          <w:tcPr>
            <w:tcW w:type="dxa" w:w="1559"/>
          </w:tcPr>
          <w:p>
            <w:r>
              <w:rPr>
                <w:sz w:val="20"/>
              </w:rPr>
              <w:t>Poudre pour solution injectable, 10 mg</w:t>
            </w:r>
          </w:p>
        </w:tc>
        <w:tc>
          <w:tcPr>
            <w:tcW w:type="dxa" w:w="1559"/>
          </w:tcPr>
          <w:p>
            <w:r>
              <w:rPr>
                <w:sz w:val="20"/>
              </w:rPr>
              <w:t>B/1+1</w:t>
            </w:r>
          </w:p>
        </w:tc>
        <w:tc>
          <w:tcPr>
            <w:tcW w:type="dxa" w:w="1559"/>
          </w:tcPr>
          <w:p>
            <w:r>
              <w:rPr>
                <w:sz w:val="20"/>
              </w:rPr>
              <w:t>LISTE I</w:t>
            </w:r>
          </w:p>
        </w:tc>
        <w:tc>
          <w:tcPr>
            <w:tcW w:type="dxa" w:w="1559"/>
          </w:tcPr>
          <w:p>
            <w:r>
              <w:rPr>
                <w:sz w:val="20"/>
              </w:rPr>
              <w:t>RETRAIT (R)</w:t>
            </w:r>
          </w:p>
        </w:tc>
      </w:tr>
      <w:tr>
        <w:tc>
          <w:tcPr>
            <w:tcW w:type="dxa" w:w="1559"/>
          </w:tcPr>
          <w:p>
            <w:r>
              <w:rPr>
                <w:sz w:val="20"/>
              </w:rPr>
              <w:t>DOXOLEM RU</w:t>
            </w:r>
          </w:p>
        </w:tc>
        <w:tc>
          <w:tcPr>
            <w:tcW w:type="dxa" w:w="1559"/>
          </w:tcPr>
          <w:p>
            <w:r>
              <w:rPr>
                <w:sz w:val="20"/>
              </w:rPr>
              <w:t>LEMERY</w:t>
            </w:r>
          </w:p>
        </w:tc>
        <w:tc>
          <w:tcPr>
            <w:tcW w:type="dxa" w:w="1559"/>
          </w:tcPr>
          <w:p>
            <w:r>
              <w:rPr>
                <w:sz w:val="20"/>
              </w:rPr>
              <w:t>Solution injectable, 10 mg/5 mL</w:t>
            </w:r>
          </w:p>
        </w:tc>
        <w:tc>
          <w:tcPr>
            <w:tcW w:type="dxa" w:w="1559"/>
          </w:tcPr>
          <w:p>
            <w:r>
              <w:rPr>
                <w:sz w:val="20"/>
              </w:rPr>
              <w:t>B/1 flacon 5 mL</w:t>
            </w:r>
          </w:p>
        </w:tc>
        <w:tc>
          <w:tcPr>
            <w:tcW w:type="dxa" w:w="1559"/>
          </w:tcPr>
          <w:p>
            <w:r>
              <w:rPr>
                <w:sz w:val="20"/>
              </w:rPr>
              <w:t>LISTE I</w:t>
            </w:r>
          </w:p>
        </w:tc>
        <w:tc>
          <w:tcPr>
            <w:tcW w:type="dxa" w:w="1559"/>
          </w:tcPr>
          <w:p>
            <w:r>
              <w:rPr>
                <w:sz w:val="20"/>
              </w:rPr>
              <w:t>RETRAIT (R)</w:t>
            </w:r>
          </w:p>
        </w:tc>
      </w:tr>
      <w:tr>
        <w:tc>
          <w:tcPr>
            <w:tcW w:type="dxa" w:w="1559"/>
          </w:tcPr>
          <w:p>
            <w:r>
              <w:rPr>
                <w:sz w:val="20"/>
              </w:rPr>
              <w:t>DOXORUBICINE TEDEC</w:t>
            </w:r>
          </w:p>
        </w:tc>
        <w:tc>
          <w:tcPr>
            <w:tcW w:type="dxa" w:w="1559"/>
          </w:tcPr>
          <w:p>
            <w:r>
              <w:rPr>
                <w:sz w:val="20"/>
              </w:rPr>
              <w:t>TEDEC MEIJI</w:t>
            </w:r>
          </w:p>
        </w:tc>
        <w:tc>
          <w:tcPr>
            <w:tcW w:type="dxa" w:w="1559"/>
          </w:tcPr>
          <w:p>
            <w:r>
              <w:rPr>
                <w:sz w:val="20"/>
              </w:rPr>
              <w:t>Poudre pour solution injectable, 50 mg</w:t>
            </w:r>
          </w:p>
        </w:tc>
        <w:tc>
          <w:tcPr>
            <w:tcW w:type="dxa" w:w="1559"/>
          </w:tcPr>
          <w:p>
            <w:r>
              <w:rPr>
                <w:sz w:val="20"/>
              </w:rPr>
              <w:t>B/1+1</w:t>
            </w:r>
          </w:p>
        </w:tc>
        <w:tc>
          <w:tcPr>
            <w:tcW w:type="dxa" w:w="1559"/>
          </w:tcPr>
          <w:p>
            <w:r>
              <w:rPr>
                <w:sz w:val="20"/>
              </w:rPr>
              <w:t>LISTE I</w:t>
            </w:r>
          </w:p>
        </w:tc>
        <w:tc>
          <w:tcPr>
            <w:tcW w:type="dxa" w:w="1559"/>
          </w:tcPr>
          <w:p>
            <w:r>
              <w:rPr>
                <w:sz w:val="20"/>
              </w:rPr>
              <w:t>RETRAIT (R)</w:t>
            </w:r>
          </w:p>
        </w:tc>
      </w:tr>
      <w:tr>
        <w:tc>
          <w:tcPr>
            <w:tcW w:type="dxa" w:w="1559"/>
          </w:tcPr>
          <w:p>
            <w:r>
              <w:rPr>
                <w:sz w:val="20"/>
              </w:rPr>
              <w:t>DOXOLEM</w:t>
            </w:r>
          </w:p>
        </w:tc>
        <w:tc>
          <w:tcPr>
            <w:tcW w:type="dxa" w:w="1559"/>
          </w:tcPr>
          <w:p>
            <w:r>
              <w:rPr>
                <w:sz w:val="20"/>
              </w:rPr>
              <w:t>LEMERY</w:t>
            </w:r>
          </w:p>
        </w:tc>
        <w:tc>
          <w:tcPr>
            <w:tcW w:type="dxa" w:w="1559"/>
          </w:tcPr>
          <w:p>
            <w:r>
              <w:rPr>
                <w:sz w:val="20"/>
              </w:rPr>
              <w:t>Solution injectable, 50 mg/25 mL</w:t>
            </w:r>
          </w:p>
        </w:tc>
        <w:tc>
          <w:tcPr>
            <w:tcW w:type="dxa" w:w="1559"/>
          </w:tcPr>
          <w:p>
            <w:r>
              <w:rPr>
                <w:sz w:val="20"/>
              </w:rPr>
              <w:t>B/1 flacon 25 mL</w:t>
            </w:r>
          </w:p>
        </w:tc>
        <w:tc>
          <w:tcPr>
            <w:tcW w:type="dxa" w:w="1559"/>
          </w:tcPr>
          <w:p>
            <w:r>
              <w:rPr>
                <w:sz w:val="20"/>
              </w:rPr>
              <w:t>LISTE I</w:t>
            </w:r>
          </w:p>
        </w:tc>
        <w:tc>
          <w:tcPr>
            <w:tcW w:type="dxa" w:w="1559"/>
          </w:tcPr>
          <w:p>
            <w:r>
              <w:rPr>
                <w:sz w:val="20"/>
              </w:rPr>
              <w:t>RETRAIT (R)</w:t>
            </w:r>
          </w:p>
        </w:tc>
      </w:tr>
      <w:tr>
        <w:tc>
          <w:tcPr>
            <w:tcW w:type="dxa" w:w="1559"/>
          </w:tcPr>
          <w:p>
            <w:r>
              <w:rPr>
                <w:sz w:val="20"/>
              </w:rPr>
              <w:t>OKARUBICIN-50</w:t>
            </w:r>
          </w:p>
        </w:tc>
        <w:tc>
          <w:tcPr>
            <w:tcW w:type="dxa" w:w="1559"/>
          </w:tcPr>
          <w:p>
            <w:r>
              <w:rPr>
                <w:sz w:val="20"/>
              </w:rPr>
              <w:t>BIOVITAL</w:t>
            </w:r>
          </w:p>
        </w:tc>
        <w:tc>
          <w:tcPr>
            <w:tcW w:type="dxa" w:w="1559"/>
          </w:tcPr>
          <w:p>
            <w:r>
              <w:rPr>
                <w:sz w:val="20"/>
              </w:rPr>
              <w:t>Lyophilisat solution injectable IV, 50 mg/flacon de poudre</w:t>
            </w:r>
          </w:p>
        </w:tc>
        <w:tc>
          <w:tcPr>
            <w:tcW w:type="dxa" w:w="1559"/>
          </w:tcPr>
          <w:p>
            <w:r>
              <w:rPr>
                <w:sz w:val="20"/>
              </w:rPr>
              <w:t>B/1 flacon</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doxorubicine (adriamycine, 14-hydroxydaunorubicine) est une </w:t>
      </w:r>
      <w:r>
        <w:rPr>
          <w:b/>
        </w:rPr>
        <w:t>anthracycline naturelle</w:t>
      </w:r>
      <w:r>
        <w:t xml:space="preserve"> extraite de *Streptomyces peucetius* var. *caesius*. Sa structure associe un noyau </w:t>
      </w:r>
      <w:r>
        <w:rPr>
          <w:b/>
        </w:rPr>
        <w:t>aglycone tétracyclique</w:t>
      </w:r>
      <w:r>
        <w:t xml:space="preserve"> (chromophore rouge plan, hydrophobe) lié par liaison α-L au sucre </w:t>
      </w:r>
      <w:r>
        <w:rPr>
          <w:b/>
        </w:rPr>
        <w:t>daunosamine</w:t>
      </w:r>
      <w:r>
        <w:t xml:space="preserve"> (aminosé hydrophile), ce qui confère à la fois la lipophilie (passage membranaire) et la solubilité aqueuse (administration IV). Son mécanisme d'action multi-factoriel comprend : (1) </w:t>
      </w:r>
      <w:r>
        <w:rPr>
          <w:b/>
        </w:rPr>
        <w:t>intercalation dans l'ADN double brin</w:t>
      </w:r>
      <w:r>
        <w:t xml:space="preserve"> : le noyau plan tétracyclique s'insère entre les paires de bases adjacentes de l'ADN, distordant la double hélice, allongeant la molécule et relaxant l'ADN super-enroulé → inhibition de l'ADN polymérase α (synthèse ADN) et de l'ARN polymérase (synthèse ARN). (2) </w:t>
      </w:r>
      <w:r>
        <w:rPr>
          <w:b/>
        </w:rPr>
        <w:t>Inhibition de la topoisomérase II (topo II)</w:t>
      </w:r>
      <w:r>
        <w:t xml:space="preserve"> : la doxorubicine stabilise le complexe clivable ADN-topo II (en interrompant le cycle catalytique de la topo II qui normalement religue l'ADN après coupure transitoire double brin) → accumulation de cassures double brin de l'ADN → apoptose par activation de la p53, des caspases et libération du cytochrome c mitochondrial. (3) </w:t>
      </w:r>
      <w:r>
        <w:rPr>
          <w:b/>
        </w:rPr>
        <w:t>Génération de radicaux libres oxygénés</w:t>
      </w:r>
      <w:r>
        <w:t xml:space="preserve"> : la doxorubicine subit un cycle redox via la NADPH-cytochrome P450 réductase, la NADH-déshydrogénase mitochondriale et la xanthine oxydase → production d'anion superoxyde (O₂⁻), de peroxyde d'hydrogène (H₂O₂) et de radical hydroxyle (•OH) en présence de fer Fe²⁺ (réaction de Fenton) → peroxydation lipidique des membranes mitochondriales et cellulaires, toxicité mitochondriale (ouverture du PTP, perte du potentiel transmembranaire), dommages oxydatifs de l'ADN. Ce mécanisme est particulièrement impliqué dans la </w:t>
      </w:r>
      <w:r>
        <w:rPr>
          <w:b/>
        </w:rPr>
        <w:t>cardiotoxicité</w:t>
      </w:r>
      <w:r>
        <w:t xml:space="preserve"> (les cardiomyocytes sont riches en mitochondries et pauvres en catalase/SOD). (4) </w:t>
      </w:r>
      <w:r>
        <w:rPr>
          <w:b/>
        </w:rPr>
        <w:t>Modification de la membrane cellulaire</w:t>
      </w:r>
      <w:r>
        <w:t xml:space="preserve"> : activation de la sphingomyélinase neutre → libération de céramide → apoptose. (5) Liais</w:t>
      </w:r>
      <w:r>
        <w:rPr>
          <w:b/>
        </w:rPr>
        <w:t>on covalente à l'ADN</w:t>
      </w:r>
      <w:r>
        <w:t xml:space="preserve"> via formation de pseudo-base avec les groupes amines de la daunosamine. La résistance est liée à l'</w:t>
      </w:r>
      <w:r>
        <w:rPr>
          <w:b/>
        </w:rPr>
        <w:t>amplification du gène MDR1</w:t>
      </w:r>
      <w:r>
        <w:t xml:space="preserve"> (P-glycoprotéine ABCB1, pump d'efflux ATP-dépendant qui extrude la doxorubicine hors de la cellule), à la mutation ou la diminution de la topo IIα, à l'augmentation des systèmes antioxydants (glutathion peroxydase, catalase, SOD).</w:t>
      </w:r>
    </w:p>
    <w:p>
      <w:pPr>
        <w:pStyle w:val="ListBullet"/>
      </w:pPr>
      <w:r/>
      <w:r>
        <w:rPr>
          <w:b/>
        </w:rPr>
        <w:t>Profil pharmacocinétique</w:t>
      </w:r>
      <w:r>
        <w:t xml:space="preserve"> : administration IV stricte (perfusion de 5-15 min dans 100-250 mL NaCl 0,9 % ou G5 %, ou bolus lent dans la tubulure d'une perfusion en cours). Distribution rapide (Vd 25-30 L/kg), concentration intracellulaire élevée (rapport cellule/plasma 100-1000), passage LCR faible (5-10 %), passage placentaire (tératogène). Liaison aux protéines plasmatiques 50-85 % (albumine). Métabolisme hépatique intense par l'aldéhyde réductase en </w:t>
      </w:r>
      <w:r>
        <w:rPr>
          <w:b/>
        </w:rPr>
        <w:t>doxorubicinol</w:t>
      </w:r>
      <w:r>
        <w:t xml:space="preserve"> (métabolite actif cardiotoxique) puis par le CYP3A4 et CYP2D6. Demi-vie d'élimination triphasique : t1/2α = 5-10 min, t1/2β = 1-3 h, t1/2γ = 30-50 h (forme mère et métabolites). Élimination biliaire principale (40-50 % dans les selles en 5 jours) ; urinaire 5-10 %. La demi-vie d'élimination du doxorubicinol est prolongée (40-60 h), justifiant la surveillance cardiaque à long terme. Insuffisance hépatique : adaptation posologique obligatoire selon bilirubine (bilirubine 1,5-3 mg/dL → réduire 50 % ; 3-5 mg/dL → réduire 75 % ; &gt; 5 mg/dL → contre-indication). Insuffisance rénale : pas d'adaptation systématique. La </w:t>
      </w:r>
      <w:r>
        <w:rPr>
          <w:b/>
        </w:rPr>
        <w:t>forme liposomale pegylée</w:t>
      </w:r>
      <w:r>
        <w:t xml:space="preserve"> (LIPODOX, doxorubicine liposomale pegylée) a une cinétique modifiée : capture préférentielle par les tissus tumoraux avec vascularisation augmentée (sarcome de Kaposi, ovaires, sein) et réduction majeure de la cardiotoxicité (dose cumulative max 500-700 mg/m² au lieu de 450-550).</w:t>
      </w:r>
    </w:p>
    <w:p>
      <w:pPr>
        <w:pStyle w:val="ListBullet"/>
      </w:pPr>
      <w:r/>
      <w:r>
        <w:rPr>
          <w:b/>
        </w:rPr>
        <w:t>Indications</w:t>
      </w:r>
      <w:r>
        <w:t xml:space="preserve"> :</w:t>
      </w:r>
    </w:p>
    <w:p>
      <w:pPr>
        <w:pStyle w:val="ListBullet"/>
      </w:pPr>
      <w:r/>
      <w:r>
        <w:rPr>
          <w:b/>
        </w:rPr>
        <w:t>Cancer du sein</w:t>
      </w:r>
      <w:r>
        <w:t xml:space="preserve"> : (i) adjuvant (protocoles AC, AC-T, AC-TH, TAC) ; (ii) néoadjuvant (protocoles AC-T, TAC) ; (iii) métastatique (protocoles AC, FAC, doxorubicine liposomale en monothérapie).</w:t>
      </w:r>
    </w:p>
    <w:p>
      <w:pPr>
        <w:pStyle w:val="ListBullet"/>
      </w:pPr>
      <w:r/>
      <w:r>
        <w:rPr>
          <w:b/>
        </w:rPr>
        <w:t>Lymphomes</w:t>
      </w:r>
      <w:r>
        <w:t xml:space="preserve"> : (i) Hodgkin (protocole ABVD : adriamycine + bléomycine + vinblastine + dacarbazine) ; (ii) non hodgkinien de haut grade (protocole CHOP : cyclophosphamide + doxorubicine + vincristine + prednisone ; R-CHOP avec rituximab) ; (iii) lymphome Burkitt (protocole CODOX-M/IVAC).</w:t>
      </w:r>
    </w:p>
    <w:p>
      <w:pPr>
        <w:pStyle w:val="ListBullet"/>
      </w:pPr>
      <w:r/>
      <w:r>
        <w:rPr>
          <w:b/>
        </w:rPr>
        <w:t>Sarcomes des tissus mous</w:t>
      </w:r>
      <w:r>
        <w:t xml:space="preserve"> (adulte et pédiatrique) : protocole MAI (doxorubicine + ifosfamide) ; ostéosarcome (doxorubicine + cisplatine + MTX HD).</w:t>
      </w:r>
    </w:p>
    <w:p>
      <w:pPr>
        <w:pStyle w:val="ListBullet"/>
      </w:pPr>
      <w:r/>
      <w:r>
        <w:rPr>
          <w:b/>
        </w:rPr>
        <w:t>Leucémie aiguë myéloïde (LAM)</w:t>
      </w:r>
      <w:r>
        <w:t xml:space="preserve"> : protocole 7+3 (Ara-C 7 jours + daunorubicine 3 jours) — historiquement, doxorubicine parfois utilisée.</w:t>
      </w:r>
    </w:p>
    <w:p>
      <w:pPr>
        <w:pStyle w:val="ListBullet"/>
      </w:pPr>
      <w:r/>
      <w:r>
        <w:rPr>
          <w:b/>
        </w:rPr>
        <w:t>Cancer gastrique</w:t>
      </w:r>
      <w:r>
        <w:t xml:space="preserve"> : protocole ECF (épirubicine + cisplatine + 5-FU, plus courant que la doxorubicine).</w:t>
      </w:r>
    </w:p>
    <w:p>
      <w:pPr>
        <w:pStyle w:val="ListBullet"/>
      </w:pPr>
      <w:r/>
      <w:r>
        <w:rPr>
          <w:b/>
        </w:rPr>
        <w:t>Cancer de l'ovaire</w:t>
      </w:r>
      <w:r>
        <w:t xml:space="preserve"> : protocole CAP (cyclophosphamide + doxorubicine + cisplatine, ancien) ; doxorubicine liposomale en 2ème ligne.</w:t>
      </w:r>
    </w:p>
    <w:p>
      <w:pPr>
        <w:pStyle w:val="ListBullet"/>
      </w:pPr>
      <w:r/>
      <w:r>
        <w:rPr>
          <w:b/>
        </w:rPr>
        <w:t>Cancer de la vessie</w:t>
      </w:r>
      <w:r>
        <w:t xml:space="preserve"> : protocole MVAC (methotrexate + vinblastine + adriamycine + cisplatine).</w:t>
      </w:r>
    </w:p>
    <w:p>
      <w:pPr>
        <w:pStyle w:val="ListBullet"/>
      </w:pPr>
      <w:r/>
      <w:r>
        <w:rPr>
          <w:b/>
        </w:rPr>
        <w:t>Cancer thyroïdien anaplasique</w:t>
      </w:r>
      <w:r>
        <w:t xml:space="preserve"> : doxorubicine ± cisplatine.</w:t>
      </w:r>
    </w:p>
    <w:p>
      <w:pPr>
        <w:pStyle w:val="ListBullet"/>
      </w:pPr>
      <w:r/>
      <w:r>
        <w:rPr>
          <w:b/>
        </w:rPr>
        <w:t>Sarcome de Kaposi</w:t>
      </w:r>
      <w:r>
        <w:t xml:space="preserve"> (SIDA) : doxorubicine liposomale pegylate en 1ère intention.</w:t>
      </w:r>
    </w:p>
    <w:p>
      <w:pPr>
        <w:pStyle w:val="ListBullet"/>
      </w:pPr>
      <w:r/>
      <w:r>
        <w:rPr>
          <w:b/>
        </w:rPr>
        <w:t>Cancer du poumon à petites cellules (CPPC)</w:t>
      </w:r>
      <w:r>
        <w:t xml:space="preserve"> : protocole CAE (cyclophosphamide + doxorubicine + étoposide, ancien).</w:t>
      </w:r>
    </w:p>
    <w:p>
      <w:pPr>
        <w:pStyle w:val="ListBullet"/>
      </w:pPr>
      <w:r/>
      <w:r>
        <w:rPr>
          <w:b/>
        </w:rPr>
        <w:t>Contre-indications</w:t>
      </w:r>
      <w:r>
        <w:t xml:space="preserve"> : (1) </w:t>
      </w:r>
      <w:r>
        <w:rPr>
          <w:b/>
        </w:rPr>
        <w:t>Dose cumulative déjà maximale</w:t>
      </w:r>
      <w:r>
        <w:t xml:space="preserve"> (&gt; 450-550 mg/m² doxorubicine conventionnelle ; &gt; 500-700 mg/m² doxorubicine liposomale) ; (2) </w:t>
      </w:r>
      <w:r>
        <w:rPr>
          <w:b/>
        </w:rPr>
        <w:t>Insuffisance cardiaque</w:t>
      </w:r>
      <w:r>
        <w:t xml:space="preserve"> (FEVG &lt; 50 %) ou antécédent d'infarctus du myocarde récent ; (3) </w:t>
      </w:r>
      <w:r>
        <w:rPr>
          <w:b/>
        </w:rPr>
        <w:t>Insuffisance hépatique sévère</w:t>
      </w:r>
      <w:r>
        <w:t xml:space="preserve"> (bilirubine &gt; 5 mg/dL) ; (4) </w:t>
      </w:r>
      <w:r>
        <w:rPr>
          <w:b/>
        </w:rPr>
        <w:t>Patiente enceinte ou allaitant</w:t>
      </w:r>
      <w:r>
        <w:t xml:space="preserve"> ; (5) </w:t>
      </w:r>
      <w:r>
        <w:rPr>
          <w:b/>
        </w:rPr>
        <w:t>Aplasie médullaire préexistante</w:t>
      </w:r>
      <w:r>
        <w:t xml:space="preserve"> (N &lt; 1,5 G/L, plaquettes &lt; 100 G/L) ; (6) </w:t>
      </w:r>
      <w:r>
        <w:rPr>
          <w:b/>
        </w:rPr>
        <w:t>Infection sévère non contrôlée</w:t>
      </w:r>
      <w:r>
        <w:t xml:space="preserve"> ; (7) </w:t>
      </w:r>
      <w:r>
        <w:rPr>
          <w:b/>
        </w:rPr>
        <w:t>Vaccination par vaccin vivant atténué</w:t>
      </w:r>
      <w:r>
        <w:t xml:space="preserve"> ; (8) </w:t>
      </w:r>
      <w:r>
        <w:rPr>
          <w:b/>
        </w:rPr>
        <w:t>Antécédent de toxicité cardiaque sous anthracycline</w:t>
      </w:r>
      <w:r>
        <w:t xml:space="preserve"> ; (9) </w:t>
      </w:r>
      <w:r>
        <w:rPr>
          <w:b/>
        </w:rPr>
        <w:t>Hypersensibilité à la doxorubicine</w:t>
      </w:r>
      <w:r>
        <w:t>.</w:t>
      </w:r>
    </w:p>
    <w:p>
      <w:pPr>
        <w:pStyle w:val="ListBullet"/>
      </w:pPr>
      <w:r/>
      <w:r>
        <w:rPr>
          <w:b/>
        </w:rPr>
        <w:t>Effets indésirables</w:t>
      </w:r>
      <w:r>
        <w:t xml:space="preserve"> :</w:t>
      </w:r>
    </w:p>
    <w:p>
      <w:pPr>
        <w:pStyle w:val="ListBullet"/>
      </w:pPr>
      <w:r/>
      <w:r>
        <w:rPr>
          <w:b/>
        </w:rPr>
        <w:t>Cardiotoxicité</w:t>
      </w:r>
      <w:r>
        <w:t xml:space="preserve"> (caractéristique) : (i) </w:t>
      </w:r>
      <w:r>
        <w:rPr>
          <w:b/>
        </w:rPr>
        <w:t>aiguë</w:t>
      </w:r>
      <w:r>
        <w:t xml:space="preserve"> (pendant ou juste après la perfusion) : troubles du rythme (supraventriculaires, ventriculaires), ECG modifié (sous-décal ST, ondes T plates), péricardite aiguë — souvent transitoire et réversible ; (ii) </w:t>
      </w:r>
      <w:r>
        <w:rPr>
          <w:b/>
        </w:rPr>
        <w:t>chronique</w:t>
      </w:r>
      <w:r>
        <w:t xml:space="preserve"> (cumulative dose-dépendante) : cardiomyopathie dilatée avec insuffisance cardiaque congestive (dyspnée, œdèmes, fatigue) — souvent </w:t>
      </w:r>
      <w:r>
        <w:rPr>
          <w:b/>
        </w:rPr>
        <w:t>irréversible</w:t>
      </w:r>
      <w:r>
        <w:t xml:space="preserve">, mortalité 30-50 %. Risque augmente au-delà de 450-550 mg/m² (doxorubicine conventionnelle), 500-700 mg/m² (liposomale). Facteurs de risque : âge &gt; 65 ans, antécédent cardiaque, radiothérapie thoracique médiastinale préalable, association avec d'autres cardiotoxiques (trastuzumab, cyclophosphamide), terrain cardiovasculaire. </w:t>
      </w:r>
      <w:r>
        <w:rPr>
          <w:b/>
        </w:rPr>
        <w:t>Prévention</w:t>
      </w:r>
      <w:r>
        <w:t xml:space="preserve"> : surveillance échographique cardiaque (FEVG) avant et pendant le traitement, dose cumulée à tracer scrupuleusement, dexrazoxane (Cardioxane®) possible en prophylaxie chez les patients dépassant 300 mg/m².</w:t>
      </w:r>
    </w:p>
    <w:p>
      <w:pPr>
        <w:pStyle w:val="ListBullet"/>
      </w:pPr>
      <w:r/>
      <w:r>
        <w:rPr>
          <w:b/>
        </w:rPr>
        <w:t>Hématologique</w:t>
      </w:r>
      <w:r>
        <w:t xml:space="preserve"> : myélotoxicité dose-limitante — neutropénie (nadir J10-J14, parfois &lt; 0,5 G/L), thrombopénie, anémie. Risque d'aplasie fébrile.</w:t>
      </w:r>
    </w:p>
    <w:p>
      <w:pPr>
        <w:pStyle w:val="ListBullet"/>
      </w:pPr>
      <w:r/>
      <w:r>
        <w:rPr>
          <w:b/>
        </w:rPr>
        <w:t>Digestive</w:t>
      </w:r>
      <w:r>
        <w:t xml:space="preserve"> : mucite orale et digestive sévère (surtout en bolus et à forte dose), nausées/vomissements (émétisants grade 3), anorexie, diarrhée.</w:t>
      </w:r>
    </w:p>
    <w:p>
      <w:pPr>
        <w:pStyle w:val="ListBullet"/>
      </w:pPr>
      <w:r/>
      <w:r>
        <w:rPr>
          <w:b/>
        </w:rPr>
        <w:t>Cutanée</w:t>
      </w:r>
      <w:r>
        <w:t xml:space="preserve"> : </w:t>
      </w:r>
      <w:r>
        <w:rPr>
          <w:b/>
        </w:rPr>
        <w:t>alopécie totale</w:t>
      </w:r>
      <w:r>
        <w:t xml:space="preserve"> (dans 90-100 % des cas, début J10-J21 après première cure, souvent réversible à l'arrêt) ; </w:t>
      </w:r>
      <w:r>
        <w:rPr>
          <w:b/>
        </w:rPr>
        <w:t>coloration rouge des urines</w:t>
      </w:r>
      <w:r>
        <w:t xml:space="preserve"> (1-2 jours après perfusion, normal, due au chromophore rouge) ; rash, hyperpigmentation des plis, syndrome main-pied (surtout liposomale), photosensibilité ; réactions locales sévères en cas d'extravasation (vésicant majeur → nécrose tissulaire, ulcère chronique douloureux).</w:t>
      </w:r>
    </w:p>
    <w:p>
      <w:pPr>
        <w:pStyle w:val="ListBullet"/>
      </w:pPr>
      <w:r/>
      <w:r>
        <w:rPr>
          <w:b/>
        </w:rPr>
        <w:t>Hépatique</w:t>
      </w:r>
      <w:r>
        <w:t xml:space="preserve"> : élévation transitoire des transaminases.</w:t>
      </w:r>
    </w:p>
    <w:p>
      <w:pPr>
        <w:pStyle w:val="ListBullet"/>
      </w:pPr>
      <w:r/>
      <w:r>
        <w:rPr>
          <w:b/>
        </w:rPr>
        <w:t>Cardiovasculaire</w:t>
      </w:r>
      <w:r>
        <w:t xml:space="preserve"> (autre) : hypotension, hypertension transitoires.</w:t>
      </w:r>
    </w:p>
    <w:p>
      <w:pPr>
        <w:pStyle w:val="ListBullet"/>
      </w:pPr>
      <w:r/>
      <w:r>
        <w:rPr>
          <w:b/>
        </w:rPr>
        <w:t>Vesicant</w:t>
      </w:r>
      <w:r>
        <w:t xml:space="preserve"> (extravasation) : nécrose tissulaire, ulcère chronique — en cas d'extravasation → arrêter immédiatement la perfusion, aspirer le maximum par le cathéter, appliquer froid, injection locale de dexrazoxane (Totect®) dans les 6 h.</w:t>
      </w:r>
    </w:p>
    <w:p>
      <w:pPr>
        <w:pStyle w:val="ListBullet"/>
      </w:pPr>
      <w:r/>
      <w:r>
        <w:rPr>
          <w:b/>
        </w:rPr>
        <w:t>Syndrome de lyse tumorale</w:t>
      </w:r>
      <w:r>
        <w:t xml:space="preserve"> : rare, à l'initiation (forte masse).</w:t>
      </w:r>
    </w:p>
    <w:p>
      <w:pPr>
        <w:pStyle w:val="ListBullet"/>
      </w:pPr>
      <w:r/>
      <w:r>
        <w:rPr>
          <w:b/>
        </w:rPr>
        <w:t>Leucémogénicité</w:t>
      </w:r>
      <w:r>
        <w:t xml:space="preserve"> (long terme) : risque de LAM secondaire (avec translocation 11q23) — surtout en association avec radiothérapie ou alkylants.</w:t>
      </w:r>
    </w:p>
    <w:p>
      <w:pPr>
        <w:pStyle w:val="ListBullet"/>
      </w:pPr>
      <w:r/>
      <w:r>
        <w:rPr>
          <w:b/>
        </w:rPr>
        <w:t>Mesures préventives</w:t>
      </w:r>
      <w:r>
        <w:t xml:space="preserve"> :</w:t>
      </w:r>
    </w:p>
    <w:p>
      <w:pPr>
        <w:pStyle w:val="ListBullet"/>
      </w:pPr>
      <w:r/>
      <w:r>
        <w:rPr>
          <w:b/>
        </w:rPr>
        <w:t>Bilan pré-thérapeutique</w:t>
      </w:r>
      <w:r>
        <w:t xml:space="preserve"> : NFS-plaquettes, créatininémie, bilan hépatique (ALAT, ASAT, PAL, γGT, bilirubine), β-hCG, </w:t>
      </w:r>
      <w:r>
        <w:rPr>
          <w:b/>
        </w:rPr>
        <w:t>échographie cardiaque avec FEVG</w:t>
      </w:r>
      <w:r>
        <w:t xml:space="preserve"> (référence obligatoire — seuil FEVG &gt; 50 % obligatoire), ECG, sérologies.</w:t>
      </w:r>
    </w:p>
    <w:p>
      <w:pPr>
        <w:pStyle w:val="ListBullet"/>
      </w:pPr>
      <w:r/>
      <w:r>
        <w:rPr>
          <w:b/>
        </w:rPr>
        <w:t>Surveillance cardiaque</w:t>
      </w:r>
      <w:r>
        <w:t xml:space="preserve"> : échographie cardiaque avant chaque cure au-delà de 300 mg/m² cumulés, ou à 250 mg/m² si facteur de risque ; dosage troponine I ultrasensible avant chaque cure (élévation = cardiotoxicité précoce) ; ECG avant chaque cure.</w:t>
      </w:r>
    </w:p>
    <w:p>
      <w:pPr>
        <w:pStyle w:val="ListBullet"/>
      </w:pPr>
      <w:r/>
      <w:r>
        <w:rPr>
          <w:b/>
        </w:rPr>
        <w:t>Dexrazoxane (Cardioxane®)</w:t>
      </w:r>
      <w:r>
        <w:t xml:space="preserve"> : chélateur du fer, administré IV avant la doxorubicine pour réduire la cardiotoxicité — indiqué au-delà de 300 mg/m² cumulés (en pédiatrie) ou en cas de facteur de risque.</w:t>
      </w:r>
    </w:p>
    <w:p>
      <w:pPr>
        <w:pStyle w:val="ListBullet"/>
      </w:pPr>
      <w:r/>
      <w:r>
        <w:rPr>
          <w:b/>
        </w:rPr>
        <w:t>Forme liposomale pegylée</w:t>
      </w:r>
      <w:r>
        <w:t xml:space="preserve"> : substitution par LIPODOX en cas de dose cumulée dépassée ou de facteur de risque cardiaque (indication : sarcome de Kaposi, ovaire, sein métastatique).</w:t>
      </w:r>
    </w:p>
    <w:p>
      <w:pPr>
        <w:pStyle w:val="ListBullet"/>
      </w:pPr>
      <w:r/>
      <w:r>
        <w:rPr>
          <w:b/>
        </w:rPr>
        <w:t>Antiemetic prophylaxie</w:t>
      </w:r>
      <w:r>
        <w:t xml:space="preserve"> : antagoniste 5-HT3 (ondansétron 8 mg IV) + dexaméthasone 20 mg IV + aprépitant 125 mg per os (triplette pour protocoles émétisants grade 3).</w:t>
      </w:r>
    </w:p>
    <w:p>
      <w:pPr>
        <w:pStyle w:val="ListBullet"/>
      </w:pPr>
      <w:r/>
      <w:r>
        <w:rPr>
          <w:b/>
        </w:rPr>
        <w:t>Prophylaxie mucite</w:t>
      </w:r>
      <w:r>
        <w:t xml:space="preserve"> : cryothérapie orale (sucettes glacées) pendant la perfusion de doxorubicine bolus ; bains de bouche bicarbonatés.</w:t>
      </w:r>
    </w:p>
    <w:p>
      <w:pPr>
        <w:pStyle w:val="ListBullet"/>
      </w:pPr>
      <w:r/>
      <w:r>
        <w:rPr>
          <w:b/>
        </w:rPr>
        <w:t>Prophylaxie aplasie</w:t>
      </w:r>
      <w:r>
        <w:t xml:space="preserve"> : G-CSF (filgrastim 5 µg/kg/j SC J3-J10) si protocole à risque élevé d'aplasie fébrile.</w:t>
      </w:r>
    </w:p>
    <w:p>
      <w:pPr>
        <w:pStyle w:val="ListBullet"/>
      </w:pPr>
      <w:r/>
      <w:r>
        <w:rPr>
          <w:b/>
        </w:rPr>
        <w:t>Surveillance extravasation</w:t>
      </w:r>
      <w:r>
        <w:t xml:space="preserve"> : voie IV stricte par voie veineuse centrale (cathéter implantable) pour protocoles prolongés.</w:t>
      </w:r>
    </w:p>
    <w:p>
      <w:pPr>
        <w:pStyle w:val="ListBullet"/>
      </w:pPr>
      <w:r/>
      <w:r>
        <w:rPr>
          <w:b/>
        </w:rPr>
        <w:t>Surveillance NFS</w:t>
      </w:r>
      <w:r>
        <w:t xml:space="preserve"> : avant chaque cure et J10-J14 (nadir).</w:t>
      </w:r>
    </w:p>
    <w:p>
      <w:pPr>
        <w:pStyle w:val="ListBullet"/>
      </w:pPr>
      <w:r/>
      <w:r>
        <w:rPr>
          <w:b/>
        </w:rPr>
        <w:t>Contraception</w:t>
      </w:r>
      <w:r>
        <w:t xml:space="preserve"> : obligatoire pendant et 3 mois après (femme et homme).</w:t>
      </w:r>
    </w:p>
    <w:p>
      <w:pPr>
        <w:pStyle w:val="ListBullet"/>
      </w:pPr>
      <w:r/>
      <w:r>
        <w:rPr>
          <w:b/>
        </w:rPr>
        <w:t>Vaccins</w:t>
      </w:r>
      <w:r>
        <w:t xml:space="preserve"> : éviter vaccins vivants atténués pendant et 3 mois après.</w:t>
      </w:r>
    </w:p>
    <w:p>
      <w:pPr>
        <w:pStyle w:val="ListBullet"/>
      </w:pPr>
      <w:r/>
      <w:r>
        <w:rPr>
          <w:b/>
        </w:rPr>
        <w:t>Prophylaxie syndrome de lyse</w:t>
      </w:r>
      <w:r>
        <w:t xml:space="preserve"> : allopurinol 300 mg/j per os ou rasburicase (Fasturtec®) si forte masse tumorale + hyperuricémie.</w:t>
      </w:r>
    </w:p>
    <w:p>
      <w:pPr>
        <w:pStyle w:val="ListBullet"/>
      </w:pPr>
      <w:r/>
      <w:r>
        <w:rPr>
          <w:b/>
        </w:rPr>
        <w:t>Cap froide (scalp cooling)</w:t>
      </w:r>
      <w:r>
        <w:t xml:space="preserve"> : prévention alopécie (Cold Cap®) — réduit l'alopécie dans 50-60 % des cas, efficacité variable.</w:t>
      </w:r>
    </w:p>
    <w:p>
      <w:pPr>
        <w:pStyle w:val="ListBullet"/>
      </w:pPr>
      <w:r/>
      <w:r>
        <w:rPr>
          <w:b/>
        </w:rPr>
        <w:t>Interactions médicamenteuses</w:t>
      </w:r>
      <w:r>
        <w:t xml:space="preserve"> :</w:t>
      </w:r>
    </w:p>
    <w:p>
      <w:pPr>
        <w:pStyle w:val="ListBullet"/>
      </w:pPr>
      <w:r/>
      <w:r>
        <w:rPr>
          <w:b/>
        </w:rPr>
        <w:t>Doxorubicine + trastuzumab</w:t>
      </w:r>
      <w:r>
        <w:t xml:space="preserve"> : cardiotoxicité additive majeure — à éviter en simultané (séquence : doxorubicine → trastuzumab après washout).</w:t>
      </w:r>
    </w:p>
    <w:p>
      <w:pPr>
        <w:pStyle w:val="ListBullet"/>
      </w:pPr>
      <w:r/>
      <w:r>
        <w:rPr>
          <w:b/>
        </w:rPr>
        <w:t>Doxorubicine + cyclophosphamide</w:t>
      </w:r>
      <w:r>
        <w:t xml:space="preserve"> : synergie classique (protocoles AC, CAP), cardiotoxicité additive.</w:t>
      </w:r>
    </w:p>
    <w:p>
      <w:pPr>
        <w:pStyle w:val="ListBullet"/>
      </w:pPr>
      <w:r/>
      <w:r>
        <w:rPr>
          <w:b/>
        </w:rPr>
        <w:t>Doxorubicine + cisplatine, paclitaxel, docétaxel</w:t>
      </w:r>
      <w:r>
        <w:t xml:space="preserve"> : synergies classiques.</w:t>
      </w:r>
    </w:p>
    <w:p>
      <w:pPr>
        <w:pStyle w:val="ListBullet"/>
      </w:pPr>
      <w:r/>
      <w:r>
        <w:rPr>
          <w:b/>
        </w:rPr>
        <w:t>Doxorubicine + radiothérapie thoracique</w:t>
      </w:r>
      <w:r>
        <w:t xml:space="preserve"> : majoration de la toxicité cardiaque et pulmonaire (médiastinite, péricardite) — délai de 4 semaines entre doxorubicine et RT thoracique.</w:t>
      </w:r>
    </w:p>
    <w:p>
      <w:pPr>
        <w:pStyle w:val="ListBullet"/>
      </w:pPr>
      <w:r/>
      <w:r>
        <w:rPr>
          <w:b/>
        </w:rPr>
        <w:t>Doxorubicine + phénobarbital, phénytoïne, rifampicine</w:t>
      </w:r>
      <w:r>
        <w:t xml:space="preserve"> (inducteurs CYP3A4) : réduction de l'efficacité de la doxorubicine (augmentation du métabolisme).</w:t>
      </w:r>
    </w:p>
    <w:p>
      <w:pPr>
        <w:pStyle w:val="ListBullet"/>
      </w:pPr>
      <w:r/>
      <w:r>
        <w:rPr>
          <w:b/>
        </w:rPr>
        <w:t>Doxorubicine + clarithromycine, itraconazole, kétoconazole, ritonavir</w:t>
      </w:r>
      <w:r>
        <w:t xml:space="preserve"> (inhibiteurs CYP3A4) : augmentation des taux de doxorubicine (risque toxique).</w:t>
      </w:r>
    </w:p>
    <w:p>
      <w:pPr>
        <w:pStyle w:val="ListBullet"/>
      </w:pPr>
      <w:r/>
      <w:r>
        <w:rPr>
          <w:b/>
        </w:rPr>
        <w:t>Doxorubicine + warfarine, AVK</w:t>
      </w:r>
      <w:r>
        <w:t xml:space="preserve"> : majoration de l'effet anticoagulant — surveillance INR.</w:t>
      </w:r>
    </w:p>
    <w:p>
      <w:pPr>
        <w:pStyle w:val="ListBullet"/>
      </w:pPr>
      <w:r/>
      <w:r>
        <w:rPr>
          <w:b/>
        </w:rPr>
        <w:t>Doxorubicine + dexrazoxane</w:t>
      </w:r>
      <w:r>
        <w:t xml:space="preserve"> : réduction de la cardiotoxicité (prophylaxie).</w:t>
      </w:r>
    </w:p>
    <w:p>
      <w:pPr>
        <w:pStyle w:val="ListBullet"/>
      </w:pPr>
      <w:r/>
      <w:r>
        <w:rPr>
          <w:b/>
        </w:rPr>
        <w:t>Doxorubicine + vaccins vivants atténués</w:t>
      </w:r>
      <w:r>
        <w:t xml:space="preserve"> : contre-indication.</w:t>
      </w:r>
    </w:p>
    <w:p>
      <w:pPr>
        <w:pStyle w:val="ListBullet"/>
      </w:pPr>
      <w:r/>
      <w:r>
        <w:rPr>
          <w:b/>
        </w:rPr>
        <w:t>Doxorubicine + paclitaxel</w:t>
      </w:r>
      <w:r>
        <w:t xml:space="preserve"> : séquence d'administration (doxorubicine avant paclitaxel — sinon inhibition du métabolisme par paclitaxel).</w:t>
      </w:r>
    </w:p>
    <w:p>
      <w:pPr>
        <w:pStyle w:val="ListBullet"/>
      </w:pPr>
      <w:r/>
      <w:r>
        <w:rPr>
          <w:b/>
        </w:rPr>
        <w:t>Doxorubicine + sorivudine, brivudine</w:t>
      </w:r>
      <w:r>
        <w:t xml:space="preserve"> : toxicité (inhibition DPD — sans incidence sur doxorubicine, mais prudence).</w:t>
      </w:r>
    </w:p>
    <w:p>
      <w:pPr>
        <w:pStyle w:val="ListBullet"/>
      </w:pPr>
      <w:r/>
      <w:r>
        <w:rPr>
          <w:b/>
        </w:rPr>
        <w:t>Grossesse et allaitement (CRAT)</w:t>
      </w:r>
      <w:r>
        <w:t xml:space="preserve"> :</w:t>
      </w:r>
    </w:p>
    <w:p>
      <w:pPr>
        <w:pStyle w:val="ListBullet"/>
      </w:pPr>
      <w:r/>
      <w:r>
        <w:rPr>
          <w:b/>
        </w:rPr>
        <w:t>Grossesse</w:t>
      </w:r>
      <w:r>
        <w:t xml:space="preserve"> : selon le CRAT, la doxorubicine est </w:t>
      </w:r>
      <w:r>
        <w:rPr>
          <w:b/>
        </w:rPr>
        <w:t>tératogène</w:t>
      </w:r>
      <w:r>
        <w:t xml:space="preserve"> chez l'animal (anomalies cardiovasculaires, squelettiques, fœtotoxicité). Catégorie D (à éviter formellement). Contraception obligatoire pendant et 3 mois après (femme et homme). En cas de cancer du sein diagnostiqué pendant grossesse : discussion multidisciplinaire — doxorubicine possible au 2ème et 3ème trimestre avec surveillance échographique (légère cardiotoxicité fœtale rapportée).</w:t>
      </w:r>
    </w:p>
    <w:p>
      <w:pPr>
        <w:pStyle w:val="ListBullet"/>
      </w:pPr>
      <w:r/>
      <w:r>
        <w:rPr>
          <w:b/>
        </w:rPr>
        <w:t>Allaitement</w:t>
      </w:r>
      <w:r>
        <w:t xml:space="preserve"> : contre-indiqué (passe dans le lait, cardiotoxique pour le nourrisson).</w:t>
      </w:r>
    </w:p>
    <w:p>
      <w:pPr>
        <w:pStyle w:val="ListBullet"/>
      </w:pPr>
      <w:r/>
      <w:r>
        <w:rPr>
          <w:b/>
        </w:rPr>
        <w:t>Posologie</w:t>
      </w:r>
      <w:r>
        <w:t xml:space="preserve"> :</w:t>
      </w:r>
    </w:p>
    <w:p>
      <w:pPr>
        <w:pStyle w:val="ListBullet"/>
      </w:pPr>
      <w:r/>
      <w:r>
        <w:rPr>
          <w:b/>
        </w:rPr>
        <w:t>Adulte IV (conventionnelle)</w:t>
      </w:r>
      <w:r>
        <w:t xml:space="preserve"> : 60-75 mg/m² IV en bolus ou perfusion de 5-15 min, J1 de chaque cycle de 21 jours, ou 40-60 mg/m² J1 de chaque cycle de 28 jours. Dose cumulative maximale : </w:t>
      </w:r>
      <w:r>
        <w:rPr>
          <w:b/>
        </w:rPr>
        <w:t>450-550 mg/m²</w:t>
      </w:r>
      <w:r>
        <w:t xml:space="preserve"> (selon facteurs de risque).</w:t>
      </w:r>
    </w:p>
    <w:p>
      <w:pPr>
        <w:pStyle w:val="ListBullet"/>
      </w:pPr>
      <w:r/>
      <w:r>
        <w:rPr>
          <w:b/>
        </w:rPr>
        <w:t>Adulte IV (liposomale pegylate, LIPODOX)</w:t>
      </w:r>
      <w:r>
        <w:t xml:space="preserve"> : 20-50 mg/m² IV en perfusion de 30-60 min (sous 1 mg/min pour éviter réaction liée à la perfusion), toutes les 3-4 semaines selon indication. Dose cumulative maximale : 500-700 mg/m².</w:t>
      </w:r>
    </w:p>
    <w:p>
      <w:pPr>
        <w:pStyle w:val="ListBullet"/>
      </w:pPr>
      <w:r/>
      <w:r>
        <w:rPr>
          <w:b/>
        </w:rPr>
        <w:t>Protocoles spécifiques</w:t>
      </w:r>
      <w:r>
        <w:t xml:space="preserve"> : AC (60/600) ; ABVD (25/10/6/375) ; CHOP (750/50/1,4/100) ; TAC (75/600/75) ; FAC (500/50/500) ; MVAC (30/4/30 — doxorubicine 30 mg/m² J2).</w:t>
      </w:r>
    </w:p>
    <w:p>
      <w:pPr>
        <w:pStyle w:val="ListBullet"/>
      </w:pPr>
      <w:r/>
      <w:r>
        <w:rPr>
          <w:b/>
        </w:rPr>
        <w:t>Adaptation hépatique</w:t>
      </w:r>
      <w:r>
        <w:t xml:space="preserve"> : bilirubine 1,5-3 mg/dL → réduire 50 % ; 3-5 → réduire 75 % ; &gt; 5 → contre-indication.</w:t>
      </w:r>
    </w:p>
    <w:p>
      <w:pPr>
        <w:pStyle w:val="ListBullet"/>
      </w:pPr>
      <w:r/>
      <w:r>
        <w:rPr>
          <w:b/>
        </w:rPr>
        <w:t>Adaptation cardiaque</w:t>
      </w:r>
      <w:r>
        <w:t xml:space="preserve"> : FEVG &lt; 50 % → contre-indication ; 50-60 % avec facteur de risque → dexrazoxane + surveillance étroite.</w:t>
      </w:r>
    </w:p>
    <w:p>
      <w:pPr>
        <w:pStyle w:val="ListBullet"/>
      </w:pPr>
      <w:r/>
      <w:r>
        <w:rPr>
          <w:b/>
        </w:rPr>
        <w:t>Adaptation hématologique</w:t>
      </w:r>
      <w:r>
        <w:t xml:space="preserve"> : PNN &lt; 1,5 G/L ou plaquettes &lt; 100 G/L → retarder cure d'1 semaine ; si récidive → réduire 25 %.</w:t>
      </w:r>
    </w:p>
    <w:p>
      <w:pPr>
        <w:pStyle w:val="ListBullet"/>
      </w:pPr>
      <w:r/>
      <w:r>
        <w:rPr>
          <w:b/>
        </w:rPr>
        <w:t>Sujet âgé &gt; 70 ans</w:t>
      </w:r>
      <w:r>
        <w:t xml:space="preserve"> : réduction 25 % initiale.</w:t>
      </w:r>
    </w:p>
    <w:p>
      <w:pPr>
        <w:pStyle w:val="ListBullet"/>
      </w:pPr>
      <w:r/>
      <w:r>
        <w:rPr>
          <w:b/>
        </w:rPr>
        <w:t>Formes galéniques</w:t>
      </w:r>
      <w:r>
        <w:t xml:space="preserve"> :</w:t>
      </w:r>
    </w:p>
    <w:p>
      <w:pPr>
        <w:pStyle w:val="ListBullet"/>
      </w:pPr>
      <w:r/>
      <w:r>
        <w:rPr>
          <w:b/>
        </w:rPr>
        <w:t>Lyophilisat pour solution injectable IV 10 mg et 50 mg</w:t>
      </w:r>
      <w:r>
        <w:t xml:space="preserve"> (ONCODOX-10 et ONCODOX-50 Cipla actifs) : reconstitution avec 5 mL ou 25 mL de NaCl 0,9 % (concentration 2 mg/mL), puis administration IV stricte (bolus ou perfusion courte 5-15 min). Forme conventionnelle de référence.</w:t>
      </w:r>
    </w:p>
    <w:p>
      <w:pPr>
        <w:pStyle w:val="ListBullet"/>
      </w:pPr>
      <w:r/>
      <w:r>
        <w:rPr>
          <w:b/>
        </w:rPr>
        <w:t>Solution à diluer pour perfusion IV 2 mg/mL (50 mg/25 mL)</w:t>
      </w:r>
      <w:r>
        <w:t xml:space="preserve"> (LIPODOX Sun Pharmaceuticals actif) : forme </w:t>
      </w:r>
      <w:r>
        <w:rPr>
          <w:b/>
        </w:rPr>
        <w:t>liposomale pegylate</w:t>
      </w:r>
      <w:r>
        <w:t xml:space="preserve"> (doxorubicine encapsulée dans des liposomes pegylés) — protocole de perfusion stricte (sous 1 mg/min initialement pour éviter réaction liée à la perfusion, puis escalade). Indications : sarcome de Kaposi, ovaire, sein métastatique, myélome multiple (en association avec bortézomib). Réduction majeure de la cardiotoxicité (dose cumulative max 500-700 mg/m²). Boîte de 1 flacon de 25 mL (50 mg).</w:t>
      </w:r>
    </w:p>
    <w:p>
      <w:pPr>
        <w:pStyle w:val="ListBullet"/>
      </w:pPr>
      <w:r/>
      <w:r>
        <w:rPr>
          <w:b/>
        </w:rPr>
        <w:t>Formes historiques</w:t>
      </w:r>
      <w:r>
        <w:t xml:space="preserve"> (DOXORUBICIN HCL China Meheco retiré, DOXORUBICINE TEDEC Meiji retiré, DOXOLEM Lemery retiré, OKARUBICIN-50 Biovital retiré, DOXORUBICINE EBEWE non renouvelable) : anciennes formes de référence.</w:t>
      </w:r>
    </w:p>
    <w:p>
      <w:pPr>
        <w:pStyle w:val="ListBullet"/>
      </w:pPr>
      <w:r/>
      <w:r>
        <w:rPr>
          <w:b/>
        </w:rPr>
        <w:t>Conservation</w:t>
      </w:r>
      <w:r>
        <w:t xml:space="preserve"> : à température 2-8 °C (réfrigérateur), à l'abri de la lumière. Ne pas congeler. Solutions reconstituées stables 24 h à température ambiante (NaCl 0,9 %) ou 7 jours à 2-8 °C. Solutions diluées à utiliser immédiatement.</w:t>
      </w:r>
    </w:p>
    <w:p>
      <w:pPr>
        <w:pStyle w:val="ListBullet"/>
      </w:pPr>
      <w:r/>
      <w:r>
        <w:rPr>
          <w:b/>
        </w:rPr>
        <w:t>Manipulation</w:t>
      </w:r>
      <w:r>
        <w:t xml:space="preserve"> : précautions cytotoxiques standard strictes (gants doubles nitrile, masque FFP2, lunettes, blouse EN 13034, charlotte) — la doxorubicine est un vésicant puissant. En cas de contact cutané accidentel → rincer abondamment à l'eau. En cas d'extravasation → arrêter immédiatement, aspiration par le cathéter, froid local, injection de dexrazoxane (Totect®) IV dans les 6 h.</w:t>
      </w:r>
    </w:p>
    <w:p>
      <w:pPr>
        <w:pStyle w:val="ListBullet"/>
      </w:pPr>
      <w:r/>
      <w:r>
        <w:rPr>
          <w:b/>
        </w:rPr>
        <w:t>Conseils aux patients</w:t>
      </w:r>
      <w:r>
        <w:t xml:space="preserve"> :</w:t>
      </w:r>
    </w:p>
    <w:p>
      <w:pPr>
        <w:pStyle w:val="ListBullet"/>
      </w:pPr>
      <w:r/>
      <w:r>
        <w:rPr>
          <w:b/>
        </w:rPr>
        <w:t>Communication au comptoir</w:t>
      </w:r>
      <w:r>
        <w:t xml:space="preserve"> : « Voici votre doxorubicine (perfusable à l'hôpital). Elle sera administrée par voie IV stricte. </w:t>
      </w:r>
      <w:r>
        <w:rPr>
          <w:b/>
        </w:rPr>
        <w:t>Vos urines peuvent devenir rouges pendant 1 à 2 jours après la perfusion — c'est normal et dû à la couleur du médicament</w:t>
      </w:r>
      <w:r>
        <w:t>, ce n'est pas du sang. Vous risquez de perdre vos cheveux (alopécie totale dans 90 % des cas à partir de la 2ème semaine) — c'est souvent réversible à l'arrêt du traitement (prévoyez une perruque, un foulard). Surveillez votre température : si fièvre &gt; 38,5 °C, consultez en urgence. Si vous avez des ulcères buccaux, des nausées, des saignements, prévenez votre médecin. »</w:t>
      </w:r>
    </w:p>
    <w:p>
      <w:pPr>
        <w:pStyle w:val="ListBullet"/>
      </w:pPr>
      <w:r/>
      <w:r>
        <w:rPr>
          <w:b/>
        </w:rPr>
        <w:t>Mode d'utilisation</w:t>
      </w:r>
      <w:r>
        <w:t xml:space="preserve"> : perfusion IV à l'hôpital, en bolus ou perfusion courte.</w:t>
      </w:r>
    </w:p>
    <w:p>
      <w:pPr>
        <w:pStyle w:val="ListBullet"/>
      </w:pPr>
      <w:r/>
      <w:r>
        <w:rPr>
          <w:b/>
        </w:rPr>
        <w:t>Surveillance</w:t>
      </w:r>
      <w:r>
        <w:t xml:space="preserve"> : NFS avant chaque cure et J10-J14, échographie cardiaque avant traitement puis toutes les 2 cures au-delà de 300 mg/m², troponine I avant chaque cure, ECG avant chaque cure.</w:t>
      </w:r>
    </w:p>
    <w:p>
      <w:pPr>
        <w:pStyle w:val="ListBullet"/>
      </w:pPr>
      <w:r/>
      <w:r>
        <w:rPr>
          <w:b/>
        </w:rPr>
        <w:t>Hydratation</w:t>
      </w:r>
      <w:r>
        <w:t xml:space="preserve"> : 1,5-2 L/j.</w:t>
      </w:r>
    </w:p>
    <w:p>
      <w:pPr>
        <w:pStyle w:val="ListBullet"/>
      </w:pPr>
      <w:r/>
      <w:r>
        <w:rPr>
          <w:b/>
        </w:rPr>
        <w:t>Antiemetic prophylaxie</w:t>
      </w:r>
      <w:r>
        <w:t xml:space="preserve"> : triplette (ondansétron + dexaméthasone + aprépitant).</w:t>
      </w:r>
    </w:p>
    <w:p>
      <w:pPr>
        <w:pStyle w:val="ListBullet"/>
      </w:pPr>
      <w:r/>
      <w:r>
        <w:rPr>
          <w:b/>
        </w:rPr>
        <w:t>Cryothérapie</w:t>
      </w:r>
      <w:r>
        <w:t xml:space="preserve"> : sucer des glaçons pendant le bolus.</w:t>
      </w:r>
    </w:p>
    <w:p>
      <w:pPr>
        <w:pStyle w:val="ListBullet"/>
      </w:pPr>
      <w:r/>
      <w:r>
        <w:rPr>
          <w:b/>
        </w:rPr>
        <w:t>Cold Cap</w:t>
      </w:r>
      <w:r>
        <w:t xml:space="preserve"> : casque réfrigérant pendant et 2 h après la perfusion (réduction de l'alopécie dans 50-60 %).</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 pendant et 3 mois après.</w:t>
      </w:r>
    </w:p>
    <w:p>
      <w:pPr>
        <w:pStyle w:val="ListBullet"/>
      </w:pPr>
      <w:r/>
      <w:r>
        <w:rPr>
          <w:b/>
        </w:rPr>
        <w:t>En cas de douleur au point de perfusion, fièvre, ulcère buccal, saignement, essoufflement, palpitations</w:t>
      </w:r>
      <w:r>
        <w:t xml:space="preserve"> : consulter en urgence.</w:t>
      </w:r>
    </w:p>
    <w:p>
      <w:pPr>
        <w:pStyle w:val="ListBullet"/>
      </w:pPr>
      <w:r/>
      <w:r>
        <w:rPr>
          <w:b/>
        </w:rPr>
        <w:t>Ne pas avoir peur des urines rouges</w:t>
      </w:r>
      <w:r>
        <w:t xml:space="preserve"> : information patient +++.</w:t>
      </w:r>
    </w:p>
    <w:p>
      <w:pPr>
        <w:pStyle w:val="ListBullet"/>
      </w:pPr>
      <w:r/>
      <w:r>
        <w:rPr>
          <w:b/>
        </w:rPr>
        <w:t>Pièges classiques</w:t>
      </w:r>
      <w:r>
        <w:t xml:space="preserve"> :</w:t>
      </w:r>
    </w:p>
    <w:p>
      <w:pPr>
        <w:pStyle w:val="ListBullet"/>
      </w:pPr>
      <w:r/>
      <w:r>
        <w:rPr>
          <w:b/>
        </w:rPr>
        <w:t>Piège de la dose cumulative cardiaque</w:t>
      </w:r>
      <w:r>
        <w:t xml:space="preserve"> : à tracer scrupuleusement pour chaque patient — dépasser 450-550 mg/m² expose à une insuffisance cardiaque sévère souvent irréversible.</w:t>
      </w:r>
    </w:p>
    <w:p>
      <w:pPr>
        <w:pStyle w:val="ListBullet"/>
      </w:pPr>
      <w:r/>
      <w:r>
        <w:rPr>
          <w:b/>
        </w:rPr>
        <w:t>Piège de l'extravasation</w:t>
      </w:r>
      <w:r>
        <w:t xml:space="preserve"> : nécrose tissulaire grave — voie centrale préférentielle pour protocoles prolongés ; en cas d'extravasation, dexrazoxane IV dans les 6 h.</w:t>
      </w:r>
    </w:p>
    <w:p>
      <w:pPr>
        <w:pStyle w:val="ListBullet"/>
      </w:pPr>
      <w:r/>
      <w:r>
        <w:rPr>
          <w:b/>
        </w:rPr>
        <w:t>Piège de l'adaptation hépatique</w:t>
      </w:r>
      <w:r>
        <w:t xml:space="preserve"> : bilirubine &gt; 1,5 mg/dL → réduire 50 % ; &gt; 5 → contre-indication.</w:t>
      </w:r>
    </w:p>
    <w:p>
      <w:pPr>
        <w:pStyle w:val="ListBullet"/>
      </w:pPr>
      <w:r/>
      <w:r>
        <w:rPr>
          <w:b/>
        </w:rPr>
        <w:t>Piège de l'association avec trastuzumab</w:t>
      </w:r>
      <w:r>
        <w:t xml:space="preserve"> : cardiotoxicité additive majeure — à éviter en simultané.</w:t>
      </w:r>
    </w:p>
    <w:p>
      <w:pPr>
        <w:pStyle w:val="ListBullet"/>
      </w:pPr>
      <w:r/>
      <w:r>
        <w:rPr>
          <w:b/>
        </w:rPr>
        <w:t>Piège de l'alopécie non annoncée</w:t>
      </w:r>
      <w:r>
        <w:t xml:space="preserve"> : toujours prévenir le patient (impact psychologique majeur) ; proposer cold cap, perruque, prothèse.</w:t>
      </w:r>
    </w:p>
    <w:p>
      <w:pPr>
        <w:pStyle w:val="ListBullet"/>
      </w:pPr>
      <w:r/>
      <w:r>
        <w:rPr>
          <w:b/>
        </w:rPr>
        <w:t>Piège des urines rouges</w:t>
      </w:r>
      <w:r>
        <w:t xml:space="preserve"> : toujours prévenir le patient (peur du sang dans les urines).</w:t>
      </w:r>
    </w:p>
    <w:p>
      <w:pPr>
        <w:pStyle w:val="ListBullet"/>
      </w:pPr>
      <w:r/>
      <w:r>
        <w:rPr>
          <w:b/>
        </w:rPr>
        <w:t>Piège de la surveillance cardiaque</w:t>
      </w:r>
      <w:r>
        <w:t xml:space="preserve"> : FEVG avant traitement obligatoire — ne pas débuter sans échographie cardiaque.</w:t>
      </w:r>
    </w:p>
    <w:p>
      <w:pPr>
        <w:pStyle w:val="ListBullet"/>
      </w:pPr>
      <w:r/>
      <w:r>
        <w:rPr>
          <w:b/>
        </w:rPr>
        <w:t>Piège du sujet âgé</w:t>
      </w:r>
      <w:r>
        <w:t xml:space="preserve"> : réduction 25 %, surveillance cardiaque ++.</w:t>
      </w:r>
    </w:p>
    <w:p>
      <w:pPr>
        <w:pStyle w:val="ListBullet"/>
      </w:pPr>
      <w:r/>
      <w:r>
        <w:rPr>
          <w:b/>
        </w:rPr>
        <w:t>Piège de substitution forme conventionnelle ↔ liposomale</w:t>
      </w:r>
      <w:r>
        <w:t xml:space="preserve"> : posologie différente (liposomale à 20-50 mg/m² vs conventionnelle 60-75 mg/m²) — ne pas substituer sans avis oncologique.</w:t>
      </w:r>
    </w:p>
    <w:p>
      <w:pPr>
        <w:pStyle w:val="ListBullet"/>
      </w:pPr>
      <w:r/>
      <w:r>
        <w:rPr>
          <w:b/>
        </w:rPr>
        <w:t>Piège de la substitution de marque</w:t>
      </w:r>
      <w:r>
        <w:t xml:space="preserve"> : DOXORUBICINE EBEWE non renouvelable — anticiper ONCODOX Cipla ou LIPODOX.</w:t>
      </w:r>
    </w:p>
    <w:p>
      <w:pPr>
        <w:pStyle w:val="Heading3"/>
      </w:pPr>
      <w:r>
        <w:t>13. DCI : Daunorubicine</w:t>
      </w:r>
    </w:p>
    <w:p>
      <w:pPr>
        <w:pStyle w:val="ListBullet"/>
      </w:pPr>
      <w:r/>
      <w:r>
        <w:rPr>
          <w:b/>
        </w:rPr>
        <w:t>Catégories</w:t>
      </w:r>
      <w:r>
        <w:t xml:space="preserve"> : Antibiotique antitumoral anthracycline ; intercalant de l'ADN ; inhibiteur de la topo-isomérase II ; générateur de radicaux libres ; classe ATC L01DB02.</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CERUBIDINE</w:t>
            </w:r>
          </w:p>
        </w:tc>
        <w:tc>
          <w:tcPr>
            <w:tcW w:type="dxa" w:w="1559"/>
          </w:tcPr>
          <w:p>
            <w:r>
              <w:rPr>
                <w:sz w:val="20"/>
              </w:rPr>
              <w:t>SANOFI AVENTIS FRANCE</w:t>
            </w:r>
          </w:p>
        </w:tc>
        <w:tc>
          <w:tcPr>
            <w:tcW w:type="dxa" w:w="1559"/>
          </w:tcPr>
          <w:p>
            <w:r>
              <w:rPr>
                <w:sz w:val="20"/>
              </w:rPr>
              <w:t>Poudre pour solution pour perfusion IV, 20 mg</w:t>
            </w:r>
          </w:p>
        </w:tc>
        <w:tc>
          <w:tcPr>
            <w:tcW w:type="dxa" w:w="1559"/>
          </w:tcPr>
          <w:p>
            <w:r>
              <w:rPr>
                <w:sz w:val="20"/>
              </w:rPr>
              <w:t>B/10 flacons</w:t>
            </w:r>
          </w:p>
        </w:tc>
        <w:tc>
          <w:tcPr>
            <w:tcW w:type="dxa" w:w="1559"/>
          </w:tcPr>
          <w:p>
            <w:r>
              <w:rPr>
                <w:sz w:val="20"/>
              </w:rPr>
              <w:t>LISTE I</w:t>
            </w:r>
          </w:p>
        </w:tc>
        <w:tc>
          <w:tcPr>
            <w:tcW w:type="dxa" w:w="1559"/>
          </w:tcPr>
          <w:p>
            <w:r>
              <w:rPr>
                <w:sz w:val="20"/>
              </w:rPr>
              <w:t>ACTIF</w:t>
            </w:r>
          </w:p>
        </w:tc>
      </w:tr>
      <w:tr>
        <w:tc>
          <w:tcPr>
            <w:tcW w:type="dxa" w:w="1559"/>
          </w:tcPr>
          <w:p>
            <w:r>
              <w:rPr>
                <w:sz w:val="20"/>
              </w:rPr>
              <w:t>DAUNOCIN</w:t>
            </w:r>
          </w:p>
        </w:tc>
        <w:tc>
          <w:tcPr>
            <w:tcW w:type="dxa" w:w="1559"/>
          </w:tcPr>
          <w:p>
            <w:r>
              <w:rPr>
                <w:sz w:val="20"/>
              </w:rPr>
              <w:t>KOREA UNITED PHARM INC</w:t>
            </w:r>
          </w:p>
        </w:tc>
        <w:tc>
          <w:tcPr>
            <w:tcW w:type="dxa" w:w="1559"/>
          </w:tcPr>
          <w:p>
            <w:r>
              <w:rPr>
                <w:sz w:val="20"/>
              </w:rPr>
              <w:t>Poudre pour solution pour perfusion IV, 20 mg/flacon</w:t>
            </w:r>
          </w:p>
        </w:tc>
        <w:tc>
          <w:tcPr>
            <w:tcW w:type="dxa" w:w="1559"/>
          </w:tcPr>
          <w:p>
            <w:r>
              <w:rPr>
                <w:sz w:val="20"/>
              </w:rPr>
              <w:t>B/1 flacon de poudre</w:t>
            </w:r>
          </w:p>
        </w:tc>
        <w:tc>
          <w:tcPr>
            <w:tcW w:type="dxa" w:w="1559"/>
          </w:tcPr>
          <w:p>
            <w:r>
              <w:rPr>
                <w:sz w:val="20"/>
              </w:rPr>
              <w:t>LISTE I</w:t>
            </w:r>
          </w:p>
        </w:tc>
        <w:tc>
          <w:tcPr>
            <w:tcW w:type="dxa" w:w="1559"/>
          </w:tcPr>
          <w:p>
            <w:r>
              <w:rPr>
                <w:sz w:val="20"/>
              </w:rPr>
              <w:t>ACTIF</w:t>
            </w:r>
          </w:p>
        </w:tc>
      </w:tr>
      <w:tr>
        <w:tc>
          <w:tcPr>
            <w:tcW w:type="dxa" w:w="1559"/>
          </w:tcPr>
          <w:p>
            <w:r>
              <w:rPr>
                <w:sz w:val="20"/>
              </w:rPr>
              <w:t>DAUNOTEC</w:t>
            </w:r>
          </w:p>
        </w:tc>
        <w:tc>
          <w:tcPr>
            <w:tcW w:type="dxa" w:w="1559"/>
          </w:tcPr>
          <w:p>
            <w:r>
              <w:rPr>
                <w:sz w:val="20"/>
              </w:rPr>
              <w:t>CIPLA LIMITED</w:t>
            </w:r>
          </w:p>
        </w:tc>
        <w:tc>
          <w:tcPr>
            <w:tcW w:type="dxa" w:w="1559"/>
          </w:tcPr>
          <w:p>
            <w:r>
              <w:rPr>
                <w:sz w:val="20"/>
              </w:rPr>
              <w:t>Poudre pour solution pour perfusion IV, 20 mg/flacon de lyophilisat</w:t>
            </w:r>
          </w:p>
        </w:tc>
        <w:tc>
          <w:tcPr>
            <w:tcW w:type="dxa" w:w="1559"/>
          </w:tcPr>
          <w:p>
            <w:r>
              <w:rPr>
                <w:sz w:val="20"/>
              </w:rPr>
              <w:t>B/1 flacon de lyophilisat + 1 flacon de 10 mL de solvant (NaCl 0,9 %)</w:t>
            </w:r>
          </w:p>
        </w:tc>
        <w:tc>
          <w:tcPr>
            <w:tcW w:type="dxa" w:w="1559"/>
          </w:tcPr>
          <w:p>
            <w:r>
              <w:rPr>
                <w:sz w:val="20"/>
              </w:rPr>
              <w:t>LISTE I</w:t>
            </w:r>
          </w:p>
        </w:tc>
        <w:tc>
          <w:tcPr>
            <w:tcW w:type="dxa" w:w="1559"/>
          </w:tcPr>
          <w:p>
            <w:r>
              <w:rPr>
                <w:sz w:val="20"/>
              </w:rPr>
              <w:t>ACTIF</w:t>
            </w:r>
          </w:p>
        </w:tc>
      </w:tr>
      <w:tr>
        <w:tc>
          <w:tcPr>
            <w:tcW w:type="dxa" w:w="1559"/>
          </w:tcPr>
          <w:p>
            <w:r>
              <w:rPr>
                <w:sz w:val="20"/>
              </w:rPr>
              <w:t>RUBILEM</w:t>
            </w:r>
          </w:p>
        </w:tc>
        <w:tc>
          <w:tcPr>
            <w:tcW w:type="dxa" w:w="1559"/>
          </w:tcPr>
          <w:p>
            <w:r>
              <w:rPr>
                <w:sz w:val="20"/>
              </w:rPr>
              <w:t>LEMERY</w:t>
            </w:r>
          </w:p>
        </w:tc>
        <w:tc>
          <w:tcPr>
            <w:tcW w:type="dxa" w:w="1559"/>
          </w:tcPr>
          <w:p>
            <w:r>
              <w:rPr>
                <w:sz w:val="20"/>
              </w:rPr>
              <w:t>Lyophilisat solution injectable, 20 mg</w:t>
            </w:r>
          </w:p>
        </w:tc>
        <w:tc>
          <w:tcPr>
            <w:tcW w:type="dxa" w:w="1559"/>
          </w:tcPr>
          <w:p>
            <w:r>
              <w:rPr>
                <w:sz w:val="20"/>
              </w:rPr>
              <w:t>B/1 ampoule de 5 mL</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daunorubicine (daunomycine, 14-méthoxydaunorubicine) est une </w:t>
      </w:r>
      <w:r>
        <w:rPr>
          <w:b/>
        </w:rPr>
        <w:t>anthracycline naturelle</w:t>
      </w:r>
      <w:r>
        <w:t xml:space="preserve"> extraite de *Streptomyces coeruleorubidus*. Elle diffère structurellement de la doxorubicine par l'absence du groupement hydroxyle en position 14 (remplacé par un hydrogène) — cette différence mineure a des conséquences pharmacocinétiques (demi-vie plus courte) et pharmacodynamiques (affinité préférentielle pour les cellules hématopoïétiques). Son mécanisme d'action est identique à celui de la doxorubicine : (1) </w:t>
      </w:r>
      <w:r>
        <w:rPr>
          <w:b/>
        </w:rPr>
        <w:t>intercalation dans l'ADN double brin</w:t>
      </w:r>
      <w:r>
        <w:t xml:space="preserve"> par le noyau tétracyclique plan ; (2) </w:t>
      </w:r>
      <w:r>
        <w:rPr>
          <w:b/>
        </w:rPr>
        <w:t>inhibition de la topoisomérase II</w:t>
      </w:r>
      <w:r>
        <w:t xml:space="preserve"> (stabilisation du complexe clivable ADN-topo II) → cassures double brin de l'ADN ; (3) </w:t>
      </w:r>
      <w:r>
        <w:rPr>
          <w:b/>
        </w:rPr>
        <w:t>génération de radicaux libres oxygénés</w:t>
      </w:r>
      <w:r>
        <w:t xml:space="preserve"> par cycle redox Fe²⁺-daunorubicine (NADPH-cytochrome P450 réductase, NADH-déshydrogénase mitochondriale) → peroxydation lipidique des membranes, cardiotoxicité ; (4) formation de complexes ADN-daunorubicine-topo II → apoptose via activation p53 et caspases. La daunorubicine est historiquement la première anthracycline utilisée en clinique (1963), initialement dans les leucémies aiguës, puis largement supplantée par la doxorubicine dans les tumeurs solides en raison d'une activité supérieure de la doxorubicine sur les cellules solides. Sa place actuelle est essentiellement dans les </w:t>
      </w:r>
      <w:r>
        <w:rPr>
          <w:b/>
        </w:rPr>
        <w:t>leucémies aiguës (LAM et LAL)</w:t>
      </w:r>
      <w:r>
        <w:t xml:space="preserve"> en induction (protocole 7+3 : Ara-C + daunorubicine 60-90 mg/m² J1-J3) et en perfusion continue pour LAL.</w:t>
      </w:r>
    </w:p>
    <w:p>
      <w:pPr>
        <w:pStyle w:val="ListBullet"/>
      </w:pPr>
      <w:r/>
      <w:r>
        <w:rPr>
          <w:b/>
        </w:rPr>
        <w:t>Profil pharmacocinétique</w:t>
      </w:r>
      <w:r>
        <w:t xml:space="preserve"> : administration IV stricte (bolus ou perfusion courte). Distribution rapide (Vd 5-10 L/kg), concentration intracellulaire élevée (rapport cellule/plasma 100-500), passage LCR faible (5 %), passage placentaire. Liaison aux protéines plasmatiques 50-80 %. Métabolisme hépatique intense par l'aldéhyde réductase en </w:t>
      </w:r>
      <w:r>
        <w:rPr>
          <w:b/>
        </w:rPr>
        <w:t>daunorubicinol</w:t>
      </w:r>
      <w:r>
        <w:t xml:space="preserve"> (métabolite actif cardiotoxique, plus actif que la molécule mère sur les cellules leucémiques), puis CYP3A4 et UGT. Demi-vie d'élimination triphasique : t1/2α = 30-40 min, t1/2β = 20-30 h, t1/2γ = 30-50 h. Élimination biliaire principale (40-50 %) ; urinaire 15-25 %. Le daunorubicinol a une demi-vie prolongée (40-60 h), contribuant à la cardiotoxicité cumulative. Insuffisance hépatique : adaptation posologique selon bilirubine (1,5-3 mg/dL → réduire 50 % ; &gt; 3 → contre-indication). Insuffisance rénale : pas d'adaptation systématique.</w:t>
      </w:r>
    </w:p>
    <w:p>
      <w:pPr>
        <w:pStyle w:val="ListBullet"/>
      </w:pPr>
      <w:r/>
      <w:r>
        <w:rPr>
          <w:b/>
        </w:rPr>
        <w:t>Indications</w:t>
      </w:r>
      <w:r>
        <w:t xml:space="preserve"> :</w:t>
      </w:r>
    </w:p>
    <w:p>
      <w:pPr>
        <w:pStyle w:val="ListBullet"/>
      </w:pPr>
      <w:r/>
      <w:r>
        <w:rPr>
          <w:b/>
        </w:rPr>
        <w:t>Leucémie aiguë myéloïde (LAM)</w:t>
      </w:r>
      <w:r>
        <w:t xml:space="preserve"> : induction de rémission en protocole 7+3 (Ara-C 100-200 mg/m²/j perfusion continue 24 h J1-J7 + daunorubicine 60-90 mg/m² J1-J3) — daunorubicine 90 mg/m² supérieure à 45 mg/m² chez le sujet &lt; 60 ans (essai ALFA-9801).</w:t>
      </w:r>
    </w:p>
    <w:p>
      <w:pPr>
        <w:pStyle w:val="ListBullet"/>
      </w:pPr>
      <w:r/>
      <w:r>
        <w:rPr>
          <w:b/>
        </w:rPr>
        <w:t>Leucémie aiguë lymphoblastique (LAL)</w:t>
      </w:r>
      <w:r>
        <w:t xml:space="preserve"> : induction (daunorubicine 25-45 mg/m² J1-J3 + vincristine + asparaginase + prednisone, protocoles type GRAALL).</w:t>
      </w:r>
    </w:p>
    <w:p>
      <w:pPr>
        <w:pStyle w:val="ListBullet"/>
      </w:pPr>
      <w:r/>
      <w:r>
        <w:rPr>
          <w:b/>
        </w:rPr>
        <w:t>LAM consolidation</w:t>
      </w:r>
      <w:r>
        <w:t xml:space="preserve"> (rare, daunorubicine parfois remplacée par idarubicine).</w:t>
      </w:r>
    </w:p>
    <w:p>
      <w:pPr>
        <w:pStyle w:val="ListBullet"/>
      </w:pPr>
      <w:r>
        <w:t>Hors AMM : maladie de Kaposi (alternative à la doxorubicine liposomale).</w:t>
      </w:r>
    </w:p>
    <w:p>
      <w:pPr>
        <w:pStyle w:val="ListBullet"/>
      </w:pPr>
      <w:r/>
      <w:r>
        <w:rPr>
          <w:b/>
        </w:rPr>
        <w:t>Contre-indications</w:t>
      </w:r>
      <w:r>
        <w:t xml:space="preserve"> : (1) </w:t>
      </w:r>
      <w:r>
        <w:rPr>
          <w:b/>
        </w:rPr>
        <w:t>Dose cumulative déjà maximale</w:t>
      </w:r>
      <w:r>
        <w:t xml:space="preserve"> (&gt; 500 mg/m²) ; (2) </w:t>
      </w:r>
      <w:r>
        <w:rPr>
          <w:b/>
        </w:rPr>
        <w:t>Insuffisance cardiaque</w:t>
      </w:r>
      <w:r>
        <w:t xml:space="preserve"> (FEVG &lt; 50 %) ; (3) </w:t>
      </w:r>
      <w:r>
        <w:rPr>
          <w:b/>
        </w:rPr>
        <w:t>Insuffisance hépatique sévère</w:t>
      </w:r>
      <w:r>
        <w:t xml:space="preserve"> (bilirubine &gt; 3 mg/dL) ; (4) </w:t>
      </w:r>
      <w:r>
        <w:rPr>
          <w:b/>
        </w:rPr>
        <w:t>Patiente enceinte ou allaitant</w:t>
      </w:r>
      <w:r>
        <w:t xml:space="preserve"> ; (5) </w:t>
      </w:r>
      <w:r>
        <w:rPr>
          <w:b/>
        </w:rPr>
        <w:t>Aplasie médullaire préexistante</w:t>
      </w:r>
      <w:r>
        <w:t xml:space="preserve"> ; (6) </w:t>
      </w:r>
      <w:r>
        <w:rPr>
          <w:b/>
        </w:rPr>
        <w:t>Infection sévère non contrôlée</w:t>
      </w:r>
      <w:r>
        <w:t xml:space="preserve"> ; (7) </w:t>
      </w:r>
      <w:r>
        <w:rPr>
          <w:b/>
        </w:rPr>
        <w:t>Vaccination par vaccin vivant atténué</w:t>
      </w:r>
      <w:r>
        <w:t xml:space="preserve"> ; (8) </w:t>
      </w:r>
      <w:r>
        <w:rPr>
          <w:b/>
        </w:rPr>
        <w:t>Hypersensibilité à la daunorubicine</w:t>
      </w:r>
      <w:r>
        <w:t>.</w:t>
      </w:r>
    </w:p>
    <w:p>
      <w:pPr>
        <w:pStyle w:val="ListBullet"/>
      </w:pPr>
      <w:r/>
      <w:r>
        <w:rPr>
          <w:b/>
        </w:rPr>
        <w:t>Effets indésirables</w:t>
      </w:r>
      <w:r>
        <w:t xml:space="preserve"> : identiques à ceux de la doxorubicine mais prédominance hématologique (aplasia sévère en induction LAM) :</w:t>
      </w:r>
    </w:p>
    <w:p>
      <w:pPr>
        <w:pStyle w:val="ListBullet"/>
      </w:pPr>
      <w:r/>
      <w:r>
        <w:rPr>
          <w:b/>
        </w:rPr>
        <w:t>Cardiotoxicité</w:t>
      </w:r>
      <w:r>
        <w:t xml:space="preserve"> (cumulative) : même mécanisme et même dose maximale cumulative que la doxorubicine (≈ 500 mg/m²) — surveillance échographique obligatoire.</w:t>
      </w:r>
    </w:p>
    <w:p>
      <w:pPr>
        <w:pStyle w:val="ListBullet"/>
      </w:pPr>
      <w:r/>
      <w:r>
        <w:rPr>
          <w:b/>
        </w:rPr>
        <w:t>Hématologique</w:t>
      </w:r>
      <w:r>
        <w:t xml:space="preserve"> : myélotoxicité profonde — neutropénie (nadir J10-J14, souvent &lt; 0,1 G/L en induction LAM), thrombopénie (souvent &lt; 10 G/L), anémie. Aplasie prolongée 3-4 semaines en induction, justifiant hospitalisation en secteur protégé, antibiothérapie prophylactique et transfusions.</w:t>
      </w:r>
    </w:p>
    <w:p>
      <w:pPr>
        <w:pStyle w:val="ListBullet"/>
      </w:pPr>
      <w:r/>
      <w:r>
        <w:rPr>
          <w:b/>
        </w:rPr>
        <w:t>Digestive</w:t>
      </w:r>
      <w:r>
        <w:t xml:space="preserve"> : mucite sévère (parfois grade 3-4), nausées/vomissements (émétisants grade 3), anorexie, diarrhée.</w:t>
      </w:r>
    </w:p>
    <w:p>
      <w:pPr>
        <w:pStyle w:val="ListBullet"/>
      </w:pPr>
      <w:r/>
      <w:r>
        <w:rPr>
          <w:b/>
        </w:rPr>
        <w:t>Cutanée</w:t>
      </w:r>
      <w:r>
        <w:t xml:space="preserve"> : alopécie totale (90-100 %), coloration rouge des urines, réactions locales sévères en cas d'extravasation (vésicant majeur).</w:t>
      </w:r>
    </w:p>
    <w:p>
      <w:pPr>
        <w:pStyle w:val="ListBullet"/>
      </w:pPr>
      <w:r/>
      <w:r>
        <w:rPr>
          <w:b/>
        </w:rPr>
        <w:t>Hépatique</w:t>
      </w:r>
      <w:r>
        <w:t xml:space="preserve"> : élévation transitoire des transaminases.</w:t>
      </w:r>
    </w:p>
    <w:p>
      <w:pPr>
        <w:pStyle w:val="ListBullet"/>
      </w:pPr>
      <w:r/>
      <w:r>
        <w:rPr>
          <w:b/>
        </w:rPr>
        <w:t>Syndrome de lyse tumorale</w:t>
      </w:r>
      <w:r>
        <w:t xml:space="preserve"> : fréquent à l'induction LAM avec forte masse blastique → prophylaxie obligatoire (rasburicase, hydratation alcaline).</w:t>
      </w:r>
    </w:p>
    <w:p>
      <w:pPr>
        <w:pStyle w:val="ListBullet"/>
      </w:pPr>
      <w:r/>
      <w:r>
        <w:rPr>
          <w:b/>
        </w:rPr>
        <w:t>Leucémogénicité</w:t>
      </w:r>
      <w:r>
        <w:t xml:space="preserve"> (long terme) : risque de LAM secondaire avec translocation 11q23, surtout en pédiatrie.</w:t>
      </w:r>
    </w:p>
    <w:p>
      <w:pPr>
        <w:pStyle w:val="ListBullet"/>
      </w:pPr>
      <w:r/>
      <w:r>
        <w:rPr>
          <w:b/>
        </w:rPr>
        <w:t>Mesures préventives</w:t>
      </w:r>
      <w:r>
        <w:t xml:space="preserve"> : identiques à la doxorubicine :</w:t>
      </w:r>
    </w:p>
    <w:p>
      <w:pPr>
        <w:pStyle w:val="ListBullet"/>
      </w:pPr>
      <w:r>
        <w:t xml:space="preserve">Bilan pré-thérapeutique avec </w:t>
      </w:r>
      <w:r>
        <w:rPr>
          <w:b/>
        </w:rPr>
        <w:t>échographie cardiaque obligatoire</w:t>
      </w:r>
      <w:r>
        <w:t xml:space="preserve"> (FEVG &gt; 50 %), ECG, NFS-plaquettes, créatininémie, bilan hépatique, β-hCG, sérologies.</w:t>
      </w:r>
    </w:p>
    <w:p>
      <w:pPr>
        <w:pStyle w:val="ListBullet"/>
      </w:pPr>
      <w:r/>
      <w:r>
        <w:rPr>
          <w:b/>
        </w:rPr>
        <w:t>Surveillance cardiaque</w:t>
      </w:r>
      <w:r>
        <w:t xml:space="preserve"> : échographie cardiaque avant chaque cure au-delà de 300 mg/m² cumulés, troponine I ultrasensible.</w:t>
      </w:r>
    </w:p>
    <w:p>
      <w:pPr>
        <w:pStyle w:val="ListBullet"/>
      </w:pPr>
      <w:r/>
      <w:r>
        <w:rPr>
          <w:b/>
        </w:rPr>
        <w:t>Surveillance NFS</w:t>
      </w:r>
      <w:r>
        <w:t xml:space="preserve"> : quotidienne en induction LAM (aplásia profonde), antibiothérapie prophylactique (levofloxacine 500 mg/j + aciclovir + fluconazole + cotrimoxazole), transfusions irradiées (culots globulaires si Hb &lt; 8 g/dL, plaquettaires si &lt; 10-20 G/L).</w:t>
      </w:r>
    </w:p>
    <w:p>
      <w:pPr>
        <w:pStyle w:val="ListBullet"/>
      </w:pPr>
      <w:r/>
      <w:r>
        <w:rPr>
          <w:b/>
        </w:rPr>
        <w:t>Prophylaxie syndrome de lyse</w:t>
      </w:r>
      <w:r>
        <w:t xml:space="preserve"> : rasburicase (Fasturec®) 0,15-0,2 mg/kg IV J1-J3 ou J1-J5, hydratation IV 3 L/m²/24 h, allopurinol 300 mg/j per os (alternative).</w:t>
      </w:r>
    </w:p>
    <w:p>
      <w:pPr>
        <w:pStyle w:val="ListBullet"/>
      </w:pPr>
      <w:r/>
      <w:r>
        <w:rPr>
          <w:b/>
        </w:rPr>
        <w:t>Antiemetic prophylaxie</w:t>
      </w:r>
      <w:r>
        <w:t xml:space="preserve"> : triplette (ondansétron + dexaméthasone + aprépitant).</w:t>
      </w:r>
    </w:p>
    <w:p>
      <w:pPr>
        <w:pStyle w:val="ListBullet"/>
      </w:pPr>
      <w:r/>
      <w:r>
        <w:rPr>
          <w:b/>
        </w:rPr>
        <w:t>Prophylaxie mucite</w:t>
      </w:r>
      <w:r>
        <w:t xml:space="preserve"> : cryothérapie orale, bains de bouche bicarbonatés.</w:t>
      </w:r>
    </w:p>
    <w:p>
      <w:pPr>
        <w:pStyle w:val="ListBullet"/>
      </w:pPr>
      <w:r/>
      <w:r>
        <w:rPr>
          <w:b/>
        </w:rPr>
        <w:t>Surveillance extravasation</w:t>
      </w:r>
      <w:r>
        <w:t xml:space="preserve"> : voie veineuse centrale préférentielle (cathéter implantable), dexrazoxane IV en cas d'extravasation.</w:t>
      </w:r>
    </w:p>
    <w:p>
      <w:pPr>
        <w:pStyle w:val="ListBullet"/>
      </w:pPr>
      <w:r/>
      <w:r>
        <w:rPr>
          <w:b/>
        </w:rPr>
        <w:t>Contraception</w:t>
      </w:r>
      <w:r>
        <w:t xml:space="preserve"> : obligatoire pendant et 3 mois après (femme et homme).</w:t>
      </w:r>
    </w:p>
    <w:p>
      <w:pPr>
        <w:pStyle w:val="ListBullet"/>
      </w:pPr>
      <w:r/>
      <w:r>
        <w:rPr>
          <w:b/>
        </w:rPr>
        <w:t>Vaccins</w:t>
      </w:r>
      <w:r>
        <w:t xml:space="preserve"> : éviter vaccins vivants atténués.</w:t>
      </w:r>
    </w:p>
    <w:p>
      <w:pPr>
        <w:pStyle w:val="ListBullet"/>
      </w:pPr>
      <w:r/>
      <w:r>
        <w:rPr>
          <w:b/>
        </w:rPr>
        <w:t>Interactions médicamenteuses</w:t>
      </w:r>
      <w:r>
        <w:t xml:space="preserve"> : identiques à la doxorubicine :</w:t>
      </w:r>
    </w:p>
    <w:p>
      <w:pPr>
        <w:pStyle w:val="ListBullet"/>
      </w:pPr>
      <w:r/>
      <w:r>
        <w:rPr>
          <w:b/>
        </w:rPr>
        <w:t>Daunorubicine + Ara-C</w:t>
      </w:r>
      <w:r>
        <w:t xml:space="preserve"> : synergie classique (protocole 7+3).</w:t>
      </w:r>
    </w:p>
    <w:p>
      <w:pPr>
        <w:pStyle w:val="ListBullet"/>
      </w:pPr>
      <w:r/>
      <w:r>
        <w:rPr>
          <w:b/>
        </w:rPr>
        <w:t>Daunorubicine + vincristine, asparaginase, prednisone</w:t>
      </w:r>
      <w:r>
        <w:t xml:space="preserve"> : synergie LAL (protocoles GRAALL).</w:t>
      </w:r>
    </w:p>
    <w:p>
      <w:pPr>
        <w:pStyle w:val="ListBullet"/>
      </w:pPr>
      <w:r/>
      <w:r>
        <w:rPr>
          <w:b/>
        </w:rPr>
        <w:t>Daunorubicine + radiothérapie thoracique</w:t>
      </w:r>
      <w:r>
        <w:t xml:space="preserve"> : cardiotoxicité additive — éviter.</w:t>
      </w:r>
    </w:p>
    <w:p>
      <w:pPr>
        <w:pStyle w:val="ListBullet"/>
      </w:pPr>
      <w:r/>
      <w:r>
        <w:rPr>
          <w:b/>
        </w:rPr>
        <w:t>Daunorubicine + inhibiteurs CYP3A4</w:t>
      </w:r>
      <w:r>
        <w:t xml:space="preserve"> (clarithromycine, itraconazole, ritonavir) : augmentation des taux — surveiller.</w:t>
      </w:r>
    </w:p>
    <w:p>
      <w:pPr>
        <w:pStyle w:val="ListBullet"/>
      </w:pPr>
      <w:r/>
      <w:r>
        <w:rPr>
          <w:b/>
        </w:rPr>
        <w:t>Daunorubicine + inducteurs CYP3A4</w:t>
      </w:r>
      <w:r>
        <w:t xml:space="preserve"> (rifampicine, phénytoïne) : réduction de l'efficacité.</w:t>
      </w:r>
    </w:p>
    <w:p>
      <w:pPr>
        <w:pStyle w:val="ListBullet"/>
      </w:pPr>
      <w:r/>
      <w:r>
        <w:rPr>
          <w:b/>
        </w:rPr>
        <w:t>Daunorubicine + warfarine</w:t>
      </w:r>
      <w:r>
        <w:t xml:space="preserve"> : surveillance INR.</w:t>
      </w:r>
    </w:p>
    <w:p>
      <w:pPr>
        <w:pStyle w:val="ListBullet"/>
      </w:pPr>
      <w:r/>
      <w:r>
        <w:rPr>
          <w:b/>
        </w:rPr>
        <w:t>Daunorubicine + vaccins vivants atténués</w:t>
      </w:r>
      <w:r>
        <w:t xml:space="preserve"> : contre-indication.</w:t>
      </w:r>
    </w:p>
    <w:p>
      <w:pPr>
        <w:pStyle w:val="ListBullet"/>
      </w:pPr>
      <w:r/>
      <w:r>
        <w:rPr>
          <w:b/>
        </w:rPr>
        <w:t>Daunorubicine + trastuzumab</w:t>
      </w:r>
      <w:r>
        <w:t xml:space="preserve"> : cardiotoxicité additive — éviter.</w:t>
      </w:r>
    </w:p>
    <w:p>
      <w:pPr>
        <w:pStyle w:val="ListBullet"/>
      </w:pPr>
      <w:r/>
      <w:r>
        <w:rPr>
          <w:b/>
        </w:rPr>
        <w:t>Grossesse et allaitement (CRAT)</w:t>
      </w:r>
      <w:r>
        <w:t xml:space="preserve"> :</w:t>
      </w:r>
    </w:p>
    <w:p>
      <w:pPr>
        <w:pStyle w:val="ListBullet"/>
      </w:pPr>
      <w:r/>
      <w:r>
        <w:rPr>
          <w:b/>
        </w:rPr>
        <w:t>Grossesse</w:t>
      </w:r>
      <w:r>
        <w:t xml:space="preserve"> : selon le CRAT, la daunorubicine est </w:t>
      </w:r>
      <w:r>
        <w:rPr>
          <w:b/>
        </w:rPr>
        <w:t>tératogène</w:t>
      </w:r>
      <w:r>
        <w:t xml:space="preserve"> chez l'animal. Catégorie D (à éviter formellement). En cas de LAM diagnostiquée pendant grossesse : discussion multidisciplinaire — daunorubicine + Ara-C possible au 2ème et 3ème trimestre (données limitées mais compatibles selon CRAT). 1er trimestre : tératogénicité majeure. Contraception obligatoire pendant et 3 mois après.</w:t>
      </w:r>
    </w:p>
    <w:p>
      <w:pPr>
        <w:pStyle w:val="ListBullet"/>
      </w:pPr>
      <w:r/>
      <w:r>
        <w:rPr>
          <w:b/>
        </w:rPr>
        <w:t>Allaitement</w:t>
      </w:r>
      <w:r>
        <w:t xml:space="preserve"> : contre-indiqué.</w:t>
      </w:r>
    </w:p>
    <w:p>
      <w:pPr>
        <w:pStyle w:val="ListBullet"/>
      </w:pPr>
      <w:r/>
      <w:r>
        <w:rPr>
          <w:b/>
        </w:rPr>
        <w:t>Posologie</w:t>
      </w:r>
      <w:r>
        <w:t xml:space="preserve"> :</w:t>
      </w:r>
    </w:p>
    <w:p>
      <w:pPr>
        <w:pStyle w:val="ListBullet"/>
      </w:pPr>
      <w:r/>
      <w:r>
        <w:rPr>
          <w:b/>
        </w:rPr>
        <w:t>LAM induction adulte</w:t>
      </w:r>
      <w:r>
        <w:t xml:space="preserve"> : 60-90 mg/m²/j IV J1-J3 (3 doses) + Ara-C 100-200 mg/m²/j J1-J7 perfusion continue (protocole 7+3). Dose 90 mg/m² supérieure à 45 mg/m² chez sujet &lt; 60 ans.</w:t>
      </w:r>
    </w:p>
    <w:p>
      <w:pPr>
        <w:pStyle w:val="ListBullet"/>
      </w:pPr>
      <w:r/>
      <w:r>
        <w:rPr>
          <w:b/>
        </w:rPr>
        <w:t>LAL induction</w:t>
      </w:r>
      <w:r>
        <w:t xml:space="preserve"> : 25-45 mg/m²/j IV J1-J3 + vincristine + asparaginase + prednisone.</w:t>
      </w:r>
    </w:p>
    <w:p>
      <w:pPr>
        <w:pStyle w:val="ListBullet"/>
      </w:pPr>
      <w:r/>
      <w:r>
        <w:rPr>
          <w:b/>
        </w:rPr>
        <w:t>LAM consolidation</w:t>
      </w:r>
      <w:r>
        <w:t xml:space="preserve"> (rare) : 45-60 mg/m² J1-J2.</w:t>
      </w:r>
    </w:p>
    <w:p>
      <w:pPr>
        <w:pStyle w:val="ListBullet"/>
      </w:pPr>
      <w:r/>
      <w:r>
        <w:rPr>
          <w:b/>
        </w:rPr>
        <w:t>Adaptation hépatique</w:t>
      </w:r>
      <w:r>
        <w:t xml:space="preserve"> : bilirubine 1,5-3 mg/dL → réduire 50 % ; &gt; 3 → contre-indication.</w:t>
      </w:r>
    </w:p>
    <w:p>
      <w:pPr>
        <w:pStyle w:val="ListBullet"/>
      </w:pPr>
      <w:r/>
      <w:r>
        <w:rPr>
          <w:b/>
        </w:rPr>
        <w:t>Adaptation cardiaque</w:t>
      </w:r>
      <w:r>
        <w:t xml:space="preserve"> : FEVG &lt; 50 % → contre-indication.</w:t>
      </w:r>
    </w:p>
    <w:p>
      <w:pPr>
        <w:pStyle w:val="ListBullet"/>
      </w:pPr>
      <w:r/>
      <w:r>
        <w:rPr>
          <w:b/>
        </w:rPr>
        <w:t>Adaptation rénale</w:t>
      </w:r>
      <w:r>
        <w:t xml:space="preserve"> : pas d'adaptation systématique.</w:t>
      </w:r>
    </w:p>
    <w:p>
      <w:pPr>
        <w:pStyle w:val="ListBullet"/>
      </w:pPr>
      <w:r/>
      <w:r>
        <w:rPr>
          <w:b/>
        </w:rPr>
        <w:t>Sujet âgé &gt; 60 ans</w:t>
      </w:r>
      <w:r>
        <w:t xml:space="preserve"> : dose réduite à 45 mg/m² J1-J3 (sauf patients sélectionnés PS 0-1).</w:t>
      </w:r>
    </w:p>
    <w:p>
      <w:pPr>
        <w:pStyle w:val="ListBullet"/>
      </w:pPr>
      <w:r/>
      <w:r>
        <w:rPr>
          <w:b/>
        </w:rPr>
        <w:t>Formes galéniques</w:t>
      </w:r>
      <w:r>
        <w:t xml:space="preserve"> :</w:t>
      </w:r>
    </w:p>
    <w:p>
      <w:pPr>
        <w:pStyle w:val="ListBullet"/>
      </w:pPr>
      <w:r/>
      <w:r>
        <w:rPr>
          <w:b/>
        </w:rPr>
        <w:t>Poudre pour solution pour perfusion IV 20 mg/flacon</w:t>
      </w:r>
      <w:r>
        <w:t xml:space="preserve"> (CERUBIDINE Sanofi Aventis actif, DAUNOCIN Korea United Pharma actif, DAUNOTEC Cipla actif) : reconstitution avec 10 mL de NaCl 0,9 % (concentration 2 mg/mL), administration IV stricte (bolus lent ou perfusion courte 5-15 min). DAUNOTEC Cipla est fourni avec un flacon de solvant (NaCl 0,9 %) pour faciliter la reconstitution. Conservation &lt; 25 °C (CERUBIDINE, DAUNOCIN) ou 2-8 °C (DAUNOTEC selon RCP).</w:t>
      </w:r>
    </w:p>
    <w:p>
      <w:pPr>
        <w:pStyle w:val="ListBullet"/>
      </w:pPr>
      <w:r/>
      <w:r>
        <w:rPr>
          <w:b/>
        </w:rPr>
        <w:t>Formes historiques</w:t>
      </w:r>
      <w:r>
        <w:t xml:space="preserve"> (RUBILEM Lemery retiré) : ancienne forme de référence.</w:t>
      </w:r>
    </w:p>
    <w:p>
      <w:pPr>
        <w:pStyle w:val="ListBullet"/>
      </w:pPr>
      <w:r/>
      <w:r>
        <w:rPr>
          <w:b/>
        </w:rPr>
        <w:t>Conservation</w:t>
      </w:r>
      <w:r>
        <w:t xml:space="preserve"> : à température &lt; 25 °C (CERUBIDINE, DAUNOCIN) ou à 2-8 °C (DAUNOTEC), à l'abri de la lumière. Solutions reconstituées stables 24 h à température ambiante (NaCl 0,9 %).</w:t>
      </w:r>
    </w:p>
    <w:p>
      <w:pPr>
        <w:pStyle w:val="ListBullet"/>
      </w:pPr>
      <w:r/>
      <w:r>
        <w:rPr>
          <w:b/>
        </w:rPr>
        <w:t>Manipulation</w:t>
      </w:r>
      <w:r>
        <w:t xml:space="preserve"> : précautions cytotoxiques standard strictes — la daunorubicine est un vésicant puissant. En cas d'extravasation : arrêter immédiatement, aspiration par le cathéter, froid local, dexrazoxane (Totect®) IV dans les 6 h.</w:t>
      </w:r>
    </w:p>
    <w:p>
      <w:pPr>
        <w:pStyle w:val="ListBullet"/>
      </w:pPr>
      <w:r/>
      <w:r>
        <w:rPr>
          <w:b/>
        </w:rPr>
        <w:t>Conseils aux patients</w:t>
      </w:r>
      <w:r>
        <w:t xml:space="preserve"> :</w:t>
      </w:r>
    </w:p>
    <w:p>
      <w:pPr>
        <w:pStyle w:val="ListBullet"/>
      </w:pPr>
      <w:r/>
      <w:r>
        <w:rPr>
          <w:b/>
        </w:rPr>
        <w:t>Communication au comptoir</w:t>
      </w:r>
      <w:r>
        <w:t xml:space="preserve"> : « Voici votre daunorubicine (perfusable à l'hôpital). Elle sera administrée pendant 3 jours consécutifs (J1-J3) pour traiter votre leucémie aiguë. Vous serez hospitalisé en secteur protégé pendant 3-4 semaines (aplasie profonde), avec antibiothérapie prophylactique et transfusions. Surveillez votre température, votre bouche (aphtes), votre peau (ulcères, rougeurs). Vos urines peuvent devenir rouges pendant 1-2 jours — c'est normal. Vous risquez de perdre vos cheveux — c'est réversible à l'arrêt. Prévenez immédiatement si essoufflement, palpitations, douleurs thoraciques. »</w:t>
      </w:r>
    </w:p>
    <w:p>
      <w:pPr>
        <w:pStyle w:val="ListBullet"/>
      </w:pPr>
      <w:r/>
      <w:r>
        <w:rPr>
          <w:b/>
        </w:rPr>
        <w:t>Mode d'utilisation</w:t>
      </w:r>
      <w:r>
        <w:t xml:space="preserve"> : perfusion IV stricte à l'hôpital, hospitalisation en secteur protégé.</w:t>
      </w:r>
    </w:p>
    <w:p>
      <w:pPr>
        <w:pStyle w:val="ListBullet"/>
      </w:pPr>
      <w:r/>
      <w:r>
        <w:rPr>
          <w:b/>
        </w:rPr>
        <w:t>Surveillance</w:t>
      </w:r>
      <w:r>
        <w:t xml:space="preserve"> : NFS quotidienne en induction (3-4 semaines), échographie cardiaque avant traitement, troponine I avant chaque cure.</w:t>
      </w:r>
    </w:p>
    <w:p>
      <w:pPr>
        <w:pStyle w:val="ListBullet"/>
      </w:pPr>
      <w:r/>
      <w:r>
        <w:rPr>
          <w:b/>
        </w:rPr>
        <w:t>Antibiothérapie prophylactique</w:t>
      </w:r>
      <w:r>
        <w:t xml:space="preserve"> : levofloxacine + aciclovir + fluconazole + cotrimoxazole.</w:t>
      </w:r>
    </w:p>
    <w:p>
      <w:pPr>
        <w:pStyle w:val="ListBullet"/>
      </w:pPr>
      <w:r/>
      <w:r>
        <w:rPr>
          <w:b/>
        </w:rPr>
        <w:t>Transfusions irradiées</w:t>
      </w:r>
      <w:r>
        <w:t xml:space="preserve"> : à signaler à tout soignant.</w:t>
      </w:r>
    </w:p>
    <w:p>
      <w:pPr>
        <w:pStyle w:val="ListBullet"/>
      </w:pPr>
      <w:r/>
      <w:r>
        <w:rPr>
          <w:b/>
        </w:rPr>
        <w:t>Antiemetic prophylaxie</w:t>
      </w:r>
      <w:r>
        <w:t xml:space="preserve"> : triplette.</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w:t>
      </w:r>
    </w:p>
    <w:p>
      <w:pPr>
        <w:pStyle w:val="ListBullet"/>
      </w:pPr>
      <w:r/>
      <w:r>
        <w:rPr>
          <w:b/>
        </w:rPr>
        <w:t>En cas de fièvre, ulcère buccal, saignement, essoufflement</w:t>
      </w:r>
      <w:r>
        <w:t xml:space="preserve"> : consulter en urgence.</w:t>
      </w:r>
    </w:p>
    <w:p>
      <w:pPr>
        <w:pStyle w:val="ListBullet"/>
      </w:pPr>
      <w:r/>
      <w:r>
        <w:rPr>
          <w:b/>
        </w:rPr>
        <w:t>Pièges classiques</w:t>
      </w:r>
      <w:r>
        <w:t xml:space="preserve"> :</w:t>
      </w:r>
    </w:p>
    <w:p>
      <w:pPr>
        <w:pStyle w:val="ListBullet"/>
      </w:pPr>
      <w:r/>
      <w:r>
        <w:rPr>
          <w:b/>
        </w:rPr>
        <w:t>Piège de l'aplasie profonde en induction</w:t>
      </w:r>
      <w:r>
        <w:t xml:space="preserve"> : hospitalisation en secteur protégé obligatoire (3-4 semaines).</w:t>
      </w:r>
    </w:p>
    <w:p>
      <w:pPr>
        <w:pStyle w:val="ListBullet"/>
      </w:pPr>
      <w:r/>
      <w:r>
        <w:rPr>
          <w:b/>
        </w:rPr>
        <w:t>Piège de la dose cumulative cardiaque</w:t>
      </w:r>
      <w:r>
        <w:t xml:space="preserve"> : à tracer scrupuleusement (max 500 mg/m²).</w:t>
      </w:r>
    </w:p>
    <w:p>
      <w:pPr>
        <w:pStyle w:val="ListBullet"/>
      </w:pPr>
      <w:r/>
      <w:r>
        <w:rPr>
          <w:b/>
        </w:rPr>
        <w:t>Piège de l'extravasation</w:t>
      </w:r>
      <w:r>
        <w:t xml:space="preserve"> : nécrose tissulaire — voie centrale, dexrazoxane IV en cas d'extravasation.</w:t>
      </w:r>
    </w:p>
    <w:p>
      <w:pPr>
        <w:pStyle w:val="ListBullet"/>
      </w:pPr>
      <w:r/>
      <w:r>
        <w:rPr>
          <w:b/>
        </w:rPr>
        <w:t>Piège de l'adaptation hépatique</w:t>
      </w:r>
      <w:r>
        <w:t xml:space="preserve"> : bilirubine &gt; 1,5 mg/dL → réduire 50 % ; &gt; 3 → contre-indication.</w:t>
      </w:r>
    </w:p>
    <w:p>
      <w:pPr>
        <w:pStyle w:val="ListBullet"/>
      </w:pPr>
      <w:r/>
      <w:r>
        <w:rPr>
          <w:b/>
        </w:rPr>
        <w:t>Piège du syndrome de lyse tumorale</w:t>
      </w:r>
      <w:r>
        <w:t xml:space="preserve"> : prophylaxie rasburicase obligatoire en induction LAM à forte masse blastique.</w:t>
      </w:r>
    </w:p>
    <w:p>
      <w:pPr>
        <w:pStyle w:val="ListBullet"/>
      </w:pPr>
      <w:r/>
      <w:r>
        <w:rPr>
          <w:b/>
        </w:rPr>
        <w:t>Piège de la dose 90 vs 45 mg/m²</w:t>
      </w:r>
      <w:r>
        <w:t xml:space="preserve"> : 90 mg/m² supérieur chez &lt; 60 ans mais plus toxique — discussion oncologique.</w:t>
      </w:r>
    </w:p>
    <w:p>
      <w:pPr>
        <w:pStyle w:val="ListBullet"/>
      </w:pPr>
      <w:r/>
      <w:r>
        <w:rPr>
          <w:b/>
        </w:rPr>
        <w:t>Piège de substitution de marque</w:t>
      </w:r>
      <w:r>
        <w:t xml:space="preserve"> : CERUBIDINE Sanofi (référence) → DAUNOCIN ou DAUNOTEC (génériques) — surveillance première cure.</w:t>
      </w:r>
    </w:p>
    <w:p>
      <w:pPr>
        <w:pStyle w:val="Heading3"/>
      </w:pPr>
      <w:r>
        <w:t>14. DCI : Epirubicine</w:t>
      </w:r>
    </w:p>
    <w:p>
      <w:pPr>
        <w:pStyle w:val="ListBullet"/>
      </w:pPr>
      <w:r/>
      <w:r>
        <w:rPr>
          <w:b/>
        </w:rPr>
        <w:t>Catégories</w:t>
      </w:r>
      <w:r>
        <w:t xml:space="preserve"> : Antibiotique antitumoral anthracycline (stéréo-isomère 4'-épi de la doxorubicine) ; intercalant de l'ADN ; inhibiteur de la topo-isomérase II ; générateur de radicaux libres ; classe ATC L01DB03.</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EPINTAS</w:t>
            </w:r>
          </w:p>
        </w:tc>
        <w:tc>
          <w:tcPr>
            <w:tcW w:type="dxa" w:w="1559"/>
          </w:tcPr>
          <w:p>
            <w:r>
              <w:rPr>
                <w:sz w:val="20"/>
              </w:rPr>
              <w:t>INTAS PHARMACEUTICALS LIMITED</w:t>
            </w:r>
          </w:p>
        </w:tc>
        <w:tc>
          <w:tcPr>
            <w:tcW w:type="dxa" w:w="1559"/>
          </w:tcPr>
          <w:p>
            <w:r>
              <w:rPr>
                <w:sz w:val="20"/>
              </w:rPr>
              <w:t>Solution injectable pour perfusion IV, 2 mg/mL (10 mg/5 mL et 50 mg/25 mL)</w:t>
            </w:r>
          </w:p>
        </w:tc>
        <w:tc>
          <w:tcPr>
            <w:tcW w:type="dxa" w:w="1559"/>
          </w:tcPr>
          <w:p>
            <w:r>
              <w:rPr>
                <w:sz w:val="20"/>
              </w:rPr>
              <w:t>B/1 flacon 5 mL et B/1 flacon 25 mL</w:t>
            </w:r>
          </w:p>
        </w:tc>
        <w:tc>
          <w:tcPr>
            <w:tcW w:type="dxa" w:w="1559"/>
          </w:tcPr>
          <w:p>
            <w:r>
              <w:rPr>
                <w:sz w:val="20"/>
              </w:rPr>
              <w:t>LISTE I</w:t>
            </w:r>
          </w:p>
        </w:tc>
        <w:tc>
          <w:tcPr>
            <w:tcW w:type="dxa" w:w="1559"/>
          </w:tcPr>
          <w:p>
            <w:r>
              <w:rPr>
                <w:sz w:val="20"/>
              </w:rPr>
              <w:t>ACTIF</w:t>
            </w:r>
          </w:p>
        </w:tc>
      </w:tr>
      <w:tr>
        <w:tc>
          <w:tcPr>
            <w:tcW w:type="dxa" w:w="1559"/>
          </w:tcPr>
          <w:p>
            <w:r>
              <w:rPr>
                <w:sz w:val="20"/>
              </w:rPr>
              <w:t>EPIRUBICINE MYLAN</w:t>
            </w:r>
          </w:p>
        </w:tc>
        <w:tc>
          <w:tcPr>
            <w:tcW w:type="dxa" w:w="1559"/>
          </w:tcPr>
          <w:p>
            <w:r>
              <w:rPr>
                <w:sz w:val="20"/>
              </w:rPr>
              <w:t>MYLAN SAS</w:t>
            </w:r>
          </w:p>
        </w:tc>
        <w:tc>
          <w:tcPr>
            <w:tcW w:type="dxa" w:w="1559"/>
          </w:tcPr>
          <w:p>
            <w:r>
              <w:rPr>
                <w:sz w:val="20"/>
              </w:rPr>
              <w:t>Solution pour perfusion IV, 2 mg/mL (10 mg/5 mL ; 50 mg/25 mL ; 100 mg/50 mL ; 200 mg/100 mL)</w:t>
            </w:r>
          </w:p>
        </w:tc>
        <w:tc>
          <w:tcPr>
            <w:tcW w:type="dxa" w:w="1559"/>
          </w:tcPr>
          <w:p>
            <w:r>
              <w:rPr>
                <w:sz w:val="20"/>
              </w:rPr>
              <w:t>B/1 flacon 5 mL, 25 mL, 50 mL et 100 mL</w:t>
            </w:r>
          </w:p>
        </w:tc>
        <w:tc>
          <w:tcPr>
            <w:tcW w:type="dxa" w:w="1559"/>
          </w:tcPr>
          <w:p>
            <w:r>
              <w:rPr>
                <w:sz w:val="20"/>
              </w:rPr>
              <w:t>LISTE I</w:t>
            </w:r>
          </w:p>
        </w:tc>
        <w:tc>
          <w:tcPr>
            <w:tcW w:type="dxa" w:w="1559"/>
          </w:tcPr>
          <w:p>
            <w:r>
              <w:rPr>
                <w:sz w:val="20"/>
              </w:rPr>
              <w:t>ACTIF</w:t>
            </w:r>
          </w:p>
        </w:tc>
      </w:tr>
      <w:tr>
        <w:tc>
          <w:tcPr>
            <w:tcW w:type="dxa" w:w="1559"/>
          </w:tcPr>
          <w:p>
            <w:r>
              <w:rPr>
                <w:sz w:val="20"/>
              </w:rPr>
              <w:t>EPIRUDEX</w:t>
            </w:r>
          </w:p>
        </w:tc>
        <w:tc>
          <w:tcPr>
            <w:tcW w:type="dxa" w:w="1559"/>
          </w:tcPr>
          <w:p>
            <w:r>
              <w:rPr>
                <w:sz w:val="20"/>
              </w:rPr>
              <w:t>CONTINENTAL PHARM</w:t>
            </w:r>
          </w:p>
        </w:tc>
        <w:tc>
          <w:tcPr>
            <w:tcW w:type="dxa" w:w="1559"/>
          </w:tcPr>
          <w:p>
            <w:r>
              <w:rPr>
                <w:sz w:val="20"/>
              </w:rPr>
              <w:t>Solution pour perfusion IV, 2 mg/mL (10 mg/5 mL ; 50 mg/25 mL)</w:t>
            </w:r>
          </w:p>
        </w:tc>
        <w:tc>
          <w:tcPr>
            <w:tcW w:type="dxa" w:w="1559"/>
          </w:tcPr>
          <w:p>
            <w:r>
              <w:rPr>
                <w:sz w:val="20"/>
              </w:rPr>
              <w:t>B/1 flacon 5 mL et 25 mL</w:t>
            </w:r>
          </w:p>
        </w:tc>
        <w:tc>
          <w:tcPr>
            <w:tcW w:type="dxa" w:w="1559"/>
          </w:tcPr>
          <w:p>
            <w:r>
              <w:rPr>
                <w:sz w:val="20"/>
              </w:rPr>
              <w:t>LISTE I</w:t>
            </w:r>
          </w:p>
        </w:tc>
        <w:tc>
          <w:tcPr>
            <w:tcW w:type="dxa" w:w="1559"/>
          </w:tcPr>
          <w:p>
            <w:r>
              <w:rPr>
                <w:sz w:val="20"/>
              </w:rPr>
              <w:t>ACTIF</w:t>
            </w:r>
          </w:p>
        </w:tc>
      </w:tr>
      <w:tr>
        <w:tc>
          <w:tcPr>
            <w:tcW w:type="dxa" w:w="1559"/>
          </w:tcPr>
          <w:p>
            <w:r>
              <w:rPr>
                <w:sz w:val="20"/>
              </w:rPr>
              <w:t>PIRUCIN</w:t>
            </w:r>
          </w:p>
        </w:tc>
        <w:tc>
          <w:tcPr>
            <w:tcW w:type="dxa" w:w="1559"/>
          </w:tcPr>
          <w:p>
            <w:r>
              <w:rPr>
                <w:sz w:val="20"/>
              </w:rPr>
              <w:t>HIKMA PHARMA ALGERIA</w:t>
            </w:r>
          </w:p>
        </w:tc>
        <w:tc>
          <w:tcPr>
            <w:tcW w:type="dxa" w:w="1559"/>
          </w:tcPr>
          <w:p>
            <w:r>
              <w:rPr>
                <w:sz w:val="20"/>
              </w:rPr>
              <w:t>Solution pour perfusion IV, 2 mg/mL (10 mg/5 mL ; 50 mg/25 mL ; 200 mg/100 mL)</w:t>
            </w:r>
          </w:p>
        </w:tc>
        <w:tc>
          <w:tcPr>
            <w:tcW w:type="dxa" w:w="1559"/>
          </w:tcPr>
          <w:p>
            <w:r>
              <w:rPr>
                <w:sz w:val="20"/>
              </w:rPr>
              <w:t>B/1 flacon 5 mL, 25 mL et 100 mL</w:t>
            </w:r>
          </w:p>
        </w:tc>
        <w:tc>
          <w:tcPr>
            <w:tcW w:type="dxa" w:w="1559"/>
          </w:tcPr>
          <w:p>
            <w:r>
              <w:rPr>
                <w:sz w:val="20"/>
              </w:rPr>
              <w:t>LISTE I</w:t>
            </w:r>
          </w:p>
        </w:tc>
        <w:tc>
          <w:tcPr>
            <w:tcW w:type="dxa" w:w="1559"/>
          </w:tcPr>
          <w:p>
            <w:r>
              <w:rPr>
                <w:sz w:val="20"/>
              </w:rPr>
              <w:t>ACTIF</w:t>
            </w:r>
          </w:p>
        </w:tc>
      </w:tr>
      <w:tr>
        <w:tc>
          <w:tcPr>
            <w:tcW w:type="dxa" w:w="1559"/>
          </w:tcPr>
          <w:p>
            <w:r>
              <w:rPr>
                <w:sz w:val="20"/>
              </w:rPr>
              <w:t>EPIRUBICIN EBEWE</w:t>
            </w:r>
          </w:p>
        </w:tc>
        <w:tc>
          <w:tcPr>
            <w:tcW w:type="dxa" w:w="1559"/>
          </w:tcPr>
          <w:p>
            <w:r>
              <w:rPr>
                <w:sz w:val="20"/>
              </w:rPr>
              <w:t>EBEWE PHARMA</w:t>
            </w:r>
          </w:p>
        </w:tc>
        <w:tc>
          <w:tcPr>
            <w:tcW w:type="dxa" w:w="1559"/>
          </w:tcPr>
          <w:p>
            <w:r>
              <w:rPr>
                <w:sz w:val="20"/>
              </w:rPr>
              <w:t>Solution pour perfusion IV, 2 mg/mL (10 mg/5 mL ; 50 mg/25 mL ; 100 mg/50 mL)</w:t>
            </w:r>
          </w:p>
        </w:tc>
        <w:tc>
          <w:tcPr>
            <w:tcW w:type="dxa" w:w="1559"/>
          </w:tcPr>
          <w:p>
            <w:r>
              <w:rPr>
                <w:sz w:val="20"/>
              </w:rPr>
              <w:t>Flacon 5 mL, 25 mL et 50 mL</w:t>
            </w:r>
          </w:p>
        </w:tc>
        <w:tc>
          <w:tcPr>
            <w:tcW w:type="dxa" w:w="1559"/>
          </w:tcPr>
          <w:p>
            <w:r>
              <w:rPr>
                <w:sz w:val="20"/>
              </w:rPr>
              <w:t>LISTE I</w:t>
            </w:r>
          </w:p>
        </w:tc>
        <w:tc>
          <w:tcPr>
            <w:tcW w:type="dxa" w:w="1559"/>
          </w:tcPr>
          <w:p>
            <w:r>
              <w:rPr>
                <w:sz w:val="20"/>
              </w:rPr>
              <w:t>NON RENOUVELABLE</w:t>
            </w:r>
          </w:p>
        </w:tc>
      </w:tr>
      <w:tr>
        <w:tc>
          <w:tcPr>
            <w:tcW w:type="dxa" w:w="1559"/>
          </w:tcPr>
          <w:p>
            <w:r>
              <w:rPr>
                <w:sz w:val="20"/>
              </w:rPr>
              <w:t>EPILEM</w:t>
            </w:r>
          </w:p>
        </w:tc>
        <w:tc>
          <w:tcPr>
            <w:tcW w:type="dxa" w:w="1559"/>
          </w:tcPr>
          <w:p>
            <w:r>
              <w:rPr>
                <w:sz w:val="20"/>
              </w:rPr>
              <w:t>LEMERY SA DE CV</w:t>
            </w:r>
          </w:p>
        </w:tc>
        <w:tc>
          <w:tcPr>
            <w:tcW w:type="dxa" w:w="1559"/>
          </w:tcPr>
          <w:p>
            <w:r>
              <w:rPr>
                <w:sz w:val="20"/>
              </w:rPr>
              <w:t>Poudre pour solution injectable, 10 mg</w:t>
            </w:r>
          </w:p>
        </w:tc>
        <w:tc>
          <w:tcPr>
            <w:tcW w:type="dxa" w:w="1559"/>
          </w:tcPr>
          <w:p>
            <w:r>
              <w:rPr>
                <w:sz w:val="20"/>
              </w:rPr>
              <w:t>B/1 flacon</w:t>
            </w:r>
          </w:p>
        </w:tc>
        <w:tc>
          <w:tcPr>
            <w:tcW w:type="dxa" w:w="1559"/>
          </w:tcPr>
          <w:p>
            <w:r>
              <w:rPr>
                <w:sz w:val="20"/>
              </w:rPr>
              <w:t>LISTE I</w:t>
            </w:r>
          </w:p>
        </w:tc>
        <w:tc>
          <w:tcPr>
            <w:tcW w:type="dxa" w:w="1559"/>
          </w:tcPr>
          <w:p>
            <w:r>
              <w:rPr>
                <w:sz w:val="20"/>
              </w:rPr>
              <w:t>RETRAIT (R)</w:t>
            </w:r>
          </w:p>
        </w:tc>
      </w:tr>
      <w:tr>
        <w:tc>
          <w:tcPr>
            <w:tcW w:type="dxa" w:w="1559"/>
          </w:tcPr>
          <w:p>
            <w:r>
              <w:rPr>
                <w:sz w:val="20"/>
              </w:rPr>
              <w:t>EPILEM</w:t>
            </w:r>
          </w:p>
        </w:tc>
        <w:tc>
          <w:tcPr>
            <w:tcW w:type="dxa" w:w="1559"/>
          </w:tcPr>
          <w:p>
            <w:r>
              <w:rPr>
                <w:sz w:val="20"/>
              </w:rPr>
              <w:t>LEMERY SA DE CV</w:t>
            </w:r>
          </w:p>
        </w:tc>
        <w:tc>
          <w:tcPr>
            <w:tcW w:type="dxa" w:w="1559"/>
          </w:tcPr>
          <w:p>
            <w:r>
              <w:rPr>
                <w:sz w:val="20"/>
              </w:rPr>
              <w:t>Lyophilisat solution injectable, 50 mg</w:t>
            </w:r>
          </w:p>
        </w:tc>
        <w:tc>
          <w:tcPr>
            <w:tcW w:type="dxa" w:w="1559"/>
          </w:tcPr>
          <w:p>
            <w:r>
              <w:rPr>
                <w:sz w:val="20"/>
              </w:rPr>
              <w:t>B/10 flacons</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l'épirubicine (4'-épi-doxorubicine) est un </w:t>
      </w:r>
      <w:r>
        <w:rPr>
          <w:b/>
        </w:rPr>
        <w:t>stéréo-isomère semi-synthétique de la doxorubicine</w:t>
      </w:r>
      <w:r>
        <w:t xml:space="preserve"> dans lequel la configuration de la fonction hydroxyle sur le carbone 4' du sucre daunosamine est inversée (de α-L à β-L). Cette modification structurale mineure a des conséquences pharmacocinétiques majeures : (1) accélération de la glucuroconjugaison hépatique (UGT1A1, UGT2B7) et de la métabolisation en épirubicinol (métabolite actif mais moins cardiotoxique) — clairance plus rapide, exposition systémique plus courte ; (2) réduction de la formation de radicaux libres (moins de cardiotoxicité pour une dose équivalente). Le mécanisme d'action est identique à celui de la doxorubicine : (1) </w:t>
      </w:r>
      <w:r>
        <w:rPr>
          <w:b/>
        </w:rPr>
        <w:t>intercalation dans l'ADN</w:t>
      </w:r>
      <w:r>
        <w:t xml:space="preserve"> (noyau tétracyclique plan) ; (2) </w:t>
      </w:r>
      <w:r>
        <w:rPr>
          <w:b/>
        </w:rPr>
        <w:t>inhibition de la topoisomérase II</w:t>
      </w:r>
      <w:r>
        <w:t xml:space="preserve"> (stabilisation du complexe clivable ADN-topo II → cassures double brin) ; (3) </w:t>
      </w:r>
      <w:r>
        <w:rPr>
          <w:b/>
        </w:rPr>
        <w:t>génération de radicaux libres oxygénés</w:t>
      </w:r>
      <w:r>
        <w:t xml:space="preserve"> (cycle redox Fe²⁺-épirubicine) — moindre que pour la doxorubicine ; (4) </w:t>
      </w:r>
      <w:r>
        <w:rPr>
          <w:b/>
        </w:rPr>
        <w:t>altération de la membrane cellulaire</w:t>
      </w:r>
      <w:r>
        <w:t xml:space="preserve"> (céramide → apoptose). L'efficacité antitumorale est équivalente à celle de la doxorubicine à dose équivalente (rapport de conversion doxorubicine/épirubicine ≈ 1/1,2 à 1/1,5) — d'où l'utilisation à des doses plus élevées (90-120 mg/m² vs 60-75 mg/m² pour la doxorubicine). La </w:t>
      </w:r>
      <w:r>
        <w:rPr>
          <w:b/>
        </w:rPr>
        <w:t>dose cumulative maximale est de 900 mg/m²</w:t>
      </w:r>
      <w:r>
        <w:t xml:space="preserve"> (vs 450-550 pour la doxorubicine) — soit environ le double, ce qui justifie son utilisation préférentielle dans les protocoles nécessitant des doses cumulées importantes (cancer du sein, gastrique, vessie).</w:t>
      </w:r>
    </w:p>
    <w:p>
      <w:pPr>
        <w:pStyle w:val="ListBullet"/>
      </w:pPr>
      <w:r/>
      <w:r>
        <w:rPr>
          <w:b/>
        </w:rPr>
        <w:t>Profil pharmacocinétique</w:t>
      </w:r>
      <w:r>
        <w:t xml:space="preserve"> : administration IV stricte (perfusion de 5-15 min). Distribution rapide (Vd 13-25 L/kg), passage LCR faible (5 %), passage placentaire. Liaison aux protéines plasmatiques 77 %. Métabolisme hépatique principal : (1) </w:t>
      </w:r>
      <w:r>
        <w:rPr>
          <w:b/>
        </w:rPr>
        <w:t>glucuroconjugaison</w:t>
      </w:r>
      <w:r>
        <w:t xml:space="preserve"> par UGT1A1 et UGT2B7 en épirubicine-glucuronide (inactif, éliminé dans la bile) — voie préférentielle (40-50 % de la clairance) ; (2) </w:t>
      </w:r>
      <w:r>
        <w:rPr>
          <w:b/>
        </w:rPr>
        <w:t>réduction</w:t>
      </w:r>
      <w:r>
        <w:t xml:space="preserve"> par l'aldéhyde réductase en épirubicinol (métabolite actif mais moins cardiotoxique que le doxorubicinol) ; (3) métabolisme par CYP3A4. Demi-vie d'élimination triphasique : t1/2α = 5 min, t1/2β = 2-3 h, t1/2γ = 30-40 h. Élimination biliaire principale (50-60 %) ; urinaire 10-15 %. Insuffisance hépatique : adaptation posologique selon bilirubine (1,5-3 mg/dL → réduire 50 % ; &gt; 3 → contre-indication). Insuffisance rénale : pas d'adaptation systématique.</w:t>
      </w:r>
    </w:p>
    <w:p>
      <w:pPr>
        <w:pStyle w:val="ListBullet"/>
      </w:pPr>
      <w:r/>
      <w:r>
        <w:rPr>
          <w:b/>
        </w:rPr>
        <w:t>Indications</w:t>
      </w:r>
      <w:r>
        <w:t xml:space="preserve"> :</w:t>
      </w:r>
    </w:p>
    <w:p>
      <w:pPr>
        <w:pStyle w:val="ListBullet"/>
      </w:pPr>
      <w:r/>
      <w:r>
        <w:rPr>
          <w:b/>
        </w:rPr>
        <w:t>Cancer du sein</w:t>
      </w:r>
      <w:r>
        <w:t xml:space="preserve"> : (i) adjuvant (protocoles FEC : 5-FU + épirubicine + cyclophosphamide, ou AC-EC séquentiel) ; (ii) néoadjuvant (FEC-T, FEC-docétaxel) ; (iii) métastatique (protocoles FEC, EC, EC-paclitaxel).</w:t>
      </w:r>
    </w:p>
    <w:p>
      <w:pPr>
        <w:pStyle w:val="ListBullet"/>
      </w:pPr>
      <w:r/>
      <w:r>
        <w:rPr>
          <w:b/>
        </w:rPr>
        <w:t>Cancer gastrique</w:t>
      </w:r>
      <w:r>
        <w:t xml:space="preserve"> : protocole ECF (épirubicine + cisplatine + 5-FU), ou EOF (épirubicine + oxaliplatine + 5-FU), ou ECX (épirubicine + cisplatine + capécitabine) — 1ère ligne métastatique.</w:t>
      </w:r>
    </w:p>
    <w:p>
      <w:pPr>
        <w:pStyle w:val="ListBullet"/>
      </w:pPr>
      <w:r/>
      <w:r>
        <w:rPr>
          <w:b/>
        </w:rPr>
        <w:t>Cancer de la vessie</w:t>
      </w:r>
      <w:r>
        <w:t xml:space="preserve"> : protocole CMV (cisplatine + méthotrexate + vinblastine + épirubicine), ou EMA-EP (protocole bléomycine-épirubicine).</w:t>
      </w:r>
    </w:p>
    <w:p>
      <w:pPr>
        <w:pStyle w:val="ListBullet"/>
      </w:pPr>
      <w:r/>
      <w:r>
        <w:rPr>
          <w:b/>
        </w:rPr>
        <w:t>Cancer de l'œsophage</w:t>
      </w:r>
      <w:r>
        <w:t xml:space="preserve"> : protocole ECF en péri-opératoire.</w:t>
      </w:r>
    </w:p>
    <w:p>
      <w:pPr>
        <w:pStyle w:val="ListBullet"/>
      </w:pPr>
      <w:r/>
      <w:r>
        <w:rPr>
          <w:b/>
        </w:rPr>
        <w:t>Lymphomes non hodgkiniens</w:t>
      </w:r>
      <w:r>
        <w:t xml:space="preserve"> : protocole EPOCH, COPEm.</w:t>
      </w:r>
    </w:p>
    <w:p>
      <w:pPr>
        <w:pStyle w:val="ListBullet"/>
      </w:pPr>
      <w:r/>
      <w:r>
        <w:rPr>
          <w:b/>
        </w:rPr>
        <w:t>Sarcomes des tissus mous</w:t>
      </w:r>
      <w:r>
        <w:t xml:space="preserve"> : alternative à la doxorubicine (protocoles MAI modifiés).</w:t>
      </w:r>
    </w:p>
    <w:p>
      <w:pPr>
        <w:pStyle w:val="ListBullet"/>
      </w:pPr>
      <w:r/>
      <w:r>
        <w:rPr>
          <w:b/>
        </w:rPr>
        <w:t>Cancer ovarien</w:t>
      </w:r>
      <w:r>
        <w:t xml:space="preserve"> : 2ème ligne (protocole EC, alternative au carboplatine-paclitaxel).</w:t>
      </w:r>
    </w:p>
    <w:p>
      <w:pPr>
        <w:pStyle w:val="ListBullet"/>
      </w:pPr>
      <w:r/>
      <w:r>
        <w:rPr>
          <w:b/>
        </w:rPr>
        <w:t>Contre-indications</w:t>
      </w:r>
      <w:r>
        <w:t xml:space="preserve"> : identiques à la doxorubicine :</w:t>
      </w:r>
    </w:p>
    <w:p>
      <w:pPr>
        <w:pStyle w:val="ListBullet"/>
      </w:pPr>
      <w:r/>
      <w:r>
        <w:rPr>
          <w:b/>
        </w:rPr>
        <w:t>Dose cumulative déjà maximale</w:t>
      </w:r>
      <w:r>
        <w:t xml:space="preserve"> (&gt; 900 mg/m² épirubicine, ou &gt; 450-550 mg/m² doxorubicine) ;</w:t>
      </w:r>
    </w:p>
    <w:p>
      <w:pPr>
        <w:pStyle w:val="ListBullet"/>
      </w:pPr>
      <w:r/>
      <w:r>
        <w:rPr>
          <w:b/>
        </w:rPr>
        <w:t>Insuffisance cardiaque</w:t>
      </w:r>
      <w:r>
        <w:t xml:space="preserve"> (FEVG &lt; 50 %) ;</w:t>
      </w:r>
    </w:p>
    <w:p>
      <w:pPr>
        <w:pStyle w:val="ListBullet"/>
      </w:pPr>
      <w:r/>
      <w:r>
        <w:rPr>
          <w:b/>
        </w:rPr>
        <w:t>Insuffisance hépatique sévère</w:t>
      </w:r>
      <w:r>
        <w:t xml:space="preserve"> (bilirubine &gt; 3 mg/dL) ;</w:t>
      </w:r>
    </w:p>
    <w:p>
      <w:pPr>
        <w:pStyle w:val="ListBullet"/>
      </w:pPr>
      <w:r/>
      <w:r>
        <w:rPr>
          <w:b/>
        </w:rPr>
        <w:t>Patiente enceinte ou allaitant</w:t>
      </w:r>
      <w:r>
        <w:t xml:space="preserve"> ;</w:t>
      </w:r>
    </w:p>
    <w:p>
      <w:pPr>
        <w:pStyle w:val="ListBullet"/>
      </w:pPr>
      <w:r/>
      <w:r>
        <w:rPr>
          <w:b/>
        </w:rPr>
        <w:t>Aplasie médullaire préexistante</w:t>
      </w:r>
      <w:r>
        <w:t xml:space="preserve"> ;</w:t>
      </w:r>
    </w:p>
    <w:p>
      <w:pPr>
        <w:pStyle w:val="ListBullet"/>
      </w:pPr>
      <w:r/>
      <w:r>
        <w:rPr>
          <w:b/>
        </w:rPr>
        <w:t>Infection sévère non contrôlée</w:t>
      </w:r>
      <w:r>
        <w:t xml:space="preserve"> ;</w:t>
      </w:r>
    </w:p>
    <w:p>
      <w:pPr>
        <w:pStyle w:val="ListBullet"/>
      </w:pPr>
      <w:r/>
      <w:r>
        <w:rPr>
          <w:b/>
        </w:rPr>
        <w:t>Vaccination par vaccin vivant atténué</w:t>
      </w:r>
      <w:r>
        <w:t xml:space="preserve"> ;</w:t>
      </w:r>
    </w:p>
    <w:p>
      <w:pPr>
        <w:pStyle w:val="ListBullet"/>
      </w:pPr>
      <w:r/>
      <w:r>
        <w:rPr>
          <w:b/>
        </w:rPr>
        <w:t>Hypersensibilité à l'épirubicine</w:t>
      </w:r>
      <w:r>
        <w:t>.</w:t>
      </w:r>
    </w:p>
    <w:p>
      <w:pPr>
        <w:pStyle w:val="ListBullet"/>
      </w:pPr>
      <w:r/>
      <w:r>
        <w:rPr>
          <w:b/>
        </w:rPr>
        <w:t>Effets indésirables</w:t>
      </w:r>
      <w:r>
        <w:t xml:space="preserve"> : identiques à ceux de la doxorubicine mais avec une </w:t>
      </w:r>
      <w:r>
        <w:rPr>
          <w:b/>
        </w:rPr>
        <w:t>moindre cardiotoxicité cumulative</w:t>
      </w:r>
      <w:r>
        <w:t xml:space="preserve"> (dose max 900 mg/m²) :</w:t>
      </w:r>
    </w:p>
    <w:p>
      <w:pPr>
        <w:pStyle w:val="ListBullet"/>
      </w:pPr>
      <w:r/>
      <w:r>
        <w:rPr>
          <w:b/>
        </w:rPr>
        <w:t>Cardiotoxicité</w:t>
      </w:r>
      <w:r>
        <w:t xml:space="preserve"> : aiguë (troubles du rythme, modifications ECG) et chronique (cardiomyopathie dilatée — moins fréquente et moins sévère que pour la doxorubicine à dose équivalente).</w:t>
      </w:r>
    </w:p>
    <w:p>
      <w:pPr>
        <w:pStyle w:val="ListBullet"/>
      </w:pPr>
      <w:r/>
      <w:r>
        <w:rPr>
          <w:b/>
        </w:rPr>
        <w:t>Hématologique</w:t>
      </w:r>
      <w:r>
        <w:t xml:space="preserve"> : myélotoxicité (neutropénie J10-J14, thrombopénie, anémie).</w:t>
      </w:r>
    </w:p>
    <w:p>
      <w:pPr>
        <w:pStyle w:val="ListBullet"/>
      </w:pPr>
      <w:r/>
      <w:r>
        <w:rPr>
          <w:b/>
        </w:rPr>
        <w:t>Digestive</w:t>
      </w:r>
      <w:r>
        <w:t xml:space="preserve"> : mucite (sévère à haute dose), nausées/vomissements (émétisants grade 3), anorexie, diarrhée.</w:t>
      </w:r>
    </w:p>
    <w:p>
      <w:pPr>
        <w:pStyle w:val="ListBullet"/>
      </w:pPr>
      <w:r/>
      <w:r>
        <w:rPr>
          <w:b/>
        </w:rPr>
        <w:t>Cutanée</w:t>
      </w:r>
      <w:r>
        <w:t xml:space="preserve"> : alopécie totale (90-100 %, réversible), urines rouges, vésicant majeur (extravasation).</w:t>
      </w:r>
    </w:p>
    <w:p>
      <w:pPr>
        <w:pStyle w:val="ListBullet"/>
      </w:pPr>
      <w:r/>
      <w:r>
        <w:rPr>
          <w:b/>
        </w:rPr>
        <w:t>Hépatique</w:t>
      </w:r>
      <w:r>
        <w:t xml:space="preserve"> : élévation transitoire transaminases.</w:t>
      </w:r>
    </w:p>
    <w:p>
      <w:pPr>
        <w:pStyle w:val="ListBullet"/>
      </w:pPr>
      <w:r/>
      <w:r>
        <w:rPr>
          <w:b/>
        </w:rPr>
        <w:t>Syndrome de lyse tumorale</w:t>
      </w:r>
      <w:r>
        <w:t xml:space="preserve"> : rare à l'initiation.</w:t>
      </w:r>
    </w:p>
    <w:p>
      <w:pPr>
        <w:pStyle w:val="ListBullet"/>
      </w:pPr>
      <w:r/>
      <w:r>
        <w:rPr>
          <w:b/>
        </w:rPr>
        <w:t>Leucémogénicité</w:t>
      </w:r>
      <w:r>
        <w:t xml:space="preserve"> (long terme) : risque de LAM secondaire.</w:t>
      </w:r>
    </w:p>
    <w:p>
      <w:pPr>
        <w:pStyle w:val="ListBullet"/>
      </w:pPr>
      <w:r/>
      <w:r>
        <w:rPr>
          <w:b/>
        </w:rPr>
        <w:t>Mesures préventives</w:t>
      </w:r>
      <w:r>
        <w:t xml:space="preserve"> : identiques à la doxorubicine :</w:t>
      </w:r>
    </w:p>
    <w:p>
      <w:pPr>
        <w:pStyle w:val="ListBullet"/>
      </w:pPr>
      <w:r>
        <w:t xml:space="preserve">Bilan pré-thérapeutique avec </w:t>
      </w:r>
      <w:r>
        <w:rPr>
          <w:b/>
        </w:rPr>
        <w:t>échographie cardiaque obligatoire</w:t>
      </w:r>
      <w:r>
        <w:t xml:space="preserve"> (FEVG &gt; 50 %), ECG, NFS-plaquettes, créatininémie, bilan hépatique, β-hCG, sérologies.</w:t>
      </w:r>
    </w:p>
    <w:p>
      <w:pPr>
        <w:pStyle w:val="ListBullet"/>
      </w:pPr>
      <w:r/>
      <w:r>
        <w:rPr>
          <w:b/>
        </w:rPr>
        <w:t>Surveillance cardiaque</w:t>
      </w:r>
      <w:r>
        <w:t xml:space="preserve"> : échographie cardiaque avant traitement et toutes les 2 cures au-delà de 450 mg/m² cumulés, troponine I ultrasensible avant chaque cure.</w:t>
      </w:r>
    </w:p>
    <w:p>
      <w:pPr>
        <w:pStyle w:val="ListBullet"/>
      </w:pPr>
      <w:r/>
      <w:r>
        <w:rPr>
          <w:b/>
        </w:rPr>
        <w:t>Surveillance NFS</w:t>
      </w:r>
      <w:r>
        <w:t xml:space="preserve"> : avant chaque cure et J10-J14.</w:t>
      </w:r>
    </w:p>
    <w:p>
      <w:pPr>
        <w:pStyle w:val="ListBullet"/>
      </w:pPr>
      <w:r/>
      <w:r>
        <w:rPr>
          <w:b/>
        </w:rPr>
        <w:t>Antiemetic prophylaxie</w:t>
      </w:r>
      <w:r>
        <w:t xml:space="preserve"> : triplette.</w:t>
      </w:r>
    </w:p>
    <w:p>
      <w:pPr>
        <w:pStyle w:val="ListBullet"/>
      </w:pPr>
      <w:r/>
      <w:r>
        <w:rPr>
          <w:b/>
        </w:rPr>
        <w:t>Prophylaxie mucite</w:t>
      </w:r>
      <w:r>
        <w:t xml:space="preserve"> : cryothérapie orale, bains de bouche.</w:t>
      </w:r>
    </w:p>
    <w:p>
      <w:pPr>
        <w:pStyle w:val="ListBullet"/>
      </w:pPr>
      <w:r/>
      <w:r>
        <w:rPr>
          <w:b/>
        </w:rPr>
        <w:t>Surveillance extravasation</w:t>
      </w:r>
      <w:r>
        <w:t xml:space="preserve"> : voie veineuse centrale préférentielle, dexrazoxane IV en cas d'extravasation.</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w:t>
      </w:r>
    </w:p>
    <w:p>
      <w:pPr>
        <w:pStyle w:val="ListBullet"/>
      </w:pPr>
      <w:r/>
      <w:r>
        <w:rPr>
          <w:b/>
        </w:rPr>
        <w:t>Cold Cap</w:t>
      </w:r>
      <w:r>
        <w:t xml:space="preserve"> : prévention de l'alopécie.</w:t>
      </w:r>
    </w:p>
    <w:p>
      <w:pPr>
        <w:pStyle w:val="ListBullet"/>
      </w:pPr>
      <w:r/>
      <w:r>
        <w:rPr>
          <w:b/>
        </w:rPr>
        <w:t>Interactions médicamenteuses</w:t>
      </w:r>
      <w:r>
        <w:t xml:space="preserve"> : identiques à la doxorubicine :</w:t>
      </w:r>
    </w:p>
    <w:p>
      <w:pPr>
        <w:pStyle w:val="ListBullet"/>
      </w:pPr>
      <w:r/>
      <w:r>
        <w:rPr>
          <w:b/>
        </w:rPr>
        <w:t>Epirubicine + trastuzumab</w:t>
      </w:r>
      <w:r>
        <w:t xml:space="preserve"> : cardiotoxicité additive — à éviter en simultané.</w:t>
      </w:r>
    </w:p>
    <w:p>
      <w:pPr>
        <w:pStyle w:val="ListBullet"/>
      </w:pPr>
      <w:r/>
      <w:r>
        <w:rPr>
          <w:b/>
        </w:rPr>
        <w:t>Epirubicine + cyclophosphamide, 5-FU, cisplatine</w:t>
      </w:r>
      <w:r>
        <w:t xml:space="preserve"> : synergies classiques (FEC, ECF, ECX).</w:t>
      </w:r>
    </w:p>
    <w:p>
      <w:pPr>
        <w:pStyle w:val="ListBullet"/>
      </w:pPr>
      <w:r/>
      <w:r>
        <w:rPr>
          <w:b/>
        </w:rPr>
        <w:t>Epirubicine + radiothérapie thoracique</w:t>
      </w:r>
      <w:r>
        <w:t xml:space="preserve"> : cardiotoxicité additive.</w:t>
      </w:r>
    </w:p>
    <w:p>
      <w:pPr>
        <w:pStyle w:val="ListBullet"/>
      </w:pPr>
      <w:r/>
      <w:r>
        <w:rPr>
          <w:b/>
        </w:rPr>
        <w:t>Epirubicine + inhibiteurs CYP3A4</w:t>
      </w:r>
      <w:r>
        <w:t xml:space="preserve"> : augmentation des taux.</w:t>
      </w:r>
    </w:p>
    <w:p>
      <w:pPr>
        <w:pStyle w:val="ListBullet"/>
      </w:pPr>
      <w:r/>
      <w:r>
        <w:rPr>
          <w:b/>
        </w:rPr>
        <w:t>Epirubicine + inducteurs CYP3A4</w:t>
      </w:r>
      <w:r>
        <w:t xml:space="preserve"> : réduction de l'efficacité.</w:t>
      </w:r>
    </w:p>
    <w:p>
      <w:pPr>
        <w:pStyle w:val="ListBullet"/>
      </w:pPr>
      <w:r/>
      <w:r>
        <w:rPr>
          <w:b/>
        </w:rPr>
        <w:t>Epirubicine + warfarine</w:t>
      </w:r>
      <w:r>
        <w:t xml:space="preserve"> : surveillance INR.</w:t>
      </w:r>
    </w:p>
    <w:p>
      <w:pPr>
        <w:pStyle w:val="ListBullet"/>
      </w:pPr>
      <w:r/>
      <w:r>
        <w:rPr>
          <w:b/>
        </w:rPr>
        <w:t>Epirubicine + vaccins vivants atténués</w:t>
      </w:r>
      <w:r>
        <w:t xml:space="preserve"> : contre-indication.</w:t>
      </w:r>
    </w:p>
    <w:p>
      <w:pPr>
        <w:pStyle w:val="ListBullet"/>
      </w:pPr>
      <w:r/>
      <w:r>
        <w:rPr>
          <w:b/>
        </w:rPr>
        <w:t>Grossesse et allaitement (CRAT)</w:t>
      </w:r>
      <w:r>
        <w:t xml:space="preserve"> :</w:t>
      </w:r>
    </w:p>
    <w:p>
      <w:pPr>
        <w:pStyle w:val="ListBullet"/>
      </w:pPr>
      <w:r/>
      <w:r>
        <w:rPr>
          <w:b/>
        </w:rPr>
        <w:t>Grossesse</w:t>
      </w:r>
      <w:r>
        <w:t xml:space="preserve"> : selon le CRAT, l'épirubicine est </w:t>
      </w:r>
      <w:r>
        <w:rPr>
          <w:b/>
        </w:rPr>
        <w:t>tératogène</w:t>
      </w:r>
      <w:r>
        <w:t xml:space="preserve"> (catégorie D, à éviter formellement). Contraception obligatoire pendant et 3 mois après (femme et homme).</w:t>
      </w:r>
    </w:p>
    <w:p>
      <w:pPr>
        <w:pStyle w:val="ListBullet"/>
      </w:pPr>
      <w:r/>
      <w:r>
        <w:rPr>
          <w:b/>
        </w:rPr>
        <w:t>Allaitement</w:t>
      </w:r>
      <w:r>
        <w:t xml:space="preserve"> : contre-indiqué.</w:t>
      </w:r>
    </w:p>
    <w:p>
      <w:pPr>
        <w:pStyle w:val="ListBullet"/>
      </w:pPr>
      <w:r/>
      <w:r>
        <w:rPr>
          <w:b/>
        </w:rPr>
        <w:t>Posologie</w:t>
      </w:r>
      <w:r>
        <w:t xml:space="preserve"> :</w:t>
      </w:r>
    </w:p>
    <w:p>
      <w:pPr>
        <w:pStyle w:val="ListBullet"/>
      </w:pPr>
      <w:r/>
      <w:r>
        <w:rPr>
          <w:b/>
        </w:rPr>
        <w:t>Adulte IV</w:t>
      </w:r>
      <w:r>
        <w:t xml:space="preserve"> : 60-120 mg/m² IV en bolus ou perfusion de 5-15 min, J1 de chaque cycle de 21 jours, ou 75-100 mg/m² J1 de chaque cycle de 28 jours selon le protocole. Dose cumulative maximale : </w:t>
      </w:r>
      <w:r>
        <w:rPr>
          <w:b/>
        </w:rPr>
        <w:t>900 mg/m²</w:t>
      </w:r>
      <w:r>
        <w:t xml:space="preserve"> (vs 450-550 pour la doxorubicine).</w:t>
      </w:r>
    </w:p>
    <w:p>
      <w:pPr>
        <w:pStyle w:val="ListBullet"/>
      </w:pPr>
      <w:r/>
      <w:r>
        <w:rPr>
          <w:b/>
        </w:rPr>
        <w:t>Protocoles spécifiques</w:t>
      </w:r>
      <w:r>
        <w:t xml:space="preserve"> : FEC-100 (5-FU 500 + épirubicine 100 + cyclophosphamide 500, J1 J8 ou J1 toutes les 3 semaines) ; FEC-50 (5-FU 500 + épirubicine 50 + cyclophosphamide 500) ; ECF (épirubicine 50 + cisplatine 60 + 5-FU 200 en perfusion continue 24h J1-J21 toutes les 3 semaines) ; ECX (épirubicine 50 + cisplatine 60 + capécitabine 625 mg/m² x2/j continu) ; EOF (épirubicine 50 + oxaliplatine 130 + 5-FU 200 continu).</w:t>
      </w:r>
    </w:p>
    <w:p>
      <w:pPr>
        <w:pStyle w:val="ListBullet"/>
      </w:pPr>
      <w:r/>
      <w:r>
        <w:rPr>
          <w:b/>
        </w:rPr>
        <w:t>Adaptation hépatique</w:t>
      </w:r>
      <w:r>
        <w:t xml:space="preserve"> : bilirubine 1,5-3 mg/dL → réduire 50 % ; &gt; 3 → contre-indication.</w:t>
      </w:r>
    </w:p>
    <w:p>
      <w:pPr>
        <w:pStyle w:val="ListBullet"/>
      </w:pPr>
      <w:r/>
      <w:r>
        <w:rPr>
          <w:b/>
        </w:rPr>
        <w:t>Adaptation cardiaque</w:t>
      </w:r>
      <w:r>
        <w:t xml:space="preserve"> : FEVG &lt; 50 % → contre-indication.</w:t>
      </w:r>
    </w:p>
    <w:p>
      <w:pPr>
        <w:pStyle w:val="ListBullet"/>
      </w:pPr>
      <w:r/>
      <w:r>
        <w:rPr>
          <w:b/>
        </w:rPr>
        <w:t>Adaptation hématologique</w:t>
      </w:r>
      <w:r>
        <w:t xml:space="preserve"> : PNN &lt; 1,5 G/L ou plaquettes &lt; 100 G/L → retarder cure d'1 semaine ; si récidive → réduire 25 %.</w:t>
      </w:r>
    </w:p>
    <w:p>
      <w:pPr>
        <w:pStyle w:val="ListBullet"/>
      </w:pPr>
      <w:r/>
      <w:r>
        <w:rPr>
          <w:b/>
        </w:rPr>
        <w:t>Sujet âgé &gt; 70 ans</w:t>
      </w:r>
      <w:r>
        <w:t xml:space="preserve"> : réduction 25 % initiale.</w:t>
      </w:r>
    </w:p>
    <w:p>
      <w:pPr>
        <w:pStyle w:val="ListBullet"/>
      </w:pPr>
      <w:r/>
      <w:r>
        <w:rPr>
          <w:b/>
        </w:rPr>
        <w:t>Formes galéniques</w:t>
      </w:r>
      <w:r>
        <w:t xml:space="preserve"> :</w:t>
      </w:r>
    </w:p>
    <w:p>
      <w:pPr>
        <w:pStyle w:val="ListBullet"/>
      </w:pPr>
      <w:r/>
      <w:r>
        <w:rPr>
          <w:b/>
        </w:rPr>
        <w:t>Solution injectable pour perfusion IV 2 mg/mL</w:t>
      </w:r>
      <w:r>
        <w:t xml:space="preserve"> (EPINTAS Intas actif, EPIRUBICINE MYLAN Mylan actif, EPIRUDEX Continental Pharm actif, PIRUCIN Hikma Pharma Algeria actif) : galénique liquide prête à l'emploi (pas de reconstitution). Présentations : 5 mL (10 mg), 25 mL (50 mg), 50 mL (100 mg), 100 mL (200 mg) selon le laboratoire et l'adaptation posologique. Administration IV stricte (bolus ou perfusion courte). Le PIRUCIN Hikma Pharma est le générique algérien de production locale — accès facilité.</w:t>
      </w:r>
    </w:p>
    <w:p>
      <w:pPr>
        <w:pStyle w:val="ListBullet"/>
      </w:pPr>
      <w:r/>
      <w:r>
        <w:rPr>
          <w:b/>
        </w:rPr>
        <w:t>Formes historiques</w:t>
      </w:r>
      <w:r>
        <w:t xml:space="preserve"> (EPILEM Lemery retiré, EPIRUBICIN EBEWE non renouvelable) : anciennes formes de référence.</w:t>
      </w:r>
    </w:p>
    <w:p>
      <w:pPr>
        <w:pStyle w:val="ListBullet"/>
      </w:pPr>
      <w:r/>
      <w:r>
        <w:rPr>
          <w:b/>
        </w:rPr>
        <w:t>Conservation</w:t>
      </w:r>
      <w:r>
        <w:t xml:space="preserve"> : à température 2-8 °C (réfrigérateur), à l'abri de la lumière. Ne pas congeler. Solutions diluées à utiliser immédiatement (stables 24 h en NaCl 0,9 % à température ambiante).</w:t>
      </w:r>
    </w:p>
    <w:p>
      <w:pPr>
        <w:pStyle w:val="ListBullet"/>
      </w:pPr>
      <w:r/>
      <w:r>
        <w:rPr>
          <w:b/>
        </w:rPr>
        <w:t>Manipulation</w:t>
      </w:r>
      <w:r>
        <w:t xml:space="preserve"> : précautions cytotoxiques standard strictes — l'épirubicine est un vésicant puissant. En cas d'extravasation : arrêter immédiatement, aspiration par le cathéter, froid local, dexrazoxane IV.</w:t>
      </w:r>
    </w:p>
    <w:p>
      <w:pPr>
        <w:pStyle w:val="ListBullet"/>
      </w:pPr>
      <w:r/>
      <w:r>
        <w:rPr>
          <w:b/>
        </w:rPr>
        <w:t>Conseils aux patients</w:t>
      </w:r>
      <w:r>
        <w:t xml:space="preserve"> :</w:t>
      </w:r>
    </w:p>
    <w:p>
      <w:pPr>
        <w:pStyle w:val="ListBullet"/>
      </w:pPr>
      <w:r/>
      <w:r>
        <w:rPr>
          <w:b/>
        </w:rPr>
        <w:t>Communication au comptoir</w:t>
      </w:r>
      <w:r>
        <w:t xml:space="preserve"> : « Voici votre épirubicine (perfusable à l'hôpital). Elle sera administrée par voie IV. Vos urines peuvent devenir rouges pendant 1-2 jours — c'est normal. Vous risquez de perdre vos cheveux — c'est réversible à l'arrêt (prévoyez une perruque, un foulard). Surveillez votre température : si fièvre &gt; 38,5 °C, consultez en urgence. Si vous avez des ulcères buccaux, des nausées, des saignements, prévenez votre médecin. Prévenez immédiatement si essoufflement, palpitations, douleurs thoraciques (surveillance cardiaque). »</w:t>
      </w:r>
    </w:p>
    <w:p>
      <w:pPr>
        <w:pStyle w:val="ListBullet"/>
      </w:pPr>
      <w:r/>
      <w:r>
        <w:rPr>
          <w:b/>
        </w:rPr>
        <w:t>Mode d'utilisation</w:t>
      </w:r>
      <w:r>
        <w:t xml:space="preserve"> : perfusion IV à l'hôpital, bolus ou perfusion courte.</w:t>
      </w:r>
    </w:p>
    <w:p>
      <w:pPr>
        <w:pStyle w:val="ListBullet"/>
      </w:pPr>
      <w:r/>
      <w:r>
        <w:rPr>
          <w:b/>
        </w:rPr>
        <w:t>Surveillance</w:t>
      </w:r>
      <w:r>
        <w:t xml:space="preserve"> : NFS avant chaque cure et J10-J14, échographie cardiaque avant traitement puis toutes les 2 cures au-delà de 450 mg/m², troponine I avant chaque cure, ECG avant chaque cure.</w:t>
      </w:r>
    </w:p>
    <w:p>
      <w:pPr>
        <w:pStyle w:val="ListBullet"/>
      </w:pPr>
      <w:r/>
      <w:r>
        <w:rPr>
          <w:b/>
        </w:rPr>
        <w:t>Antiemetic prophylaxie</w:t>
      </w:r>
      <w:r>
        <w:t xml:space="preserve"> : triplette.</w:t>
      </w:r>
    </w:p>
    <w:p>
      <w:pPr>
        <w:pStyle w:val="ListBullet"/>
      </w:pPr>
      <w:r/>
      <w:r>
        <w:rPr>
          <w:b/>
        </w:rPr>
        <w:t>Cryothérapie</w:t>
      </w:r>
      <w:r>
        <w:t xml:space="preserve"> : sucer des glaçons pendant le bolus.</w:t>
      </w:r>
    </w:p>
    <w:p>
      <w:pPr>
        <w:pStyle w:val="ListBullet"/>
      </w:pPr>
      <w:r/>
      <w:r>
        <w:rPr>
          <w:b/>
        </w:rPr>
        <w:t>Cold Cap</w:t>
      </w:r>
      <w:r>
        <w:t xml:space="preserve"> : prévention de l'alopécie.</w:t>
      </w:r>
    </w:p>
    <w:p>
      <w:pPr>
        <w:pStyle w:val="ListBullet"/>
      </w:pPr>
      <w:r/>
      <w:r>
        <w:rPr>
          <w:b/>
        </w:rPr>
        <w:t>Contraception</w:t>
      </w:r>
      <w:r>
        <w:t xml:space="preserve"> : obligatoire pendant et 3 mois après.</w:t>
      </w:r>
    </w:p>
    <w:p>
      <w:pPr>
        <w:pStyle w:val="ListBullet"/>
      </w:pPr>
      <w:r/>
      <w:r>
        <w:rPr>
          <w:b/>
        </w:rPr>
        <w:t>Vaccins</w:t>
      </w:r>
      <w:r>
        <w:t xml:space="preserve"> : éviter vaccins vivants atténués pendant et 3 mois après.</w:t>
      </w:r>
    </w:p>
    <w:p>
      <w:pPr>
        <w:pStyle w:val="ListBullet"/>
      </w:pPr>
      <w:r/>
      <w:r>
        <w:rPr>
          <w:b/>
        </w:rPr>
        <w:t>En cas de douleur au point de perfusion, fièvre, ulcère buccal, saignement, essoufflement, palpitations</w:t>
      </w:r>
      <w:r>
        <w:t xml:space="preserve"> : consulter en urgence.</w:t>
      </w:r>
    </w:p>
    <w:p>
      <w:pPr>
        <w:pStyle w:val="ListBullet"/>
      </w:pPr>
      <w:r/>
      <w:r>
        <w:rPr>
          <w:b/>
        </w:rPr>
        <w:t>Pièges classiques</w:t>
      </w:r>
      <w:r>
        <w:t xml:space="preserve"> :</w:t>
      </w:r>
    </w:p>
    <w:p>
      <w:pPr>
        <w:pStyle w:val="ListBullet"/>
      </w:pPr>
      <w:r/>
      <w:r>
        <w:rPr>
          <w:b/>
        </w:rPr>
        <w:t>Piège de la dose cumulative cardiaque</w:t>
      </w:r>
      <w:r>
        <w:t xml:space="preserve"> : à tracer scrupuleusement (max 900 mg/m² — le double de la doxorubicine).</w:t>
      </w:r>
    </w:p>
    <w:p>
      <w:pPr>
        <w:pStyle w:val="ListBullet"/>
      </w:pPr>
      <w:r/>
      <w:r>
        <w:rPr>
          <w:b/>
        </w:rPr>
        <w:t>Piège de l'extravasation</w:t>
      </w:r>
      <w:r>
        <w:t xml:space="preserve"> : nécrose tissulaire — voie centrale, dexrazoxane IV en cas d'extravasation.</w:t>
      </w:r>
    </w:p>
    <w:p>
      <w:pPr>
        <w:pStyle w:val="ListBullet"/>
      </w:pPr>
      <w:r/>
      <w:r>
        <w:rPr>
          <w:b/>
        </w:rPr>
        <w:t>Piège de l'adaptation hépatique</w:t>
      </w:r>
      <w:r>
        <w:t xml:space="preserve"> : bilirubine &gt; 1,5 mg/dL → réduire 50 % ; &gt; 3 → contre-indication.</w:t>
      </w:r>
    </w:p>
    <w:p>
      <w:pPr>
        <w:pStyle w:val="ListBullet"/>
      </w:pPr>
      <w:r/>
      <w:r>
        <w:rPr>
          <w:b/>
        </w:rPr>
        <w:t>Piège de l'association avec trastuzumab</w:t>
      </w:r>
      <w:r>
        <w:t xml:space="preserve"> : cardiotoxicité additive — à éviter en simultané.</w:t>
      </w:r>
    </w:p>
    <w:p>
      <w:pPr>
        <w:pStyle w:val="ListBullet"/>
      </w:pPr>
      <w:r/>
      <w:r>
        <w:rPr>
          <w:b/>
        </w:rPr>
        <w:t>Piège de l'alopécie non annoncée</w:t>
      </w:r>
      <w:r>
        <w:t xml:space="preserve"> : toujours prévenir le patient.</w:t>
      </w:r>
    </w:p>
    <w:p>
      <w:pPr>
        <w:pStyle w:val="ListBullet"/>
      </w:pPr>
      <w:r/>
      <w:r>
        <w:rPr>
          <w:b/>
        </w:rPr>
        <w:t>Piège des urines rouges</w:t>
      </w:r>
      <w:r>
        <w:t xml:space="preserve"> : toujours prévenir le patient.</w:t>
      </w:r>
    </w:p>
    <w:p>
      <w:pPr>
        <w:pStyle w:val="ListBullet"/>
      </w:pPr>
      <w:r/>
      <w:r>
        <w:rPr>
          <w:b/>
        </w:rPr>
        <w:t>Piège de substitution de marque</w:t>
      </w:r>
      <w:r>
        <w:t xml:space="preserve"> : 4 marques actives (EPINTAS, EPIRUBICINE MYLAN, EPIRUDEX, PIRUCIN) — bioéquivalents mais surveillance première cure.</w:t>
      </w:r>
    </w:p>
    <w:p>
      <w:pPr>
        <w:pStyle w:val="ListBullet"/>
      </w:pPr>
      <w:r/>
      <w:r>
        <w:rPr>
          <w:b/>
        </w:rPr>
        <w:t>Piège de la dose maximale cumulative par patient</w:t>
      </w:r>
      <w:r>
        <w:t xml:space="preserve"> : à vérifier dans le dossier médical — si le patient a déjà reçu de la doxorubicine, soustraire de la dose cumulée d'épirubicine disponible.</w:t>
      </w:r>
    </w:p>
    <w:p>
      <w:pPr>
        <w:pStyle w:val="ListBullet"/>
      </w:pPr>
      <w:r/>
      <w:r>
        <w:rPr>
          <w:b/>
        </w:rPr>
        <w:t>Piège de la substitution doxorubicine ↔ épirubicine</w:t>
      </w:r>
      <w:r>
        <w:t xml:space="preserve"> : conversion 1/1,2 à 1/1,5 — ne pas substituer sans avis oncologique.</w:t>
      </w:r>
    </w:p>
    <w:p>
      <w:pPr>
        <w:pStyle w:val="Heading2"/>
      </w:pPr>
      <w:r>
        <w:t>Sous-classe 10 — Anthracènediones — Mitoxantrone</w:t>
      </w:r>
    </w:p>
    <w:p>
      <w:r>
        <w:t xml:space="preserve">Les </w:t>
      </w:r>
      <w:r>
        <w:rPr>
          <w:b/>
        </w:rPr>
        <w:t>anthracènediones</w:t>
      </w:r>
      <w:r>
        <w:t xml:space="preserve"> sont des molécules de synthèse apparentées structurellement aux anthracyclines (noyau anthraquinone planaire intercalant l'ADN) mais dépourvues du sucre aminosé (daunosamine) et des substitutions oxygénées responsables de la génération de radicaux libres — d'où une </w:t>
      </w:r>
      <w:r>
        <w:rPr>
          <w:b/>
        </w:rPr>
        <w:t>moindre cardiotoxicité</w:t>
      </w:r>
      <w:r>
        <w:t xml:space="preserve"> et une meilleure tolérance. La </w:t>
      </w:r>
      <w:r>
        <w:rPr>
          <w:b/>
        </w:rPr>
        <w:t>mitoxantrone</w:t>
      </w:r>
      <w:r>
        <w:t xml:space="preserve"> (Novantrone® Wyeth-Lederle, 1984) est la seule anthracènedione commercialisée. Son mécanisme d'action principal est l'</w:t>
      </w:r>
      <w:r>
        <w:rPr>
          <w:b/>
        </w:rPr>
        <w:t>intercalation dans l'ADN</w:t>
      </w:r>
      <w:r>
        <w:t xml:space="preserve"> (noyau anthraquinone plan) + l'</w:t>
      </w:r>
      <w:r>
        <w:rPr>
          <w:b/>
        </w:rPr>
        <w:t>inhibition de la topoisomérase II</w:t>
      </w:r>
      <w:r>
        <w:t xml:space="preserve"> (stabilisation du complexe clivable ADN-topo II → cassures double brin de l'ADN) + la formation de </w:t>
      </w:r>
      <w:r>
        <w:rPr>
          <w:b/>
        </w:rPr>
        <w:t>liaisons covalentes ADN-mitoxantrone</w:t>
      </w:r>
      <w:r>
        <w:t xml:space="preserve"> via aldéhydes générés in situ. Elle est indiquée dans les LAM en induction chez le sujet âgé (protocoles Mito-ARA-C, MICE), les cancers du sein métastatiques (en association avec cyclophosphamide + 5-FU), les lymphomes non hodgkiniens en rechute, et dans la </w:t>
      </w:r>
      <w:r>
        <w:rPr>
          <w:b/>
        </w:rPr>
        <w:t>sclérose en plaque (SEP)</w:t>
      </w:r>
      <w:r>
        <w:t xml:space="preserve"> récurrente-rémittente (induction annuelle 12 mg/m² IV, 5 cures) en raison de son effet immunosuppresseur puissant (déplétion lymphocytaire B et T). Sa tolérance est marquée par la myélotoxicité, la toxicité hépatique, l'</w:t>
      </w:r>
      <w:r>
        <w:rPr>
          <w:b/>
        </w:rPr>
        <w:t>alopécie modérée</w:t>
      </w:r>
      <w:r>
        <w:t xml:space="preserve"> (moindre que les anthracyclines), les urines bleu-vert (chromophore), la </w:t>
      </w:r>
      <w:r>
        <w:rPr>
          <w:b/>
        </w:rPr>
        <w:t>cardiotoxicité cumulative</w:t>
      </w:r>
      <w:r>
        <w:t xml:space="preserve"> (dose max 140 mg/m² — moindre que les anthracyclines mais non négligeable), et le risque à long terme de </w:t>
      </w:r>
      <w:r>
        <w:rPr>
          <w:b/>
        </w:rPr>
        <w:t>leucémogénicité</w:t>
      </w:r>
      <w:r>
        <w:t xml:space="preserve"> (LAM secondaire, surtout en SEP où la dose cumulée est plus faible mais la durée plus longue). En Algérie, les formes historiques (NOVANTRONE Wyeth-Lederle et MITOXANTRON EBEWE) ne sont plus disponibles (non renouvelables) — situation préoccupante pour les patients SEP algériens.</w:t>
      </w:r>
    </w:p>
    <w:p>
      <w:pPr>
        <w:pStyle w:val="Heading3"/>
      </w:pPr>
      <w:r>
        <w:t>15. DCI : Mitoxantrone (usage oncologique)</w:t>
      </w:r>
    </w:p>
    <w:p>
      <w:pPr>
        <w:pStyle w:val="ListBullet"/>
      </w:pPr>
      <w:r/>
      <w:r>
        <w:rPr>
          <w:b/>
        </w:rPr>
        <w:t>Catégories</w:t>
      </w:r>
      <w:r>
        <w:t xml:space="preserve"> : Antibiotique antitumoral anthracènedione (synthétique) ; intercalant de l'ADN ; inhibiteur de la topo-isomérase II ; immunosuppresseur ; classe ATC L01DB07.</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NOVANTRONE</w:t>
            </w:r>
          </w:p>
        </w:tc>
        <w:tc>
          <w:tcPr>
            <w:tcW w:type="dxa" w:w="1559"/>
          </w:tcPr>
          <w:p>
            <w:r>
              <w:rPr>
                <w:sz w:val="20"/>
              </w:rPr>
              <w:t>WYETH LEDERLE</w:t>
            </w:r>
          </w:p>
        </w:tc>
        <w:tc>
          <w:tcPr>
            <w:tcW w:type="dxa" w:w="1559"/>
          </w:tcPr>
          <w:p>
            <w:r>
              <w:rPr>
                <w:sz w:val="20"/>
              </w:rPr>
              <w:t>Solution injectable, 10 mg/5 mL</w:t>
            </w:r>
          </w:p>
        </w:tc>
        <w:tc>
          <w:tcPr>
            <w:tcW w:type="dxa" w:w="1559"/>
          </w:tcPr>
          <w:p>
            <w:r>
              <w:rPr>
                <w:sz w:val="20"/>
              </w:rPr>
              <w:t>Flacon 5 mL</w:t>
            </w:r>
          </w:p>
        </w:tc>
        <w:tc>
          <w:tcPr>
            <w:tcW w:type="dxa" w:w="1559"/>
          </w:tcPr>
          <w:p>
            <w:r>
              <w:rPr>
                <w:sz w:val="20"/>
              </w:rPr>
              <w:t>LISTE I</w:t>
            </w:r>
          </w:p>
        </w:tc>
        <w:tc>
          <w:tcPr>
            <w:tcW w:type="dxa" w:w="1559"/>
          </w:tcPr>
          <w:p>
            <w:r>
              <w:rPr>
                <w:sz w:val="20"/>
              </w:rPr>
              <w:t>NON RENOUVELABLE</w:t>
            </w:r>
          </w:p>
        </w:tc>
      </w:tr>
      <w:tr>
        <w:tc>
          <w:tcPr>
            <w:tcW w:type="dxa" w:w="1559"/>
          </w:tcPr>
          <w:p>
            <w:r>
              <w:rPr>
                <w:sz w:val="20"/>
              </w:rPr>
              <w:t>NOVANTRONE</w:t>
            </w:r>
          </w:p>
        </w:tc>
        <w:tc>
          <w:tcPr>
            <w:tcW w:type="dxa" w:w="1559"/>
          </w:tcPr>
          <w:p>
            <w:r>
              <w:rPr>
                <w:sz w:val="20"/>
              </w:rPr>
              <w:t>WYETH LEDERLE</w:t>
            </w:r>
          </w:p>
        </w:tc>
        <w:tc>
          <w:tcPr>
            <w:tcW w:type="dxa" w:w="1559"/>
          </w:tcPr>
          <w:p>
            <w:r>
              <w:rPr>
                <w:sz w:val="20"/>
              </w:rPr>
              <w:t>Solution injectable, 20 mg/10 mL</w:t>
            </w:r>
          </w:p>
        </w:tc>
        <w:tc>
          <w:tcPr>
            <w:tcW w:type="dxa" w:w="1559"/>
          </w:tcPr>
          <w:p>
            <w:r>
              <w:rPr>
                <w:sz w:val="20"/>
              </w:rPr>
              <w:t>Flacon 10 mL</w:t>
            </w:r>
          </w:p>
        </w:tc>
        <w:tc>
          <w:tcPr>
            <w:tcW w:type="dxa" w:w="1559"/>
          </w:tcPr>
          <w:p>
            <w:r>
              <w:rPr>
                <w:sz w:val="20"/>
              </w:rPr>
              <w:t>LISTE I</w:t>
            </w:r>
          </w:p>
        </w:tc>
        <w:tc>
          <w:tcPr>
            <w:tcW w:type="dxa" w:w="1559"/>
          </w:tcPr>
          <w:p>
            <w:r>
              <w:rPr>
                <w:sz w:val="20"/>
              </w:rPr>
              <w:t>NON RENOUVELABLE</w:t>
            </w:r>
          </w:p>
        </w:tc>
      </w:tr>
      <w:tr>
        <w:tc>
          <w:tcPr>
            <w:tcW w:type="dxa" w:w="1559"/>
          </w:tcPr>
          <w:p>
            <w:r>
              <w:rPr>
                <w:sz w:val="20"/>
              </w:rPr>
              <w:t>MITOXANTRON EBEWE</w:t>
            </w:r>
          </w:p>
        </w:tc>
        <w:tc>
          <w:tcPr>
            <w:tcW w:type="dxa" w:w="1559"/>
          </w:tcPr>
          <w:p>
            <w:r>
              <w:rPr>
                <w:sz w:val="20"/>
              </w:rPr>
              <w:t>EBEWE PHARMA Ges.m.b.H Nfg KG</w:t>
            </w:r>
          </w:p>
        </w:tc>
        <w:tc>
          <w:tcPr>
            <w:tcW w:type="dxa" w:w="1559"/>
          </w:tcPr>
          <w:p>
            <w:r>
              <w:rPr>
                <w:sz w:val="20"/>
              </w:rPr>
              <w:t>Concentré solution injectable pour perfusion IV, 2 mg/mL (20 mg/10 mL)</w:t>
            </w:r>
          </w:p>
        </w:tc>
        <w:tc>
          <w:tcPr>
            <w:tcW w:type="dxa" w:w="1559"/>
          </w:tcPr>
          <w:p>
            <w:r>
              <w:rPr>
                <w:sz w:val="20"/>
              </w:rPr>
              <w:t>B/1 flacon de 10 mL</w:t>
            </w:r>
          </w:p>
        </w:tc>
        <w:tc>
          <w:tcPr>
            <w:tcW w:type="dxa" w:w="1559"/>
          </w:tcPr>
          <w:p>
            <w:r>
              <w:rPr>
                <w:sz w:val="20"/>
              </w:rPr>
              <w:t>LISTE I</w:t>
            </w:r>
          </w:p>
        </w:tc>
        <w:tc>
          <w:tcPr>
            <w:tcW w:type="dxa" w:w="1559"/>
          </w:tcPr>
          <w:p>
            <w:r>
              <w:rPr>
                <w:sz w:val="20"/>
              </w:rPr>
              <w:t>NON RENOUVELABLE</w:t>
            </w:r>
          </w:p>
        </w:tc>
      </w:tr>
    </w:tbl>
    <w:p/>
    <w:p>
      <w:pPr>
        <w:pStyle w:val="ListBullet"/>
      </w:pPr>
      <w:r/>
      <w:r>
        <w:rPr>
          <w:b/>
        </w:rPr>
        <w:t>Mécanisme d'action</w:t>
      </w:r>
      <w:r>
        <w:t xml:space="preserve"> : la mitoxantrone (1,4-dihydroxy-5,8-bis[(2-aminoéthyl)amino]-9,10-anthracènedione) est une </w:t>
      </w:r>
      <w:r>
        <w:rPr>
          <w:b/>
        </w:rPr>
        <w:t>anthracènedione synthétique</w:t>
      </w:r>
      <w:r>
        <w:t xml:space="preserve"> dont le noyau anthraquinone planaire intercale l'ADN double brin (entre les paires de bases adjacentes), distordant la double hélice et inhibant l'ADN et ARN polymérases. À la différence des anthracyclines, la mitoxantrone ne possède pas le sucre aminosé (daunosamine) ni les substitutions hydroxylées en C14 et C13 qui catalysent la formation de radicaux libres oxygénés — d'où une </w:t>
      </w:r>
      <w:r>
        <w:rPr>
          <w:b/>
        </w:rPr>
        <w:t>moindre cardiotoxicité</w:t>
      </w:r>
      <w:r>
        <w:t xml:space="preserve"> (mais non nulle) et une moindre génération de radicaux libres. Trois mécanismes principaux : (1) </w:t>
      </w:r>
      <w:r>
        <w:rPr>
          <w:b/>
        </w:rPr>
        <w:t>intercalation dans l'ADN</w:t>
      </w:r>
      <w:r>
        <w:t xml:space="preserve"> (noyau anthraquinone plan) → inhibition de l'ADN polymérase et ARN polymérase ; (2) </w:t>
      </w:r>
      <w:r>
        <w:rPr>
          <w:b/>
        </w:rPr>
        <w:t>inhibition de la topoisomérase II</w:t>
      </w:r>
      <w:r>
        <w:t xml:space="preserve"> (stabilisation du complexe clivable ADN-topo II) → cassures double brin de l'ADN → apoptose via p53 et caspases ; (3) formation de </w:t>
      </w:r>
      <w:r>
        <w:rPr>
          <w:b/>
        </w:rPr>
        <w:t>liaisons covalentes ADN-mitoxantrone</w:t>
      </w:r>
      <w:r>
        <w:t xml:space="preserve"> via aldéhydes générés in situ par oxydation des groupes aminoéthyles — particularité de la mitoxantrone (réactivité électrophile). L'effet immunosuppresseur (utilisé en SEP) est lié à : (a) inhibition de la présentation antigénique par les cellules présentatrices d'antigène (CPA) ; (b) inhibition de la prolifération lymphocytaire T et B ; (c) induction de l'apoptose des lymphocytes B autoréactifs ; (d) diminution de la production de cytokines pro-inflammatoires (TNF-α, IFN-γ). La résistance est liée à l'amplification de P-gp (MDR1) et à la mutation/diminution de la topo IIα.</w:t>
      </w:r>
    </w:p>
    <w:p>
      <w:pPr>
        <w:pStyle w:val="ListBullet"/>
      </w:pPr>
      <w:r/>
      <w:r>
        <w:rPr>
          <w:b/>
        </w:rPr>
        <w:t>Profil pharmacocinétique</w:t>
      </w:r>
      <w:r>
        <w:t xml:space="preserve"> : administration IV stricte (perfusion de 5-15 min dans 100-250 mL NaCl 0,9 %). Distribution très large (Vd 32-187 L/kg), concentration intracellulaire élevée (rapport cellule/plasma 100-1000), passage LCR faible (5 %), passage placentaire. Liaison aux protéines plasmatiques 78 %. Métabolisme hépatique intense par aldéhyde déshydrogénase (ALDH) et monoamine oxydase (MAO) en acides monocarboxylique et dicarboxylique (inactifs). Demi-vie d'élimination triphasique : t1/2α = 5-10 min, t1/2β = 1-3 h, t1/2γ = 23-42 h (très prolongée — accumulation possible). Élimination biliaire principale (25-65 %) ; urinaire 6-15 %. Insuffisance hépatique : adaptation posologique selon bilirubine (1,5-3 mg/dL → réduire 50 % ; &gt; 3 → contre-indication). Insuffisance rénale : pas d'adaptation systématique. La </w:t>
      </w:r>
      <w:r>
        <w:rPr>
          <w:b/>
        </w:rPr>
        <w:t>demi-vie terminale prolongée</w:t>
      </w:r>
      <w:r>
        <w:t xml:space="preserve"> explique l'accumulation tissulaire (notamment cardiaque) et la cardiotoxicité cumulative dose-dépendante.</w:t>
      </w:r>
    </w:p>
    <w:p>
      <w:pPr>
        <w:pStyle w:val="ListBullet"/>
      </w:pPr>
      <w:r/>
      <w:r>
        <w:rPr>
          <w:b/>
        </w:rPr>
        <w:t>Indications</w:t>
      </w:r>
      <w:r>
        <w:t xml:space="preserve"> :</w:t>
      </w:r>
    </w:p>
    <w:p>
      <w:pPr>
        <w:pStyle w:val="ListBullet"/>
      </w:pPr>
      <w:r/>
      <w:r>
        <w:rPr>
          <w:b/>
        </w:rPr>
        <w:t>Leucémie aiguë myéloïde (LAM)</w:t>
      </w:r>
      <w:r>
        <w:t xml:space="preserve"> : (i) induction chez le sujet âgé ou fragile en protocole MICE (mitoxantrone + cytarabine + étoposide) ; (ii) induction de la LAM réfractaire ou en rechute (protocole Mito-ARA-C : mitoxantrone 12 mg/m² J1-J3 + Ara-C 1 g/m²/12h J1-J4) ; (iii) consolidation.</w:t>
      </w:r>
    </w:p>
    <w:p>
      <w:pPr>
        <w:pStyle w:val="ListBullet"/>
      </w:pPr>
      <w:r/>
      <w:r>
        <w:rPr>
          <w:b/>
        </w:rPr>
        <w:t>Lymphomes non hodgkkiens (LNH)</w:t>
      </w:r>
      <w:r>
        <w:t xml:space="preserve"> : (i) en rechute (protocole MINE : mitoxantrone + ifosfamide + étoposide) ; (ii) en association avec rituximab (protocole R-MINE).</w:t>
      </w:r>
    </w:p>
    <w:p>
      <w:pPr>
        <w:pStyle w:val="ListBullet"/>
      </w:pPr>
      <w:r/>
      <w:r>
        <w:rPr>
          <w:b/>
        </w:rPr>
        <w:t>Cancer du sein métastatique</w:t>
      </w:r>
      <w:r>
        <w:t xml:space="preserve"> : (i) 2ème ligne en monothérapie (14 mg/m² J1 toutes les 3 semaines) ; (ii) en association avec cyclophosphamide + 5-FU (protocole CNF) ou avec méthotrexate + mitomycine.</w:t>
      </w:r>
    </w:p>
    <w:p>
      <w:pPr>
        <w:pStyle w:val="ListBullet"/>
      </w:pPr>
      <w:r/>
      <w:r>
        <w:rPr>
          <w:b/>
        </w:rPr>
        <w:t>Cancer de la prostate hormono-réfractaire</w:t>
      </w:r>
      <w:r>
        <w:t xml:space="preserve"> : en association avec prednisone (essai Tannock 1999 — supériorité sur prednisone seule).</w:t>
      </w:r>
    </w:p>
    <w:p>
      <w:pPr>
        <w:pStyle w:val="ListBullet"/>
      </w:pPr>
      <w:r/>
      <w:r>
        <w:rPr>
          <w:b/>
        </w:rPr>
        <w:t>Sclérose en plaques (SEP)</w:t>
      </w:r>
      <w:r>
        <w:t xml:space="preserve"> récurrente-rémittente ou secondairement progressive : induction annuelle 12 mg/m² IV, 5 cures espacées de 3 mois — réduction de la fréquence des poussées de 60 % et ralentissement de la progression du handicap. Indication neurologique de référence avant l'ère des anticorps monoclonaux (natalizumab, ocrelizumab).</w:t>
      </w:r>
    </w:p>
    <w:p>
      <w:pPr>
        <w:pStyle w:val="ListBullet"/>
      </w:pPr>
      <w:r/>
      <w:r>
        <w:rPr>
          <w:b/>
        </w:rPr>
        <w:t>Hors AMM</w:t>
      </w:r>
      <w:r>
        <w:t xml:space="preserve"> : lymphome de Hodgkin en rechute (alternative à l'ABVD), leucémie lymphoïde chronique (LLC) réfractaire.</w:t>
      </w:r>
    </w:p>
    <w:p>
      <w:pPr>
        <w:pStyle w:val="ListBullet"/>
      </w:pPr>
      <w:r/>
      <w:r>
        <w:rPr>
          <w:b/>
        </w:rPr>
        <w:t>Contre-indications</w:t>
      </w:r>
      <w:r>
        <w:t xml:space="preserve"> : (1) </w:t>
      </w:r>
      <w:r>
        <w:rPr>
          <w:b/>
        </w:rPr>
        <w:t>Dose cumulative déjà maximale</w:t>
      </w:r>
      <w:r>
        <w:t xml:space="preserve"> (&gt; 140 mg/m² oncologie ; &gt; 100 mg/m² SEP) ; (2) </w:t>
      </w:r>
      <w:r>
        <w:rPr>
          <w:b/>
        </w:rPr>
        <w:t>Insuffisance cardiaque</w:t>
      </w:r>
      <w:r>
        <w:t xml:space="preserve"> (FEVG &lt; 50 %) ou antécédent cardiaque récent ; (3) </w:t>
      </w:r>
      <w:r>
        <w:rPr>
          <w:b/>
        </w:rPr>
        <w:t>Insuffisance hépatique sévère</w:t>
      </w:r>
      <w:r>
        <w:t xml:space="preserve"> (bilirubine &gt; 3 mg/dL) ; (4) </w:t>
      </w:r>
      <w:r>
        <w:rPr>
          <w:b/>
        </w:rPr>
        <w:t>Patiente enceinte ou allaitant</w:t>
      </w:r>
      <w:r>
        <w:t xml:space="preserve"> ; (5) </w:t>
      </w:r>
      <w:r>
        <w:rPr>
          <w:b/>
        </w:rPr>
        <w:t>Aplasie médullaire préexistante</w:t>
      </w:r>
      <w:r>
        <w:t xml:space="preserve"> ; (6) </w:t>
      </w:r>
      <w:r>
        <w:rPr>
          <w:b/>
        </w:rPr>
        <w:t>Infection sévère non contrôlée</w:t>
      </w:r>
      <w:r>
        <w:t xml:space="preserve"> ; (7) </w:t>
      </w:r>
      <w:r>
        <w:rPr>
          <w:b/>
        </w:rPr>
        <w:t>Vaccination par vaccin vivant atténué</w:t>
      </w:r>
      <w:r>
        <w:t xml:space="preserve"> ; (8) </w:t>
      </w:r>
      <w:r>
        <w:rPr>
          <w:b/>
        </w:rPr>
        <w:t>Hypersensibilité à la mitoxantrone</w:t>
      </w:r>
      <w:r>
        <w:t>.</w:t>
      </w:r>
    </w:p>
    <w:p>
      <w:pPr>
        <w:pStyle w:val="ListBullet"/>
      </w:pPr>
      <w:r/>
      <w:r>
        <w:rPr>
          <w:b/>
        </w:rPr>
        <w:t>Effets indésirables</w:t>
      </w:r>
      <w:r>
        <w:t xml:space="preserve"> :</w:t>
      </w:r>
    </w:p>
    <w:p>
      <w:pPr>
        <w:pStyle w:val="ListBullet"/>
      </w:pPr>
      <w:r/>
      <w:r>
        <w:rPr>
          <w:b/>
        </w:rPr>
        <w:t>Cardiotoxicité</w:t>
      </w:r>
      <w:r>
        <w:t xml:space="preserve"> (cumulative dose-dépendante) : cardiomyopathie dilatée avec insuffisance cardiaque congestive (souvent irréversible, mortalité 30-50 %). Risque augmente au-delà de </w:t>
      </w:r>
      <w:r>
        <w:rPr>
          <w:b/>
        </w:rPr>
        <w:t>140 mg/m²</w:t>
      </w:r>
      <w:r>
        <w:t xml:space="preserve"> (oncologie) ou 100 mg/m² (SEP). Moindre que pour les anthracyclines à dose équivalente mais non négligeable — surveillance échographique obligatoire (FEVG) avant chaque cure.</w:t>
      </w:r>
    </w:p>
    <w:p>
      <w:pPr>
        <w:pStyle w:val="ListBullet"/>
      </w:pPr>
      <w:r/>
      <w:r>
        <w:rPr>
          <w:b/>
        </w:rPr>
        <w:t>Hématologique</w:t>
      </w:r>
      <w:r>
        <w:t xml:space="preserve"> : myélotoxicité dose-limitante — neutropénie (nadir J10-J14), thrombopénie, anémie. Risque d'aplasie fébrile en induction LAM.</w:t>
      </w:r>
    </w:p>
    <w:p>
      <w:pPr>
        <w:pStyle w:val="ListBullet"/>
      </w:pPr>
      <w:r/>
      <w:r>
        <w:rPr>
          <w:b/>
        </w:rPr>
        <w:t>Digestive</w:t>
      </w:r>
      <w:r>
        <w:t xml:space="preserve"> : nausées/vomissements modérés (émétisants grade 2), mucite modérée, anorexie, diarrhée.</w:t>
      </w:r>
    </w:p>
    <w:p>
      <w:pPr>
        <w:pStyle w:val="ListBullet"/>
      </w:pPr>
      <w:r/>
      <w:r>
        <w:rPr>
          <w:b/>
        </w:rPr>
        <w:t>Cutanée</w:t>
      </w:r>
      <w:r>
        <w:t xml:space="preserve"> : </w:t>
      </w:r>
      <w:r>
        <w:rPr>
          <w:b/>
        </w:rPr>
        <w:t>alopécie modérée</w:t>
      </w:r>
      <w:r>
        <w:t xml:space="preserve"> (30-50 %, moins sévère que les anthracyclines), </w:t>
      </w:r>
      <w:r>
        <w:rPr>
          <w:b/>
        </w:rPr>
        <w:t>coloration bleu-vert des urines</w:t>
      </w:r>
      <w:r>
        <w:t xml:space="preserve"> (1-2 jours après perfusion, due au chromophore bleu), </w:t>
      </w:r>
      <w:r>
        <w:rPr>
          <w:b/>
        </w:rPr>
        <w:t>coloration bleutée de la sclérotique</w:t>
      </w:r>
      <w:r>
        <w:t xml:space="preserve"> (à forte dose), rash, hyperpigmentation des plis, photosensibilité ; réactions locales sévères en cas d'extravasation (vésicant majeur).</w:t>
      </w:r>
    </w:p>
    <w:p>
      <w:pPr>
        <w:pStyle w:val="ListBullet"/>
      </w:pPr>
      <w:r/>
      <w:r>
        <w:rPr>
          <w:b/>
        </w:rPr>
        <w:t>Hépatique</w:t>
      </w:r>
      <w:r>
        <w:t xml:space="preserve"> : élévation transitoire des transaminases et bilirubine (10-20 %), hépatotoxicité sévère rare.</w:t>
      </w:r>
    </w:p>
    <w:p>
      <w:pPr>
        <w:pStyle w:val="ListBullet"/>
      </w:pPr>
      <w:r/>
      <w:r>
        <w:rPr>
          <w:b/>
        </w:rPr>
        <w:t>Conjonctivite</w:t>
      </w:r>
      <w:r>
        <w:t xml:space="preserve"> : rare (aux doses standard).</w:t>
      </w:r>
    </w:p>
    <w:p>
      <w:pPr>
        <w:pStyle w:val="ListBullet"/>
      </w:pPr>
      <w:r/>
      <w:r>
        <w:rPr>
          <w:b/>
        </w:rPr>
        <w:t>Syndrome de lyse tumorale</w:t>
      </w:r>
      <w:r>
        <w:t xml:space="preserve"> : rare à l'initiation (LAM à forte masse).</w:t>
      </w:r>
    </w:p>
    <w:p>
      <w:pPr>
        <w:pStyle w:val="ListBullet"/>
      </w:pPr>
      <w:r/>
      <w:r>
        <w:rPr>
          <w:b/>
        </w:rPr>
        <w:t>Leucémogénicité</w:t>
      </w:r>
      <w:r>
        <w:t xml:space="preserve"> (long terme) : risque de LAM secondaire avec translocation 11q23 (surtout en pédiatrie et en SEP — dose cumulée plus faible mais durée plus longue).</w:t>
      </w:r>
    </w:p>
    <w:p>
      <w:pPr>
        <w:pStyle w:val="ListBullet"/>
      </w:pPr>
      <w:r/>
      <w:r>
        <w:rPr>
          <w:b/>
        </w:rPr>
        <w:t>Immunosuppression</w:t>
      </w:r>
      <w:r>
        <w:t xml:space="preserve"> : déplétion lymphocytaire B et T prolongée (jusqu'à 12 mois après la dernière cure en SEP) — infections opportunistes (pneumocystose, herpès/zona) — prophylaxie obligatoire en SEP.</w:t>
      </w:r>
    </w:p>
    <w:p>
      <w:pPr>
        <w:pStyle w:val="ListBullet"/>
      </w:pPr>
      <w:r/>
      <w:r>
        <w:rPr>
          <w:b/>
        </w:rPr>
        <w:t>Aménorrhée transitoire ou définitive</w:t>
      </w:r>
      <w:r>
        <w:t xml:space="preserve"> (surtout &gt; 35 ans, dose cumulée élevée).</w:t>
      </w:r>
    </w:p>
    <w:p>
      <w:pPr>
        <w:pStyle w:val="ListBullet"/>
      </w:pPr>
      <w:r/>
      <w:r>
        <w:rPr>
          <w:b/>
        </w:rPr>
        <w:t>Mesures préventives</w:t>
      </w:r>
      <w:r>
        <w:t xml:space="preserve"> :</w:t>
      </w:r>
    </w:p>
    <w:p>
      <w:pPr>
        <w:pStyle w:val="ListBullet"/>
      </w:pPr>
      <w:r/>
      <w:r>
        <w:rPr>
          <w:b/>
        </w:rPr>
        <w:t>Bilan pré-thérapeutique</w:t>
      </w:r>
      <w:r>
        <w:t xml:space="preserve"> : NFS-plaquettes, créatininémie, bilan hépatique (ALAT, ASAT, PAL, γGT, bilirubine), </w:t>
      </w:r>
      <w:r>
        <w:rPr>
          <w:b/>
        </w:rPr>
        <w:t>échographie cardiaque avec FEVG</w:t>
      </w:r>
      <w:r>
        <w:t xml:space="preserve"> (référence obligatoire — seuil FEVG &gt; 50 %), ECG, β-hCG, sérologies (VHB, VHC, VIH).</w:t>
      </w:r>
    </w:p>
    <w:p>
      <w:pPr>
        <w:pStyle w:val="ListBullet"/>
      </w:pPr>
      <w:r/>
      <w:r>
        <w:rPr>
          <w:b/>
        </w:rPr>
        <w:t>Surveillance cardiaque</w:t>
      </w:r>
      <w:r>
        <w:t xml:space="preserve"> : échographie cardiaque avant chaque cure au-delà de 100 mg/m² (oncologie) ou de 60 mg/m² (SEP), troponine I ultrasensible avant chaque cure.</w:t>
      </w:r>
    </w:p>
    <w:p>
      <w:pPr>
        <w:pStyle w:val="ListBullet"/>
      </w:pPr>
      <w:r/>
      <w:r>
        <w:rPr>
          <w:b/>
        </w:rPr>
        <w:t>Surveillance NFS</w:t>
      </w:r>
      <w:r>
        <w:t xml:space="preserve"> : avant chaque cure et J10-J14 (nadir), quotidienne en induction LAM.</w:t>
      </w:r>
    </w:p>
    <w:p>
      <w:pPr>
        <w:pStyle w:val="ListBullet"/>
      </w:pPr>
      <w:r/>
      <w:r>
        <w:rPr>
          <w:b/>
        </w:rPr>
        <w:t>Prophylaxie infectieuse</w:t>
      </w:r>
      <w:r>
        <w:t xml:space="preserve"> (SEP, mitoxantrone prolongée) : cotrimoxazole 400/80 mg 3x/sem pendant toute la durée et 6 mois après ; valacyclovir 500 mg x 2/j pendant 6 mois après.</w:t>
      </w:r>
    </w:p>
    <w:p>
      <w:pPr>
        <w:pStyle w:val="ListBullet"/>
      </w:pPr>
      <w:r/>
      <w:r>
        <w:rPr>
          <w:b/>
        </w:rPr>
        <w:t>Antiemetic prophylaxie</w:t>
      </w:r>
      <w:r>
        <w:t xml:space="preserve"> : antagoniste 5-HT3 + dexaméthasone (émétisants grade 2).</w:t>
      </w:r>
    </w:p>
    <w:p>
      <w:pPr>
        <w:pStyle w:val="ListBullet"/>
      </w:pPr>
      <w:r/>
      <w:r>
        <w:rPr>
          <w:b/>
        </w:rPr>
        <w:t>Prophylaxie mucite</w:t>
      </w:r>
      <w:r>
        <w:t xml:space="preserve"> : cryothérapie orale, bains de bouche bicarbonatés.</w:t>
      </w:r>
    </w:p>
    <w:p>
      <w:pPr>
        <w:pStyle w:val="ListBullet"/>
      </w:pPr>
      <w:r/>
      <w:r>
        <w:rPr>
          <w:b/>
        </w:rPr>
        <w:t>Surveillance extravasation</w:t>
      </w:r>
      <w:r>
        <w:t xml:space="preserve"> : voie veineuse centrale préférentielle.</w:t>
      </w:r>
    </w:p>
    <w:p>
      <w:pPr>
        <w:pStyle w:val="ListBullet"/>
      </w:pPr>
      <w:r/>
      <w:r>
        <w:rPr>
          <w:b/>
        </w:rPr>
        <w:t>Contraception</w:t>
      </w:r>
      <w:r>
        <w:t xml:space="preserve"> : obligatoire pendant et 3 mois après (femme et homme).</w:t>
      </w:r>
    </w:p>
    <w:p>
      <w:pPr>
        <w:pStyle w:val="ListBullet"/>
      </w:pPr>
      <w:r/>
      <w:r>
        <w:rPr>
          <w:b/>
        </w:rPr>
        <w:t>Vaccins</w:t>
      </w:r>
      <w:r>
        <w:t xml:space="preserve"> : éviter vaccins vivants atténués pendant et 6 mois après (SEP, immunosuppression prolongée).</w:t>
      </w:r>
    </w:p>
    <w:p>
      <w:pPr>
        <w:pStyle w:val="ListBullet"/>
      </w:pPr>
      <w:r/>
      <w:r>
        <w:rPr>
          <w:b/>
        </w:rPr>
        <w:t>Surveillance NFS prolongée en SEP</w:t>
      </w:r>
      <w:r>
        <w:t xml:space="preserve"> : pendant 6 mois après la dernière cure (déplétion lymphocytaire prolongée).</w:t>
      </w:r>
    </w:p>
    <w:p>
      <w:pPr>
        <w:pStyle w:val="ListBullet"/>
      </w:pPr>
      <w:r/>
      <w:r>
        <w:rPr>
          <w:b/>
        </w:rPr>
        <w:t>Interactions médicamenteuses</w:t>
      </w:r>
      <w:r>
        <w:t xml:space="preserve"> :</w:t>
      </w:r>
    </w:p>
    <w:p>
      <w:pPr>
        <w:pStyle w:val="ListBullet"/>
      </w:pPr>
      <w:r/>
      <w:r>
        <w:rPr>
          <w:b/>
        </w:rPr>
        <w:t>Mitoxantrone + Ara-C, cyclophosphamide, 5-FU</w:t>
      </w:r>
      <w:r>
        <w:t xml:space="preserve"> : synergies classiques (Mito-ARA-C, CNF).</w:t>
      </w:r>
    </w:p>
    <w:p>
      <w:pPr>
        <w:pStyle w:val="ListBullet"/>
      </w:pPr>
      <w:r/>
      <w:r>
        <w:rPr>
          <w:b/>
        </w:rPr>
        <w:t>Mitoxantrone + radiothérapie thoracique</w:t>
      </w:r>
      <w:r>
        <w:t xml:space="preserve"> : cardiotoxicité additive.</w:t>
      </w:r>
    </w:p>
    <w:p>
      <w:pPr>
        <w:pStyle w:val="ListBullet"/>
      </w:pPr>
      <w:r/>
      <w:r>
        <w:rPr>
          <w:b/>
        </w:rPr>
        <w:t>Mitoxantrone + autres cardiotoxiques</w:t>
      </w:r>
      <w:r>
        <w:t xml:space="preserve"> (anthracyclines, trastuzumab, cyclophosphamide) : cardiotoxicité additive — éviter.</w:t>
      </w:r>
    </w:p>
    <w:p>
      <w:pPr>
        <w:pStyle w:val="ListBullet"/>
      </w:pPr>
      <w:r/>
      <w:r>
        <w:rPr>
          <w:b/>
        </w:rPr>
        <w:t>Mitoxantrone + vaccins vivants atténués</w:t>
      </w:r>
      <w:r>
        <w:t xml:space="preserve"> : contre-indication (immunosuppression).</w:t>
      </w:r>
    </w:p>
    <w:p>
      <w:pPr>
        <w:pStyle w:val="ListBullet"/>
      </w:pPr>
      <w:r/>
      <w:r>
        <w:rPr>
          <w:b/>
        </w:rPr>
        <w:t>Mitoxantrone + warfarine, AVK</w:t>
      </w:r>
      <w:r>
        <w:t xml:space="preserve"> : surveillance INR.</w:t>
      </w:r>
    </w:p>
    <w:p>
      <w:pPr>
        <w:pStyle w:val="ListBullet"/>
      </w:pPr>
      <w:r/>
      <w:r>
        <w:rPr>
          <w:b/>
        </w:rPr>
        <w:t>Mitoxantrone + inhibiteurs/inducteurs CYP3A4</w:t>
      </w:r>
      <w:r>
        <w:t xml:space="preserve"> : pas d'interaction majeure (mitoxantrone métabolisée par ALDH/MAO, pas par CYP).</w:t>
      </w:r>
    </w:p>
    <w:p>
      <w:pPr>
        <w:pStyle w:val="ListBullet"/>
      </w:pPr>
      <w:r/>
      <w:r>
        <w:rPr>
          <w:b/>
        </w:rPr>
        <w:t>Grossesse et allaitement (CRAT)</w:t>
      </w:r>
      <w:r>
        <w:t xml:space="preserve"> :</w:t>
      </w:r>
    </w:p>
    <w:p>
      <w:pPr>
        <w:pStyle w:val="ListBullet"/>
      </w:pPr>
      <w:r/>
      <w:r>
        <w:rPr>
          <w:b/>
        </w:rPr>
        <w:t>Grossesse</w:t>
      </w:r>
      <w:r>
        <w:t xml:space="preserve"> : selon le CRAT, la mitoxantrone est </w:t>
      </w:r>
      <w:r>
        <w:rPr>
          <w:b/>
        </w:rPr>
        <w:t>tératogène</w:t>
      </w:r>
      <w:r>
        <w:t xml:space="preserve"> chez l'animal (anomalies cardiovasculaires, squelettiques). Catégorie D (à éviter formellement). Contraception obligatoire pendant et 3 mois après (femme et homme). Pour les femmes SEP en âge de procréer : contraception stricte pendant toute la durée du traitement et 6 mois après la dernière cure (en raison de l'accumulation tissulaire).</w:t>
      </w:r>
    </w:p>
    <w:p>
      <w:pPr>
        <w:pStyle w:val="ListBullet"/>
      </w:pPr>
      <w:r/>
      <w:r>
        <w:rPr>
          <w:b/>
        </w:rPr>
        <w:t>Allaitement</w:t>
      </w:r>
      <w:r>
        <w:t xml:space="preserve"> : contre-indiqué (passe dans le lait, cytotoxique pour le nourrisson).</w:t>
      </w:r>
    </w:p>
    <w:p>
      <w:pPr>
        <w:pStyle w:val="ListBullet"/>
      </w:pPr>
      <w:r/>
      <w:r>
        <w:rPr>
          <w:b/>
        </w:rPr>
        <w:t>Posologie</w:t>
      </w:r>
      <w:r>
        <w:t xml:space="preserve"> :</w:t>
      </w:r>
    </w:p>
    <w:p>
      <w:pPr>
        <w:pStyle w:val="ListBullet"/>
      </w:pPr>
      <w:r/>
      <w:r>
        <w:rPr>
          <w:b/>
        </w:rPr>
        <w:t>LAM induction</w:t>
      </w:r>
      <w:r>
        <w:t xml:space="preserve"> : 10-12 mg/m²/j IV J1-J3 (3 doses) + Ara-C 1 g/m²/12h J1-J4 (Mito-ARA-C), ou MICE (mitoxantrone 8 mg/m² J1-J3 + Ara-C 100 mg/m²/j J1-J5 + étoposide 100 mg/m² J1-J5).</w:t>
      </w:r>
    </w:p>
    <w:p>
      <w:pPr>
        <w:pStyle w:val="ListBullet"/>
      </w:pPr>
      <w:r/>
      <w:r>
        <w:rPr>
          <w:b/>
        </w:rPr>
        <w:t>Cancer du sein métastatique</w:t>
      </w:r>
      <w:r>
        <w:t xml:space="preserve"> : 14 mg/m² IV J1 toutes les 3 semaines, ou 12 mg/m² J1 + cyclophosphamide 600 mg/m² J1 + 5-FU 500 mg/m² J1 (CNF).</w:t>
      </w:r>
    </w:p>
    <w:p>
      <w:pPr>
        <w:pStyle w:val="ListBullet"/>
      </w:pPr>
      <w:r/>
      <w:r>
        <w:rPr>
          <w:b/>
        </w:rPr>
        <w:t>Cancer de la prostate hormono-réfractaire</w:t>
      </w:r>
      <w:r>
        <w:t xml:space="preserve"> : 12 mg/m² IV J1 toutes les 3 semaines + prednisone 5 mg x 2/j per os continu.</w:t>
      </w:r>
    </w:p>
    <w:p>
      <w:pPr>
        <w:pStyle w:val="ListBullet"/>
      </w:pPr>
      <w:r/>
      <w:r>
        <w:rPr>
          <w:b/>
        </w:rPr>
        <w:t>SEP</w:t>
      </w:r>
      <w:r>
        <w:t xml:space="preserve"> : 12 mg/m² IV J1, 1 cure tous les 3 mois, 5 cures au total (dose cumulée max 100-140 mg/m²). Surveillance FEVG avant chaque cure.</w:t>
      </w:r>
    </w:p>
    <w:p>
      <w:pPr>
        <w:pStyle w:val="ListBullet"/>
      </w:pPr>
      <w:r/>
      <w:r>
        <w:rPr>
          <w:b/>
        </w:rPr>
        <w:t>Adaptation hépatique</w:t>
      </w:r>
      <w:r>
        <w:t xml:space="preserve"> : bilirubine 1,5-3 mg/dL → réduire 50 % ; &gt; 3 → contre-indication.</w:t>
      </w:r>
    </w:p>
    <w:p>
      <w:pPr>
        <w:pStyle w:val="ListBullet"/>
      </w:pPr>
      <w:r/>
      <w:r>
        <w:rPr>
          <w:b/>
        </w:rPr>
        <w:t>Adaptation cardiaque</w:t>
      </w:r>
      <w:r>
        <w:t xml:space="preserve"> : FEVG &lt; 50 % ou baisse &gt; 10 % par rapport à la valeur de référence → contre-indication/arrêt définitif.</w:t>
      </w:r>
    </w:p>
    <w:p>
      <w:pPr>
        <w:pStyle w:val="ListBullet"/>
      </w:pPr>
      <w:r/>
      <w:r>
        <w:rPr>
          <w:b/>
        </w:rPr>
        <w:t>Adaptation hématologique</w:t>
      </w:r>
      <w:r>
        <w:t xml:space="preserve"> : PNN &lt; 1,5 G/L ou plaquettes &lt; 100 G/L → retarder cure d'1 semaine.</w:t>
      </w:r>
    </w:p>
    <w:p>
      <w:pPr>
        <w:pStyle w:val="ListBullet"/>
      </w:pPr>
      <w:r/>
      <w:r>
        <w:rPr>
          <w:b/>
        </w:rPr>
        <w:t>Sujet âgé</w:t>
      </w:r>
      <w:r>
        <w:t xml:space="preserve"> : pas d'adaptation systématique mais surveillance ++.</w:t>
      </w:r>
    </w:p>
    <w:p>
      <w:pPr>
        <w:pStyle w:val="ListBullet"/>
      </w:pPr>
      <w:r/>
      <w:r>
        <w:rPr>
          <w:b/>
        </w:rPr>
        <w:t>Formes galéniques</w:t>
      </w:r>
      <w:r>
        <w:t xml:space="preserve"> :</w:t>
      </w:r>
    </w:p>
    <w:p>
      <w:pPr>
        <w:pStyle w:val="ListBullet"/>
      </w:pPr>
      <w:r/>
      <w:r>
        <w:rPr>
          <w:b/>
        </w:rPr>
        <w:t>Solution injectable 2 mg/mL (10 mg/5 mL et 20 mg/10 mL)</w:t>
      </w:r>
      <w:r>
        <w:t xml:space="preserve"> (NOVANTRONE Wyeth-Lederle, MITOXANTRON EBEWE — toutes deux non renouvelables en Algérie) : forme liquide prête à l'emploi, administration IV stricte (bolus ou perfusion courte 5-15 min diluée dans 100 mL NaCl 0,9 %). Conservation 2-8 °C (réfrigérateur), à l'abri de la lumière. Ne pas congeler.</w:t>
      </w:r>
    </w:p>
    <w:p>
      <w:pPr>
        <w:pStyle w:val="ListBullet"/>
      </w:pPr>
      <w:r/>
      <w:r>
        <w:rPr>
          <w:b/>
        </w:rPr>
        <w:t>Forme alternative</w:t>
      </w:r>
      <w:r>
        <w:t xml:space="preserve"> : indisponible en Algérie actuelle (situation préoccupante pour les patients SEP et LAM).</w:t>
      </w:r>
    </w:p>
    <w:p>
      <w:pPr>
        <w:pStyle w:val="ListBullet"/>
      </w:pPr>
      <w:r/>
      <w:r>
        <w:rPr>
          <w:b/>
        </w:rPr>
        <w:t>Manipulation</w:t>
      </w:r>
      <w:r>
        <w:t xml:space="preserve"> : précautions cytotoxiques standard strictes — la mitoxantrone est un vésicant puissant. En cas d'extravasation : arrêter immédiatement, aspiration par le cathéter, froid local, surveillance prolongée (lésions ulcéreuses retardées possibles jusqu'à 2 semaines après).</w:t>
      </w:r>
    </w:p>
    <w:p>
      <w:pPr>
        <w:pStyle w:val="ListBullet"/>
      </w:pPr>
      <w:r/>
      <w:r>
        <w:rPr>
          <w:b/>
        </w:rPr>
        <w:t>Conservation</w:t>
      </w:r>
      <w:r>
        <w:t xml:space="preserve"> : à température 2-8 °C, à l'abri de la lumière. Solutions diluées à utiliser immédiatement (stables 24 h en NaCl 0,9 % à température ambiante).</w:t>
      </w:r>
    </w:p>
    <w:p>
      <w:pPr>
        <w:pStyle w:val="ListBullet"/>
      </w:pPr>
      <w:r/>
      <w:r>
        <w:rPr>
          <w:b/>
        </w:rPr>
        <w:t>Problème algérien</w:t>
      </w:r>
      <w:r>
        <w:t xml:space="preserve"> : rupture de stock des deux formes disponibles (NOVANTRONE et MITOXANTRON EBEWE) — situation préoccupante pour les patients SEP en cours de traitement. Anticiper par autorisation d'importation ou switch thérapeutique vers d'autres immunosuppresseurs (natalizumab, fingolimod, rituximab).</w:t>
      </w:r>
    </w:p>
    <w:p>
      <w:pPr>
        <w:pStyle w:val="ListBullet"/>
      </w:pPr>
      <w:r/>
      <w:r>
        <w:rPr>
          <w:b/>
        </w:rPr>
        <w:t>Conseils aux patients</w:t>
      </w:r>
      <w:r>
        <w:t xml:space="preserve"> :</w:t>
      </w:r>
    </w:p>
    <w:p>
      <w:pPr>
        <w:pStyle w:val="ListBullet"/>
      </w:pPr>
      <w:r/>
      <w:r>
        <w:rPr>
          <w:b/>
        </w:rPr>
        <w:t>Communication au comptoir</w:t>
      </w:r>
      <w:r>
        <w:t xml:space="preserve"> : « Voici votre mitoxantrone (perfusable à l'hôpital). Elle sera administrée par voie IV. Vos urines peuvent devenir bleu-vert pendant 1-2 jours après la perfusion — c'est normal et dû à la couleur du médicament, ce n'est pas une infection. Vous risquez une alopécie modérée (30-50 %, réversible à l'arrêt). Surveillez votre température : si fièvre &gt; 38,5 °C, consultez en urgence. Si vous avez des ulcères buccaux, des nausées, des saignements, prévenez votre médecin. Pour les patients SEP : surveillance cardiaque échographique avant chaque cure, surveillance NFS pendant 6 mois après la dernière cure. Contraception stricte obligatoire (femme et homme). »</w:t>
      </w:r>
    </w:p>
    <w:p>
      <w:pPr>
        <w:pStyle w:val="ListBullet"/>
      </w:pPr>
      <w:r/>
      <w:r>
        <w:rPr>
          <w:b/>
        </w:rPr>
        <w:t>Mode d'utilisation</w:t>
      </w:r>
      <w:r>
        <w:t xml:space="preserve"> : perfusion IV à l'hôpital, bolus ou perfusion courte.</w:t>
      </w:r>
    </w:p>
    <w:p>
      <w:pPr>
        <w:pStyle w:val="ListBullet"/>
      </w:pPr>
      <w:r/>
      <w:r>
        <w:rPr>
          <w:b/>
        </w:rPr>
        <w:t>Surveillance</w:t>
      </w:r>
      <w:r>
        <w:t xml:space="preserve"> : NFS avant chaque cure et J10-J14, échographie cardiaque avant traitement puis avant chaque cure au-delà de 60 mg/m² (SEP) ou 100 mg/m² (oncologie), troponine I avant chaque cure.</w:t>
      </w:r>
    </w:p>
    <w:p>
      <w:pPr>
        <w:pStyle w:val="ListBullet"/>
      </w:pPr>
      <w:r/>
      <w:r>
        <w:rPr>
          <w:b/>
        </w:rPr>
        <w:t>Hydratation</w:t>
      </w:r>
      <w:r>
        <w:t xml:space="preserve"> : 1,5-2 L/j.</w:t>
      </w:r>
    </w:p>
    <w:p>
      <w:pPr>
        <w:pStyle w:val="ListBullet"/>
      </w:pPr>
      <w:r/>
      <w:r>
        <w:rPr>
          <w:b/>
        </w:rPr>
        <w:t>Contraception</w:t>
      </w:r>
      <w:r>
        <w:t xml:space="preserve"> : obligatoire pendant et 3 mois après (femme et homme) ; pour SEP pendant et 6 mois après la dernière cure.</w:t>
      </w:r>
    </w:p>
    <w:p>
      <w:pPr>
        <w:pStyle w:val="ListBullet"/>
      </w:pPr>
      <w:r/>
      <w:r>
        <w:rPr>
          <w:b/>
        </w:rPr>
        <w:t>Vaccins</w:t>
      </w:r>
      <w:r>
        <w:t xml:space="preserve"> : éviter vaccins vivants atténués pendant et 6 mois après.</w:t>
      </w:r>
    </w:p>
    <w:p>
      <w:pPr>
        <w:pStyle w:val="ListBullet"/>
      </w:pPr>
      <w:r/>
      <w:r>
        <w:rPr>
          <w:b/>
        </w:rPr>
        <w:t>En cas de fièvre, ulcère buccal, saignement, essoufflement, palpitations</w:t>
      </w:r>
      <w:r>
        <w:t xml:space="preserve"> : consulter en urgence.</w:t>
      </w:r>
    </w:p>
    <w:p>
      <w:pPr>
        <w:pStyle w:val="ListBullet"/>
      </w:pPr>
      <w:r/>
      <w:r>
        <w:rPr>
          <w:b/>
        </w:rPr>
        <w:t>Pièges classiques</w:t>
      </w:r>
      <w:r>
        <w:t xml:space="preserve"> :</w:t>
      </w:r>
    </w:p>
    <w:p>
      <w:pPr>
        <w:pStyle w:val="ListBullet"/>
      </w:pPr>
      <w:r/>
      <w:r>
        <w:rPr>
          <w:b/>
        </w:rPr>
        <w:t>Piège de la dose cumulative cardiaque</w:t>
      </w:r>
      <w:r>
        <w:t xml:space="preserve"> : à tracer scrupuleusement (max 140 mg/m² oncologie, 100 mg/m² SEP).</w:t>
      </w:r>
    </w:p>
    <w:p>
      <w:pPr>
        <w:pStyle w:val="ListBullet"/>
      </w:pPr>
      <w:r/>
      <w:r>
        <w:rPr>
          <w:b/>
        </w:rPr>
        <w:t>Piège de la surveillance FEVG en SEP</w:t>
      </w:r>
      <w:r>
        <w:t xml:space="preserve"> : souvent négligée — pourtant indispensable.</w:t>
      </w:r>
    </w:p>
    <w:p>
      <w:pPr>
        <w:pStyle w:val="ListBullet"/>
      </w:pPr>
      <w:r/>
      <w:r>
        <w:rPr>
          <w:b/>
        </w:rPr>
        <w:t>Piège de l'extravasation</w:t>
      </w:r>
      <w:r>
        <w:t xml:space="preserve"> : nécrose tissulaire — voie centrale, surveillance prolongée (lésions retardées jusqu'à 2 semaines).</w:t>
      </w:r>
    </w:p>
    <w:p>
      <w:pPr>
        <w:pStyle w:val="ListBullet"/>
      </w:pPr>
      <w:r/>
      <w:r>
        <w:rPr>
          <w:b/>
        </w:rPr>
        <w:t>Piège de l'adaptation hépatique</w:t>
      </w:r>
      <w:r>
        <w:t xml:space="preserve"> : bilirubine &gt; 1,5 mg/dL → réduire 50 % ; &gt; 3 → contre-indication.</w:t>
      </w:r>
    </w:p>
    <w:p>
      <w:pPr>
        <w:pStyle w:val="ListBullet"/>
      </w:pPr>
      <w:r/>
      <w:r>
        <w:rPr>
          <w:b/>
        </w:rPr>
        <w:t>Piège de la leucémogénicité en SEP</w:t>
      </w:r>
      <w:r>
        <w:t xml:space="preserve"> : surveillance à long terme du caryotype médullaire si symptômes (cytopénies inexpliquées, blastose).</w:t>
      </w:r>
    </w:p>
    <w:p>
      <w:pPr>
        <w:pStyle w:val="ListBullet"/>
      </w:pPr>
      <w:r/>
      <w:r>
        <w:rPr>
          <w:b/>
        </w:rPr>
        <w:t>Piège de la rupture de stock en Algérie</w:t>
      </w:r>
      <w:r>
        <w:t xml:space="preserve"> : NOVANTRONE et MITOXANTRON EBEWE non renouvelables — anticiper l'approvisionnement ou switcher vers alternative (natalizumab, rituximab).</w:t>
      </w:r>
    </w:p>
    <w:p>
      <w:pPr>
        <w:pStyle w:val="ListBullet"/>
      </w:pPr>
      <w:r/>
      <w:r>
        <w:rPr>
          <w:b/>
        </w:rPr>
        <w:t>Piège des urines bleu-vert</w:t>
      </w:r>
      <w:r>
        <w:t xml:space="preserve"> : toujours prévenir le patient (peur d'une infection).</w:t>
      </w:r>
    </w:p>
    <w:p>
      <w:pPr>
        <w:pStyle w:val="ListBullet"/>
      </w:pPr>
      <w:r/>
      <w:r>
        <w:rPr>
          <w:b/>
        </w:rPr>
        <w:t>Piège de la contraception en SEP</w:t>
      </w:r>
      <w:r>
        <w:t xml:space="preserve"> : souvent oubliée chez l'homme — pourtant indispensable.</w:t>
      </w:r>
    </w:p>
    <w:p>
      <w:pPr>
        <w:pStyle w:val="ListBullet"/>
      </w:pPr>
      <w:r/>
      <w:r>
        <w:rPr>
          <w:b/>
        </w:rPr>
        <w:t>Piège de l'immunosuppression prolongée en SEP</w:t>
      </w:r>
      <w:r>
        <w:t xml:space="preserve"> : surveillance NFS et lymphocytes pendant 6 mois après la dernière cure.</w:t>
      </w:r>
    </w:p>
    <w:p>
      <w:pPr>
        <w:pStyle w:val="Heading2"/>
      </w:pPr>
      <w:r>
        <w:t>Sous-classe 11 — Antibiotiques antitumoraux non anthracyclines — Bléomycine, Mitomycine, Dactinomycine</w:t>
      </w:r>
    </w:p>
    <w:p>
      <w:r>
        <w:t xml:space="preserve">La onzième et dernière sous-classe du Chapitre 102 regroupe trois </w:t>
      </w:r>
      <w:r>
        <w:rPr>
          <w:b/>
        </w:rPr>
        <w:t>antibiotiques antitumoraux</w:t>
      </w:r>
      <w:r>
        <w:t xml:space="preserve"> de structure chimique et de mécanisme d'action très différents des anthracyclines et des anthracènediones, mais partageant le point commun d'être issus de microorganismes du sol du genre </w:t>
      </w:r>
      <w:r>
        <w:rPr>
          <w:i/>
        </w:rPr>
        <w:t>Streptomyces</w:t>
      </w:r>
      <w:r>
        <w:t xml:space="preserve"> et d'agir directement sur l'ADN par des mécanismes non intercalatifs. Cette famille comprend la </w:t>
      </w:r>
      <w:r>
        <w:rPr>
          <w:b/>
        </w:rPr>
        <w:t>bléomycine</w:t>
      </w:r>
      <w:r>
        <w:t xml:space="preserve"> (glycopeptide anticancéreux coupant l'ADN, </w:t>
      </w:r>
      <w:r>
        <w:rPr>
          <w:i/>
        </w:rPr>
        <w:t>Streptomyces verticillus</w:t>
      </w:r>
      <w:r>
        <w:t xml:space="preserve">), la </w:t>
      </w:r>
      <w:r>
        <w:rPr>
          <w:b/>
        </w:rPr>
        <w:t>mitomycine C</w:t>
      </w:r>
      <w:r>
        <w:t xml:space="preserve"> (alkylant bifonctionnel d'origine bactérienne, </w:t>
      </w:r>
      <w:r>
        <w:rPr>
          <w:i/>
        </w:rPr>
        <w:t>Streptomyces caespitosus</w:t>
      </w:r>
      <w:r>
        <w:t xml:space="preserve">) et la </w:t>
      </w:r>
      <w:r>
        <w:rPr>
          <w:b/>
        </w:rPr>
        <w:t>dactinomycine</w:t>
      </w:r>
      <w:r>
        <w:t xml:space="preserve"> (actinomycine D, peptide chromophore intercalant, </w:t>
      </w:r>
      <w:r>
        <w:rPr>
          <w:i/>
        </w:rPr>
        <w:t>Streptomyces parvulus</w:t>
      </w:r>
      <w:r>
        <w:t xml:space="preserve">). Ces trois molécules ont en commun : (i) une </w:t>
      </w:r>
      <w:r>
        <w:rPr>
          <w:b/>
        </w:rPr>
        <w:t>structure peptidique ou peptido-polykétidique complexe</w:t>
      </w:r>
      <w:r>
        <w:t xml:space="preserve"> (et non un noyau aromatique plan comme les anthracyclines) ; (ii) un </w:t>
      </w:r>
      <w:r>
        <w:rPr>
          <w:b/>
        </w:rPr>
        <w:t>mécanisme d'action original</w:t>
      </w:r>
      <w:r>
        <w:t xml:space="preserve"> (coupure oxydative de l'ADN pour la bléomycine, alkylation bifonctionnelle pour la mitomycine, intercalation forte + inhibition de l'ARN polymérase pour la dactinomycine) ; (iii) une </w:t>
      </w:r>
      <w:r>
        <w:rPr>
          <w:b/>
        </w:rPr>
        <w:t>toxicité d'organe spécifique</w:t>
      </w:r>
      <w:r>
        <w:t xml:space="preserve"> et très différente des anthracyclines (pneumotoxicité et cutanée pour la bléomycine, toxicité hématologique retardée et vésicante pour la mitomycine, immunosuppression et aplasie sévère pour la dactinomycine) ; (iv) une place clinique historiquement importante, aujourd'hui plus restreinte mais toujours centrale dans certaines indications précises (maladie de Hodgkin pour la bléomycine, tumeurs germinales, cancer de l'estomac et de la vessie pour la mitomycine, tumeurs pédiatriques embryonnaires — Wilms, rhabdomyosarcome — pour la dactinomycine).</w:t>
      </w:r>
    </w:p>
    <w:p>
      <w:r>
        <w:t xml:space="preserve">La </w:t>
      </w:r>
      <w:r>
        <w:rPr>
          <w:b/>
        </w:rPr>
        <w:t>bléomycine</w:t>
      </w:r>
      <w:r>
        <w:t xml:space="preserve"> doit sa célébrité à sa place dans le protocole ABVD (doxorubicine [Adriamycine], bléomycine, vinblastine, dacarbazine) qui demeure le traitement de référence de la maladie de Hodgkin, ainsi que dans les protocoles BEP (bléomycine, étoposide, cisplatine) des tumeurs germinales testiculaires. Sa particularité pharmacologique majeure est son </w:t>
      </w:r>
      <w:r>
        <w:rPr>
          <w:b/>
        </w:rPr>
        <w:t>élimination rénale exclusive</w:t>
      </w:r>
      <w:r>
        <w:t xml:space="preserve"> (clairance ≈ 70 mL/min/m²) et son inactivation tissulaire par une </w:t>
      </w:r>
      <w:r>
        <w:rPr>
          <w:b/>
        </w:rPr>
        <w:t>bléomycine hydrolase</w:t>
      </w:r>
      <w:r>
        <w:t xml:space="preserve"> qui est </w:t>
      </w:r>
      <w:r>
        <w:rPr>
          <w:i/>
        </w:rPr>
        <w:t>absente du tissu pulmonaire</w:t>
      </w:r>
      <w:r>
        <w:t xml:space="preserve"> — d'où la pneumotoxicité spécifique dose-cumulative-dépendante. La </w:t>
      </w:r>
      <w:r>
        <w:rPr>
          <w:b/>
        </w:rPr>
        <w:t>mitomycine C</w:t>
      </w:r>
      <w:r>
        <w:t xml:space="preserve"> est un alkylant « tardif » activé par réduction enzymatique intracellulaire (DT-diaphorase, NADPH-cytochrome P450 réductase) en un di radicalaire capable de ponter l'ADN — sa toxicité hématologique est retardée (nadir à J28-J35, soit 4 à 6 semaines après perfusion, inhabituel pour un cytotoxique) et son usage est limité par sa toxicité vésicante locale (lésions ulcéreuses sévères en cas d'extravasation) et par son risque de syndrome hémolytique et urémique (SHU) atypique. La </w:t>
      </w:r>
      <w:r>
        <w:rPr>
          <w:b/>
        </w:rPr>
        <w:t>dactinomycine</w:t>
      </w:r>
      <w:r>
        <w:t xml:space="preserve"> (actinomycine D), premier antibiotique antitumoral historique (Waksman, 1940 ;使用权 clinique depuis 1954), est un peptide chromophore intercalant qui se fixe fortement à l'ADN double brin au niveau des paires GC et bloque l'ARN polymérase ARN-dépendante. Elle reste un pilier des protocoles pédiatriques (tumeur de Wilms — protocole SIOP-RTWS, rhabdomyosarcome — protocole RMS-2005, sarcome d'Ewing, tumeurs germinales pédiatriques). La situation algérienne est marquée par une </w:t>
      </w:r>
      <w:r>
        <w:rPr>
          <w:b/>
        </w:rPr>
        <w:t>indisponibilité chronique</w:t>
      </w:r>
      <w:r>
        <w:t xml:space="preserve"> inquiétante : la </w:t>
      </w:r>
      <w:r>
        <w:rPr>
          <w:b/>
        </w:rPr>
        <w:t>bléomycine BELLON</w:t>
      </w:r>
      <w:r>
        <w:t xml:space="preserve"> et </w:t>
      </w:r>
      <w:r>
        <w:rPr>
          <w:b/>
        </w:rPr>
        <w:t>BLOICIN-S</w:t>
      </w:r>
      <w:r>
        <w:t xml:space="preserve"> sont les seules formes actives disponibles, l'</w:t>
      </w:r>
      <w:r>
        <w:rPr>
          <w:b/>
        </w:rPr>
        <w:t>AMETYCINE</w:t>
      </w:r>
      <w:r>
        <w:t xml:space="preserve"> (mitomycine) et l'</w:t>
      </w:r>
      <w:r>
        <w:rPr>
          <w:b/>
        </w:rPr>
        <w:t>AC-DE</w:t>
      </w:r>
      <w:r>
        <w:t xml:space="preserve"> (dactinomycine) sont en retrait — situation préoccupante pour les patients algériens atteints de maladie de Hodgkin, de tumeurs germinales ou de tumeurs pédiatriques embryonnaires, nécessitant des autorisations d'importation ponctuelles ou le recours à des protocoles alternatifs.</w:t>
      </w:r>
    </w:p>
    <w:p>
      <w:pPr>
        <w:pStyle w:val="Heading3"/>
      </w:pPr>
      <w:r>
        <w:t>16. DCI : Bléomycine</w:t>
      </w:r>
    </w:p>
    <w:p>
      <w:pPr>
        <w:pStyle w:val="ListBullet"/>
      </w:pPr>
      <w:r/>
      <w:r>
        <w:rPr>
          <w:b/>
        </w:rPr>
        <w:t>Catégories</w:t>
      </w:r>
      <w:r>
        <w:t xml:space="preserve"> : Antibiotique antitumoral glycopeptidique ; coupure de l'ADN par génération de radicaux oxygénés ; cytotoxique phase G2/M ; pneumotoxique dose-cumulative-dépendant ; classe ATC L01DC01.</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BLEOMYCINE</w:t>
            </w:r>
          </w:p>
        </w:tc>
        <w:tc>
          <w:tcPr>
            <w:tcW w:type="dxa" w:w="1559"/>
          </w:tcPr>
          <w:p>
            <w:r>
              <w:rPr>
                <w:sz w:val="20"/>
              </w:rPr>
              <w:t>BELLON</w:t>
            </w:r>
          </w:p>
        </w:tc>
        <w:tc>
          <w:tcPr>
            <w:tcW w:type="dxa" w:w="1559"/>
          </w:tcPr>
          <w:p>
            <w:r>
              <w:rPr>
                <w:sz w:val="20"/>
              </w:rPr>
              <w:t>Poudre pour solution injectable, 15 mg</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BLOICIN-S</w:t>
            </w:r>
          </w:p>
        </w:tc>
        <w:tc>
          <w:tcPr>
            <w:tcW w:type="dxa" w:w="1559"/>
          </w:tcPr>
          <w:p>
            <w:r>
              <w:rPr>
                <w:sz w:val="20"/>
              </w:rPr>
              <w:t>KOREA UNITED PHARM INC</w:t>
            </w:r>
          </w:p>
        </w:tc>
        <w:tc>
          <w:tcPr>
            <w:tcW w:type="dxa" w:w="1559"/>
          </w:tcPr>
          <w:p>
            <w:r>
              <w:rPr>
                <w:sz w:val="20"/>
              </w:rPr>
              <w:t>Poudre pour solution injectable, 15 mg (15 UI)</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BLEOLEM</w:t>
            </w:r>
          </w:p>
        </w:tc>
        <w:tc>
          <w:tcPr>
            <w:tcW w:type="dxa" w:w="1559"/>
          </w:tcPr>
          <w:p>
            <w:r>
              <w:rPr>
                <w:sz w:val="20"/>
              </w:rPr>
              <w:t>LEMERY</w:t>
            </w:r>
          </w:p>
        </w:tc>
        <w:tc>
          <w:tcPr>
            <w:tcW w:type="dxa" w:w="1559"/>
          </w:tcPr>
          <w:p>
            <w:r>
              <w:rPr>
                <w:sz w:val="20"/>
              </w:rPr>
              <w:t>Lyophilisat pour solution injectable, 15 UI/5 mL</w:t>
            </w:r>
          </w:p>
        </w:tc>
        <w:tc>
          <w:tcPr>
            <w:tcW w:type="dxa" w:w="1559"/>
          </w:tcPr>
          <w:p>
            <w:r>
              <w:rPr>
                <w:sz w:val="20"/>
              </w:rPr>
              <w:t>B/1+1</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bléomycine est un </w:t>
      </w:r>
      <w:r>
        <w:rPr>
          <w:b/>
        </w:rPr>
        <w:t>glycopeptide cytotoxique</w:t>
      </w:r>
      <w:r>
        <w:t xml:space="preserve"> (PM ≈ 1 500 Da) isolé en 1966 par Umezawa à partir de cultures de *Streptomyces verticillus*. Sa structure associe un </w:t>
      </w:r>
      <w:r>
        <w:rPr>
          <w:b/>
        </w:rPr>
        <w:t>noyau bithiazolique</w:t>
      </w:r>
      <w:r>
        <w:t xml:space="preserve"> plan (responsable de l'intercalation et de la fixation à l'ADN) et une chaîne peptidique complexe comportant un </w:t>
      </w:r>
      <w:r>
        <w:rPr>
          <w:b/>
        </w:rPr>
        <w:t>domaine de chélation des métaux</w:t>
      </w:r>
      <w:r>
        <w:t xml:space="preserve"> (acide pyruvyl-β-amino-alanine, imidazole, bithiazole) qui lie le Fe²⁺ puis le Cu²⁺. Le mécanisme d'action, élucidé par Sausville et al. (1978), repose sur trois étapes successives : (1) </w:t>
      </w:r>
      <w:r>
        <w:rPr>
          <w:b/>
        </w:rPr>
        <w:t>pénétration cellulaire</w:t>
      </w:r>
      <w:r>
        <w:t xml:space="preserve"> par endocytose médiée par un récepteur membranaire spécifique et liaison du complexe bléomycine-Fe²⁺ à l'ADN double brin au niveau des séquences riches en GC (5'-GT-3' et 5'-GC-3') par le noyau bithiazolique ; (2) </w:t>
      </w:r>
      <w:r>
        <w:rPr>
          <w:b/>
        </w:rPr>
        <w:t>activation oxydative</w:t>
      </w:r>
      <w:r>
        <w:t xml:space="preserve"> du complexe Fe²⁺-bléomycine par l'oxygène moléculaire O₂, générant un intermédiaire radicalaire (intermédiaire « activated bleomycin ») ; (3) </w:t>
      </w:r>
      <w:r>
        <w:rPr>
          <w:b/>
        </w:rPr>
        <w:t>coupure de l'ADN</w:t>
      </w:r>
      <w:r>
        <w:t xml:space="preserve"> par abstraction d'un hydrogène sur le carbone 4' ou 5' du désoxyribose, conduisant à une </w:t>
      </w:r>
      <w:r>
        <w:rPr>
          <w:b/>
        </w:rPr>
        <w:t>rupture du brin d'ADN</w:t>
      </w:r>
      <w:r>
        <w:t xml:space="preserve"> (cassure simple brin prédominante, plus rarement double brin), libération de bases propénal (cytosine propénal) et production de radicaux hydroxyles. L'effet létal résulte principalement des </w:t>
      </w:r>
      <w:r>
        <w:rPr>
          <w:b/>
        </w:rPr>
        <w:t>cassures double brin</w:t>
      </w:r>
      <w:r>
        <w:t xml:space="preserve"> de l'ADN, particulièrement toxiques car difficiles à réparer. La bléomycine agit préférentiellement en phase </w:t>
      </w:r>
      <w:r>
        <w:rPr>
          <w:b/>
        </w:rPr>
        <w:t>G2 et M</w:t>
      </w:r>
      <w:r>
        <w:t xml:space="preserve"> du cycle cellulaire (inhibition de la transition G2/M par activation des points de contrôle CHK1 et ATM). Elle induit également une </w:t>
      </w:r>
      <w:r>
        <w:rPr>
          <w:b/>
        </w:rPr>
        <w:t>inhibition de la ligase I</w:t>
      </w:r>
      <w:r>
        <w:t xml:space="preserve"> de l'ADN, compromettant la réparation des cassures simple brin. La résistance est conférée par : (a) augmentation de l'expression de la </w:t>
      </w:r>
      <w:r>
        <w:rPr>
          <w:b/>
        </w:rPr>
        <w:t>bléomycine hydrolase</w:t>
      </w:r>
      <w:r>
        <w:t xml:space="preserve"> (cytosolique aminopeptidase qui inactive la bléomycine en clivant l'amide carboxy-terminal — enzyme présente dans toutes les cellules sauf les pneumocytes de type I, ce qui explique la pneumotoxicité spécifique) ; (b) augmentation de la réparation par recombinaison homologue (RAD51, BRCA1/2) ; (c) diminution de l'internalisation cellulaire.</w:t>
      </w:r>
    </w:p>
    <w:p>
      <w:pPr>
        <w:pStyle w:val="ListBullet"/>
      </w:pPr>
      <w:r/>
      <w:r>
        <w:rPr>
          <w:b/>
        </w:rPr>
        <w:t>Profil pharmacocinétique</w:t>
      </w:r>
      <w:r>
        <w:t xml:space="preserve"> : administration IV stricte (bolus de 2-10 min ou perfusion courte de 30 min), IM ou SC (rare). Absorption rapide après IM/SC (biodisponibilité 70-100 %). Distribution initiale dans le compartiment plasmatique (Vd ≈ 0,3 L/kg), suivie d'une diffusion tissulaire rapide (Vdss 0,5-1,5 L/kg) ; concentration élevée dans la peau, les poumons, les reins et les lymphomes (tissus cibles des toxicités). </w:t>
      </w:r>
      <w:r>
        <w:rPr>
          <w:b/>
        </w:rPr>
        <w:t>Absence de passage méningé</w:t>
      </w:r>
      <w:r>
        <w:t xml:space="preserve"> significatif (&lt; 1 %). Liaison aux protéines plasmatiques faible (1-10 %). Métabolisme par </w:t>
      </w:r>
      <w:r>
        <w:rPr>
          <w:b/>
        </w:rPr>
        <w:t>bléomycine hydrolase</w:t>
      </w:r>
      <w:r>
        <w:t xml:space="preserve"> hépatique, rénale, médullaire (mais *absente des pneumocytes*) → inactivation en métabolite désamido-bléomycine (inactif). Demi-vie d'élimination biphasique : t1/2α = 24 min, t1/2β = 2-4 h (prolongée à 8-10 h en cas d'insuffisance rénale). Élimination </w:t>
      </w:r>
      <w:r>
        <w:rPr>
          <w:b/>
        </w:rPr>
        <w:t>essentiellement rénale</w:t>
      </w:r>
      <w:r>
        <w:t xml:space="preserve"> (60-70 % sous forme inchangée par filtration glomérulaire). Insuffisance rénale (ClCr &lt; 60 mL/min) : réduction posologique obligatoire (50 % à 30-60 mL/min, contre-indication &lt; 30 mL/min) — risque toxique pulmonaire et cutané majeur. </w:t>
      </w:r>
      <w:r>
        <w:rPr>
          <w:b/>
        </w:rPr>
        <w:t>Insuffisance hépatique</w:t>
      </w:r>
      <w:r>
        <w:t xml:space="preserve"> : pas d'adaptation. La </w:t>
      </w:r>
      <w:r>
        <w:rPr>
          <w:b/>
        </w:rPr>
        <w:t>surveillance des taux sériques de bléomycine</w:t>
      </w:r>
      <w:r>
        <w:t xml:space="preserve"> n'est pas recommandée en routine, mais le cumul des doses et la surveillance pulmonaire clinique et fonctionnelle sont essentiels.</w:t>
      </w:r>
    </w:p>
    <w:p>
      <w:pPr>
        <w:pStyle w:val="ListBullet"/>
      </w:pPr>
      <w:r/>
      <w:r>
        <w:rPr>
          <w:b/>
        </w:rPr>
        <w:t>Indications</w:t>
      </w:r>
      <w:r>
        <w:t xml:space="preserve"> :</w:t>
      </w:r>
    </w:p>
    <w:p>
      <w:pPr>
        <w:pStyle w:val="ListBullet"/>
      </w:pPr>
      <w:r/>
      <w:r>
        <w:rPr>
          <w:b/>
        </w:rPr>
        <w:t>Maladie de Hodgkin</w:t>
      </w:r>
      <w:r>
        <w:t xml:space="preserve"> : protocole ABVD (doxorubicine 25 mg/m² J1, J15 + bléomycine 10 UI/m² J1, J15 + vinblastine 6 mg/m² J1, J15 + dacarbazine 375 mg/m² J1, J15) — 6 à 8 cures espacées de 15 jours. Alternative escaladée BEACOPP chez le patient à haut risque.</w:t>
      </w:r>
    </w:p>
    <w:p>
      <w:pPr>
        <w:pStyle w:val="ListBullet"/>
      </w:pPr>
      <w:r/>
      <w:r>
        <w:rPr>
          <w:b/>
        </w:rPr>
        <w:t>Tumeurs germinales testiculaires</w:t>
      </w:r>
      <w:r>
        <w:t xml:space="preserve"> : protocole BEP (bléomycine 30 UI J1, J8, J15 + étoposide 100 mg/m² J1-J5 + cisplatine 20 mg/m² J1-J5) — 3 à 4 cures espacées de 21 jours (résultats historiques de Einhorn, 1981). Alternative EP (sans bléomycine) chez le patient âgé ou fragilisé, ou protocole TIP en rattrapage.</w:t>
      </w:r>
    </w:p>
    <w:p>
      <w:pPr>
        <w:pStyle w:val="ListBullet"/>
      </w:pPr>
      <w:r/>
      <w:r>
        <w:rPr>
          <w:b/>
        </w:rPr>
        <w:t>Tumeurs germinales de l'ovaire</w:t>
      </w:r>
      <w:r>
        <w:t xml:space="preserve"> et </w:t>
      </w:r>
      <w:r>
        <w:rPr>
          <w:b/>
        </w:rPr>
        <w:t>dysgerminomes</w:t>
      </w:r>
      <w:r>
        <w:t xml:space="preserve"> : protocoles BEP adaptés.</w:t>
      </w:r>
    </w:p>
    <w:p>
      <w:pPr>
        <w:pStyle w:val="ListBullet"/>
      </w:pPr>
      <w:r/>
      <w:r>
        <w:rPr>
          <w:b/>
        </w:rPr>
        <w:t>Carcinome épidermoïde</w:t>
      </w:r>
      <w:r>
        <w:t xml:space="preserve"> de la tête et du cou, de l'œsophage, du col utérin, de la vulve, du pénis : en association avec cisplatine et/ou radiothérapie (protocoles anciens type BVM — bléomycine + vincristine + méthotrexate).</w:t>
      </w:r>
    </w:p>
    <w:p>
      <w:pPr>
        <w:pStyle w:val="ListBullet"/>
      </w:pPr>
      <w:r/>
      <w:r>
        <w:rPr>
          <w:b/>
        </w:rPr>
        <w:t>Lymphome cutané T épidermotrope</w:t>
      </w:r>
      <w:r>
        <w:t xml:space="preserve"> (mycosis fongoïde) : bléomycine IV à faible dose (5-15 UI/j, 1 à 2 fois/sem) en 3ème ligne.</w:t>
      </w:r>
    </w:p>
    <w:p>
      <w:pPr>
        <w:pStyle w:val="ListBullet"/>
      </w:pPr>
      <w:r/>
      <w:r>
        <w:rPr>
          <w:b/>
        </w:rPr>
        <w:t>Carcinomes basocellulaires et spinocellulaires</w:t>
      </w:r>
      <w:r>
        <w:t xml:space="preserve"> : usage intra-lésionnel (rare, dermatologie).</w:t>
      </w:r>
    </w:p>
    <w:p>
      <w:pPr>
        <w:pStyle w:val="ListBullet"/>
      </w:pPr>
      <w:r/>
      <w:r>
        <w:rPr>
          <w:b/>
        </w:rPr>
        <w:t>Épanchements néoplasiques récidivants</w:t>
      </w:r>
      <w:r>
        <w:t xml:space="preserve"> : bléomycine 60 UI en intra-pleural ou intra-péritonéal (sclérose chimique) — alternative au talc et à la doxorubicine.</w:t>
      </w:r>
    </w:p>
    <w:p>
      <w:pPr>
        <w:pStyle w:val="ListBullet"/>
      </w:pPr>
      <w:r/>
      <w:r>
        <w:rPr>
          <w:b/>
        </w:rPr>
        <w:t>Hors oncologie</w:t>
      </w:r>
      <w:r>
        <w:t xml:space="preserve"> : traitement des chélöides et hypertrophies cicatricielles (bléomycine intra-lésionnelle en dermatologie esthétique).</w:t>
      </w:r>
    </w:p>
    <w:p>
      <w:pPr>
        <w:pStyle w:val="ListBullet"/>
      </w:pPr>
      <w:r/>
      <w:r>
        <w:rPr>
          <w:b/>
        </w:rPr>
        <w:t>Contre-indications</w:t>
      </w:r>
      <w:r>
        <w:t xml:space="preserve"> : (1) </w:t>
      </w:r>
      <w:r>
        <w:rPr>
          <w:b/>
        </w:rPr>
        <w:t>Insuffisance respiratoire sévère</w:t>
      </w:r>
      <w:r>
        <w:t xml:space="preserve"> (DLCO &lt; 50 % ou VEMS &lt; 1,5 L) ou fibrose pulmonaire préexistante ; (2) </w:t>
      </w:r>
      <w:r>
        <w:rPr>
          <w:b/>
        </w:rPr>
        <w:t>Antécédent de radiothérapie thoracique</w:t>
      </w:r>
      <w:r>
        <w:t xml:space="preserve"> (effet additif synergique sur la fibrose pulmonaire) ; (3) </w:t>
      </w:r>
      <w:r>
        <w:rPr>
          <w:b/>
        </w:rPr>
        <w:t>Insuffisance rénale sévère</w:t>
      </w:r>
      <w:r>
        <w:t xml:space="preserve"> (ClCr &lt; 30 mL/min) sans dialyse ; (4) </w:t>
      </w:r>
      <w:r>
        <w:rPr>
          <w:b/>
        </w:rPr>
        <w:t>Patiente enceinte ou allaitant</w:t>
      </w:r>
      <w:r>
        <w:t xml:space="preserve"> ; (5) </w:t>
      </w:r>
      <w:r>
        <w:rPr>
          <w:b/>
        </w:rPr>
        <w:t>Syndrome de Raynaud</w:t>
      </w:r>
      <w:r>
        <w:t xml:space="preserve"> sévère ou maladie sclérodermique (risque d'aggravation) ; (6) </w:t>
      </w:r>
      <w:r>
        <w:rPr>
          <w:b/>
        </w:rPr>
        <w:t>Infection pulmonaire évolutive</w:t>
      </w:r>
      <w:r>
        <w:t xml:space="preserve"> ; (7) </w:t>
      </w:r>
      <w:r>
        <w:rPr>
          <w:b/>
        </w:rPr>
        <w:t>Aplasie médullaire sévère</w:t>
      </w:r>
      <w:r>
        <w:t xml:space="preserve"> (NFS) ; (8) </w:t>
      </w:r>
      <w:r>
        <w:rPr>
          <w:b/>
        </w:rPr>
        <w:t>Sujet âgé &gt; 70 ans</w:t>
      </w:r>
      <w:r>
        <w:t xml:space="preserve"> (susceptibilité pulmonaire accrue — réduire dose) ; (9) </w:t>
      </w:r>
      <w:r>
        <w:rPr>
          <w:b/>
        </w:rPr>
        <w:t>Tabagisme actif</w:t>
      </w:r>
      <w:r>
        <w:t xml:space="preserve"> sévère (effet toxique additif) ; (10) </w:t>
      </w:r>
      <w:r>
        <w:rPr>
          <w:b/>
        </w:rPr>
        <w:t>Vaccination par vaccin vivant atténué</w:t>
      </w:r>
      <w:r>
        <w:t xml:space="preserve"> pendant et 6 mois après traitement.</w:t>
      </w:r>
    </w:p>
    <w:p>
      <w:pPr>
        <w:pStyle w:val="ListBullet"/>
      </w:pPr>
      <w:r/>
      <w:r>
        <w:rPr>
          <w:b/>
        </w:rPr>
        <w:t>Effets indésirables</w:t>
      </w:r>
      <w:r>
        <w:t xml:space="preserve"> :</w:t>
      </w:r>
    </w:p>
    <w:p>
      <w:pPr>
        <w:pStyle w:val="ListBullet"/>
      </w:pPr>
      <w:r/>
      <w:r>
        <w:rPr>
          <w:b/>
        </w:rPr>
        <w:t>Pneumotoxicité</w:t>
      </w:r>
      <w:r>
        <w:t xml:space="preserve"> (effet limitant la dose, cumulative dose-dépendante) : (a) </w:t>
      </w:r>
      <w:r>
        <w:rPr>
          <w:b/>
        </w:rPr>
        <w:t>pneumopathie interstitielle</w:t>
      </w:r>
      <w:r>
        <w:t xml:space="preserve"> précoce (1-3 %) à J3-J15 : toux sèche, dyspnée d'effort, fièvre modérée, infiltrats interstitiels bilatéraux prédominants aux bases — réversible à l'arrêt sous corticothérapie (prednisone 1 mg/kg/j) ; (b) </w:t>
      </w:r>
      <w:r>
        <w:rPr>
          <w:b/>
        </w:rPr>
        <w:t>fibrose pulmonaire</w:t>
      </w:r>
      <w:r>
        <w:t xml:space="preserve"> (5-15 %, jusqu'à 25 % au-delà de 300 UI/m² cumulées) : dyspnée progressive restrictive, syndrome restrictif à l'EFR (baisse DLCO &gt; 15-20 %, baisse CVF &gt; 15 %), images réticulonodulaires diffuses en « verre dépoli » puis en « rayon de miel » au scanner thoracique — </w:t>
      </w:r>
      <w:r>
        <w:rPr>
          <w:b/>
        </w:rPr>
        <w:t>souvent irréversible et potentiellement létale</w:t>
      </w:r>
      <w:r>
        <w:t xml:space="preserve"> (décès dans 1-3 % des cas). Le risque augmente de façon critique au-delà de </w:t>
      </w:r>
      <w:r>
        <w:rPr>
          <w:b/>
        </w:rPr>
        <w:t>400 UI/m²</w:t>
      </w:r>
      <w:r>
        <w:t xml:space="preserve"> (dose cumulée) ; certaines recommandations plafonnent à 300 UI/m² chez le sujet &gt; 40 ans ou fragilisé.</w:t>
      </w:r>
    </w:p>
    <w:p>
      <w:pPr>
        <w:pStyle w:val="ListBullet"/>
      </w:pPr>
      <w:r/>
      <w:r>
        <w:rPr>
          <w:b/>
        </w:rPr>
        <w:t>Toxicité cutanéo-muqueuse</w:t>
      </w:r>
      <w:r>
        <w:t xml:space="preserve"> (très fréquente, 50-80 %) : (a) </w:t>
      </w:r>
      <w:r>
        <w:rPr>
          <w:b/>
        </w:rPr>
        <w:t>hyperpigmentation</w:t>
      </w:r>
      <w:r>
        <w:t xml:space="preserve"> linéaire des plis (sillons sous-mammaires, axillaires, inguinaux), stries, vergetures, pigmentation des cicatrices — aspect « serpigineuse » caractéristique ; (b) </w:t>
      </w:r>
      <w:r>
        <w:rPr>
          <w:b/>
        </w:rPr>
        <w:t>kératose acrale</w:t>
      </w:r>
      <w:r>
        <w:t xml:space="preserve"> (paumes et plantes), épaississement cutané dur ; (c) </w:t>
      </w:r>
      <w:r>
        <w:rPr>
          <w:b/>
        </w:rPr>
        <w:t>alopécie</w:t>
      </w:r>
      <w:r>
        <w:t xml:space="preserve"> modérée (30-50 %), réversible ; (d) </w:t>
      </w:r>
      <w:r>
        <w:rPr>
          <w:b/>
        </w:rPr>
        <w:t>mucite</w:t>
      </w:r>
      <w:r>
        <w:t xml:space="preserve"> modérée ; (e) </w:t>
      </w:r>
      <w:r>
        <w:rPr>
          <w:b/>
        </w:rPr>
        <w:t>ulcérations cutanées</w:t>
      </w:r>
      <w:r>
        <w:t xml:space="preserve"> chroniques ; (f) </w:t>
      </w:r>
      <w:r>
        <w:rPr>
          <w:b/>
        </w:rPr>
        <w:t>syndrome de Raynaud</w:t>
      </w:r>
      <w:r>
        <w:t xml:space="preserve"> (10-30 %), parfois compliqué de phénomènes ischémiques distaux (nécroses digitales).</w:t>
      </w:r>
    </w:p>
    <w:p>
      <w:pPr>
        <w:pStyle w:val="ListBullet"/>
      </w:pPr>
      <w:r/>
      <w:r>
        <w:rPr>
          <w:b/>
        </w:rPr>
        <w:t>Toxicité hématologique</w:t>
      </w:r>
      <w:r>
        <w:t xml:space="preserve"> : myélotoxicité *modérée* (la bléomycine étant inactivée par la bléomycine hydrolase médullaire) — leucopénie, thrombopénie modérées, anémie rare. À l'opposé des autres cytotoxiques, la bléomycine n'est </w:t>
      </w:r>
      <w:r>
        <w:rPr>
          <w:b/>
        </w:rPr>
        <w:t>pas myélosuppressive majeure</w:t>
      </w:r>
      <w:r>
        <w:t>.</w:t>
      </w:r>
    </w:p>
    <w:p>
      <w:pPr>
        <w:pStyle w:val="ListBullet"/>
      </w:pPr>
      <w:r/>
      <w:r>
        <w:rPr>
          <w:b/>
        </w:rPr>
        <w:t>Toxicité vasculaire</w:t>
      </w:r>
      <w:r>
        <w:t xml:space="preserve"> : maladie de Raynaud, thrombose des artères coronaires (rare, à l'origine d'infarctus du myocarde chez les sujets jeunes traités pour tumeurs germinales), microangiopathie thrombotique.</w:t>
      </w:r>
    </w:p>
    <w:p>
      <w:pPr>
        <w:pStyle w:val="ListBullet"/>
      </w:pPr>
      <w:r/>
      <w:r>
        <w:rPr>
          <w:b/>
        </w:rPr>
        <w:t>Fièvre</w:t>
      </w:r>
      <w:r>
        <w:t xml:space="preserve"> (20-30 %) : transitoire post-perfusion, parfois associée à des frissons et arthralgies.</w:t>
      </w:r>
    </w:p>
    <w:p>
      <w:pPr>
        <w:pStyle w:val="ListBullet"/>
      </w:pPr>
      <w:r/>
      <w:r>
        <w:rPr>
          <w:b/>
        </w:rPr>
        <w:t>Syndrome de lyse tumorale</w:t>
      </w:r>
      <w:r>
        <w:t xml:space="preserve"> : rare (surtout en cas de masse tumorale élevée — lymphomes de haut grade).</w:t>
      </w:r>
    </w:p>
    <w:p>
      <w:pPr>
        <w:pStyle w:val="ListBullet"/>
      </w:pPr>
      <w:r/>
      <w:r>
        <w:rPr>
          <w:b/>
        </w:rPr>
        <w:t>Hépatotoxicité</w:t>
      </w:r>
      <w:r>
        <w:t xml:space="preserve"> modérée : cytolyse transitoire.</w:t>
      </w:r>
    </w:p>
    <w:p>
      <w:pPr>
        <w:pStyle w:val="ListBullet"/>
      </w:pPr>
      <w:r/>
      <w:r>
        <w:rPr>
          <w:b/>
        </w:rPr>
        <w:t>Néphrotoxicité</w:t>
      </w:r>
      <w:r>
        <w:t xml:space="preserve"> rare (sauf si association avec cisplatine).</w:t>
      </w:r>
    </w:p>
    <w:p>
      <w:pPr>
        <w:pStyle w:val="ListBullet"/>
      </w:pPr>
      <w:r/>
      <w:r>
        <w:rPr>
          <w:b/>
        </w:rPr>
        <w:t>Extravasation</w:t>
      </w:r>
      <w:r>
        <w:t xml:space="preserve"> : la bléomycine est un </w:t>
      </w:r>
      <w:r>
        <w:rPr>
          <w:b/>
        </w:rPr>
        <w:t>irritant</w:t>
      </w:r>
      <w:r>
        <w:t xml:space="preserve"> (et non un vésicant majeur), mais peut provoquer une induration locale, une nécrose tardive possible.</w:t>
      </w:r>
    </w:p>
    <w:p>
      <w:pPr>
        <w:pStyle w:val="ListBullet"/>
      </w:pPr>
      <w:r/>
      <w:r>
        <w:rPr>
          <w:b/>
        </w:rPr>
        <w:t>Mesures préventives</w:t>
      </w:r>
      <w:r>
        <w:t xml:space="preserve"> :</w:t>
      </w:r>
    </w:p>
    <w:p>
      <w:pPr>
        <w:pStyle w:val="ListBullet"/>
      </w:pPr>
      <w:r/>
      <w:r>
        <w:rPr>
          <w:b/>
        </w:rPr>
        <w:t>Bilan pré-thérapeutique</w:t>
      </w:r>
      <w:r>
        <w:t xml:space="preserve"> : NFS-plaquettes, créatininémie, ClCr (Cockcroft), bilan hépatique, </w:t>
      </w:r>
      <w:r>
        <w:rPr>
          <w:b/>
        </w:rPr>
        <w:t>EFR systématique avec DLCO</w:t>
      </w:r>
      <w:r>
        <w:t xml:space="preserve"> (référence obligatoire), radiographie thoracique (scanner thoracique si antécédent), β-hCG chez la femme en âge de procréer, ECG.</w:t>
      </w:r>
    </w:p>
    <w:p>
      <w:pPr>
        <w:pStyle w:val="ListBullet"/>
      </w:pPr>
      <w:r/>
      <w:r>
        <w:rPr>
          <w:b/>
        </w:rPr>
        <w:t>Surveillance respiratoire</w:t>
      </w:r>
      <w:r>
        <w:t xml:space="preserve"> : (a) clinique : interrogation systématique à chaque cure sur toux, dyspnée, fièvre ; (b) EFR avec </w:t>
      </w:r>
      <w:r>
        <w:rPr>
          <w:b/>
        </w:rPr>
        <w:t>DLCO</w:t>
      </w:r>
      <w:r>
        <w:t xml:space="preserve"> avant chaque cure (si baisse &gt; 15-20 % par rapport à la valeur de référence → arrêt définitif de la bléomycine) ; (c) scanner thoracique si suspicion de pneumopathie ; (d) </w:t>
      </w:r>
      <w:r>
        <w:rPr>
          <w:b/>
        </w:rPr>
        <w:t>arrêt définitif si dose cumulée ≥ 300 UI/m²</w:t>
      </w:r>
      <w:r>
        <w:t xml:space="preserve"> (ou 250 UI/m² chez le sujet âgé ou fragilisé, ou radiothérapie thoracique associée, ou insuffisance rénale).</w:t>
      </w:r>
    </w:p>
    <w:p>
      <w:pPr>
        <w:pStyle w:val="ListBullet"/>
      </w:pPr>
      <w:r/>
      <w:r>
        <w:rPr>
          <w:b/>
        </w:rPr>
        <w:t>Surveillance NFS</w:t>
      </w:r>
      <w:r>
        <w:t xml:space="preserve"> : avant chaque cure, J14.</w:t>
      </w:r>
    </w:p>
    <w:p>
      <w:pPr>
        <w:pStyle w:val="ListBullet"/>
      </w:pPr>
      <w:r/>
      <w:r>
        <w:rPr>
          <w:b/>
        </w:rPr>
        <w:t>Prophylaxie mucite</w:t>
      </w:r>
      <w:r>
        <w:t xml:space="preserve"> : cryothérapie orale, bains de bouche bicarbonatés.</w:t>
      </w:r>
    </w:p>
    <w:p>
      <w:pPr>
        <w:pStyle w:val="ListBullet"/>
      </w:pPr>
      <w:r/>
      <w:r>
        <w:rPr>
          <w:b/>
        </w:rPr>
        <w:t>Hydratation</w:t>
      </w:r>
      <w:r>
        <w:t xml:space="preserve"> : 1,5-2 L/j per os en ambulatoire (en complément de l'hyperhydratation du cisplatine associé en protocole BEP).</w:t>
      </w:r>
    </w:p>
    <w:p>
      <w:pPr>
        <w:pStyle w:val="ListBullet"/>
      </w:pPr>
      <w:r/>
      <w:r>
        <w:rPr>
          <w:b/>
        </w:rPr>
        <w:t>Antiemetic prophylaxie</w:t>
      </w:r>
      <w:r>
        <w:t xml:space="preserve"> : antagoniste 5-HT3 + dexaméthasone (émétisants grade 2).</w:t>
      </w:r>
    </w:p>
    <w:p>
      <w:pPr>
        <w:pStyle w:val="ListBullet"/>
      </w:pPr>
      <w:r/>
      <w:r>
        <w:rPr>
          <w:b/>
        </w:rPr>
        <w:t>G-CSF</w:t>
      </w:r>
      <w:r>
        <w:t xml:space="preserve"> (filgrastim, pegfilgrastim) : en cas de neutropénie grade 4 prolongée.</w:t>
      </w:r>
    </w:p>
    <w:p>
      <w:pPr>
        <w:pStyle w:val="ListBullet"/>
      </w:pPr>
      <w:r/>
      <w:r>
        <w:rPr>
          <w:b/>
        </w:rPr>
        <w:t>Corticothérapie</w:t>
      </w:r>
      <w:r>
        <w:t xml:space="preserve"> (prednisone 1 mg/kg/j) : en cas de suspicion de pneumopathie à bléomycine — ne pas attendre la confirmation histologique.</w:t>
      </w:r>
    </w:p>
    <w:p>
      <w:pPr>
        <w:pStyle w:val="ListBullet"/>
      </w:pPr>
      <w:r/>
      <w:r>
        <w:rPr>
          <w:b/>
        </w:rPr>
        <w:t>Supplémentation oxygène</w:t>
      </w:r>
      <w:r>
        <w:t xml:space="preserve"> : prudence — l'oxygénothérapie prolongée à FiO₂ &gt; 30 % potentialise la toxicité pulmonaire de la bléomycine (radicaux libres oxygénés) ; éviter la chirurgie sous anesthésie générale avec hyperoxie dans les 6 mois suivant traitement.</w:t>
      </w:r>
    </w:p>
    <w:p>
      <w:pPr>
        <w:pStyle w:val="ListBullet"/>
      </w:pPr>
      <w:r/>
      <w:r>
        <w:rPr>
          <w:b/>
        </w:rPr>
        <w:t>Contraception</w:t>
      </w:r>
      <w:r>
        <w:t xml:space="preserve"> : obligatoire pendant et 3 mois après (femme et homme).</w:t>
      </w:r>
    </w:p>
    <w:p>
      <w:pPr>
        <w:pStyle w:val="ListBullet"/>
      </w:pPr>
      <w:r/>
      <w:r>
        <w:rPr>
          <w:b/>
        </w:rPr>
        <w:t>Tabagisme</w:t>
      </w:r>
      <w:r>
        <w:t xml:space="preserve"> : arrêt strict recommandé avant et pendant le traitement.</w:t>
      </w:r>
    </w:p>
    <w:p>
      <w:pPr>
        <w:pStyle w:val="ListBullet"/>
      </w:pPr>
      <w:r/>
      <w:r>
        <w:rPr>
          <w:b/>
        </w:rPr>
        <w:t>Vaccins</w:t>
      </w:r>
      <w:r>
        <w:t xml:space="preserve"> : éviter vaccins vivants atténués pendant et 6 mois après.</w:t>
      </w:r>
    </w:p>
    <w:p>
      <w:pPr>
        <w:pStyle w:val="ListBullet"/>
      </w:pPr>
      <w:r/>
      <w:r>
        <w:rPr>
          <w:b/>
        </w:rPr>
        <w:t>Interactions médicamenteuses</w:t>
      </w:r>
      <w:r>
        <w:t xml:space="preserve"> :</w:t>
      </w:r>
    </w:p>
    <w:p>
      <w:pPr>
        <w:pStyle w:val="ListBullet"/>
      </w:pPr>
      <w:r/>
      <w:r>
        <w:rPr>
          <w:b/>
        </w:rPr>
        <w:t>Bléomycine + cisplatine</w:t>
      </w:r>
      <w:r>
        <w:t xml:space="preserve"> : néphrotoxicité additive → réduction de la clairance de la bléomycine → augmentation de la pneumotoxicité (protocole BEP — surveillance ++). Réduire la dose de bléomycine si ClCr &lt; 60 mL/min.</w:t>
      </w:r>
    </w:p>
    <w:p>
      <w:pPr>
        <w:pStyle w:val="ListBullet"/>
      </w:pPr>
      <w:r/>
      <w:r>
        <w:rPr>
          <w:b/>
        </w:rPr>
        <w:t>Bléomycine + radiothérapie thoracique</w:t>
      </w:r>
      <w:r>
        <w:t xml:space="preserve"> : synergie pneumotoxique majeure — </w:t>
      </w:r>
      <w:r>
        <w:rPr>
          <w:b/>
        </w:rPr>
        <w:t>contre-indication relative</w:t>
      </w:r>
      <w:r>
        <w:t>.</w:t>
      </w:r>
    </w:p>
    <w:p>
      <w:pPr>
        <w:pStyle w:val="ListBullet"/>
      </w:pPr>
      <w:r/>
      <w:r>
        <w:rPr>
          <w:b/>
        </w:rPr>
        <w:t>Bléomycine + oxygène (anesthésie générale)</w:t>
      </w:r>
      <w:r>
        <w:t xml:space="preserve"> : majoration de la toxicité pulmonaire (radicaux libres) —FiO₂ minimale pendant et 6 mois après traitement.</w:t>
      </w:r>
    </w:p>
    <w:p>
      <w:pPr>
        <w:pStyle w:val="ListBullet"/>
      </w:pPr>
      <w:r/>
      <w:r>
        <w:rPr>
          <w:b/>
        </w:rPr>
        <w:t>Bléomycine + G-CSF</w:t>
      </w:r>
      <w:r>
        <w:t xml:space="preserve"> (filgrastim, pegfilgrastim) : risque accru de pneumopathie à bléomycine (études contradictoires — utiliser avec précaution et à la plus faible dose efficace).</w:t>
      </w:r>
    </w:p>
    <w:p>
      <w:pPr>
        <w:pStyle w:val="ListBullet"/>
      </w:pPr>
      <w:r/>
      <w:r>
        <w:rPr>
          <w:b/>
        </w:rPr>
        <w:t>Bléomycine + cyclophosphamide, busulfan, BCNU</w:t>
      </w:r>
      <w:r>
        <w:t xml:space="preserve"> (carmustine) : toxicité pulmonaire additive.</w:t>
      </w:r>
    </w:p>
    <w:p>
      <w:pPr>
        <w:pStyle w:val="ListBullet"/>
      </w:pPr>
      <w:r/>
      <w:r>
        <w:rPr>
          <w:b/>
        </w:rPr>
        <w:t>Bléomycine + digoxine</w:t>
      </w:r>
      <w:r>
        <w:t xml:space="preserve"> : baisse d'efficacité de la digoxine (modification de la flore intestinale — effet rare).</w:t>
      </w:r>
    </w:p>
    <w:p>
      <w:pPr>
        <w:pStyle w:val="ListBullet"/>
      </w:pPr>
      <w:r/>
      <w:r>
        <w:rPr>
          <w:b/>
        </w:rPr>
        <w:t>Bléomycine + phénytoïne</w:t>
      </w:r>
      <w:r>
        <w:t xml:space="preserve"> : baisse de l'efficacité de la phénytoïne.</w:t>
      </w:r>
    </w:p>
    <w:p>
      <w:pPr>
        <w:pStyle w:val="ListBullet"/>
      </w:pPr>
      <w:r/>
      <w:r>
        <w:rPr>
          <w:b/>
        </w:rPr>
        <w:t>Bléomycine + vaccins vivants atténués</w:t>
      </w:r>
      <w:r>
        <w:t xml:space="preserve"> : contre-indication (immunosuppression).</w:t>
      </w:r>
    </w:p>
    <w:p>
      <w:pPr>
        <w:pStyle w:val="ListBullet"/>
      </w:pPr>
      <w:r/>
      <w:r>
        <w:rPr>
          <w:b/>
        </w:rPr>
        <w:t>Bléomycine + gemcitabine</w:t>
      </w:r>
      <w:r>
        <w:t xml:space="preserve"> : majoration de la pneumotoxicité — surveillance accrue.</w:t>
      </w:r>
    </w:p>
    <w:p>
      <w:pPr>
        <w:pStyle w:val="ListBullet"/>
      </w:pPr>
      <w:r/>
      <w:r>
        <w:rPr>
          <w:b/>
        </w:rPr>
        <w:t>Bléomycine + trastuzumab</w:t>
      </w:r>
      <w:r>
        <w:t xml:space="preserve"> : pas d'interaction directe mais majoration de la cardiotoxicité de l'association (rare).</w:t>
      </w:r>
    </w:p>
    <w:p>
      <w:pPr>
        <w:pStyle w:val="ListBullet"/>
      </w:pPr>
      <w:r/>
      <w:r>
        <w:rPr>
          <w:b/>
        </w:rPr>
        <w:t>Grossesse et allaitement (CRAT)</w:t>
      </w:r>
      <w:r>
        <w:t xml:space="preserve"> :</w:t>
      </w:r>
    </w:p>
    <w:p>
      <w:pPr>
        <w:pStyle w:val="ListBullet"/>
      </w:pPr>
      <w:r/>
      <w:r>
        <w:rPr>
          <w:b/>
        </w:rPr>
        <w:t>Grossesse</w:t>
      </w:r>
      <w:r>
        <w:t xml:space="preserve"> : selon le CRAT, la bléomycine est </w:t>
      </w:r>
      <w:r>
        <w:rPr>
          <w:b/>
        </w:rPr>
        <w:t>tératogène</w:t>
      </w:r>
      <w:r>
        <w:t xml:space="preserve"> chez l'animal (anomalies squelettiques, fœtotoxicité). Catégorie D (à éviter formellement). Cependant, le risque tératogène chez la femme paraît moindre que pour les autres cytotoxiques (peu de cas publiés de malformed foetuses après exposition prénatale) — les quelques cas rapportés n'ont pas montré de syndrome malformatif spécifique. </w:t>
      </w:r>
      <w:r>
        <w:rPr>
          <w:b/>
        </w:rPr>
        <w:t>Conduite à tenir</w:t>
      </w:r>
      <w:r>
        <w:t xml:space="preserve"> : (1) contraception obligatoire pendant et </w:t>
      </w:r>
      <w:r>
        <w:rPr>
          <w:b/>
        </w:rPr>
        <w:t>3 mois après</w:t>
      </w:r>
      <w:r>
        <w:t xml:space="preserve"> (femme et homme) ; (2) si grossesse involontaire : discussion multidisciplinaire — poursuite possible au 2ème et 3ème trimestre si nécessité absolue (maladie de Hodgkin gravidique), en privilégiant la bléomycine + vinblastine (protocole AVBD sans doxorubicine, plus sûr que ABVD complet) ; (3) </w:t>
      </w:r>
      <w:r>
        <w:rPr>
          <w:b/>
        </w:rPr>
        <w:t>1er trimestre à proscrire</w:t>
      </w:r>
      <w:r>
        <w:t xml:space="preserve"> formellement (période d'organogenèse). La bléomycine a été utilisée au 2ème et 3ème trimestre sans risque fœtal majeur rapporté (série limitée).</w:t>
      </w:r>
    </w:p>
    <w:p>
      <w:pPr>
        <w:pStyle w:val="ListBullet"/>
      </w:pPr>
      <w:r/>
      <w:r>
        <w:rPr>
          <w:b/>
        </w:rPr>
        <w:t>Allaitement</w:t>
      </w:r>
      <w:r>
        <w:t xml:space="preserve"> : </w:t>
      </w:r>
      <w:r>
        <w:rPr>
          <w:b/>
        </w:rPr>
        <w:t>contre-indiqué</w:t>
      </w:r>
      <w:r>
        <w:t xml:space="preserve"> (passe dans le lait, cytotoxique pour le nourrisson).</w:t>
      </w:r>
    </w:p>
    <w:p>
      <w:pPr>
        <w:pStyle w:val="ListBullet"/>
      </w:pPr>
      <w:r/>
      <w:r>
        <w:rPr>
          <w:b/>
        </w:rPr>
        <w:t>Posologie</w:t>
      </w:r>
      <w:r>
        <w:t xml:space="preserve"> :</w:t>
      </w:r>
    </w:p>
    <w:p>
      <w:pPr>
        <w:pStyle w:val="ListBullet"/>
      </w:pPr>
      <w:r/>
      <w:r>
        <w:rPr>
          <w:b/>
        </w:rPr>
        <w:t>Maladie de Hodgkin (ABVD)</w:t>
      </w:r>
      <w:r>
        <w:t xml:space="preserve"> : 10 UI/m² J1 et J15 IV bolus, toutes les 2 semaines (cycle de 28 jours), 6 à 8 cures. Dose cumulée max 300-400 UI/m².</w:t>
      </w:r>
    </w:p>
    <w:p>
      <w:pPr>
        <w:pStyle w:val="ListBullet"/>
      </w:pPr>
      <w:r/>
      <w:r>
        <w:rPr>
          <w:b/>
        </w:rPr>
        <w:t>Tumeurs germinales (BEP)</w:t>
      </w:r>
      <w:r>
        <w:t xml:space="preserve"> : 30 UI J1, J8, J15 IV bolus (dose fixe, sans BSA — mais la littérature récente recommande la dose par m² : 15 UI/m² J1, J8, J15), tous les 21 jours, 3 à 4 cures. Dose cumulée max 360 UI/m².</w:t>
      </w:r>
    </w:p>
    <w:p>
      <w:pPr>
        <w:pStyle w:val="ListBullet"/>
      </w:pPr>
      <w:r/>
      <w:r>
        <w:rPr>
          <w:b/>
        </w:rPr>
        <w:t>Tumeurs germinales (EP — sans bléomycine)</w:t>
      </w:r>
      <w:r>
        <w:t xml:space="preserve"> : alternative chez le sujet âgé ou fragilisé.</w:t>
      </w:r>
    </w:p>
    <w:p>
      <w:pPr>
        <w:pStyle w:val="ListBullet"/>
      </w:pPr>
      <w:r/>
      <w:r>
        <w:rPr>
          <w:b/>
        </w:rPr>
        <w:t>Carcinome épidermoïde tête/cou</w:t>
      </w:r>
      <w:r>
        <w:t xml:space="preserve"> : 10-15 UI/m² J1, J8 IV bolus, en association avec cisplatine + 5-FU.</w:t>
      </w:r>
    </w:p>
    <w:p>
      <w:pPr>
        <w:pStyle w:val="ListBullet"/>
      </w:pPr>
      <w:r/>
      <w:r>
        <w:rPr>
          <w:b/>
        </w:rPr>
        <w:t>Lymphome cutané T (mycosis fongoïde)</w:t>
      </w:r>
      <w:r>
        <w:t xml:space="preserve"> : 5-15 UI/j IV, 1 à 2 fois/sem, en cures de 4-6 semaines.</w:t>
      </w:r>
    </w:p>
    <w:p>
      <w:pPr>
        <w:pStyle w:val="ListBullet"/>
      </w:pPr>
      <w:r/>
      <w:r>
        <w:rPr>
          <w:b/>
        </w:rPr>
        <w:t>Épanchement néoplasique (pleural/péritonéal)</w:t>
      </w:r>
      <w:r>
        <w:t xml:space="preserve"> : 60 UI en intracavitaire après drainage, à répéter si nécessaire (max 3 fois).</w:t>
      </w:r>
    </w:p>
    <w:p>
      <w:pPr>
        <w:pStyle w:val="ListBullet"/>
      </w:pPr>
      <w:r/>
      <w:r>
        <w:rPr>
          <w:b/>
        </w:rPr>
        <w:t>Kéloïdes (dermatologie)</w:t>
      </w:r>
      <w:r>
        <w:t xml:space="preserve"> : 1-5 mg/mL intra-lésionnelle, 0,5-2 mL par séance, à répéter toutes les 4-6 semaines.</w:t>
      </w:r>
    </w:p>
    <w:p>
      <w:pPr>
        <w:pStyle w:val="ListBullet"/>
      </w:pPr>
      <w:r/>
      <w:r>
        <w:rPr>
          <w:b/>
        </w:rPr>
        <w:t>Adaptation rénale</w:t>
      </w:r>
      <w:r>
        <w:t xml:space="preserve"> : ClCr 30-60 mL/min → réduire de 25-50 % ; &lt; 30 mL/min → contre-indication (sauf dialyse — dose réduite à 5 UI/m²).</w:t>
      </w:r>
    </w:p>
    <w:p>
      <w:pPr>
        <w:pStyle w:val="ListBullet"/>
      </w:pPr>
      <w:r/>
      <w:r>
        <w:rPr>
          <w:b/>
        </w:rPr>
        <w:t>Adaptation respiratoire</w:t>
      </w:r>
      <w:r>
        <w:t xml:space="preserve"> : DLCO &lt; 50 % ou baisse &gt; 15-20 % → arrêt définitif.</w:t>
      </w:r>
    </w:p>
    <w:p>
      <w:pPr>
        <w:pStyle w:val="ListBullet"/>
      </w:pPr>
      <w:r/>
      <w:r>
        <w:rPr>
          <w:b/>
        </w:rPr>
        <w:t>Sujet âgé &gt; 70 ans</w:t>
      </w:r>
      <w:r>
        <w:t xml:space="preserve"> : réduire dose à 7-10 UI/m² et surveiller EFR ++.</w:t>
      </w:r>
    </w:p>
    <w:p>
      <w:pPr>
        <w:pStyle w:val="ListBullet"/>
      </w:pPr>
      <w:r/>
      <w:r>
        <w:rPr>
          <w:b/>
        </w:rPr>
        <w:t>Tabagisme</w:t>
      </w:r>
      <w:r>
        <w:t xml:space="preserve"> : envisager réduction posologique ou arrêt.</w:t>
      </w:r>
    </w:p>
    <w:p>
      <w:pPr>
        <w:pStyle w:val="ListBullet"/>
      </w:pPr>
      <w:r/>
      <w:r>
        <w:rPr>
          <w:b/>
        </w:rPr>
        <w:t>Formes galéniques</w:t>
      </w:r>
      <w:r>
        <w:t xml:space="preserve"> :</w:t>
      </w:r>
    </w:p>
    <w:p>
      <w:pPr>
        <w:pStyle w:val="ListBullet"/>
      </w:pPr>
      <w:r/>
      <w:r>
        <w:rPr>
          <w:b/>
        </w:rPr>
        <w:t>Poudre pour solution injectable 15 mg (= 15 UI)</w:t>
      </w:r>
      <w:r>
        <w:t xml:space="preserve"> (BLEOMYCINE BELLON, BLOICIN-S Korea United — les deux formes actives) : flacon unique, reconstitution avec 5 mL de NaCl 0,9 % (concentration finale 3 mg/mL ou 3 UI/mL). Administration IV (bolus 2-10 min ou perfusion 30 min dans 100 mL NaCl 0,9 %), IM ou SC. Conservation à température &lt; 25 °C, à l'abri de la lumière. Solution reconstituée stable 24 h à température ambiante (à utiliser dans l'heure pour l'usage clinique).</w:t>
      </w:r>
    </w:p>
    <w:p>
      <w:pPr>
        <w:pStyle w:val="ListBullet"/>
      </w:pPr>
      <w:r/>
      <w:r>
        <w:rPr>
          <w:b/>
        </w:rPr>
        <w:t>Lyophilisat 15 UI/5 mL</w:t>
      </w:r>
      <w:r>
        <w:t xml:space="preserve"> (BLEOLEM LEMERY — forme retirée en Algérie) : ancienne forme alternative de reconstitution similaire.</w:t>
      </w:r>
    </w:p>
    <w:p>
      <w:pPr>
        <w:pStyle w:val="ListBullet"/>
      </w:pPr>
      <w:r/>
      <w:r>
        <w:rPr>
          <w:b/>
        </w:rPr>
        <w:t>Unités de dosage</w:t>
      </w:r>
      <w:r>
        <w:t xml:space="preserve"> : 1 mg de bléomycine ≈ 1 UI (en pratique, la prescription et la dispensation se font en </w:t>
      </w:r>
      <w:r>
        <w:rPr>
          <w:b/>
        </w:rPr>
        <w:t>unités internationales</w:t>
      </w:r>
      <w:r>
        <w:t>, UI).</w:t>
      </w:r>
    </w:p>
    <w:p>
      <w:pPr>
        <w:pStyle w:val="ListBullet"/>
      </w:pPr>
      <w:r/>
      <w:r>
        <w:rPr>
          <w:b/>
        </w:rPr>
        <w:t>Précautions cytotoxiques</w:t>
      </w:r>
      <w:r>
        <w:t xml:space="preserve"> standard (gants nitrile, masque FFP2, lunettes, blouse chimiothérapie norme EN 13034, manipulation en flux laminaire ou PSM).</w:t>
      </w:r>
    </w:p>
    <w:p>
      <w:pPr>
        <w:pStyle w:val="ListBullet"/>
      </w:pPr>
      <w:r/>
      <w:r>
        <w:rPr>
          <w:b/>
        </w:rPr>
        <w:t>Conservation</w:t>
      </w:r>
      <w:r>
        <w:t xml:space="preserve"> : flacons de poudre à &lt; 25 °C (ne pas congeler), à l'abri de la lumière. Solutions diluées à utiliser immédiatement (stabilité 24 h à température ambiante en NaCl 0,9 %).</w:t>
      </w:r>
    </w:p>
    <w:p>
      <w:pPr>
        <w:pStyle w:val="ListBullet"/>
      </w:pPr>
      <w:r/>
      <w:r>
        <w:rPr>
          <w:b/>
        </w:rPr>
        <w:t>Problème algérien</w:t>
      </w:r>
      <w:r>
        <w:t xml:space="preserve"> : les deux formes disponibles (BELLON et KOREA UNITED) sont les seules disponibles — situation acceptable mais attention aux ruptures de stock ponctuelles, notamment pour les protocoles BEP où la bléomycine est essentielle.</w:t>
      </w:r>
    </w:p>
    <w:p>
      <w:pPr>
        <w:pStyle w:val="ListBullet"/>
      </w:pPr>
      <w:r/>
      <w:r>
        <w:rPr>
          <w:b/>
        </w:rPr>
        <w:t>Conseils aux patients</w:t>
      </w:r>
      <w:r>
        <w:t xml:space="preserve"> :</w:t>
      </w:r>
    </w:p>
    <w:p>
      <w:pPr>
        <w:pStyle w:val="ListBullet"/>
      </w:pPr>
      <w:r/>
      <w:r>
        <w:rPr>
          <w:b/>
        </w:rPr>
        <w:t>Communication au comptoir</w:t>
      </w:r>
      <w:r>
        <w:t xml:space="preserve"> : « Voici votre bléomycine (perfusable à l'hôpital). Elle sera administrée par voie IV. La bléomycine peut causer une fatigue, des nausées modérées, une pigmentation de la peau (surtout dans les plis), une alopécie réversible. </w:t>
      </w:r>
      <w:r>
        <w:rPr>
          <w:b/>
        </w:rPr>
        <w:t>Surveillance pulmonaire essentielle</w:t>
      </w:r>
      <w:r>
        <w:t xml:space="preserve"> : signalez immédiatement toute toux sèche, essoufflement, fièvre, douleur thoracique — votre médecin vous prescrira des EFR (explorations fonctionnelles respiratoires) avant chaque cure. </w:t>
      </w:r>
      <w:r>
        <w:rPr>
          <w:b/>
        </w:rPr>
        <w:t>Évitez le tabac</w:t>
      </w:r>
      <w:r>
        <w:t xml:space="preserve"> pendant et après le traitement. </w:t>
      </w:r>
      <w:r>
        <w:rPr>
          <w:b/>
        </w:rPr>
        <w:t>Évitez les interventions chirurgicales sous anesthésie générale avec oxygène</w:t>
      </w:r>
      <w:r>
        <w:t xml:space="preserve"> dans les 6 mois après la dernière cure — prévenez l'anesthésiste. </w:t>
      </w:r>
      <w:r>
        <w:rPr>
          <w:b/>
        </w:rPr>
        <w:t>Évitez l'exposition au froid</w:t>
      </w:r>
      <w:r>
        <w:t xml:space="preserve"> (syndrome de Raynaud possible). »</w:t>
      </w:r>
    </w:p>
    <w:p>
      <w:pPr>
        <w:pStyle w:val="ListBullet"/>
      </w:pPr>
      <w:r/>
      <w:r>
        <w:rPr>
          <w:b/>
        </w:rPr>
        <w:t>Mode d'utilisation</w:t>
      </w:r>
      <w:r>
        <w:t xml:space="preserve"> : perfusion IV à l'hôpital, bolus ou perfusion courte 30 min.</w:t>
      </w:r>
    </w:p>
    <w:p>
      <w:pPr>
        <w:pStyle w:val="ListBullet"/>
      </w:pPr>
      <w:r/>
      <w:r>
        <w:rPr>
          <w:b/>
        </w:rPr>
        <w:t>Surveillance</w:t>
      </w:r>
      <w:r>
        <w:t xml:space="preserve"> : NFS avant chaque cure, </w:t>
      </w:r>
      <w:r>
        <w:rPr>
          <w:b/>
        </w:rPr>
        <w:t>EFR avec DLCO avant chaque cure</w:t>
      </w:r>
      <w:r>
        <w:t>, créatininémie avant chaque cure, scanner thoracique en cas de symptômes respiratoires.</w:t>
      </w:r>
    </w:p>
    <w:p>
      <w:pPr>
        <w:pStyle w:val="ListBullet"/>
      </w:pPr>
      <w:r/>
      <w:r>
        <w:rPr>
          <w:b/>
        </w:rPr>
        <w:t>Hydratation</w:t>
      </w:r>
      <w:r>
        <w:t xml:space="preserve"> : 1,5-2 L/j.</w:t>
      </w:r>
    </w:p>
    <w:p>
      <w:pPr>
        <w:pStyle w:val="ListBullet"/>
      </w:pPr>
      <w:r/>
      <w:r>
        <w:rPr>
          <w:b/>
        </w:rPr>
        <w:t>Tabac</w:t>
      </w:r>
      <w:r>
        <w:t xml:space="preserve"> : arrêt strict recommandé.</w:t>
      </w:r>
    </w:p>
    <w:p>
      <w:pPr>
        <w:pStyle w:val="ListBullet"/>
      </w:pPr>
      <w:r/>
      <w:r>
        <w:rPr>
          <w:b/>
        </w:rPr>
        <w:t>Photo-protection</w:t>
      </w:r>
      <w:r>
        <w:t xml:space="preserve"> : écran solaire SPF 50, éviter l'exposition directe.</w:t>
      </w:r>
    </w:p>
    <w:p>
      <w:pPr>
        <w:pStyle w:val="ListBullet"/>
      </w:pPr>
      <w:r/>
      <w:r>
        <w:rPr>
          <w:b/>
        </w:rPr>
        <w:t>Contraception</w:t>
      </w:r>
      <w:r>
        <w:t xml:space="preserve"> : obligatoire pendant et 3 mois après (femme et homme).</w:t>
      </w:r>
    </w:p>
    <w:p>
      <w:pPr>
        <w:pStyle w:val="ListBullet"/>
      </w:pPr>
      <w:r/>
      <w:r>
        <w:rPr>
          <w:b/>
        </w:rPr>
        <w:t>Vaccins</w:t>
      </w:r>
      <w:r>
        <w:t xml:space="preserve"> : éviter vaccins vivants atténués pendant et 6 mois après.</w:t>
      </w:r>
    </w:p>
    <w:p>
      <w:pPr>
        <w:pStyle w:val="ListBullet"/>
      </w:pPr>
      <w:r/>
      <w:r>
        <w:rPr>
          <w:b/>
        </w:rPr>
        <w:t>Signes d'alerte respiratoire</w:t>
      </w:r>
      <w:r>
        <w:t xml:space="preserve"> : toux sèche persistante, dyspnée d'effort, fièvre, douleur thoracique → consultation urgente.</w:t>
      </w:r>
    </w:p>
    <w:p>
      <w:pPr>
        <w:pStyle w:val="ListBullet"/>
      </w:pPr>
      <w:r/>
      <w:r>
        <w:rPr>
          <w:b/>
        </w:rPr>
        <w:t>Anesthésie</w:t>
      </w:r>
      <w:r>
        <w:t xml:space="preserve"> : prévenir l'anesthésiste du traitement par bléomycine dans les 6 mois précédents (FiO₂ minimale).</w:t>
      </w:r>
    </w:p>
    <w:p>
      <w:pPr>
        <w:pStyle w:val="ListBullet"/>
      </w:pPr>
      <w:r/>
      <w:r>
        <w:rPr>
          <w:b/>
        </w:rPr>
        <w:t>Pièges classiques</w:t>
      </w:r>
      <w:r>
        <w:t xml:space="preserve"> :</w:t>
      </w:r>
    </w:p>
    <w:p>
      <w:pPr>
        <w:pStyle w:val="ListBullet"/>
      </w:pPr>
      <w:r/>
      <w:r>
        <w:rPr>
          <w:b/>
        </w:rPr>
        <w:t>Piège de la dose cumulée pulmonaire</w:t>
      </w:r>
      <w:r>
        <w:t xml:space="preserve"> : 300 UI/m² à ne pas dépasser (ou 250 UI/m² chez le sujet âgé, ou 200 UI/m² si radiothérapie thoracique associée). À tracer scrupuleusement.</w:t>
      </w:r>
    </w:p>
    <w:p>
      <w:pPr>
        <w:pStyle w:val="ListBullet"/>
      </w:pPr>
      <w:r/>
      <w:r>
        <w:rPr>
          <w:b/>
        </w:rPr>
        <w:t>Piège de l'anesthésie générale</w:t>
      </w:r>
      <w:r>
        <w:t xml:space="preserve"> : risque majeur de toxicité pulmonaire post-opératoire — prévenir systématiquement l'anesthésiste, FiO₂ minimale, éviter l'anesthésie générale dans les 6 mois après traitement (chirurgie des tumeurs germinales résiduelles post-BEP à programmer avec prudence).</w:t>
      </w:r>
    </w:p>
    <w:p>
      <w:pPr>
        <w:pStyle w:val="ListBullet"/>
      </w:pPr>
      <w:r/>
      <w:r>
        <w:rPr>
          <w:b/>
        </w:rPr>
        <w:t>Piège de la radiothérapie thoracique associée</w:t>
      </w:r>
      <w:r>
        <w:t xml:space="preserve"> : synergie pneumotoxique majeure.</w:t>
      </w:r>
    </w:p>
    <w:p>
      <w:pPr>
        <w:pStyle w:val="ListBullet"/>
      </w:pPr>
      <w:r/>
      <w:r>
        <w:rPr>
          <w:b/>
        </w:rPr>
        <w:t>Piège de l'insuffisance rénale</w:t>
      </w:r>
      <w:r>
        <w:t xml:space="preserve"> : souvent méconnue en cas d'association avec cisplatine (protocole BEP) — surveillance ClCr avant chaque cure et adaptation posologique.</w:t>
      </w:r>
    </w:p>
    <w:p>
      <w:pPr>
        <w:pStyle w:val="ListBullet"/>
      </w:pPr>
      <w:r/>
      <w:r>
        <w:rPr>
          <w:b/>
        </w:rPr>
        <w:t>Piège du G-CSF</w:t>
      </w:r>
      <w:r>
        <w:t xml:space="preserve"> : potentialisation possible de la pneumopathie à bléomycine — à utiliser avec précaution.</w:t>
      </w:r>
    </w:p>
    <w:p>
      <w:pPr>
        <w:pStyle w:val="ListBullet"/>
      </w:pPr>
      <w:r/>
      <w:r>
        <w:rPr>
          <w:b/>
        </w:rPr>
        <w:t>Piège du syndrome de Raynaud</w:t>
      </w:r>
      <w:r>
        <w:t xml:space="preserve"> : souvent négligé — peuvent conduire à des nécroses digitales graves (surtout en hiver, exposition au froid).</w:t>
      </w:r>
    </w:p>
    <w:p>
      <w:pPr>
        <w:pStyle w:val="ListBullet"/>
      </w:pPr>
      <w:r/>
      <w:r>
        <w:rPr>
          <w:b/>
        </w:rPr>
        <w:t>Piège de la pigmentation cutanée</w:t>
      </w:r>
      <w:r>
        <w:t xml:space="preserve"> : aspect inesthétique, à expliquer pour éviter l'inquiétude.</w:t>
      </w:r>
    </w:p>
    <w:p>
      <w:pPr>
        <w:pStyle w:val="ListBullet"/>
      </w:pPr>
      <w:r/>
      <w:r>
        <w:rPr>
          <w:b/>
        </w:rPr>
        <w:t>Piège de la chirurgie des masses résiduelles</w:t>
      </w:r>
      <w:r>
        <w:t xml:space="preserve"> : tumeurs germinales — opérer à distance de la dernière cure (6-8 semaines), sous FiO₂ minimale.</w:t>
      </w:r>
    </w:p>
    <w:p>
      <w:pPr>
        <w:pStyle w:val="ListBullet"/>
      </w:pPr>
      <w:r/>
      <w:r>
        <w:rPr>
          <w:b/>
        </w:rPr>
        <w:t>Piège de la prescription en UI vs mg</w:t>
      </w:r>
      <w:r>
        <w:t xml:space="preserve"> : 1 UI ≈ 1 mg mais la prescription et la dispensation se font en </w:t>
      </w:r>
      <w:r>
        <w:rPr>
          <w:b/>
        </w:rPr>
        <w:t>UI</w:t>
      </w:r>
      <w:r>
        <w:t xml:space="preserve"> — ne pas confondre.</w:t>
      </w:r>
    </w:p>
    <w:p>
      <w:pPr>
        <w:pStyle w:val="ListBullet"/>
      </w:pPr>
      <w:r/>
      <w:r>
        <w:rPr>
          <w:b/>
        </w:rPr>
        <w:t>Piège du sujet âgé</w:t>
      </w:r>
      <w:r>
        <w:t xml:space="preserve"> : susceptibilité pulmonaire accrue — réduire dose à 7-10 UI/m².</w:t>
      </w:r>
    </w:p>
    <w:p>
      <w:pPr>
        <w:pStyle w:val="Heading3"/>
      </w:pPr>
      <w:r>
        <w:t>17. DCI : Mitomycine C</w:t>
      </w:r>
    </w:p>
    <w:p>
      <w:pPr>
        <w:pStyle w:val="ListBullet"/>
      </w:pPr>
      <w:r/>
      <w:r>
        <w:rPr>
          <w:b/>
        </w:rPr>
        <w:t>Catégories</w:t>
      </w:r>
      <w:r>
        <w:t xml:space="preserve"> : Antibiotique antitumoral alkylant bifonctionnel ; prodrogue activée par réduction enzymatique ; vésicant majeur ; thrombopoïétine-mimétique apparenté (toxicité retardée) ; classe ATC L01DC03.</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AMETYCINE</w:t>
            </w:r>
          </w:p>
        </w:tc>
        <w:tc>
          <w:tcPr>
            <w:tcW w:type="dxa" w:w="1559"/>
          </w:tcPr>
          <w:p>
            <w:r>
              <w:rPr>
                <w:sz w:val="20"/>
              </w:rPr>
              <w:t>SANOFI SYNTHELABO</w:t>
            </w:r>
          </w:p>
        </w:tc>
        <w:tc>
          <w:tcPr>
            <w:tcW w:type="dxa" w:w="1559"/>
          </w:tcPr>
          <w:p>
            <w:r>
              <w:rPr>
                <w:sz w:val="20"/>
              </w:rPr>
              <w:t>Poudre parentérale, 10 mg</w:t>
            </w:r>
          </w:p>
        </w:tc>
        <w:tc>
          <w:tcPr>
            <w:tcW w:type="dxa" w:w="1559"/>
          </w:tcPr>
          <w:p>
            <w:r>
              <w:rPr>
                <w:sz w:val="20"/>
              </w:rPr>
              <w:t>Flacon (10 mg/10 mL)</w:t>
            </w:r>
          </w:p>
        </w:tc>
        <w:tc>
          <w:tcPr>
            <w:tcW w:type="dxa" w:w="1559"/>
          </w:tcPr>
          <w:p>
            <w:r>
              <w:rPr>
                <w:sz w:val="20"/>
              </w:rPr>
              <w:t>LISTE I</w:t>
            </w:r>
          </w:p>
        </w:tc>
        <w:tc>
          <w:tcPr>
            <w:tcW w:type="dxa" w:w="1559"/>
          </w:tcPr>
          <w:p>
            <w:r>
              <w:rPr>
                <w:sz w:val="20"/>
              </w:rPr>
              <w:t>RETRAIT (R)</w:t>
            </w:r>
          </w:p>
        </w:tc>
      </w:tr>
      <w:tr>
        <w:tc>
          <w:tcPr>
            <w:tcW w:type="dxa" w:w="1559"/>
          </w:tcPr>
          <w:p>
            <w:r>
              <w:rPr>
                <w:sz w:val="20"/>
              </w:rPr>
              <w:t>MITOLEM</w:t>
            </w:r>
          </w:p>
        </w:tc>
        <w:tc>
          <w:tcPr>
            <w:tcW w:type="dxa" w:w="1559"/>
          </w:tcPr>
          <w:p>
            <w:r>
              <w:rPr>
                <w:sz w:val="20"/>
              </w:rPr>
              <w:t>LEMERY</w:t>
            </w:r>
          </w:p>
        </w:tc>
        <w:tc>
          <w:tcPr>
            <w:tcW w:type="dxa" w:w="1559"/>
          </w:tcPr>
          <w:p>
            <w:r>
              <w:rPr>
                <w:sz w:val="20"/>
              </w:rPr>
              <w:t>Lyophilisat pour solution injectable, 10 mg</w:t>
            </w:r>
          </w:p>
        </w:tc>
        <w:tc>
          <w:tcPr>
            <w:tcW w:type="dxa" w:w="1559"/>
          </w:tcPr>
          <w:p>
            <w:r>
              <w:rPr>
                <w:sz w:val="20"/>
              </w:rPr>
              <w:t>B/1 flacon</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mitomycine C est un </w:t>
      </w:r>
      <w:r>
        <w:rPr>
          <w:b/>
        </w:rPr>
        <w:t>antibiotique antitumoral</w:t>
      </w:r>
      <w:r>
        <w:t xml:space="preserve"> isolé en 1958 par Hata et al. à partir de cultures de *Streptomyces caespitosus*. Sa structure originale associe un noyau </w:t>
      </w:r>
      <w:r>
        <w:rPr>
          <w:b/>
        </w:rPr>
        <w:t>aziridine</w:t>
      </w:r>
      <w:r>
        <w:t xml:space="preserve"> (cycles aziridine et carbamate), un </w:t>
      </w:r>
      <w:r>
        <w:rPr>
          <w:b/>
        </w:rPr>
        <w:t>noyau quinone</w:t>
      </w:r>
      <w:r>
        <w:t xml:space="preserve"> (mitosane) et un groupement </w:t>
      </w:r>
      <w:r>
        <w:rPr>
          <w:b/>
        </w:rPr>
        <w:t>méthoxyméthyl</w:t>
      </w:r>
      <w:r>
        <w:t xml:space="preserve">. La mitomycine C est une </w:t>
      </w:r>
      <w:r>
        <w:rPr>
          <w:b/>
        </w:rPr>
        <w:t>prodrogue</w:t>
      </w:r>
      <w:r>
        <w:t xml:space="preserve"> qui nécessite une </w:t>
      </w:r>
      <w:r>
        <w:rPr>
          <w:b/>
        </w:rPr>
        <w:t>activation réductrice intracellulaire</w:t>
      </w:r>
      <w:r>
        <w:t xml:space="preserve"> par des enzymes de réduction du quinone (DT-diaphorase / NAD(P)H:quinone oxydoréductase 1 [NQO1], NADPH-cytochrome P450 réductase, NADH-cytochrome b5 réductase, xanthine oxydase) en un </w:t>
      </w:r>
      <w:r>
        <w:rPr>
          <w:b/>
        </w:rPr>
        <w:t>intermédiaire radicalaire semi-quinone</w:t>
      </w:r>
      <w:r>
        <w:t xml:space="preserve"> hautement réactif. Une fois activée, la mitomycine C subit deux réactions consécutives : (1) perte du méthanol du groupement méthoxyméthyl → génération d'un carbonium indolizine ; (2) ouverture du cycle aziridine → formation de </w:t>
      </w:r>
      <w:r>
        <w:rPr>
          <w:b/>
        </w:rPr>
        <w:t>deux fonctions alkylantes</w:t>
      </w:r>
      <w:r>
        <w:t xml:space="preserve"> indépendantes. La mitomycine C devient alors un </w:t>
      </w:r>
      <w:r>
        <w:rPr>
          <w:b/>
        </w:rPr>
        <w:t>alkylant bifonctionnel</w:t>
      </w:r>
      <w:r>
        <w:t xml:space="preserve"> capable de créer des </w:t>
      </w:r>
      <w:r>
        <w:rPr>
          <w:b/>
        </w:rPr>
        <w:t>pontages inter-brins de l'ADN</w:t>
      </w:r>
      <w:r>
        <w:t xml:space="preserve"> (cross-links) au niveau des séquences 5'-CpG-3', préférentiellement dans les régions riches en GC. Ces pontages bloquent la réplication et la transcription de l'ADN et sont </w:t>
      </w:r>
      <w:r>
        <w:rPr>
          <w:b/>
        </w:rPr>
        <w:t>très difficiles à réparer</w:t>
      </w:r>
      <w:r>
        <w:t xml:space="preserve"> (la réparation par recombinaison homologue est peu efficace sur les cross-links inter-brins). La mitomycine C est </w:t>
      </w:r>
      <w:r>
        <w:rPr>
          <w:b/>
        </w:rPr>
        <w:t>cycle-non-spécifique</w:t>
      </w:r>
      <w:r>
        <w:t xml:space="preserve"> (agit en toutes phases du cycle cellulaire, y compris G0), ce qui la rapproche des alkylants classiques. Elle est également </w:t>
      </w:r>
      <w:r>
        <w:rPr>
          <w:b/>
        </w:rPr>
        <w:t>inhibitrice de l'ARN polymérase</w:t>
      </w:r>
      <w:r>
        <w:t xml:space="preserve"> et de la synthèse d'ARN. La résistance est conférée par : (a) </w:t>
      </w:r>
      <w:r>
        <w:rPr>
          <w:b/>
        </w:rPr>
        <w:t>augmentation de la réparation des cross-links</w:t>
      </w:r>
      <w:r>
        <w:t xml:space="preserve"> (ERCC1, XRCC3) ; (b) </w:t>
      </w:r>
      <w:r>
        <w:rPr>
          <w:b/>
        </w:rPr>
        <w:t>dimutation de la NQO1</w:t>
      </w:r>
      <w:r>
        <w:t xml:space="preserve"> (polymorphisme Pro187Ser, fréquent en Asie, conduisant à une enzyme inactive) ; (c) augmentation de la glutathion-S-transférase (GSTP1) ; (d) amplification de la P-gp (MDR1). La mitomycine C est également </w:t>
      </w:r>
      <w:r>
        <w:rPr>
          <w:b/>
        </w:rPr>
        <w:t>un puissant vésicant</w:t>
      </w:r>
      <w:r>
        <w:t xml:space="preserve"> (toxicité locale majeure en cas d'extravasation — nécrose tissulaire profonde).</w:t>
      </w:r>
    </w:p>
    <w:p>
      <w:pPr>
        <w:pStyle w:val="ListBullet"/>
      </w:pPr>
      <w:r/>
      <w:r>
        <w:rPr>
          <w:b/>
        </w:rPr>
        <w:t>Profil pharmacocinétique</w:t>
      </w:r>
      <w:r>
        <w:t xml:space="preserve"> : administration IV stricte (bolus de 5-10 min ou perfusion courte de 30 min dans 100-250 mL NaCl 0,9 %), intra-artérielle (hépatique), intra-vésicale (instillation endoscopique vésicale), ou topique oculaire (collyre 0,02 % pour prévention des récidives de ptérygion). Distribution initiale plasmatique rapide (Vd ≈ 0,5-1 L/kg), suivie d'une distribution tissulaire large (concentration élevée dans le foie, les reins, la moelle osseuse). Passage hématoméningé faible. Liaison aux protéines plasmatiques faible (10-30 %). Métabolisme </w:t>
      </w:r>
      <w:r>
        <w:rPr>
          <w:b/>
        </w:rPr>
        <w:t>essentiellement hépatique</w:t>
      </w:r>
      <w:r>
        <w:t xml:space="preserve"> (microsomes hépatiques, inactivation par réduction puis conjugaison) ; métabolites inactifs. Demi-vie d'élimination biphasique : t1/2α = 5-10 min, t1/2β = 50-100 min (mais la toxicité hématologique retardée suggère une </w:t>
      </w:r>
      <w:r>
        <w:rPr>
          <w:b/>
        </w:rPr>
        <w:t>libération tissulaire prolongée</w:t>
      </w:r>
      <w:r>
        <w:t xml:space="preserve">). Élimination principalement </w:t>
      </w:r>
      <w:r>
        <w:rPr>
          <w:b/>
        </w:rPr>
        <w:t>hépatobiliaire</w:t>
      </w:r>
      <w:r>
        <w:t xml:space="preserve"> (60-70 %) et </w:t>
      </w:r>
      <w:r>
        <w:rPr>
          <w:b/>
        </w:rPr>
        <w:t>rénale</w:t>
      </w:r>
      <w:r>
        <w:t xml:space="preserve"> (10-30 %). Insuffisance hépatique (bilirubine &gt; 1,5 mg/dL ou ALAT &gt; 3 LSN) : réduire 25-50 % ; bilirubine &gt; 3 mg/dL → contre-indication. Insuffisance rénale (ClCr &lt; 30 mL/min) : surveillance ++, pas d'adaptation systématique mais prudence. </w:t>
      </w:r>
      <w:r>
        <w:rPr>
          <w:b/>
        </w:rPr>
        <w:t>Particularité</w:t>
      </w:r>
      <w:r>
        <w:t xml:space="preserve"> : la toxicité hématologique est </w:t>
      </w:r>
      <w:r>
        <w:rPr>
          <w:b/>
        </w:rPr>
        <w:t>retardée et prolongée</w:t>
      </w:r>
      <w:r>
        <w:t xml:space="preserve"> — nadir plaquettaire à J28-J35 (et non J7-J14 comme la plupart des cytotoxiques) — surveillance NFS hebdomadaire pendant 8 semaines après chaque cure.</w:t>
      </w:r>
    </w:p>
    <w:p>
      <w:pPr>
        <w:pStyle w:val="ListBullet"/>
      </w:pPr>
      <w:r/>
      <w:r>
        <w:rPr>
          <w:b/>
        </w:rPr>
        <w:t>Indications</w:t>
      </w:r>
      <w:r>
        <w:t xml:space="preserve"> :</w:t>
      </w:r>
    </w:p>
    <w:p>
      <w:pPr>
        <w:pStyle w:val="ListBullet"/>
      </w:pPr>
      <w:r/>
      <w:r>
        <w:rPr>
          <w:b/>
        </w:rPr>
        <w:t>Cancer de l'estomac</w:t>
      </w:r>
      <w:r>
        <w:t xml:space="preserve"> avancé ou métastatique : protocole FAMTX (5-FU + adriamycine + méthotrexate) — ou plus récemment EOX (épirubicine + oxaliplatine + capécitabine) — la mitomycine C en association avec 5-FU et doxorubicine (protocole FAM ancien) ou en 2ème ligne en association avec cisplatine et 5-FU.</w:t>
      </w:r>
    </w:p>
    <w:p>
      <w:pPr>
        <w:pStyle w:val="ListBullet"/>
      </w:pPr>
      <w:r/>
      <w:r>
        <w:rPr>
          <w:b/>
        </w:rPr>
        <w:t>Cancer du pancréas</w:t>
      </w:r>
      <w:r>
        <w:t xml:space="preserve"> avancé : en 2ème ou 3ème ligne (rarement utilisé actuellement).</w:t>
      </w:r>
    </w:p>
    <w:p>
      <w:pPr>
        <w:pStyle w:val="ListBullet"/>
      </w:pPr>
      <w:r/>
      <w:r>
        <w:rPr>
          <w:b/>
        </w:rPr>
        <w:t>Cancer du côlon</w:t>
      </w:r>
      <w:r>
        <w:t xml:space="preserve"> métastatique en 2ème ligne (en cas d'échec des protocoles FOLFOX/FOLFIRI) : protocole FMC (5-FU + mitomycine + cisplatine).</w:t>
      </w:r>
    </w:p>
    <w:p>
      <w:pPr>
        <w:pStyle w:val="ListBullet"/>
      </w:pPr>
      <w:r/>
      <w:r>
        <w:rPr>
          <w:b/>
        </w:rPr>
        <w:t>Cancer du sein</w:t>
      </w:r>
      <w:r>
        <w:t xml:space="preserve"> localement avancé ou métastatique : protocoles anciens type CMF (mitomycine alternative au méthotrexate), ou en 2ème ligne.</w:t>
      </w:r>
    </w:p>
    <w:p>
      <w:pPr>
        <w:pStyle w:val="ListBullet"/>
      </w:pPr>
      <w:r/>
      <w:r>
        <w:rPr>
          <w:b/>
        </w:rPr>
        <w:t>Cancer de la vessie</w:t>
      </w:r>
      <w:r>
        <w:t xml:space="preserve"> (urothélial) superficiel récidivant (CIS, Ta-T1) : </w:t>
      </w:r>
      <w:r>
        <w:rPr>
          <w:b/>
        </w:rPr>
        <w:t>instillation intra-vésicale</w:t>
      </w:r>
      <w:r>
        <w:t xml:space="preserve"> post-résection endoscopique transurétrale — 20-40 mg dans 20-40 mL d'eau distillée ou NaCl 0,9 %, à conserver 1-2 h en intravésical, hebdomadaire pendant 6-8 semaines puis mensuelle d'entretien pendant 1-2 ans. Alternative au BCG en cas d'échec ou de contre-indication.</w:t>
      </w:r>
    </w:p>
    <w:p>
      <w:pPr>
        <w:pStyle w:val="ListBullet"/>
      </w:pPr>
      <w:r/>
      <w:r>
        <w:rPr>
          <w:b/>
        </w:rPr>
        <w:t>Cancer du col utérin</w:t>
      </w:r>
      <w:r>
        <w:t xml:space="preserve"> avancé : en association avec radiothérapie et cisplatine (rarement utilisé actuellement).</w:t>
      </w:r>
    </w:p>
    <w:p>
      <w:pPr>
        <w:pStyle w:val="ListBullet"/>
      </w:pPr>
      <w:r/>
      <w:r>
        <w:rPr>
          <w:b/>
        </w:rPr>
        <w:t>Cancer anal</w:t>
      </w:r>
      <w:r>
        <w:t xml:space="preserve"> épidermoïde : protocole Nigro (5-FU + mitomycine + radiothérapie) — protocole de référence.</w:t>
      </w:r>
    </w:p>
    <w:p>
      <w:pPr>
        <w:pStyle w:val="ListBullet"/>
      </w:pPr>
      <w:r/>
      <w:r>
        <w:rPr>
          <w:b/>
        </w:rPr>
        <w:t>Cancer de la tête et du cou</w:t>
      </w:r>
      <w:r>
        <w:t xml:space="preserve"> : en association avec 5-FU et cisplatine ou radiothérapie.</w:t>
      </w:r>
    </w:p>
    <w:p>
      <w:pPr>
        <w:pStyle w:val="ListBullet"/>
      </w:pPr>
      <w:r/>
      <w:r>
        <w:rPr>
          <w:b/>
        </w:rPr>
        <w:t>Glaucomes réfractaires</w:t>
      </w:r>
      <w:r>
        <w:t xml:space="preserve"> : </w:t>
      </w:r>
      <w:r>
        <w:rPr>
          <w:b/>
        </w:rPr>
        <w:t>mitomycine C 0,2-0,5 mg/mL en application topique peropératoire</w:t>
      </w:r>
      <w:r>
        <w:t xml:space="preserve"> (chirurgie filtrante — trabéculectomie) pour prévenir la fibrose cicatricielle du filtre — usage ophtalmologique spécialisé.</w:t>
      </w:r>
    </w:p>
    <w:p>
      <w:pPr>
        <w:pStyle w:val="ListBullet"/>
      </w:pPr>
      <w:r/>
      <w:r>
        <w:rPr>
          <w:b/>
        </w:rPr>
        <w:t>Ptérygion</w:t>
      </w:r>
      <w:r>
        <w:t xml:space="preserve"> récidivant : mitomycine C 0,02-0,04 % en collyre post-opératoire (à manier avec prudence — toxicité cornéenne).</w:t>
      </w:r>
    </w:p>
    <w:p>
      <w:pPr>
        <w:pStyle w:val="ListBullet"/>
      </w:pPr>
      <w:r/>
      <w:r>
        <w:rPr>
          <w:b/>
        </w:rPr>
        <w:t>Hors oncologie</w:t>
      </w:r>
      <w:r>
        <w:t xml:space="preserve"> : chéloïdes et cicatrices hypertrophiques réfractaires (mitomycine intra-lésionnelle — usage rare).</w:t>
      </w:r>
    </w:p>
    <w:p>
      <w:pPr>
        <w:pStyle w:val="ListBullet"/>
      </w:pPr>
      <w:r/>
      <w:r>
        <w:rPr>
          <w:b/>
        </w:rPr>
        <w:t>Contre-indications</w:t>
      </w:r>
      <w:r>
        <w:t xml:space="preserve"> : (1) </w:t>
      </w:r>
      <w:r>
        <w:rPr>
          <w:b/>
        </w:rPr>
        <w:t>Aplasie médullaire préexistante</w:t>
      </w:r>
      <w:r>
        <w:t xml:space="preserve"> (PNN &lt; 1,5 G/L, plaquettes &lt; 100 G/L) ; (2) </w:t>
      </w:r>
      <w:r>
        <w:rPr>
          <w:b/>
        </w:rPr>
        <w:t>Thrombopénie préexistante</w:t>
      </w:r>
      <w:r>
        <w:t xml:space="preserve"> (la toxicité plaquettaire est retardée et cumulative) ; (3) </w:t>
      </w:r>
      <w:r>
        <w:rPr>
          <w:b/>
        </w:rPr>
        <w:t>Patiente enceinte ou allaitant</w:t>
      </w:r>
      <w:r>
        <w:t xml:space="preserve"> ; (4) </w:t>
      </w:r>
      <w:r>
        <w:rPr>
          <w:b/>
        </w:rPr>
        <w:t>Insuffisance rénale sévère</w:t>
      </w:r>
      <w:r>
        <w:t xml:space="preserve"> (ClCr &lt; 30 mL/min) ; (5) </w:t>
      </w:r>
      <w:r>
        <w:rPr>
          <w:b/>
        </w:rPr>
        <w:t>Insuffisance hépatique sévère</w:t>
      </w:r>
      <w:r>
        <w:t xml:space="preserve"> (bilirubine &gt; 3 mg/dL) ; (6) </w:t>
      </w:r>
      <w:r>
        <w:rPr>
          <w:b/>
        </w:rPr>
        <w:t>Infection évolutive non contrôlée</w:t>
      </w:r>
      <w:r>
        <w:t xml:space="preserve"> ; (7) </w:t>
      </w:r>
      <w:r>
        <w:rPr>
          <w:b/>
        </w:rPr>
        <w:t>Syndrome hémolytique et urémique (SHU) atypique</w:t>
      </w:r>
      <w:r>
        <w:t xml:space="preserve"> antérieur ; (8) </w:t>
      </w:r>
      <w:r>
        <w:rPr>
          <w:b/>
        </w:rPr>
        <w:t>Vaccination par vaccin vivant atténué</w:t>
      </w:r>
      <w:r>
        <w:t xml:space="preserve"> ; (9) </w:t>
      </w:r>
      <w:r>
        <w:rPr>
          <w:b/>
        </w:rPr>
        <w:t>Antécédent de réaction d'hypersensibilité</w:t>
      </w:r>
      <w:r>
        <w:t xml:space="preserve"> à la mitomycine ; (10) </w:t>
      </w:r>
      <w:r>
        <w:rPr>
          <w:b/>
        </w:rPr>
        <w:t>Voie intra-thécale</w:t>
      </w:r>
      <w:r>
        <w:t xml:space="preserve"> strictement contre-indiquée (neurotoxicité létale).</w:t>
      </w:r>
    </w:p>
    <w:p>
      <w:pPr>
        <w:pStyle w:val="ListBullet"/>
      </w:pPr>
      <w:r/>
      <w:r>
        <w:rPr>
          <w:b/>
        </w:rPr>
        <w:t>Effets indésirables</w:t>
      </w:r>
      <w:r>
        <w:t xml:space="preserve"> :</w:t>
      </w:r>
    </w:p>
    <w:p>
      <w:pPr>
        <w:pStyle w:val="ListBullet"/>
      </w:pPr>
      <w:r/>
      <w:r>
        <w:rPr>
          <w:b/>
        </w:rPr>
        <w:t>Toxicité hématologique</w:t>
      </w:r>
      <w:r>
        <w:t xml:space="preserve"> (cumulative, retardée, prolongée — caractéristique de la mitomycine) : (a) </w:t>
      </w:r>
      <w:r>
        <w:rPr>
          <w:b/>
        </w:rPr>
        <w:t>thrombopénie</w:t>
      </w:r>
      <w:r>
        <w:t xml:space="preserve"> (nadir J28-J35, sévère &lt; 50 G/L voire &lt; 20 G/L), risque hémorragique important ; (b) </w:t>
      </w:r>
      <w:r>
        <w:rPr>
          <w:b/>
        </w:rPr>
        <w:t>leucopénie</w:t>
      </w:r>
      <w:r>
        <w:t xml:space="preserve"> (nadir J28-J42), neutropénie fébrile ; (c) </w:t>
      </w:r>
      <w:r>
        <w:rPr>
          <w:b/>
        </w:rPr>
        <w:t>anémie</w:t>
      </w:r>
      <w:r>
        <w:t xml:space="preserve"> (retardée, parfois nécessitant transfusion). </w:t>
      </w:r>
      <w:r>
        <w:rPr>
          <w:b/>
        </w:rPr>
        <w:t>Cumulativité</w:t>
      </w:r>
      <w:r>
        <w:t xml:space="preserve"> : la toxicité s'aggrave avec les cures successives — limitation du nombre de cures à 4-6 par patient.</w:t>
      </w:r>
    </w:p>
    <w:p>
      <w:pPr>
        <w:pStyle w:val="ListBullet"/>
      </w:pPr>
      <w:r/>
      <w:r>
        <w:rPr>
          <w:b/>
        </w:rPr>
        <w:t>Toxicité vésicante locale</w:t>
      </w:r>
      <w:r>
        <w:t xml:space="preserve"> (extravasation) : nécrose tissulaire profonde, ulcérations chroniques, nécrose des tissus sous-cutanés jusqu'à l'os — nécessité de chirurgie reconstructrice. À prévenir par voie veineuse centrale préférentielle. En cas d'extravasation : arrêt immédiat, aspiration, cold-packs, </w:t>
      </w:r>
      <w:r>
        <w:rPr>
          <w:b/>
        </w:rPr>
        <w:t>sodium thiosulfate 1/6 M intra-lésionnel</w:t>
      </w:r>
      <w:r>
        <w:t xml:space="preserve"> (antidote possible — efficacité partielle), surveillance prolongée (lésions retardées jusqu'à 2-4 semaines).</w:t>
      </w:r>
    </w:p>
    <w:p>
      <w:pPr>
        <w:pStyle w:val="ListBullet"/>
      </w:pPr>
      <w:r/>
      <w:r>
        <w:rPr>
          <w:b/>
        </w:rPr>
        <w:t>Syndrome hémolytique et urémique (SHU) atypique</w:t>
      </w:r>
      <w:r>
        <w:t xml:space="preserve"> (rare, 1-4 %, mais grave) : anémie hémolytique mécanique (schizocytes), thrombopénie de consommation, insuffisance rénale aiguë oligurique — souvent après dose cumulée &gt; 60 mg ou cures multiples. Mortalité 25-50 %. Traitement : échange plasmatique, corticothérapie, éculizumab (anti-C5) dans les formes réfractaires.</w:t>
      </w:r>
    </w:p>
    <w:p>
      <w:pPr>
        <w:pStyle w:val="ListBullet"/>
      </w:pPr>
      <w:r/>
      <w:r>
        <w:rPr>
          <w:b/>
        </w:rPr>
        <w:t>Pneumotoxicité</w:t>
      </w:r>
      <w:r>
        <w:t xml:space="preserve"> (rare, 5-10 %) : pneumopathie interstitielle, fibrose pulmonaire (synergie avec oxygène, radiothérapie thoracique, autres cytotoxiques pulmotoxiques). Risque augmenté avec dose cumulée &gt; 50 mg et/ou radiothérapie thoracique associée.</w:t>
      </w:r>
    </w:p>
    <w:p>
      <w:pPr>
        <w:pStyle w:val="ListBullet"/>
      </w:pPr>
      <w:r/>
      <w:r>
        <w:rPr>
          <w:b/>
        </w:rPr>
        <w:t>Toxicité cardiaque</w:t>
      </w:r>
      <w:r>
        <w:t xml:space="preserve"> (rare, mais grave) : insuffisance cardiaque congestive par toxicité myocardique directe — surtout en cas d'association avec anthracyclines.</w:t>
      </w:r>
    </w:p>
    <w:p>
      <w:pPr>
        <w:pStyle w:val="ListBullet"/>
      </w:pPr>
      <w:r/>
      <w:r>
        <w:rPr>
          <w:b/>
        </w:rPr>
        <w:t>Toxicité hépatique</w:t>
      </w:r>
      <w:r>
        <w:t xml:space="preserve"> modérée : cytolyse transitoire.</w:t>
      </w:r>
    </w:p>
    <w:p>
      <w:pPr>
        <w:pStyle w:val="ListBullet"/>
      </w:pPr>
      <w:r/>
      <w:r>
        <w:rPr>
          <w:b/>
        </w:rPr>
        <w:t>Toxicité rénale</w:t>
      </w:r>
      <w:r>
        <w:t xml:space="preserve"> : néphropathie interstitielle, SHU (cf. supra).</w:t>
      </w:r>
    </w:p>
    <w:p>
      <w:pPr>
        <w:pStyle w:val="ListBullet"/>
      </w:pPr>
      <w:r/>
      <w:r>
        <w:rPr>
          <w:b/>
        </w:rPr>
        <w:t>Toxicité cutanée</w:t>
      </w:r>
      <w:r>
        <w:t xml:space="preserve"> : alopécie modérée, rash, hyperpigmentation, syndrome d'érythrodysesthésie palmo-plantaire (rare, plus caractéristique du 5-FU continu).</w:t>
      </w:r>
    </w:p>
    <w:p>
      <w:pPr>
        <w:pStyle w:val="ListBullet"/>
      </w:pPr>
      <w:r/>
      <w:r>
        <w:rPr>
          <w:b/>
        </w:rPr>
        <w:t>Toxicité digestive</w:t>
      </w:r>
      <w:r>
        <w:t xml:space="preserve"> : nausées/vomissements (émétisants grade 2), mucite modérée, anorexie, diarrhée.</w:t>
      </w:r>
    </w:p>
    <w:p>
      <w:pPr>
        <w:pStyle w:val="ListBullet"/>
      </w:pPr>
      <w:r/>
      <w:r>
        <w:rPr>
          <w:b/>
        </w:rPr>
        <w:t>Fièvre</w:t>
      </w:r>
      <w:r>
        <w:t xml:space="preserve"> : transitoire post-perfusion.</w:t>
      </w:r>
    </w:p>
    <w:p>
      <w:pPr>
        <w:pStyle w:val="ListBullet"/>
      </w:pPr>
      <w:r/>
      <w:r>
        <w:rPr>
          <w:b/>
        </w:rPr>
        <w:t>Leucémogénicité</w:t>
      </w:r>
      <w:r>
        <w:t xml:space="preserve"> (long terme) : risque de LAM secondaire avec anomalies du chromosome 7 (-7, 7q-) — surtout en cas d'association avec radiothérapie ou alkylants.</w:t>
      </w:r>
    </w:p>
    <w:p>
      <w:pPr>
        <w:pStyle w:val="ListBullet"/>
      </w:pPr>
      <w:r/>
      <w:r>
        <w:rPr>
          <w:b/>
        </w:rPr>
        <w:t>Toxicité vésicale (instillation intra-vésicale)</w:t>
      </w:r>
      <w:r>
        <w:t xml:space="preserve"> : cystite chimique (50-70 %), hématurie, dysurie, contractions vésicales — réduit par hydratation préalable et alcalinisation des urines. Rarement nécrose vésicale.</w:t>
      </w:r>
    </w:p>
    <w:p>
      <w:pPr>
        <w:pStyle w:val="ListBullet"/>
      </w:pPr>
      <w:r/>
      <w:r>
        <w:rPr>
          <w:b/>
        </w:rPr>
        <w:t>Mesures préventives</w:t>
      </w:r>
      <w:r>
        <w:t xml:space="preserve"> :</w:t>
      </w:r>
    </w:p>
    <w:p>
      <w:pPr>
        <w:pStyle w:val="ListBullet"/>
      </w:pPr>
      <w:r/>
      <w:r>
        <w:rPr>
          <w:b/>
        </w:rPr>
        <w:t>Bilan pré-thérapeutique</w:t>
      </w:r>
      <w:r>
        <w:t xml:space="preserve"> : NFS-plaquettes (référence obligatoire), créatininémie, ClCr, bilan hépatique (ALAT, ASAT, PAL, γGT, bilirubine), LDH, haptoglobine, schizocytes (référence), ECG, radiographie thoracique. β-hCG chez la femme en âge de procréer.</w:t>
      </w:r>
    </w:p>
    <w:p>
      <w:pPr>
        <w:pStyle w:val="ListBullet"/>
      </w:pPr>
      <w:r/>
      <w:r>
        <w:rPr>
          <w:b/>
        </w:rPr>
        <w:t>Surveillance NFS-plaquettes</w:t>
      </w:r>
      <w:r>
        <w:t xml:space="preserve"> : hebdomadaire pendant 8 semaines après chaque cure (nadir retardé J28-J35) — hebdomadaire pendant 12 semaines en cas de cures multiples.</w:t>
      </w:r>
    </w:p>
    <w:p>
      <w:pPr>
        <w:pStyle w:val="ListBullet"/>
      </w:pPr>
      <w:r/>
      <w:r>
        <w:rPr>
          <w:b/>
        </w:rPr>
        <w:t>Surveillance rénale</w:t>
      </w:r>
      <w:r>
        <w:t xml:space="preserve"> : créatininémie, haptoglobine, schizocytes avant chaque cure (dépistage précoce du SHU).</w:t>
      </w:r>
    </w:p>
    <w:p>
      <w:pPr>
        <w:pStyle w:val="ListBullet"/>
      </w:pPr>
      <w:r/>
      <w:r>
        <w:rPr>
          <w:b/>
        </w:rPr>
        <w:t>Surveillance hépatique</w:t>
      </w:r>
      <w:r>
        <w:t xml:space="preserve"> : bilan hépatique avant chaque cure.</w:t>
      </w:r>
    </w:p>
    <w:p>
      <w:pPr>
        <w:pStyle w:val="ListBullet"/>
      </w:pPr>
      <w:r/>
      <w:r>
        <w:rPr>
          <w:b/>
        </w:rPr>
        <w:t>Prévention extravasation</w:t>
      </w:r>
      <w:r>
        <w:t xml:space="preserve"> : </w:t>
      </w:r>
      <w:r>
        <w:rPr>
          <w:b/>
        </w:rPr>
        <w:t>voie veineuse centrale</w:t>
      </w:r>
      <w:r>
        <w:t xml:space="preserve"> (cathéter central ou chambre implantable) préférentielle ; en cas de voie périphérique, site veineux large,_flux libre, surveillance prolongée 24 h après perfusion.</w:t>
      </w:r>
    </w:p>
    <w:p>
      <w:pPr>
        <w:pStyle w:val="ListBullet"/>
      </w:pPr>
      <w:r/>
      <w:r>
        <w:rPr>
          <w:b/>
        </w:rPr>
        <w:t>Antiemetic prophylaxie</w:t>
      </w:r>
      <w:r>
        <w:t xml:space="preserve"> : antagoniste 5-HT3 + dexaméthasone (émétisants grade 2).</w:t>
      </w:r>
    </w:p>
    <w:p>
      <w:pPr>
        <w:pStyle w:val="ListBullet"/>
      </w:pPr>
      <w:r/>
      <w:r>
        <w:rPr>
          <w:b/>
        </w:rPr>
        <w:t>Prophylaxie mucite</w:t>
      </w:r>
      <w:r>
        <w:t xml:space="preserve"> : cryothérapie orale, bains de bouche bicarbonatés.</w:t>
      </w:r>
    </w:p>
    <w:p>
      <w:pPr>
        <w:pStyle w:val="ListBullet"/>
      </w:pPr>
      <w:r/>
      <w:r>
        <w:rPr>
          <w:b/>
        </w:rPr>
        <w:t>Corticothérapie</w:t>
      </w:r>
      <w:r>
        <w:t xml:space="preserve"> : en cas de suspicion de pneumopathie — prednisone 1 mg/kg/j.</w:t>
      </w:r>
    </w:p>
    <w:p>
      <w:pPr>
        <w:pStyle w:val="ListBullet"/>
      </w:pPr>
      <w:r/>
      <w:r>
        <w:rPr>
          <w:b/>
        </w:rPr>
        <w:t>Adaptation posologique</w:t>
      </w:r>
      <w:r>
        <w:t xml:space="preserve"> : insuffisance hépatique (bilirubine 1,5-3 → réduire 50 % ; &gt; 3 → contre-indication) ; insuffisance rénale (ClCr 30-60 → réduire 25 % ; &lt; 30 → contre-indication relative) ; toxicité hématologique retardée (PNN &lt; 1,5 G/L ou plaquettes &lt; 100 G/L à J28 → retarder la cure suivante d'1 semaine).</w:t>
      </w:r>
    </w:p>
    <w:p>
      <w:pPr>
        <w:pStyle w:val="ListBullet"/>
      </w:pPr>
      <w:r/>
      <w:r>
        <w:rPr>
          <w:b/>
        </w:rPr>
        <w:t>Dose cumulée maximale</w:t>
      </w:r>
      <w:r>
        <w:t xml:space="preserve"> : </w:t>
      </w:r>
      <w:r>
        <w:rPr>
          <w:b/>
        </w:rPr>
        <w:t>60 mg/m²</w:t>
      </w:r>
      <w:r>
        <w:t xml:space="preserve"> (au-delà, risque majeur de toxicité cumulative et SHU).</w:t>
      </w:r>
    </w:p>
    <w:p>
      <w:pPr>
        <w:pStyle w:val="ListBullet"/>
      </w:pPr>
      <w:r/>
      <w:r>
        <w:rPr>
          <w:b/>
        </w:rPr>
        <w:t>Contraception</w:t>
      </w:r>
      <w:r>
        <w:t xml:space="preserve"> : obligatoire pendant et 6 mois après (femme et homme).</w:t>
      </w:r>
    </w:p>
    <w:p>
      <w:pPr>
        <w:pStyle w:val="ListBullet"/>
      </w:pPr>
      <w:r/>
      <w:r>
        <w:rPr>
          <w:b/>
        </w:rPr>
        <w:t>Vaccins</w:t>
      </w:r>
      <w:r>
        <w:t xml:space="preserve"> : éviter vaccins vivants atténués pendant et 6 mois après.</w:t>
      </w:r>
    </w:p>
    <w:p>
      <w:pPr>
        <w:pStyle w:val="ListBullet"/>
      </w:pPr>
      <w:r/>
      <w:r>
        <w:rPr>
          <w:b/>
        </w:rPr>
        <w:t>Préparation de la solution intra-vésicale</w:t>
      </w:r>
      <w:r>
        <w:t xml:space="preserve"> : mitomycine 20-40 mg diluée dans 20-40 mL d'eau distillée ou NaCl 0,9 %, à conserver 1-2 h en intravésical, rotation du patient toutes les 15 min (décubitus dorsal, latéral gauche, latéral droit, ventral) pour bien répartir le produit.</w:t>
      </w:r>
    </w:p>
    <w:p>
      <w:pPr>
        <w:pStyle w:val="ListBullet"/>
      </w:pPr>
      <w:r/>
      <w:r>
        <w:rPr>
          <w:b/>
        </w:rPr>
        <w:t>Interactions médicamenteuses</w:t>
      </w:r>
      <w:r>
        <w:t xml:space="preserve"> :</w:t>
      </w:r>
    </w:p>
    <w:p>
      <w:pPr>
        <w:pStyle w:val="ListBullet"/>
      </w:pPr>
      <w:r/>
      <w:r>
        <w:rPr>
          <w:b/>
        </w:rPr>
        <w:t>Mitomycine C + vinca-alcaloïdes</w:t>
      </w:r>
      <w:r>
        <w:t xml:space="preserve"> (vincristine, vinblastine, vinorélbine) : </w:t>
      </w:r>
      <w:r>
        <w:rPr>
          <w:b/>
        </w:rPr>
        <w:t>bronchospasme aigu</w:t>
      </w:r>
      <w:r>
        <w:t xml:space="preserve"> potentiellement létal et dyspnée aiguë — observation rapportée dans la littérature (jusqu'à 48 h après l'administration). Prudence extrême, surveillance respiratoire +++.</w:t>
      </w:r>
    </w:p>
    <w:p>
      <w:pPr>
        <w:pStyle w:val="ListBullet"/>
      </w:pPr>
      <w:r/>
      <w:r>
        <w:rPr>
          <w:b/>
        </w:rPr>
        <w:t>Mitomycine C + doxorubicine</w:t>
      </w:r>
      <w:r>
        <w:t xml:space="preserve"> : cardiotoxicité additive (synergie).</w:t>
      </w:r>
    </w:p>
    <w:p>
      <w:pPr>
        <w:pStyle w:val="ListBullet"/>
      </w:pPr>
      <w:r/>
      <w:r>
        <w:rPr>
          <w:b/>
        </w:rPr>
        <w:t>Mitomycine C + cisplatine</w:t>
      </w:r>
      <w:r>
        <w:t xml:space="preserve"> : néphrotoxicité additive → surveillance rénale ++.</w:t>
      </w:r>
    </w:p>
    <w:p>
      <w:pPr>
        <w:pStyle w:val="ListBullet"/>
      </w:pPr>
      <w:r/>
      <w:r>
        <w:rPr>
          <w:b/>
        </w:rPr>
        <w:t>Mitomycine C + 5-FU</w:t>
      </w:r>
      <w:r>
        <w:t xml:space="preserve"> : synergie classique (protocole FAM, FMC) — toxicité hématologique additive.</w:t>
      </w:r>
    </w:p>
    <w:p>
      <w:pPr>
        <w:pStyle w:val="ListBullet"/>
      </w:pPr>
      <w:r/>
      <w:r>
        <w:rPr>
          <w:b/>
        </w:rPr>
        <w:t>Mitomycine C + radiothérapie thoracique</w:t>
      </w:r>
      <w:r>
        <w:t xml:space="preserve"> : synergie pneumotoxique majeure.</w:t>
      </w:r>
    </w:p>
    <w:p>
      <w:pPr>
        <w:pStyle w:val="ListBullet"/>
      </w:pPr>
      <w:r/>
      <w:r>
        <w:rPr>
          <w:b/>
        </w:rPr>
        <w:t>Mitomycine C + oxygène (anesthésie)</w:t>
      </w:r>
      <w:r>
        <w:t xml:space="preserve"> : toxicité pulmonaire (radicaux libres).</w:t>
      </w:r>
    </w:p>
    <w:p>
      <w:pPr>
        <w:pStyle w:val="ListBullet"/>
      </w:pPr>
      <w:r/>
      <w:r>
        <w:rPr>
          <w:b/>
        </w:rPr>
        <w:t>Mitomycine C + vaccins vivants atténués</w:t>
      </w:r>
      <w:r>
        <w:t xml:space="preserve"> : contre-indication (immunosuppression).</w:t>
      </w:r>
    </w:p>
    <w:p>
      <w:pPr>
        <w:pStyle w:val="ListBullet"/>
      </w:pPr>
      <w:r/>
      <w:r>
        <w:rPr>
          <w:b/>
        </w:rPr>
        <w:t>Mitomycine C + tamoxifène</w:t>
      </w:r>
      <w:r>
        <w:t xml:space="preserve"> : risque augmenté de thrombo-embolie (interaction discutée).</w:t>
      </w:r>
    </w:p>
    <w:p>
      <w:pPr>
        <w:pStyle w:val="ListBullet"/>
      </w:pPr>
      <w:r/>
      <w:r>
        <w:rPr>
          <w:b/>
        </w:rPr>
        <w:t>Mitomycine C + cyclophosphamide, alkylants</w:t>
      </w:r>
      <w:r>
        <w:t xml:space="preserve"> : leucémogénicité additive.</w:t>
      </w:r>
    </w:p>
    <w:p>
      <w:pPr>
        <w:pStyle w:val="ListBullet"/>
      </w:pPr>
      <w:r/>
      <w:r>
        <w:rPr>
          <w:b/>
        </w:rPr>
        <w:t>Mitomycine C + warfarine, AVK</w:t>
      </w:r>
      <w:r>
        <w:t xml:space="preserve"> : surveillance INR (potentialisation anticoagulante).</w:t>
      </w:r>
    </w:p>
    <w:p>
      <w:pPr>
        <w:pStyle w:val="ListBullet"/>
      </w:pPr>
      <w:r/>
      <w:r>
        <w:rPr>
          <w:b/>
        </w:rPr>
        <w:t>Grossesse et allaitement (CRAT)</w:t>
      </w:r>
      <w:r>
        <w:t xml:space="preserve"> :</w:t>
      </w:r>
    </w:p>
    <w:p>
      <w:pPr>
        <w:pStyle w:val="ListBullet"/>
      </w:pPr>
      <w:r/>
      <w:r>
        <w:rPr>
          <w:b/>
        </w:rPr>
        <w:t>Grossesse</w:t>
      </w:r>
      <w:r>
        <w:t xml:space="preserve"> : selon le CRAT, la mitomycine C est </w:t>
      </w:r>
      <w:r>
        <w:rPr>
          <w:b/>
        </w:rPr>
        <w:t>tératogène</w:t>
      </w:r>
      <w:r>
        <w:t xml:space="preserve"> chez l'animal (anomalies squelettiques, fœtotoxicité). Catégorie D (à éviter formellement). </w:t>
      </w:r>
      <w:r>
        <w:rPr>
          <w:b/>
        </w:rPr>
        <w:t>Conduite à tenir</w:t>
      </w:r>
      <w:r>
        <w:t xml:space="preserve"> : (1) contraception obligatoire pendant et </w:t>
      </w:r>
      <w:r>
        <w:rPr>
          <w:b/>
        </w:rPr>
        <w:t>6 mois après</w:t>
      </w:r>
      <w:r>
        <w:t xml:space="preserve"> l'arrêt (femme et homme) — délai prolongé en raison de la demi-vie tissulaire prolongée et de la toxicité hématologique retardée ; (2) si grossesse involontaire : discussion multidisciplinaire d'IMG selon terme et doses reçues — la mitomycine est un alkylant bifonctionnel puissant, tératogène, et le risque fœtal est élevé (malformations majeures, avortement spontané).</w:t>
      </w:r>
    </w:p>
    <w:p>
      <w:pPr>
        <w:pStyle w:val="ListBullet"/>
      </w:pPr>
      <w:r/>
      <w:r>
        <w:rPr>
          <w:b/>
        </w:rPr>
        <w:t>Allaitement</w:t>
      </w:r>
      <w:r>
        <w:t xml:space="preserve"> : </w:t>
      </w:r>
      <w:r>
        <w:rPr>
          <w:b/>
        </w:rPr>
        <w:t>contre-indiqué</w:t>
      </w:r>
      <w:r>
        <w:t xml:space="preserve"> (passe dans le lait, cytotoxique pour le nourrisson).</w:t>
      </w:r>
    </w:p>
    <w:p>
      <w:pPr>
        <w:pStyle w:val="ListBullet"/>
      </w:pPr>
      <w:r/>
      <w:r>
        <w:rPr>
          <w:b/>
        </w:rPr>
        <w:t>Posologie</w:t>
      </w:r>
      <w:r>
        <w:t xml:space="preserve"> :</w:t>
      </w:r>
    </w:p>
    <w:p>
      <w:pPr>
        <w:pStyle w:val="ListBullet"/>
      </w:pPr>
      <w:r/>
      <w:r>
        <w:rPr>
          <w:b/>
        </w:rPr>
        <w:t>Cancer de l'estomac (FAMTX/FMC)</w:t>
      </w:r>
      <w:r>
        <w:t xml:space="preserve"> : 10-15 mg/m² IV bolus J1, toutes les 4-6 semaines, en association avec 5-FU + doxorubicine ou 5-FU + cisplatine. Dose cumulée max 60 mg/m².</w:t>
      </w:r>
    </w:p>
    <w:p>
      <w:pPr>
        <w:pStyle w:val="ListBullet"/>
      </w:pPr>
      <w:r/>
      <w:r>
        <w:rPr>
          <w:b/>
        </w:rPr>
        <w:t>Cancer du sein métastatique</w:t>
      </w:r>
      <w:r>
        <w:t xml:space="preserve"> : 10-15 mg/m² IV J1, toutes les 6 semaines.</w:t>
      </w:r>
    </w:p>
    <w:p>
      <w:pPr>
        <w:pStyle w:val="ListBullet"/>
      </w:pPr>
      <w:r/>
      <w:r>
        <w:rPr>
          <w:b/>
        </w:rPr>
        <w:t>Cancer du pancréas, du côlon</w:t>
      </w:r>
      <w:r>
        <w:t xml:space="preserve"> : 10-15 mg/m² IV J1, toutes les 6-8 semaines.</w:t>
      </w:r>
    </w:p>
    <w:p>
      <w:pPr>
        <w:pStyle w:val="ListBullet"/>
      </w:pPr>
      <w:r/>
      <w:r>
        <w:rPr>
          <w:b/>
        </w:rPr>
        <w:t>Cancer de la vessie superficiel (instillation intra-vésicale)</w:t>
      </w:r>
      <w:r>
        <w:t xml:space="preserve"> : 20-40 mg dans 20-40 mL d'eau distillée ou NaCl 0,9 %, à conserver 1-2 h en intravésical (rotation du patient toutes les 15 min), hebdomadaire pendant 6-8 semaines (induction), puis mensuelle d'entretien pendant 1-3 ans (protocole de Lamm modifié).</w:t>
      </w:r>
    </w:p>
    <w:p>
      <w:pPr>
        <w:pStyle w:val="ListBullet"/>
      </w:pPr>
      <w:r/>
      <w:r>
        <w:rPr>
          <w:b/>
        </w:rPr>
        <w:t>Glaucome réfractaire (ophtalmologie peropératoire)</w:t>
      </w:r>
      <w:r>
        <w:t xml:space="preserve"> : mitomycine C 0,2-0,5 mg/mL en application peropératoire sur le site de trabéculectomie pendant 1-3 min, suivie d'un rinçage abondant au BSS.</w:t>
      </w:r>
    </w:p>
    <w:p>
      <w:pPr>
        <w:pStyle w:val="ListBullet"/>
      </w:pPr>
      <w:r/>
      <w:r>
        <w:rPr>
          <w:b/>
        </w:rPr>
        <w:t>Ptérygion récidivant</w:t>
      </w:r>
      <w:r>
        <w:t xml:space="preserve"> : collyre 0,02-0,04 %, 2-4 gouttes 2 à 4 fois/j pendant 5-10 jours post-opératoires.</w:t>
      </w:r>
    </w:p>
    <w:p>
      <w:pPr>
        <w:pStyle w:val="ListBullet"/>
      </w:pPr>
      <w:r/>
      <w:r>
        <w:rPr>
          <w:b/>
        </w:rPr>
        <w:t>Chéloïdes</w:t>
      </w:r>
      <w:r>
        <w:t xml:space="preserve"> : 0,1-0,5 mg/mL intra-lésionnelle (rare).</w:t>
      </w:r>
    </w:p>
    <w:p>
      <w:pPr>
        <w:pStyle w:val="ListBullet"/>
      </w:pPr>
      <w:r/>
      <w:r>
        <w:rPr>
          <w:b/>
        </w:rPr>
        <w:t>Adaptation hépatique</w:t>
      </w:r>
      <w:r>
        <w:t xml:space="preserve"> : bilirubine 1,5-3 mg/dL → réduire 50 % ; &gt; 3 → contre-indication.</w:t>
      </w:r>
    </w:p>
    <w:p>
      <w:pPr>
        <w:pStyle w:val="ListBullet"/>
      </w:pPr>
      <w:r/>
      <w:r>
        <w:rPr>
          <w:b/>
        </w:rPr>
        <w:t>Adaptation rénale</w:t>
      </w:r>
      <w:r>
        <w:t xml:space="preserve"> : ClCr 30-60 mL/min → réduire 25 % ; &lt; 30 → contre-indication relative (sauf instillation intra-vésicale qui ne passe pas systémiquement).</w:t>
      </w:r>
    </w:p>
    <w:p>
      <w:pPr>
        <w:pStyle w:val="ListBullet"/>
      </w:pPr>
      <w:r/>
      <w:r>
        <w:rPr>
          <w:b/>
        </w:rPr>
        <w:t>Adaptation hématologique</w:t>
      </w:r>
      <w:r>
        <w:t xml:space="preserve"> : si plaquettes &lt; 100 G/L à J28 → retarder cure d'1 semaine (la récupération est lente, parfois 8-12 semaines).</w:t>
      </w:r>
    </w:p>
    <w:p>
      <w:pPr>
        <w:pStyle w:val="ListBullet"/>
      </w:pPr>
      <w:r/>
      <w:r>
        <w:rPr>
          <w:b/>
        </w:rPr>
        <w:t>Formes galéniques</w:t>
      </w:r>
      <w:r>
        <w:t xml:space="preserve"> :</w:t>
      </w:r>
    </w:p>
    <w:p>
      <w:pPr>
        <w:pStyle w:val="ListBullet"/>
      </w:pPr>
      <w:r/>
      <w:r>
        <w:rPr>
          <w:b/>
        </w:rPr>
        <w:t>Poudre parentérale 10 mg</w:t>
      </w:r>
      <w:r>
        <w:t xml:space="preserve"> (AMETYCINE Sanofi-Synthélabo — forme </w:t>
      </w:r>
      <w:r>
        <w:rPr>
          <w:b/>
        </w:rPr>
        <w:t>retirée</w:t>
      </w:r>
      <w:r>
        <w:t xml:space="preserve"> en Algérie) : reconstitution avec 5 mL de NaCl 0,9 % ou eau pour préparation injectable (concentration 2 mg/mL). Administration IV (bolus ou perfusion courte), intra-artérielle, intra-vésicale, topique ophtalmologique. Conservation &lt; 25 °C, à l'abri de la lumière. Solution reconstituée stable 24 h à température ambiante (à utiliser immédiatement).</w:t>
      </w:r>
    </w:p>
    <w:p>
      <w:pPr>
        <w:pStyle w:val="ListBullet"/>
      </w:pPr>
      <w:r/>
      <w:r>
        <w:rPr>
          <w:b/>
        </w:rPr>
        <w:t>Lyophilisat pour solution injectable 10 mg</w:t>
      </w:r>
      <w:r>
        <w:t xml:space="preserve"> (MITOLEM Lemery — forme </w:t>
      </w:r>
      <w:r>
        <w:rPr>
          <w:b/>
        </w:rPr>
        <w:t>retirée</w:t>
      </w:r>
      <w:r>
        <w:t xml:space="preserve"> en Algérie) : ancienne forme alternative.</w:t>
      </w:r>
    </w:p>
    <w:p>
      <w:pPr>
        <w:pStyle w:val="ListBullet"/>
      </w:pPr>
      <w:r/>
      <w:r>
        <w:rPr>
          <w:b/>
        </w:rPr>
        <w:t>Usage intra-vésical</w:t>
      </w:r>
      <w:r>
        <w:t xml:space="preserve"> : diluer 20-40 mg dans 20-40 mL d'eau distillée ou NaCl 0,9 % (sans conservateur). La solution doit être préparée extemporanément.</w:t>
      </w:r>
    </w:p>
    <w:p>
      <w:pPr>
        <w:pStyle w:val="ListBullet"/>
      </w:pPr>
      <w:r/>
      <w:r>
        <w:rPr>
          <w:b/>
        </w:rPr>
        <w:t>Usage ophtalmologique peropératoire</w:t>
      </w:r>
      <w:r>
        <w:t xml:space="preserve"> : diluer 0,2-0,5 mg/mL en solution stérile (préparation hospitalière en pharmacie).</w:t>
      </w:r>
    </w:p>
    <w:p>
      <w:pPr>
        <w:pStyle w:val="ListBullet"/>
      </w:pPr>
      <w:r/>
      <w:r>
        <w:rPr>
          <w:b/>
        </w:rPr>
        <w:t>Collyre post-opératoire ptérygion</w:t>
      </w:r>
      <w:r>
        <w:t xml:space="preserve"> : préparation magistrale 0,02-0,04 % (à manipuler avec précautions cytotoxiques).</w:t>
      </w:r>
    </w:p>
    <w:p>
      <w:pPr>
        <w:pStyle w:val="ListBullet"/>
      </w:pPr>
      <w:r/>
      <w:r>
        <w:rPr>
          <w:b/>
        </w:rPr>
        <w:t>Précautions cytotoxiques</w:t>
      </w:r>
      <w:r>
        <w:t xml:space="preserve"> standard strictes — la mitomycine est un </w:t>
      </w:r>
      <w:r>
        <w:rPr>
          <w:b/>
        </w:rPr>
        <w:t>vésicant majeur</w:t>
      </w:r>
      <w:r>
        <w:t xml:space="preserve"> : manipulation en flux laminaire ou PSM, gants nitrile double épaisseur, masque FFP2, lunettes de protection, blouse chimiothérapie norme EN 13034. En cas d'extravasation : arrêter immédiatement, aspiration par le cathéter, cold-packs, </w:t>
      </w:r>
      <w:r>
        <w:rPr>
          <w:b/>
        </w:rPr>
        <w:t>sodium thiosulfate 1/6 M (4 mL) intra-lésionnel</w:t>
      </w:r>
      <w:r>
        <w:t>, surveillance prolongée (lésions retardées jusqu'à 2-4 semaines).</w:t>
      </w:r>
    </w:p>
    <w:p>
      <w:pPr>
        <w:pStyle w:val="ListBullet"/>
      </w:pPr>
      <w:r/>
      <w:r>
        <w:rPr>
          <w:b/>
        </w:rPr>
        <w:t>Conservation</w:t>
      </w:r>
      <w:r>
        <w:t xml:space="preserve"> : flacons de poudre à &lt; 25 °C (ne pas congeler), à l'abri de la lumière. Solutions diluées à utiliser immédiatement (stabilité 24 h à température ambiante).</w:t>
      </w:r>
    </w:p>
    <w:p>
      <w:pPr>
        <w:pStyle w:val="ListBullet"/>
      </w:pPr>
      <w:r/>
      <w:r>
        <w:rPr>
          <w:b/>
        </w:rPr>
        <w:t>Problème algérien majeur</w:t>
      </w:r>
      <w:r>
        <w:t xml:space="preserve"> : les deux formes historiques (AMETYCINE et MITOLEM) sont </w:t>
      </w:r>
      <w:r>
        <w:rPr>
          <w:b/>
        </w:rPr>
        <w:t>retirées</w:t>
      </w:r>
      <w:r>
        <w:t xml:space="preserve"> — situation préoccupante pour les patients atteints de cancer de la vessie superficiel (indisponibilité de l'alternative thérapeutique au BCG) et de cancer de l'estomac. Nécessité d'autorisation d'importation ponctuelle ou de switch thérapeutique vers d'autres cytotoxiques.</w:t>
      </w:r>
    </w:p>
    <w:p>
      <w:pPr>
        <w:pStyle w:val="ListBullet"/>
      </w:pPr>
      <w:r/>
      <w:r>
        <w:rPr>
          <w:b/>
        </w:rPr>
        <w:t>Conseils aux patients</w:t>
      </w:r>
      <w:r>
        <w:t xml:space="preserve"> :</w:t>
      </w:r>
    </w:p>
    <w:p>
      <w:pPr>
        <w:pStyle w:val="ListBullet"/>
      </w:pPr>
      <w:r/>
      <w:r>
        <w:rPr>
          <w:b/>
        </w:rPr>
        <w:t>Communication au comptoir</w:t>
      </w:r>
      <w:r>
        <w:t xml:space="preserve"> : « Voici votre mitomycine C (perfusable à l'hôpital). Elle sera administrée par voie IV. </w:t>
      </w:r>
      <w:r>
        <w:rPr>
          <w:b/>
        </w:rPr>
        <w:t>Risque majeur de toxicité hématologique retardée</w:t>
      </w:r>
      <w:r>
        <w:t xml:space="preserve"> : la baisse des plaquettes et des globules blancs survient tardivement (3 à 5 semaines après la perfusion) et peut durer plusieurs semaines — surveillance NFS hebdomadaire obligatoire pendant 8 semaines. </w:t>
      </w:r>
      <w:r>
        <w:rPr>
          <w:b/>
        </w:rPr>
        <w:t>Risque de syndrome hémolytique et urémique (SHU)</w:t>
      </w:r>
      <w:r>
        <w:t xml:space="preserve"> : en cas de fatigue intense, pâleur, jaunisse, urines foncées, œdèmes, consultez en urgence. </w:t>
      </w:r>
      <w:r>
        <w:rPr>
          <w:b/>
        </w:rPr>
        <w:t>Extravasation</w:t>
      </w:r>
      <w:r>
        <w:t xml:space="preserve"> : en cas de douleur ou rougeur au site de perfusion, prévenez immédiatement l'infirmière. Si vous devez être opéré (chirurgie), prévenez l'anesthésiste. Pour les instillations intra-vésicales (cancer de la vessie) : ne pas uriner pendant 1 à 2 heures après l'instillation, boire abondamment ensuite. »</w:t>
      </w:r>
    </w:p>
    <w:p>
      <w:pPr>
        <w:pStyle w:val="ListBullet"/>
      </w:pPr>
      <w:r/>
      <w:r>
        <w:rPr>
          <w:b/>
        </w:rPr>
        <w:t>Mode d'utilisation</w:t>
      </w:r>
      <w:r>
        <w:t xml:space="preserve"> : perfusion IV à l'hôpital, bolus ou perfusion courte. Instillation intra-vésicale en hospitalisation ambulatoire.</w:t>
      </w:r>
    </w:p>
    <w:p>
      <w:pPr>
        <w:pStyle w:val="ListBullet"/>
      </w:pPr>
      <w:r/>
      <w:r>
        <w:rPr>
          <w:b/>
        </w:rPr>
        <w:t>Surveillance</w:t>
      </w:r>
      <w:r>
        <w:t xml:space="preserve"> : NFS-plaquettes hebdomadaire pendant 8 semaines après chaque cure, créatininémie, haptoglobine, schizocytes avant chaque cure (dépistage du SHU).</w:t>
      </w:r>
    </w:p>
    <w:p>
      <w:pPr>
        <w:pStyle w:val="ListBullet"/>
      </w:pPr>
      <w:r/>
      <w:r>
        <w:rPr>
          <w:b/>
        </w:rPr>
        <w:t>Hydratation</w:t>
      </w:r>
      <w:r>
        <w:t xml:space="preserve"> : 1,5-2 L/j per os pendant et après traitement (instillation intra-vésicale).</w:t>
      </w:r>
    </w:p>
    <w:p>
      <w:pPr>
        <w:pStyle w:val="ListBullet"/>
      </w:pPr>
      <w:r/>
      <w:r>
        <w:rPr>
          <w:b/>
        </w:rPr>
        <w:t>Antiemetic prophylaxie</w:t>
      </w:r>
      <w:r>
        <w:t xml:space="preserve"> : antagoniste 5-HT3 + dexaméthasone.</w:t>
      </w:r>
    </w:p>
    <w:p>
      <w:pPr>
        <w:pStyle w:val="ListBullet"/>
      </w:pPr>
      <w:r/>
      <w:r>
        <w:rPr>
          <w:b/>
        </w:rPr>
        <w:t>Contraception</w:t>
      </w:r>
      <w:r>
        <w:t xml:space="preserve"> : obligatoire pendant et 6 mois après (femme et homme).</w:t>
      </w:r>
    </w:p>
    <w:p>
      <w:pPr>
        <w:pStyle w:val="ListBullet"/>
      </w:pPr>
      <w:r/>
      <w:r>
        <w:rPr>
          <w:b/>
        </w:rPr>
        <w:t>Vaccins</w:t>
      </w:r>
      <w:r>
        <w:t xml:space="preserve"> : éviter vaccins vivants atténués pendant et 6 mois après.</w:t>
      </w:r>
    </w:p>
    <w:p>
      <w:pPr>
        <w:pStyle w:val="ListBullet"/>
      </w:pPr>
      <w:r/>
      <w:r>
        <w:rPr>
          <w:b/>
        </w:rPr>
        <w:t>Signes d'alerte</w:t>
      </w:r>
      <w:r>
        <w:t xml:space="preserve"> : fièvre &gt; 38,5 °C, saignement (gingival, nasal, cutané, urinaire), fatigue intense, pâleur, jaunisse, urines foncées, œdèmes → consultation urgente.</w:t>
      </w:r>
    </w:p>
    <w:p>
      <w:pPr>
        <w:pStyle w:val="ListBullet"/>
      </w:pPr>
      <w:r/>
      <w:r>
        <w:rPr>
          <w:b/>
        </w:rPr>
        <w:t>Pièges classiques</w:t>
      </w:r>
      <w:r>
        <w:t xml:space="preserve"> :</w:t>
      </w:r>
    </w:p>
    <w:p>
      <w:pPr>
        <w:pStyle w:val="ListBullet"/>
      </w:pPr>
      <w:r/>
      <w:r>
        <w:rPr>
          <w:b/>
        </w:rPr>
        <w:t>Piège de la toxicité hématologique retardée</w:t>
      </w:r>
      <w:r>
        <w:t xml:space="preserve"> : nadir à J28-J35 (et non J7-J14 comme la plupart des cytotoxiques) — surveillance NFS hebdomadaire pendant 8 semaines, à ne pas interrompre après la sortie d'hospitalisation.</w:t>
      </w:r>
    </w:p>
    <w:p>
      <w:pPr>
        <w:pStyle w:val="ListBullet"/>
      </w:pPr>
      <w:r/>
      <w:r>
        <w:rPr>
          <w:b/>
        </w:rPr>
        <w:t>Piège de la dose cumulée</w:t>
      </w:r>
      <w:r>
        <w:t xml:space="preserve"> : 60 mg/m² à ne pas dépasser — toxicité cumulative (SHU, pneumopathie).</w:t>
      </w:r>
    </w:p>
    <w:p>
      <w:pPr>
        <w:pStyle w:val="ListBullet"/>
      </w:pPr>
      <w:r/>
      <w:r>
        <w:rPr>
          <w:b/>
        </w:rPr>
        <w:t>Piège de l'extravasation</w:t>
      </w:r>
      <w:r>
        <w:t xml:space="preserve"> : vésicant majeur — voie veineuse centrale préférentielle, sodium thiosulfate intra-lésionnel en cas d'extravasation.</w:t>
      </w:r>
    </w:p>
    <w:p>
      <w:pPr>
        <w:pStyle w:val="ListBullet"/>
      </w:pPr>
      <w:r/>
      <w:r>
        <w:rPr>
          <w:b/>
        </w:rPr>
        <w:t>Piège du SHU</w:t>
      </w:r>
      <w:r>
        <w:t xml:space="preserve"> : dépistage par schizocytes + haptoglobine + créatinine avant chaque cure — syndrome hémolytique et urémique potentiellement létal.</w:t>
      </w:r>
    </w:p>
    <w:p>
      <w:pPr>
        <w:pStyle w:val="ListBullet"/>
      </w:pPr>
      <w:r/>
      <w:r>
        <w:rPr>
          <w:b/>
        </w:rPr>
        <w:t>Piège de l'interaction avec les vinca-alcaloïdes</w:t>
      </w:r>
      <w:r>
        <w:t xml:space="preserve"> : bronchospasme aigu potentiellement létal — éviter ou surveiller étroitement.</w:t>
      </w:r>
    </w:p>
    <w:p>
      <w:pPr>
        <w:pStyle w:val="ListBullet"/>
      </w:pPr>
      <w:r/>
      <w:r>
        <w:rPr>
          <w:b/>
        </w:rPr>
        <w:t>Piège de l'instillation intra-vésicale</w:t>
      </w:r>
      <w:r>
        <w:t xml:space="preserve"> : hydratation préalable et alcalinisation des urines pour réduire la cystite chimique.</w:t>
      </w:r>
    </w:p>
    <w:p>
      <w:pPr>
        <w:pStyle w:val="ListBullet"/>
      </w:pPr>
      <w:r/>
      <w:r>
        <w:rPr>
          <w:b/>
        </w:rPr>
        <w:t>Piège de l'adaptation hépatique</w:t>
      </w:r>
      <w:r>
        <w:t xml:space="preserve"> : bilirubine &gt; 1,5 mg/dL → réduire 50 % ; &gt; 3 → contre-indication.</w:t>
      </w:r>
    </w:p>
    <w:p>
      <w:pPr>
        <w:pStyle w:val="ListBullet"/>
      </w:pPr>
      <w:r/>
      <w:r>
        <w:rPr>
          <w:b/>
        </w:rPr>
        <w:t>Piège de la voie intra-thécale</w:t>
      </w:r>
      <w:r>
        <w:t xml:space="preserve"> : strictement contre-indiquée (neurotoxicité létale).</w:t>
      </w:r>
    </w:p>
    <w:p>
      <w:pPr>
        <w:pStyle w:val="ListBullet"/>
      </w:pPr>
      <w:r/>
      <w:r>
        <w:rPr>
          <w:b/>
        </w:rPr>
        <w:t>Piège de la rupture de stock en Algérie</w:t>
      </w:r>
      <w:r>
        <w:t xml:space="preserve"> : AMETYCINE et MITOLEM retirées — situation préoccupante pour les patients vésicaux, nécessitant des autorisations d'importation.</w:t>
      </w:r>
    </w:p>
    <w:p>
      <w:pPr>
        <w:pStyle w:val="ListBullet"/>
      </w:pPr>
      <w:r/>
      <w:r>
        <w:rPr>
          <w:b/>
        </w:rPr>
        <w:t>Piège de la manipulation ophtalmologique</w:t>
      </w:r>
      <w:r>
        <w:t xml:space="preserve"> : préparation magistrale 0,02-0,04 % à manipuler avec précautions cytotoxiques strictes en pharmacie hospitalière.</w:t>
      </w:r>
    </w:p>
    <w:p>
      <w:pPr>
        <w:pStyle w:val="Heading3"/>
      </w:pPr>
      <w:r>
        <w:t>18. DCI : Dactinomycine (actinomycine D)</w:t>
      </w:r>
    </w:p>
    <w:p>
      <w:pPr>
        <w:pStyle w:val="ListBullet"/>
      </w:pPr>
      <w:r/>
      <w:r>
        <w:rPr>
          <w:b/>
        </w:rPr>
        <w:t>Catégories</w:t>
      </w:r>
      <w:r>
        <w:t xml:space="preserve"> : Antibiotique antitumoral peptide chromophore intercalant ; inhibiteur de la transcription (ARN polymérase) ; immunosuppresseur ; cytotoxique cycle-non-spécifique ; classe ATC L01DA01.</w:t>
      </w:r>
    </w:p>
    <w:p>
      <w:pPr>
        <w:pStyle w:val="ListBullet"/>
      </w:pPr>
      <w:r/>
      <w:r>
        <w:rPr>
          <w:b/>
        </w:rPr>
        <w:t>Médicaments disponibles en Algérie</w:t>
      </w:r>
      <w:r>
        <w:t xml:space="preserv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AC-DE</w:t>
            </w:r>
          </w:p>
        </w:tc>
        <w:tc>
          <w:tcPr>
            <w:tcW w:type="dxa" w:w="1559"/>
          </w:tcPr>
          <w:p>
            <w:r>
              <w:rPr>
                <w:sz w:val="20"/>
              </w:rPr>
              <w:t>LEMERY</w:t>
            </w:r>
          </w:p>
        </w:tc>
        <w:tc>
          <w:tcPr>
            <w:tcW w:type="dxa" w:w="1559"/>
          </w:tcPr>
          <w:p>
            <w:r>
              <w:rPr>
                <w:sz w:val="20"/>
              </w:rPr>
              <w:t>Lyophilisat pour solution injectable, 0,5 mg</w:t>
            </w:r>
          </w:p>
        </w:tc>
        <w:tc>
          <w:tcPr>
            <w:tcW w:type="dxa" w:w="1559"/>
          </w:tcPr>
          <w:p>
            <w:r>
              <w:rPr>
                <w:sz w:val="20"/>
              </w:rPr>
              <w:t>B/1 flacon</w:t>
            </w:r>
          </w:p>
        </w:tc>
        <w:tc>
          <w:tcPr>
            <w:tcW w:type="dxa" w:w="1559"/>
          </w:tcPr>
          <w:p>
            <w:r>
              <w:rPr>
                <w:sz w:val="20"/>
              </w:rPr>
              <w:t>LISTE I</w:t>
            </w:r>
          </w:p>
        </w:tc>
        <w:tc>
          <w:tcPr>
            <w:tcW w:type="dxa" w:w="1559"/>
          </w:tcPr>
          <w:p>
            <w:r>
              <w:rPr>
                <w:sz w:val="20"/>
              </w:rPr>
              <w:t>RETRAIT (R)</w:t>
            </w:r>
          </w:p>
        </w:tc>
      </w:tr>
    </w:tbl>
    <w:p/>
    <w:p>
      <w:pPr>
        <w:pStyle w:val="ListBullet"/>
      </w:pPr>
      <w:r/>
      <w:r>
        <w:rPr>
          <w:b/>
        </w:rPr>
        <w:t>Mécanisme d'action</w:t>
      </w:r>
      <w:r>
        <w:t xml:space="preserve"> : la dactinomycine (actinomycine D) est le </w:t>
      </w:r>
      <w:r>
        <w:rPr>
          <w:b/>
        </w:rPr>
        <w:t>premier antibiotique antitumoral</w:t>
      </w:r>
      <w:r>
        <w:t xml:space="preserve"> historique, isolé en 1940 par Waksman et Woodruff à partir de cultures de *Streptomyces parvulus* (et *Streptomyces antibioticus*). Sa structure associe un </w:t>
      </w:r>
      <w:r>
        <w:rPr>
          <w:b/>
        </w:rPr>
        <w:t>chromophore plan phénoxazinone</w:t>
      </w:r>
      <w:r>
        <w:t xml:space="preserve"> (responsable de la couleur rouge-orangé caractéristique et de l'intercalation de l'ADN) et </w:t>
      </w:r>
      <w:r>
        <w:rPr>
          <w:b/>
        </w:rPr>
        <w:t>deux chaînes peptidiques cycliques</w:t>
      </w:r>
      <w:r>
        <w:t xml:space="preserve"> (lactones cycliques pentapeptidiques) qui s'insèrent dans le petit sillon de l'ADN double brin. Le mécanisme d'action, élucidé par Müller et Crothers (1968), repose sur : (1) </w:t>
      </w:r>
      <w:r>
        <w:rPr>
          <w:b/>
        </w:rPr>
        <w:t>intercalation forte et planaire</w:t>
      </w:r>
      <w:r>
        <w:t xml:space="preserve"> du chromophore phénoxazinone entre les paires de bases adjacentes de l'ADN double brin, préférentiellement au niveau des séquences riches en GC (5'-GC-3' et 5'-GpC-3') ; (2) </w:t>
      </w:r>
      <w:r>
        <w:rPr>
          <w:b/>
        </w:rPr>
        <w:t>fixation des deux chaînes peptidiques</w:t>
      </w:r>
      <w:r>
        <w:t xml:space="preserve"> dans le petit sillon de l'ADN, stabilisant fortement le complexe ADN-dactinomycine (constante de dissociation ≈ 10⁻⁷ M, soit l'une des plus fortes liaisons médicament-ADN) ; (3) </w:t>
      </w:r>
      <w:r>
        <w:rPr>
          <w:b/>
        </w:rPr>
        <w:t>inhibition de l'ARN polymérase ADN-dépendante</w:t>
      </w:r>
      <w:r>
        <w:t xml:space="preserve"> — la dactinomycine bloque l'élongation de l'ARN messager en se fixant sur les sites d'initiation de la transcription, préférentiellement au niveau des promoteurs riches en GC ; (4) </w:t>
      </w:r>
      <w:r>
        <w:rPr>
          <w:b/>
        </w:rPr>
        <w:t>inhibition mineure de l'ADN polymérase</w:t>
      </w:r>
      <w:r>
        <w:t xml:space="preserve"> et </w:t>
      </w:r>
      <w:r>
        <w:rPr>
          <w:b/>
        </w:rPr>
        <w:t>inhibition de la topo-isomérase II</w:t>
      </w:r>
      <w:r>
        <w:t xml:space="preserve"> (à forte dose). L'effet cytotoxique net est une inhibition rapide et quasi-totale de la transcription (ARNm, ARNr, ARNt), conduisant à l'arrêt de la synthèse des protéines et à la mort cellulaire par apoptose (activation des caspases via p53). La dactinomycine est </w:t>
      </w:r>
      <w:r>
        <w:rPr>
          <w:b/>
        </w:rPr>
        <w:t>cycle-non-spécifique</w:t>
      </w:r>
      <w:r>
        <w:t xml:space="preserve"> (agit en toutes phases du cycle cellulaire, y compris G0), mais est plus toxique pour les cellules en phase S/G2. Elle est également un </w:t>
      </w:r>
      <w:r>
        <w:rPr>
          <w:b/>
        </w:rPr>
        <w:t>immunosuppresseur puissant</w:t>
      </w:r>
      <w:r>
        <w:t>, inhibant la prolifération lymphocytaire T et B (à l'origine de son utilisation historique dans le greffon contre l'hôte [GVHD] et dans la maladie du greffon contre l'hôte). La résistance est conférée par : (a) amplification de la P-gp (MDR1 / ABCB1) — la dactinomycine est un substrat majeur de la P-gp ; (b) mutation/diminution de la topo-isomérase II ; (c) augmentation de la réparation par excision de nucléotides (NER).</w:t>
      </w:r>
    </w:p>
    <w:p>
      <w:pPr>
        <w:pStyle w:val="ListBullet"/>
      </w:pPr>
      <w:r/>
      <w:r>
        <w:rPr>
          <w:b/>
        </w:rPr>
        <w:t>Profil pharmacocinétique</w:t>
      </w:r>
      <w:r>
        <w:t xml:space="preserve"> : administration IV stricte (bolus de 2-5 min ou perfusion courte de 10-15 min dans 50-100 mL NaCl 0,9 %). Distribution initiale plasmatique très rapide (Vd ≈ 0,5-1 L/kg), suivie d'une diffusion tissulaire large (concentration élevée dans les lymphomes, les tumeurs germinales, les reins, le foie, la moelle osseuse). </w:t>
      </w:r>
      <w:r>
        <w:rPr>
          <w:b/>
        </w:rPr>
        <w:t>Absence de passage méningé</w:t>
      </w:r>
      <w:r>
        <w:t xml:space="preserve"> significatif. Liaison aux protéines plasmatiques modérée (10-25 %). Métabolisme hépatique mineur (hydroxylation, glucuronoconjugaison). Demi-vie d'élimination biphasique : t1/2α = 5-10 min, t1/2β = 36 h (très prolongée — accumulation tissulaire). Élimination principalement </w:t>
      </w:r>
      <w:r>
        <w:rPr>
          <w:b/>
        </w:rPr>
        <w:t>biliaire</w:t>
      </w:r>
      <w:r>
        <w:t xml:space="preserve"> (50-70 %) et </w:t>
      </w:r>
      <w:r>
        <w:rPr>
          <w:b/>
        </w:rPr>
        <w:t>urinaire</w:t>
      </w:r>
      <w:r>
        <w:t xml:space="preserve"> (20-30 %). Insuffisance hépatique (bilirubine &gt; 1,5 mg/dL) : réduire 25-50 % ; bilirubine &gt; 3 → contre-indication. Insuffisance rénale (ClCr &lt; 30 mL/min) : pas d'adaptation systématique mais prudence. </w:t>
      </w:r>
      <w:r>
        <w:rPr>
          <w:b/>
        </w:rPr>
        <w:t>Particularité</w:t>
      </w:r>
      <w:r>
        <w:t xml:space="preserve"> : la dactinomycine est un </w:t>
      </w:r>
      <w:r>
        <w:rPr>
          <w:b/>
        </w:rPr>
        <w:t>vésicant majeur</w:t>
      </w:r>
      <w:r>
        <w:t xml:space="preserve"> (toxicité locale sévère en cas d'extravasation — nécrose tissulaire profonde, ulcérations chroniques).</w:t>
      </w:r>
    </w:p>
    <w:p>
      <w:pPr>
        <w:pStyle w:val="ListBullet"/>
      </w:pPr>
      <w:r/>
      <w:r>
        <w:rPr>
          <w:b/>
        </w:rPr>
        <w:t>Indications</w:t>
      </w:r>
      <w:r>
        <w:t xml:space="preserve"> :</w:t>
      </w:r>
    </w:p>
    <w:p>
      <w:pPr>
        <w:pStyle w:val="ListBullet"/>
      </w:pPr>
      <w:r/>
      <w:r>
        <w:rPr>
          <w:b/>
        </w:rPr>
        <w:t>Tumeur de Wilms</w:t>
      </w:r>
      <w:r>
        <w:t xml:space="preserve"> (néphroblastome) de l'enfant : protocole SIOP-RTWS (Société Internationale d'Oncologie Pédiatrique) ou NWTS (National Wilms Tumor Study) — dactinomycine en association avec vincristine (et doxorubicine dans les formes à haut risque). Cures hebdomadaires pendant 6-9 mois selon le stade et la histologie. Indication de référence historique.</w:t>
      </w:r>
    </w:p>
    <w:p>
      <w:pPr>
        <w:pStyle w:val="ListBullet"/>
      </w:pPr>
      <w:r/>
      <w:r>
        <w:rPr>
          <w:b/>
        </w:rPr>
        <w:t>Rhabdomyosarcome</w:t>
      </w:r>
      <w:r>
        <w:t xml:space="preserve"> de l'enfant et de l'adulte jeune : protocole RMS-2005 (ou EpSSG) — dactinomycine en association avec vincristine et cyclophosphamide (protocole VAC) ou ifosfamide (protocole VAI), en cures toutes les 3 semaines pendant 6-12 mois.</w:t>
      </w:r>
    </w:p>
    <w:p>
      <w:pPr>
        <w:pStyle w:val="ListBullet"/>
      </w:pPr>
      <w:r/>
      <w:r>
        <w:rPr>
          <w:b/>
        </w:rPr>
        <w:t>Sarcome d'Ewing</w:t>
      </w:r>
      <w:r>
        <w:t xml:space="preserve"> : protocole Euro-E.W.I.N.G. — dactinomycine en association avec vincristine, doxorubicine, cyclophosphamide, ifosfamide, étoposide (protocole VIDE puis VAI puis VAC).</w:t>
      </w:r>
    </w:p>
    <w:p>
      <w:pPr>
        <w:pStyle w:val="ListBullet"/>
      </w:pPr>
      <w:r/>
      <w:r>
        <w:rPr>
          <w:b/>
        </w:rPr>
        <w:t>Tumeurs germinales pédiatriques</w:t>
      </w:r>
      <w:r>
        <w:t xml:space="preserve"> (testiculaires, ovariennes, sacrococcygiennes) : protocoles TGM (germ cell tumor) — dactinomycine en alternative à la bléomycine chez l'enfant (moindre toxicité pulmonaire).</w:t>
      </w:r>
    </w:p>
    <w:p>
      <w:pPr>
        <w:pStyle w:val="ListBullet"/>
      </w:pPr>
      <w:r/>
      <w:r>
        <w:rPr>
          <w:b/>
        </w:rPr>
        <w:t>Choriocarcinome</w:t>
      </w:r>
      <w:r>
        <w:t xml:space="preserve"> placentaire résistant au méthotrexate : en 2ème ligne, en association avec méthotrexate, vincristine, cyclophosphamide.</w:t>
      </w:r>
    </w:p>
    <w:p>
      <w:pPr>
        <w:pStyle w:val="ListBullet"/>
      </w:pPr>
      <w:r/>
      <w:r>
        <w:rPr>
          <w:b/>
        </w:rPr>
        <w:t>Maladie trophoblastique gestationnelle</w:t>
      </w:r>
      <w:r>
        <w:t xml:space="preserve"> à risque intermédiaire ou élevé : dactinomycine en monothérapie (actinomycine D 0,5 mg IV J1-J5, toutes les 2 semaines — alternative au méthotrexate en cas de résistance).</w:t>
      </w:r>
    </w:p>
    <w:p>
      <w:pPr>
        <w:pStyle w:val="ListBullet"/>
      </w:pPr>
      <w:r/>
      <w:r>
        <w:rPr>
          <w:b/>
        </w:rPr>
        <w:t>Sarcome utérin</w:t>
      </w:r>
      <w:r>
        <w:t xml:space="preserve"> (leiomyosarcome, endometrial stromal sarcoma) : en association avec doxorubicine, ifosfamide, dacarbazine.</w:t>
      </w:r>
    </w:p>
    <w:p>
      <w:pPr>
        <w:pStyle w:val="ListBullet"/>
      </w:pPr>
      <w:r/>
      <w:r>
        <w:rPr>
          <w:b/>
        </w:rPr>
        <w:t>Cancer testiculaire</w:t>
      </w:r>
      <w:r>
        <w:t xml:space="preserve"> réfractaire au protocole BEP : alternative en rattrapage (rarement utilisée actuellement).</w:t>
      </w:r>
    </w:p>
    <w:p>
      <w:pPr>
        <w:pStyle w:val="ListBullet"/>
      </w:pPr>
      <w:r/>
      <w:r>
        <w:rPr>
          <w:b/>
        </w:rPr>
        <w:t>Hors oncologie</w:t>
      </w:r>
      <w:r>
        <w:t xml:space="preserve"> : traitement de la </w:t>
      </w:r>
      <w:r>
        <w:rPr>
          <w:b/>
        </w:rPr>
        <w:t>maladie du greffon contre l'hôte (GVHD)</w:t>
      </w:r>
      <w:r>
        <w:t xml:space="preserve"> aiguë réfractaire aux corticoïdes (usage historique — aujourd'hui remplacé par le ruxolitinib).</w:t>
      </w:r>
    </w:p>
    <w:p>
      <w:pPr>
        <w:pStyle w:val="ListBullet"/>
      </w:pPr>
      <w:r/>
      <w:r>
        <w:rPr>
          <w:b/>
        </w:rPr>
        <w:t>Contre-indications</w:t>
      </w:r>
      <w:r>
        <w:t xml:space="preserve"> : (1) </w:t>
      </w:r>
      <w:r>
        <w:rPr>
          <w:b/>
        </w:rPr>
        <w:t>Aplasie médullaire préexistante</w:t>
      </w:r>
      <w:r>
        <w:t xml:space="preserve"> (PNN &lt; 1,5 G/L, plaquettes &lt; 100 G/L) ; (2) </w:t>
      </w:r>
      <w:r>
        <w:rPr>
          <w:b/>
        </w:rPr>
        <w:t>Infection sévère non contrôlée</w:t>
      </w:r>
      <w:r>
        <w:t xml:space="preserve"> ; (3) </w:t>
      </w:r>
      <w:r>
        <w:rPr>
          <w:b/>
        </w:rPr>
        <w:t>Patiente enceinte ou allaitant</w:t>
      </w:r>
      <w:r>
        <w:t xml:space="preserve"> ; (4) </w:t>
      </w:r>
      <w:r>
        <w:rPr>
          <w:b/>
        </w:rPr>
        <w:t>Insuffisance hépatique sévère</w:t>
      </w:r>
      <w:r>
        <w:t xml:space="preserve"> (bilirubine &gt; 3 mg/dL) ; (5) </w:t>
      </w:r>
      <w:r>
        <w:rPr>
          <w:b/>
        </w:rPr>
        <w:t>Varicelle en cours</w:t>
      </w:r>
      <w:r>
        <w:t xml:space="preserve"> ou exposition récente (risque de dissémination grave) ; (6) </w:t>
      </w:r>
      <w:r>
        <w:rPr>
          <w:b/>
        </w:rPr>
        <w:t>Zona disséminé</w:t>
      </w:r>
      <w:r>
        <w:t xml:space="preserve"> ; (7) </w:t>
      </w:r>
      <w:r>
        <w:rPr>
          <w:b/>
        </w:rPr>
        <w:t>Vaccination par vaccin vivant atténué</w:t>
      </w:r>
      <w:r>
        <w:t xml:space="preserve"> ; (8) </w:t>
      </w:r>
      <w:r>
        <w:rPr>
          <w:b/>
        </w:rPr>
        <w:t>Hypersensibilité à la dactinomycine</w:t>
      </w:r>
      <w:r>
        <w:t xml:space="preserve"> ; (9) </w:t>
      </w:r>
      <w:r>
        <w:rPr>
          <w:b/>
        </w:rPr>
        <w:t>Voie intra-thécale</w:t>
      </w:r>
      <w:r>
        <w:t xml:space="preserve"> strictement contre-indiquée (neurotoxicité létale) ; (10) </w:t>
      </w:r>
      <w:r>
        <w:rPr>
          <w:b/>
        </w:rPr>
        <w:t>Antécédent de radiothérapie hépatique</w:t>
      </w:r>
      <w:r>
        <w:t xml:space="preserve"> (risque de toxicité hépatique majeure).</w:t>
      </w:r>
    </w:p>
    <w:p>
      <w:pPr>
        <w:pStyle w:val="ListBullet"/>
      </w:pPr>
      <w:r/>
      <w:r>
        <w:rPr>
          <w:b/>
        </w:rPr>
        <w:t>Effets indésirables</w:t>
      </w:r>
      <w:r>
        <w:t xml:space="preserve"> :</w:t>
      </w:r>
    </w:p>
    <w:p>
      <w:pPr>
        <w:pStyle w:val="ListBullet"/>
      </w:pPr>
      <w:r/>
      <w:r>
        <w:rPr>
          <w:b/>
        </w:rPr>
        <w:t>Toxicité hématologique</w:t>
      </w:r>
      <w:r>
        <w:t xml:space="preserve"> (sévère, dose-limitante) : (a) </w:t>
      </w:r>
      <w:r>
        <w:rPr>
          <w:b/>
        </w:rPr>
        <w:t>leucopénie</w:t>
      </w:r>
      <w:r>
        <w:t xml:space="preserve"> (nadir J7-J14), neutropénie grade 3-4 fréquente (60-80 % des patients), risque de neutropénie fébrile — G-CSF (filgrastim) souvent nécessaire ; (b) </w:t>
      </w:r>
      <w:r>
        <w:rPr>
          <w:b/>
        </w:rPr>
        <w:t>thrombopénie</w:t>
      </w:r>
      <w:r>
        <w:t xml:space="preserve"> (nadir J10-J14, sévère &lt; 50 G/L), risque hémorragique ; (c) </w:t>
      </w:r>
      <w:r>
        <w:rPr>
          <w:b/>
        </w:rPr>
        <w:t>anémie</w:t>
      </w:r>
      <w:r>
        <w:t xml:space="preserve"> (plus tardive, nadir J14-J21). Récupération complète à J21-J28.</w:t>
      </w:r>
    </w:p>
    <w:p>
      <w:pPr>
        <w:pStyle w:val="ListBullet"/>
      </w:pPr>
      <w:r/>
      <w:r>
        <w:rPr>
          <w:b/>
        </w:rPr>
        <w:t>Toxicité digestive</w:t>
      </w:r>
      <w:r>
        <w:t xml:space="preserve"> (très fréquente, sévère) : (a) </w:t>
      </w:r>
      <w:r>
        <w:rPr>
          <w:b/>
        </w:rPr>
        <w:t>mucite sévère</w:t>
      </w:r>
      <w:r>
        <w:t xml:space="preserve"> (stomatite, œsophagite, entérite) à J3-J7 après perfusion — souvent grade 3, peut conduire à déshydratation, surinfection, nécessité de nutrition parentérale ; (b) </w:t>
      </w:r>
      <w:r>
        <w:rPr>
          <w:b/>
        </w:rPr>
        <w:t>nausées et vomissements sévères</w:t>
      </w:r>
      <w:r>
        <w:t xml:space="preserve"> (émétisants grade 3) dans les 2-4 h après perfusion — antiemetic prophylaxie obligatoire (antagoniste 5-HT3 + dexaméthasone + aprépitant) ; (c) </w:t>
      </w:r>
      <w:r>
        <w:rPr>
          <w:b/>
        </w:rPr>
        <w:t>diarrhée</w:t>
      </w:r>
      <w:r>
        <w:t xml:space="preserve"> sometimes sévère (risque de déshydratation).</w:t>
      </w:r>
    </w:p>
    <w:p>
      <w:pPr>
        <w:pStyle w:val="ListBullet"/>
      </w:pPr>
      <w:r/>
      <w:r>
        <w:rPr>
          <w:b/>
        </w:rPr>
        <w:t>Toxicité cutanée</w:t>
      </w:r>
      <w:r>
        <w:t xml:space="preserve"> : (a) </w:t>
      </w:r>
      <w:r>
        <w:rPr>
          <w:b/>
        </w:rPr>
        <w:t>alopécie</w:t>
      </w:r>
      <w:r>
        <w:t xml:space="preserve"> quasi-constante (90 % des patients), sévère (calvitie totale), réversible à l'arrêt (repousse en 3-6 mois) ; (b) </w:t>
      </w:r>
      <w:r>
        <w:rPr>
          <w:b/>
        </w:rPr>
        <w:t>rash maculo-papuleux</w:t>
      </w:r>
      <w:r>
        <w:t xml:space="preserve"> (50 %) ; (c) </w:t>
      </w:r>
      <w:r>
        <w:rPr>
          <w:b/>
        </w:rPr>
        <w:t>hyperpigmentation</w:t>
      </w:r>
      <w:r>
        <w:t xml:space="preserve"> cutanée (sillons, cicatrices) ; (d) </w:t>
      </w:r>
      <w:r>
        <w:rPr>
          <w:b/>
        </w:rPr>
        <w:t>acné</w:t>
      </w:r>
      <w:r>
        <w:t xml:space="preserve"> exacerbée ; (e) </w:t>
      </w:r>
      <w:r>
        <w:rPr>
          <w:b/>
        </w:rPr>
        <w:t>radiation recall</w:t>
      </w:r>
      <w:r>
        <w:t xml:space="preserve"> (réactivation des lésions d'une radiothérapie antérieure — spécifique de la dactinomycine) — important à connaître en oncologie pédiatrique (enfant déjà irradié).</w:t>
      </w:r>
    </w:p>
    <w:p>
      <w:pPr>
        <w:pStyle w:val="ListBullet"/>
      </w:pPr>
      <w:r/>
      <w:r>
        <w:rPr>
          <w:b/>
        </w:rPr>
        <w:t>Toxicité hépatique</w:t>
      </w:r>
      <w:r>
        <w:t xml:space="preserve"> (modérée à sévère) : cytolyse (ALAT/ASAT), cholestase, hépatotoxicité sévère en cas d'association avec radiothérapie hépatique ou autre hépatotoxique. Syndrome de VOD (veno-occlusive disease) en cas d'association avec busulfan ou radiothérapie corporelle totale (greffe de moelle).</w:t>
      </w:r>
    </w:p>
    <w:p>
      <w:pPr>
        <w:pStyle w:val="ListBullet"/>
      </w:pPr>
      <w:r/>
      <w:r>
        <w:rPr>
          <w:b/>
        </w:rPr>
        <w:t>Toxicité vésicante locale</w:t>
      </w:r>
      <w:r>
        <w:t xml:space="preserve"> (extravasation) : nécrose tissulaire profonde, ulcérations chroniques — voie veineuse centrale préférentielle. En cas d'extravasation : arrêt immédiat, aspiration, cold-packs, </w:t>
      </w:r>
      <w:r>
        <w:rPr>
          <w:b/>
        </w:rPr>
        <w:t>sodium thiosulfate 1/6 M intra-lésionnel</w:t>
      </w:r>
      <w:r>
        <w:t xml:space="preserve"> (efficacité partielle), surveillance prolongée.</w:t>
      </w:r>
    </w:p>
    <w:p>
      <w:pPr>
        <w:pStyle w:val="ListBullet"/>
      </w:pPr>
      <w:r/>
      <w:r>
        <w:rPr>
          <w:b/>
        </w:rPr>
        <w:t>Immunosuppression</w:t>
      </w:r>
      <w:r>
        <w:t xml:space="preserve"> : déplétion lymphocytaire T et B (à l'origine de l'utilisation historique dans la GVHD), infections opportunistes (pneumocystose, herpès/zona, CMV) — prophylaxie obligatoire.</w:t>
      </w:r>
    </w:p>
    <w:p>
      <w:pPr>
        <w:pStyle w:val="ListBullet"/>
      </w:pPr>
      <w:r/>
      <w:r>
        <w:rPr>
          <w:b/>
        </w:rPr>
        <w:t>Syndrome de lyse tumorale</w:t>
      </w:r>
      <w:r>
        <w:t xml:space="preserve"> : fréquent à l'initiation (surtout tumeur de Wilms volumineuse, rhabdomyosarcome) — prophylaxie par allopurinol + hyperhydratation + surveillance uriqueémie.</w:t>
      </w:r>
    </w:p>
    <w:p>
      <w:pPr>
        <w:pStyle w:val="ListBullet"/>
      </w:pPr>
      <w:r/>
      <w:r>
        <w:rPr>
          <w:b/>
        </w:rPr>
        <w:t>Cardiotoxicité</w:t>
      </w:r>
      <w:r>
        <w:t xml:space="preserve"> (rare, mais grave) : insuffisance cardiaque congestive par toxicité myocardique directe — surtout en cas d'association avec anthracyclines.</w:t>
      </w:r>
    </w:p>
    <w:p>
      <w:pPr>
        <w:pStyle w:val="ListBullet"/>
      </w:pPr>
      <w:r/>
      <w:r>
        <w:rPr>
          <w:b/>
        </w:rPr>
        <w:t>Leucémogénicité</w:t>
      </w:r>
      <w:r>
        <w:t xml:space="preserve"> (long terme) : risque de LAM secondaire avec anomalies du chromosome 11 (11q23) — surtout en pédiatrie et en cas d'association avec étoposide ou alkylants.</w:t>
      </w:r>
    </w:p>
    <w:p>
      <w:pPr>
        <w:pStyle w:val="ListBullet"/>
      </w:pPr>
      <w:r/>
      <w:r>
        <w:rPr>
          <w:b/>
        </w:rPr>
        <w:t>Toxicité gonadique</w:t>
      </w:r>
      <w:r>
        <w:t xml:space="preserve"> : aménorrhée transitoire ou définitive (surtout chez la femme &gt; 35 ans), oligospermie transitoire ou définitive chez l'homme.</w:t>
      </w:r>
    </w:p>
    <w:p>
      <w:pPr>
        <w:pStyle w:val="ListBullet"/>
      </w:pPr>
      <w:r/>
      <w:r>
        <w:rPr>
          <w:b/>
        </w:rPr>
        <w:t>Hypersensibilité</w:t>
      </w:r>
      <w:r>
        <w:t xml:space="preserve"> (rare) : choc anaphylactique, urticaire.</w:t>
      </w:r>
    </w:p>
    <w:p>
      <w:pPr>
        <w:pStyle w:val="ListBullet"/>
      </w:pPr>
      <w:r/>
      <w:r>
        <w:rPr>
          <w:b/>
        </w:rPr>
        <w:t>Mesures préventives</w:t>
      </w:r>
      <w:r>
        <w:t xml:space="preserve"> :</w:t>
      </w:r>
    </w:p>
    <w:p>
      <w:pPr>
        <w:pStyle w:val="ListBullet"/>
      </w:pPr>
      <w:r/>
      <w:r>
        <w:rPr>
          <w:b/>
        </w:rPr>
        <w:t>Bilan pré-thérapeutique</w:t>
      </w:r>
      <w:r>
        <w:t xml:space="preserve"> : NFS-plaquettes, créatininémie, ClCr, bilan hépatique (ALAT, ASAT, PAL, γGT, bilirubine), β-hCG chez la jeune fille en âge de procréer (tumeur trophoblastique), ECG, sérologies (VHB, VHC, VIH), EFR (référence), radiographie thoracique.</w:t>
      </w:r>
    </w:p>
    <w:p>
      <w:pPr>
        <w:pStyle w:val="ListBullet"/>
      </w:pPr>
      <w:r/>
      <w:r>
        <w:rPr>
          <w:b/>
        </w:rPr>
        <w:t>Surveillance NFS-plaquettes</w:t>
      </w:r>
      <w:r>
        <w:t xml:space="preserve"> : avant chaque cure et J7, J10, J14 (nadir), quotidienne en cas de neutropénie fébrile.</w:t>
      </w:r>
    </w:p>
    <w:p>
      <w:pPr>
        <w:pStyle w:val="ListBullet"/>
      </w:pPr>
      <w:r/>
      <w:r>
        <w:rPr>
          <w:b/>
        </w:rPr>
        <w:t>Surveillance hépatique</w:t>
      </w:r>
      <w:r>
        <w:t xml:space="preserve"> : bilan hépatique avant chaque cure, J7, J14.</w:t>
      </w:r>
    </w:p>
    <w:p>
      <w:pPr>
        <w:pStyle w:val="ListBullet"/>
      </w:pPr>
      <w:r/>
      <w:r>
        <w:rPr>
          <w:b/>
        </w:rPr>
        <w:t>Prophylaxie mucite</w:t>
      </w:r>
      <w:r>
        <w:t xml:space="preserve"> : cryothérapie orale (sucettes glacées) pendant la perfusion, bains de bouche bicarbonatés (1 cuillère à café de bicarbonate dans un verre d'eau) 4-6 fois/j à partir de J1.</w:t>
      </w:r>
    </w:p>
    <w:p>
      <w:pPr>
        <w:pStyle w:val="ListBullet"/>
      </w:pPr>
      <w:r/>
      <w:r>
        <w:rPr>
          <w:b/>
        </w:rPr>
        <w:t>Antiemetic prophylaxie renforcée</w:t>
      </w:r>
      <w:r>
        <w:t xml:space="preserve"> : antagoniste 5-HT3 (ondansétron 8 mg IV) + dexaméthasone 8 mg IV + aprépitant 125 mg per os J1, 80 mg J2-J3 (émétisants grade 3 — prophylaxie triple).</w:t>
      </w:r>
    </w:p>
    <w:p>
      <w:pPr>
        <w:pStyle w:val="ListBullet"/>
      </w:pPr>
      <w:r/>
      <w:r>
        <w:rPr>
          <w:b/>
        </w:rPr>
        <w:t>G-CSF</w:t>
      </w:r>
      <w:r>
        <w:t xml:space="preserve"> (filgrastim 5 µg/kg/j SC ou pegfilgrastim 6 mg SC J2) : prophylaxie systématique en cas d'antécédent de neutropénie fébrile, ou en protocole intensif.</w:t>
      </w:r>
    </w:p>
    <w:p>
      <w:pPr>
        <w:pStyle w:val="ListBullet"/>
      </w:pPr>
      <w:r/>
      <w:r>
        <w:rPr>
          <w:b/>
        </w:rPr>
        <w:t>Prophylaxie pneumocystose</w:t>
      </w:r>
      <w:r>
        <w:t xml:space="preserve"> : cotrimoxazole 400/80 mg per os 3x/sem pendant toute la durée du traitement et 6 mois après.</w:t>
      </w:r>
    </w:p>
    <w:p>
      <w:pPr>
        <w:pStyle w:val="ListBullet"/>
      </w:pPr>
      <w:r/>
      <w:r>
        <w:rPr>
          <w:b/>
        </w:rPr>
        <w:t>Prophylaxie herpétique</w:t>
      </w:r>
      <w:r>
        <w:t xml:space="preserve"> : valacyclovir 500 mg per os 1 à 2 fois/j en cas d'antécédent d'herpès.</w:t>
      </w:r>
    </w:p>
    <w:p>
      <w:pPr>
        <w:pStyle w:val="ListBullet"/>
      </w:pPr>
      <w:r/>
      <w:r>
        <w:rPr>
          <w:b/>
        </w:rPr>
        <w:t>Prévention extravasation</w:t>
      </w:r>
      <w:r>
        <w:t xml:space="preserve"> : </w:t>
      </w:r>
      <w:r>
        <w:rPr>
          <w:b/>
        </w:rPr>
        <w:t>voie veineuse centrale</w:t>
      </w:r>
      <w:r>
        <w:t xml:space="preserve"> (cathéter central ou chambre implantable) préférentielle ; en cas de voie périphérique, site veineux large, flux libre, surveillance prolongée 24 h après perfusion.</w:t>
      </w:r>
    </w:p>
    <w:p>
      <w:pPr>
        <w:pStyle w:val="ListBullet"/>
      </w:pPr>
      <w:r/>
      <w:r>
        <w:rPr>
          <w:b/>
        </w:rPr>
        <w:t>Prévention du syndrome de lyse</w:t>
      </w:r>
      <w:r>
        <w:t xml:space="preserve"> : allopurinol 100 mg/m²/8h per os J-1 à J+5 (ou rasburicase 0,2 mg/kg IV en cas de masse tumorale élevée), hyperhydratation alcaline (3 L/m²/j NaCl 0,9 % + 25 mEq/L NaHCO3) avant et pendant les 48 premières heures.</w:t>
      </w:r>
    </w:p>
    <w:p>
      <w:pPr>
        <w:pStyle w:val="ListBullet"/>
      </w:pPr>
      <w:r/>
      <w:r>
        <w:rPr>
          <w:b/>
        </w:rPr>
        <w:t>Contraception</w:t>
      </w:r>
      <w:r>
        <w:t xml:space="preserve"> : obligatoire pendant et 6 mois après (femme et homme).</w:t>
      </w:r>
    </w:p>
    <w:p>
      <w:pPr>
        <w:pStyle w:val="ListBullet"/>
      </w:pPr>
      <w:r/>
      <w:r>
        <w:rPr>
          <w:b/>
        </w:rPr>
        <w:t>Vaccins</w:t>
      </w:r>
      <w:r>
        <w:t xml:space="preserve"> : éviter vaccins vivants atténués pendant et 6 mois après. Vaccin anti-pneumococcique et anti-grippe recommandés avant traitement.</w:t>
      </w:r>
    </w:p>
    <w:p>
      <w:pPr>
        <w:pStyle w:val="ListBullet"/>
      </w:pPr>
      <w:r/>
      <w:r>
        <w:rPr>
          <w:b/>
        </w:rPr>
        <w:t>Prévention radiation recall</w:t>
      </w:r>
      <w:r>
        <w:t xml:space="preserve"> : éviter d'administrer la dactinomycine dans les 6 mois suivant une radiothérapie (surtout thoracique ou cutanée).</w:t>
      </w:r>
    </w:p>
    <w:p>
      <w:pPr>
        <w:pStyle w:val="ListBullet"/>
      </w:pPr>
      <w:r/>
      <w:r>
        <w:rPr>
          <w:b/>
        </w:rPr>
        <w:t>Interactions médicamenteuses</w:t>
      </w:r>
      <w:r>
        <w:t xml:space="preserve"> :</w:t>
      </w:r>
    </w:p>
    <w:p>
      <w:pPr>
        <w:pStyle w:val="ListBullet"/>
      </w:pPr>
      <w:r/>
      <w:r>
        <w:rPr>
          <w:b/>
        </w:rPr>
        <w:t>Dactinomycine + vaccins vivants atténués</w:t>
      </w:r>
      <w:r>
        <w:t xml:space="preserve"> (BCG, fièvre jaune, rougeole-oreillons-rubéole, varicelle, rotavirus) : risque de maladie vaccinale généralisée — </w:t>
      </w:r>
      <w:r>
        <w:rPr>
          <w:b/>
        </w:rPr>
        <w:t>contre-indication absolue</w:t>
      </w:r>
      <w:r>
        <w:t>.</w:t>
      </w:r>
    </w:p>
    <w:p>
      <w:pPr>
        <w:pStyle w:val="ListBullet"/>
      </w:pPr>
      <w:r/>
      <w:r>
        <w:rPr>
          <w:b/>
        </w:rPr>
        <w:t>Dactinomycine + phénytoïne, antiépileptiques inducteurs</w:t>
      </w:r>
      <w:r>
        <w:t xml:space="preserve"> : baisse d'efficacité de la phénytoïne (hépatotoxicité additive).</w:t>
      </w:r>
    </w:p>
    <w:p>
      <w:pPr>
        <w:pStyle w:val="ListBullet"/>
      </w:pPr>
      <w:r/>
      <w:r>
        <w:rPr>
          <w:b/>
        </w:rPr>
        <w:t>Dactinomycine + autres myélosuppressifs</w:t>
      </w:r>
      <w:r>
        <w:t xml:space="preserve"> (alkylants, anthracyclines, cisplatine) : toxicité hématologique additive — adapter posologie.</w:t>
      </w:r>
    </w:p>
    <w:p>
      <w:pPr>
        <w:pStyle w:val="ListBullet"/>
      </w:pPr>
      <w:r/>
      <w:r>
        <w:rPr>
          <w:b/>
        </w:rPr>
        <w:t>Dactinomycine + radiothérapie</w:t>
      </w:r>
      <w:r>
        <w:t xml:space="preserve"> : synergie de toxicité (radiation recall, mucite sévère, hépatotoxicité).</w:t>
      </w:r>
    </w:p>
    <w:p>
      <w:pPr>
        <w:pStyle w:val="ListBullet"/>
      </w:pPr>
      <w:r/>
      <w:r>
        <w:rPr>
          <w:b/>
        </w:rPr>
        <w:t>Dactinomycine + anticoagulants oraux</w:t>
      </w:r>
      <w:r>
        <w:t xml:space="preserve"> (warfarine, AVK) : majoration du risque hémorragique (toxicité thrombopénique) — surveillance INR.</w:t>
      </w:r>
    </w:p>
    <w:p>
      <w:pPr>
        <w:pStyle w:val="ListBullet"/>
      </w:pPr>
      <w:r/>
      <w:r>
        <w:rPr>
          <w:b/>
        </w:rPr>
        <w:t>Dactinomycine + immunosuppresseurs</w:t>
      </w:r>
      <w:r>
        <w:t xml:space="preserve"> (ciclosporine, tacrolimus, azathioprine, mycophénolate) : immunosuppression additive majeure — risque d'infections opportunistes sévères.</w:t>
      </w:r>
    </w:p>
    <w:p>
      <w:pPr>
        <w:pStyle w:val="ListBullet"/>
      </w:pPr>
      <w:r/>
      <w:r>
        <w:rPr>
          <w:b/>
        </w:rPr>
        <w:t>Dactinomycine + proton-pump inhibitors</w:t>
      </w:r>
      <w:r>
        <w:t xml:space="preserve"> (oméprazole, ésoméprazole) : pas d'interaction majeure.</w:t>
      </w:r>
    </w:p>
    <w:p>
      <w:pPr>
        <w:pStyle w:val="ListBullet"/>
      </w:pPr>
      <w:r/>
      <w:r>
        <w:rPr>
          <w:b/>
        </w:rPr>
        <w:t>Dactinomycine + succédanés de l'acide folique</w:t>
      </w:r>
      <w:r>
        <w:t xml:space="preserve"> (acide folinique, folinate de calcium) : antagonisation de l'effet cytotoxique (théorique, non pertinent).</w:t>
      </w:r>
    </w:p>
    <w:p>
      <w:pPr>
        <w:pStyle w:val="ListBullet"/>
      </w:pPr>
      <w:r/>
      <w:r>
        <w:rPr>
          <w:b/>
        </w:rPr>
        <w:t>Dactinomycine + St. John's Wort</w:t>
      </w:r>
      <w:r>
        <w:t xml:space="preserve"> (millepertuis) : baisse d'efficacité (induction du CYP3A4).</w:t>
      </w:r>
    </w:p>
    <w:p>
      <w:pPr>
        <w:pStyle w:val="ListBullet"/>
      </w:pPr>
      <w:r/>
      <w:r>
        <w:rPr>
          <w:b/>
        </w:rPr>
        <w:t>Grossesse et allaitement (CRAT)</w:t>
      </w:r>
      <w:r>
        <w:t xml:space="preserve"> :</w:t>
      </w:r>
    </w:p>
    <w:p>
      <w:pPr>
        <w:pStyle w:val="ListBullet"/>
      </w:pPr>
      <w:r/>
      <w:r>
        <w:rPr>
          <w:b/>
        </w:rPr>
        <w:t>Grossesse</w:t>
      </w:r>
      <w:r>
        <w:t xml:space="preserve"> : selon le CRAT, la dactinomycine est </w:t>
      </w:r>
      <w:r>
        <w:rPr>
          <w:b/>
        </w:rPr>
        <w:t>tératogène</w:t>
      </w:r>
      <w:r>
        <w:t xml:space="preserve"> chez l'animal (anomalies du tube neural, fœtotoxicité, avortements). Catégorie D (à éviter formellement). </w:t>
      </w:r>
      <w:r>
        <w:rPr>
          <w:b/>
        </w:rPr>
        <w:t>Conduite à tenir</w:t>
      </w:r>
      <w:r>
        <w:t xml:space="preserve"> : (1) contraception obligatoire pendant et </w:t>
      </w:r>
      <w:r>
        <w:rPr>
          <w:b/>
        </w:rPr>
        <w:t>6 mois après</w:t>
      </w:r>
      <w:r>
        <w:t xml:space="preserve"> l'arrêt (femme et homme) — délai prolongé en raison de la demi-vie longue et de l'accumulation tissulaire ; (2) si grossesse involontaire : discussion multidisciplinaire d'IMG selon terme et doses reçues — la dactinomycine est un cytotoxique puissant, tératogène, et le risque fœtal est très élevé (malformations majeures, avortement spontané) ; (3) chez la jeune fille en âge de procréer atteinte de maladie trophoblastique gestationnelle (môle invasive, choriocarcinome), la dactinomycine est administrée </w:t>
      </w:r>
      <w:r>
        <w:rPr>
          <w:b/>
        </w:rPr>
        <w:t>après évacuation utérine</w:t>
      </w:r>
      <w:r>
        <w:t xml:space="preserve"> (aspiration) — la grossesse est en cours de résolution. Une nouvelle grossesse est contre-indiquée pendant 12 mois après la fin du traitement (surveillance β-hCG mensuelle).</w:t>
      </w:r>
    </w:p>
    <w:p>
      <w:pPr>
        <w:pStyle w:val="ListBullet"/>
      </w:pPr>
      <w:r/>
      <w:r>
        <w:rPr>
          <w:b/>
        </w:rPr>
        <w:t>Allaitement</w:t>
      </w:r>
      <w:r>
        <w:t xml:space="preserve"> : </w:t>
      </w:r>
      <w:r>
        <w:rPr>
          <w:b/>
        </w:rPr>
        <w:t>contre-indiqué</w:t>
      </w:r>
      <w:r>
        <w:t xml:space="preserve"> (passe dans le lait, cytotoxique pour le nourrisson).</w:t>
      </w:r>
    </w:p>
    <w:p>
      <w:pPr>
        <w:pStyle w:val="ListBullet"/>
      </w:pPr>
      <w:r/>
      <w:r>
        <w:rPr>
          <w:b/>
        </w:rPr>
        <w:t>Posologie</w:t>
      </w:r>
      <w:r>
        <w:t xml:space="preserve"> :</w:t>
      </w:r>
    </w:p>
    <w:p>
      <w:pPr>
        <w:pStyle w:val="ListBullet"/>
      </w:pPr>
      <w:r/>
      <w:r>
        <w:rPr>
          <w:b/>
        </w:rPr>
        <w:t>Tumeur de Wilms (enfant)</w:t>
      </w:r>
      <w:r>
        <w:t xml:space="preserve"> : 15 µg/kg (0,015 mg/kg) IV J1, J3, J5, J7 ou J1-J5 selon le protocole SIOP-RTWS ou NWTS, en association avec vincristine 1,5 mg/m² J1-J5, toutes les 3 semaines. Dose maximale 0,5 mg/jour.</w:t>
      </w:r>
    </w:p>
    <w:p>
      <w:pPr>
        <w:pStyle w:val="ListBullet"/>
      </w:pPr>
      <w:r/>
      <w:r>
        <w:rPr>
          <w:b/>
        </w:rPr>
        <w:t>Rhabdomyosarcome (enfant)</w:t>
      </w:r>
      <w:r>
        <w:t xml:space="preserve"> : 15 µg/kg (0,015 mg/kg) IV J1-J5, en association avec vincristine + cyclophosphamide (protocole VAC), toutes les 3 semaines.</w:t>
      </w:r>
    </w:p>
    <w:p>
      <w:pPr>
        <w:pStyle w:val="ListBullet"/>
      </w:pPr>
      <w:r/>
      <w:r>
        <w:rPr>
          <w:b/>
        </w:rPr>
        <w:t>Sarcome d'Ewing (enfant et adulte jeune)</w:t>
      </w:r>
      <w:r>
        <w:t xml:space="preserve"> : 0,5 mg/m²/j IV J1, J2 ou J1, J8, J15 selon le protocole Euro-E.W.I.N.G., en association avec vincristine + doxorubicine + cyclophosphamide (VAC) ou ifosfamide + étoposide (VIDE).</w:t>
      </w:r>
    </w:p>
    <w:p>
      <w:pPr>
        <w:pStyle w:val="ListBullet"/>
      </w:pPr>
      <w:r/>
      <w:r>
        <w:rPr>
          <w:b/>
        </w:rPr>
        <w:t>Tumeurs germinales pédiatriques</w:t>
      </w:r>
      <w:r>
        <w:t xml:space="preserve"> : 0,5 mg/m²/j IV J1-J5, toutes les 3 semaines, en alternative à la bléomycine.</w:t>
      </w:r>
    </w:p>
    <w:p>
      <w:pPr>
        <w:pStyle w:val="ListBullet"/>
      </w:pPr>
      <w:r/>
      <w:r>
        <w:rPr>
          <w:b/>
        </w:rPr>
        <w:t>Choriocarcinome résistant au MTX</w:t>
      </w:r>
      <w:r>
        <w:t xml:space="preserve"> : 12 µg/kg IV J1-J5, toutes les 2 semaines, en monothérapie ou en association.</w:t>
      </w:r>
    </w:p>
    <w:p>
      <w:pPr>
        <w:pStyle w:val="ListBullet"/>
      </w:pPr>
      <w:r/>
      <w:r>
        <w:rPr>
          <w:b/>
        </w:rPr>
        <w:t>Maladie trophoblastique gestationnelle</w:t>
      </w:r>
      <w:r>
        <w:t xml:space="preserve"> : 0,5 mg IV J1-J5, toutes les 2 semaines (actinomycine D pulse), en alternative au méthotrexate.</w:t>
      </w:r>
    </w:p>
    <w:p>
      <w:pPr>
        <w:pStyle w:val="ListBullet"/>
      </w:pPr>
      <w:r/>
      <w:r>
        <w:rPr>
          <w:b/>
        </w:rPr>
        <w:t>GVHD aiguë réfractaire</w:t>
      </w:r>
      <w:r>
        <w:t xml:space="preserve"> (usage historique) : 10 µg/kg IV J1, J3, J5, J7.</w:t>
      </w:r>
    </w:p>
    <w:p>
      <w:pPr>
        <w:pStyle w:val="ListBullet"/>
      </w:pPr>
      <w:r/>
      <w:r>
        <w:rPr>
          <w:b/>
        </w:rPr>
        <w:t>Adaptation hépatique</w:t>
      </w:r>
      <w:r>
        <w:t xml:space="preserve"> : bilirubine 1,5-3 mg/dL → réduire 50 % ; &gt; 3 mg/dL → contre-indication.</w:t>
      </w:r>
    </w:p>
    <w:p>
      <w:pPr>
        <w:pStyle w:val="ListBullet"/>
      </w:pPr>
      <w:r/>
      <w:r>
        <w:rPr>
          <w:b/>
        </w:rPr>
        <w:t>Adaptation rénale</w:t>
      </w:r>
      <w:r>
        <w:t xml:space="preserve"> : pas d'adaptation systématique mais prudence si ClCr &lt; 30 mL/min.</w:t>
      </w:r>
    </w:p>
    <w:p>
      <w:pPr>
        <w:pStyle w:val="ListBullet"/>
      </w:pPr>
      <w:r/>
      <w:r>
        <w:rPr>
          <w:b/>
        </w:rPr>
        <w:t>Adaptation hématologique</w:t>
      </w:r>
      <w:r>
        <w:t xml:space="preserve"> : PNN &lt; 1,5 G/L ou plaquettes &lt; 100 G/L à J1 → retarder cure d'1 semaine.</w:t>
      </w:r>
    </w:p>
    <w:p>
      <w:pPr>
        <w:pStyle w:val="ListBullet"/>
      </w:pPr>
      <w:r/>
      <w:r>
        <w:rPr>
          <w:b/>
        </w:rPr>
        <w:t>Sujet âgé</w:t>
      </w:r>
      <w:r>
        <w:t xml:space="preserve"> : pas d'adaptation systématique mais surveillance ++.</w:t>
      </w:r>
    </w:p>
    <w:p>
      <w:pPr>
        <w:pStyle w:val="ListBullet"/>
      </w:pPr>
      <w:r/>
      <w:r>
        <w:rPr>
          <w:b/>
        </w:rPr>
        <w:t>Formes galéniques</w:t>
      </w:r>
      <w:r>
        <w:t xml:space="preserve"> :</w:t>
      </w:r>
    </w:p>
    <w:p>
      <w:pPr>
        <w:pStyle w:val="ListBullet"/>
      </w:pPr>
      <w:r/>
      <w:r>
        <w:rPr>
          <w:b/>
        </w:rPr>
        <w:t>Lyophilisat pour solution injectable 0,5 mg</w:t>
      </w:r>
      <w:r>
        <w:t xml:space="preserve"> (AC-DE Lemery — forme </w:t>
      </w:r>
      <w:r>
        <w:rPr>
          <w:b/>
        </w:rPr>
        <w:t>retirée</w:t>
      </w:r>
      <w:r>
        <w:t xml:space="preserve"> en Algérie) : reconstitution avec 1,1 mL de NaCl 0,9 % sans conservateur (concentration finale 0,4-0,5 mg/mL). Administration IV stricte (bolus de 2-5 min ou perfusion courte de 10-15 min dans 50-100 mL NaCl 0,9 %). Conservation &lt; 25 °C, à l'abri de la lumière. Solution reconstituée stable 24 h à température ambiante (à utiliser immédiatement).</w:t>
      </w:r>
    </w:p>
    <w:p>
      <w:pPr>
        <w:pStyle w:val="ListBullet"/>
      </w:pPr>
      <w:r/>
      <w:r>
        <w:rPr>
          <w:b/>
        </w:rPr>
        <w:t>Préparation en seringue</w:t>
      </w:r>
      <w:r>
        <w:t xml:space="preserve"> : la dactinomycine étant très toxique localement (vésicant majeur), la préparation doit se faire en flux laminaire ou PSM avec précautions cytotoxiques strictes.</w:t>
      </w:r>
    </w:p>
    <w:p>
      <w:pPr>
        <w:pStyle w:val="ListBullet"/>
      </w:pPr>
      <w:r/>
      <w:r>
        <w:rPr>
          <w:b/>
        </w:rPr>
        <w:t>Précautions cytotoxiques</w:t>
      </w:r>
      <w:r>
        <w:t xml:space="preserve"> standard strictes — la dactinomycine est un </w:t>
      </w:r>
      <w:r>
        <w:rPr>
          <w:b/>
        </w:rPr>
        <w:t>vésicant majeur</w:t>
      </w:r>
      <w:r>
        <w:t xml:space="preserve"> : manipulation en flux laminaire ou PSM, gants nitrile double épaisseur, masque FFP2, lunettes de protection, blouse chimiothérapie norme EN 13034. En cas d'extravasation : arrêter immédiatement, aspiration par le cathéter, cold-packs, </w:t>
      </w:r>
      <w:r>
        <w:rPr>
          <w:b/>
        </w:rPr>
        <w:t>sodium thiosulfate 1/6 M (4 mL) intra-lésionnel</w:t>
      </w:r>
      <w:r>
        <w:t xml:space="preserve"> (efficacité partielle), surveillance prolongée (lésions retardées jusqu'à 2-4 semaines).</w:t>
      </w:r>
    </w:p>
    <w:p>
      <w:pPr>
        <w:pStyle w:val="ListBullet"/>
      </w:pPr>
      <w:r/>
      <w:r>
        <w:rPr>
          <w:b/>
        </w:rPr>
        <w:t>Conservation</w:t>
      </w:r>
      <w:r>
        <w:t xml:space="preserve"> : flacons de lyophilisat à &lt; 25 °C (ne pas congeler), à l'abri de la lumière. Solutions diluées à utiliser immédiatement (stabilité 24 h à température ambiante en NaCl 0,9 %).</w:t>
      </w:r>
    </w:p>
    <w:p>
      <w:pPr>
        <w:pStyle w:val="ListBullet"/>
      </w:pPr>
      <w:r/>
      <w:r>
        <w:rPr>
          <w:b/>
        </w:rPr>
        <w:t>Problème algérien majeur</w:t>
      </w:r>
      <w:r>
        <w:t xml:space="preserve"> : la seule forme disponible (AC-DE Lemery) est </w:t>
      </w:r>
      <w:r>
        <w:rPr>
          <w:b/>
        </w:rPr>
        <w:t>retirée</w:t>
      </w:r>
      <w:r>
        <w:t xml:space="preserve"> — situation </w:t>
      </w:r>
      <w:r>
        <w:rPr>
          <w:b/>
        </w:rPr>
        <w:t>extrêmement préoccupante</w:t>
      </w:r>
      <w:r>
        <w:t xml:space="preserve"> pour les enfants algériens atteints de tumeur de Wilms, de rhabdomyosarcome, de sarcome d'Ewing et de maladie trophoblastique, qui nécessitent une chimiothérapie urgente par dactinomycine. Nécessité d'autorisation d'importation ponctuelle ou de switch thérapeutique vers d'autres cytotoxiques (doxorubicine, cyclophosphamide, ifosfamide, étoposide) — mais avec une perte d'efficacité potentielle et une augmentation de la toxicité.</w:t>
      </w:r>
    </w:p>
    <w:p>
      <w:pPr>
        <w:pStyle w:val="ListBullet"/>
      </w:pPr>
      <w:r/>
      <w:r>
        <w:rPr>
          <w:b/>
        </w:rPr>
        <w:t>Conseils aux patients</w:t>
      </w:r>
      <w:r>
        <w:t xml:space="preserve"> :</w:t>
      </w:r>
    </w:p>
    <w:p>
      <w:pPr>
        <w:pStyle w:val="ListBullet"/>
      </w:pPr>
      <w:r/>
      <w:r>
        <w:rPr>
          <w:b/>
        </w:rPr>
        <w:t>Communication au comptoir</w:t>
      </w:r>
      <w:r>
        <w:t xml:space="preserve"> : « Voici votre dactinomycine (perfusable à l'hôpital). Elle sera administrée par voie IV. </w:t>
      </w:r>
      <w:r>
        <w:rPr>
          <w:b/>
        </w:rPr>
        <w:t>Risque majeur de toxicité hématologique</w:t>
      </w:r>
      <w:r>
        <w:t xml:space="preserve"> : surveillance NFS avant chaque cure et à J7, J10, J14 (baisse des globules blancs et des plaquettes). En cas de fièvre &gt; 38,5 °C, saignement, fatigue intense, ulcère buccal → consulter en urgence. </w:t>
      </w:r>
      <w:r>
        <w:rPr>
          <w:b/>
        </w:rPr>
        <w:t>Alopécie quasi-constante</w:t>
      </w:r>
      <w:r>
        <w:t xml:space="preserve"> (calvitie totale) réversible à l'arrêt (repousse en 3-6 mois). </w:t>
      </w:r>
      <w:r>
        <w:rPr>
          <w:b/>
        </w:rPr>
        <w:t>Mucite sévère possible</w:t>
      </w:r>
      <w:r>
        <w:t xml:space="preserve"> (J3-J7) : bains de bouche bicarbonatés, alimentation tiède et mixée. </w:t>
      </w:r>
      <w:r>
        <w:rPr>
          <w:b/>
        </w:rPr>
        <w:t>Nausées et vomissements sévères</w:t>
      </w:r>
      <w:r>
        <w:t xml:space="preserve"> : prémédication renforcée. Pour les enfants (tumeur de Wilms, rhabdomyosarcome) : surveillance +++ à domicile par les parents, thermomètre, éducation aux signes d'alerte (fièvre, saignement, fatigue, ulcères). </w:t>
      </w:r>
      <w:r>
        <w:rPr>
          <w:b/>
        </w:rPr>
        <w:t>Contraception stricte</w:t>
      </w:r>
      <w:r>
        <w:t xml:space="preserve"> pendant et 6 mois après (femme et homme). Pour les jeunes filles atteintes de maladie trophoblastique : nouvelle grossesse contre-indiquée pendant 12 mois après la fin du traitement (surveillance β-hCG mensuelle). »</w:t>
      </w:r>
    </w:p>
    <w:p>
      <w:pPr>
        <w:pStyle w:val="ListBullet"/>
      </w:pPr>
      <w:r/>
      <w:r>
        <w:rPr>
          <w:b/>
        </w:rPr>
        <w:t>Mode d'utilisation</w:t>
      </w:r>
      <w:r>
        <w:t xml:space="preserve"> : perfusion IV à l'hôpital, bolus ou perfusion courte.</w:t>
      </w:r>
    </w:p>
    <w:p>
      <w:pPr>
        <w:pStyle w:val="ListBullet"/>
      </w:pPr>
      <w:r/>
      <w:r>
        <w:rPr>
          <w:b/>
        </w:rPr>
        <w:t>Surveillance</w:t>
      </w:r>
      <w:r>
        <w:t xml:space="preserve"> : NFS-plaquettes avant chaque cure et J7, J10, J14, bilan hépatique avant chaque cure, β-hCG mensuelle pendant 12 mois (maladie trophoblastique).</w:t>
      </w:r>
    </w:p>
    <w:p>
      <w:pPr>
        <w:pStyle w:val="ListBullet"/>
      </w:pPr>
      <w:r/>
      <w:r>
        <w:rPr>
          <w:b/>
        </w:rPr>
        <w:t>Hydratation</w:t>
      </w:r>
      <w:r>
        <w:t xml:space="preserve"> : 1,5-2 L/j (et hyperhydratation alcaline IV en cas de masse tumorale élevée — prophylaxie du syndrome de lyse).</w:t>
      </w:r>
    </w:p>
    <w:p>
      <w:pPr>
        <w:pStyle w:val="ListBullet"/>
      </w:pPr>
      <w:r/>
      <w:r>
        <w:rPr>
          <w:b/>
        </w:rPr>
        <w:t>Antiemetic prophylaxie</w:t>
      </w:r>
      <w:r>
        <w:t xml:space="preserve"> : antagoniste 5-HT3 + dexaméthasone + aprépitant (émétisants grade 3).</w:t>
      </w:r>
    </w:p>
    <w:p>
      <w:pPr>
        <w:pStyle w:val="ListBullet"/>
      </w:pPr>
      <w:r/>
      <w:r>
        <w:rPr>
          <w:b/>
        </w:rPr>
        <w:t>Prophylaxie mucite</w:t>
      </w:r>
      <w:r>
        <w:t xml:space="preserve"> : cryothérapie orale, bains de bouche bicarbonatés.</w:t>
      </w:r>
    </w:p>
    <w:p>
      <w:pPr>
        <w:pStyle w:val="ListBullet"/>
      </w:pPr>
      <w:r/>
      <w:r>
        <w:rPr>
          <w:b/>
        </w:rPr>
        <w:t>Contraception</w:t>
      </w:r>
      <w:r>
        <w:t xml:space="preserve"> : obligatoire pendant et 6 mois après (femme et homme).</w:t>
      </w:r>
    </w:p>
    <w:p>
      <w:pPr>
        <w:pStyle w:val="ListBullet"/>
      </w:pPr>
      <w:r/>
      <w:r>
        <w:rPr>
          <w:b/>
        </w:rPr>
        <w:t>Vaccins</w:t>
      </w:r>
      <w:r>
        <w:t xml:space="preserve"> : éviter vaccins vivants atténués pendant et 6 mois après. Vaccin anti-pneumococcique et anti-grippe avant traitement.</w:t>
      </w:r>
    </w:p>
    <w:p>
      <w:pPr>
        <w:pStyle w:val="ListBullet"/>
      </w:pPr>
      <w:r/>
      <w:r>
        <w:rPr>
          <w:b/>
        </w:rPr>
        <w:t>Signes d'alerte</w:t>
      </w:r>
      <w:r>
        <w:t xml:space="preserve"> : fièvre &gt; 38,5 °C, saignement (gingival, nasal, cutané, urinaire), fatigue intense, ulcères buccaux, diarrhée sévère → consultation urgente.</w:t>
      </w:r>
    </w:p>
    <w:p>
      <w:pPr>
        <w:pStyle w:val="ListBullet"/>
      </w:pPr>
      <w:r/>
      <w:r>
        <w:rPr>
          <w:b/>
        </w:rPr>
        <w:t>Pièges classiques</w:t>
      </w:r>
      <w:r>
        <w:t xml:space="preserve"> :</w:t>
      </w:r>
    </w:p>
    <w:p>
      <w:pPr>
        <w:pStyle w:val="ListBullet"/>
      </w:pPr>
      <w:r/>
      <w:r>
        <w:rPr>
          <w:b/>
        </w:rPr>
        <w:t>Piège du radiation recall</w:t>
      </w:r>
      <w:r>
        <w:t xml:space="preserve"> : éviter d'administrer la dactinomycine dans les 6 mois suivant une radiothérapie (surtout thoracique ou cutanée) — réactivation des lésions radiques.</w:t>
      </w:r>
    </w:p>
    <w:p>
      <w:pPr>
        <w:pStyle w:val="ListBullet"/>
      </w:pPr>
      <w:r/>
      <w:r>
        <w:rPr>
          <w:b/>
        </w:rPr>
        <w:t>Piège de l'extravasation</w:t>
      </w:r>
      <w:r>
        <w:t xml:space="preserve"> : vésicant majeur — voie veineuse centrale préférentielle, sodium thiosulfate intra-lésionnel en cas d'extravasation.</w:t>
      </w:r>
    </w:p>
    <w:p>
      <w:pPr>
        <w:pStyle w:val="ListBullet"/>
      </w:pPr>
      <w:r/>
      <w:r>
        <w:rPr>
          <w:b/>
        </w:rPr>
        <w:t>Piège de la mucite sévère</w:t>
      </w:r>
      <w:r>
        <w:t xml:space="preserve"> : prévention par cryothérapie et bains de bouche bicarbonatés — hospitalisation en secteur protégé si mucite grade 3.</w:t>
      </w:r>
    </w:p>
    <w:p>
      <w:pPr>
        <w:pStyle w:val="ListBullet"/>
      </w:pPr>
      <w:r/>
      <w:r>
        <w:rPr>
          <w:b/>
        </w:rPr>
        <w:t>Piège de la neutropénie fébrile</w:t>
      </w:r>
      <w:r>
        <w:t xml:space="preserve"> : G-CSF prophylactique systématique en cas d'antécédent ou de protocole intensif.</w:t>
      </w:r>
    </w:p>
    <w:p>
      <w:pPr>
        <w:pStyle w:val="ListBullet"/>
      </w:pPr>
      <w:r/>
      <w:r>
        <w:rPr>
          <w:b/>
        </w:rPr>
        <w:t>Piège du syndrome de lyse tumorale</w:t>
      </w:r>
      <w:r>
        <w:t xml:space="preserve"> : prophylaxie par allopurinol + hyperhydratation alcaline en cas de masse tumorale élevée (tumeur de Wilms volumineuse, rhabdomyosarcome).</w:t>
      </w:r>
    </w:p>
    <w:p>
      <w:pPr>
        <w:pStyle w:val="ListBullet"/>
      </w:pPr>
      <w:r/>
      <w:r>
        <w:rPr>
          <w:b/>
        </w:rPr>
        <w:t>Piège de la voie intra-thécale</w:t>
      </w:r>
      <w:r>
        <w:t xml:space="preserve"> : strictement contre-indiquée (neurotoxicité létale).</w:t>
      </w:r>
    </w:p>
    <w:p>
      <w:pPr>
        <w:pStyle w:val="ListBullet"/>
      </w:pPr>
      <w:r/>
      <w:r>
        <w:rPr>
          <w:b/>
        </w:rPr>
        <w:t>Piège de l'adaptation hépatique</w:t>
      </w:r>
      <w:r>
        <w:t xml:space="preserve"> : bilirubine &gt; 1,5 mg/dL → réduire 50 % ; &gt; 3 → contre-indication.</w:t>
      </w:r>
    </w:p>
    <w:p>
      <w:pPr>
        <w:pStyle w:val="ListBullet"/>
      </w:pPr>
      <w:r/>
      <w:r>
        <w:rPr>
          <w:b/>
        </w:rPr>
        <w:t>Piège de la surveillance β-hCG</w:t>
      </w:r>
      <w:r>
        <w:t xml:space="preserve"> : pour les maladies trophoblastiques, surveillance mensuelle pendant 12 mois après la fin du traitement (nouvelle grossesse contre-indiquée pendant cette période).</w:t>
      </w:r>
    </w:p>
    <w:p>
      <w:pPr>
        <w:pStyle w:val="ListBullet"/>
      </w:pPr>
      <w:r/>
      <w:r>
        <w:rPr>
          <w:b/>
        </w:rPr>
        <w:t>Piège de la rupture de stock en Algérie</w:t>
      </w:r>
      <w:r>
        <w:t xml:space="preserve"> : AC-DE Lemery retiré — situation </w:t>
      </w:r>
      <w:r>
        <w:rPr>
          <w:b/>
        </w:rPr>
        <w:t>extrêmement préoccupante</w:t>
      </w:r>
      <w:r>
        <w:t xml:space="preserve"> pour les enfants algériens atteints de tumeurs embryonnaires (Wilms, rhabdomyosarcome, Ewing). Nécessité d'autorisation d'importation ponctuelle ou de switch thérapeutique.</w:t>
      </w:r>
    </w:p>
    <w:p>
      <w:pPr>
        <w:pStyle w:val="ListBullet"/>
      </w:pPr>
      <w:r/>
      <w:r>
        <w:rPr>
          <w:b/>
        </w:rPr>
        <w:t>Piège de l'immunosuppression prolongée</w:t>
      </w:r>
      <w:r>
        <w:t xml:space="preserve"> : prophylaxie pneumocystose et herpétique pendant et 6 mois après le traitement.</w:t>
      </w:r>
    </w:p>
    <w:p>
      <w:pPr>
        <w:pStyle w:val="ListBullet"/>
      </w:pPr>
      <w:r/>
      <w:r>
        <w:rPr>
          <w:b/>
        </w:rPr>
        <w:t>Piège de la contraception chez l'homme</w:t>
      </w:r>
      <w:r>
        <w:t xml:space="preserve"> : souvent négligée — pourtant indispensable pendant 6 mois après la dernière cure.</w:t>
      </w:r>
    </w:p>
    <w:p>
      <w:pPr>
        <w:pStyle w:val="Heading2"/>
      </w:pPr>
      <w:r>
        <w:t>Tableau comparatif des 18 antimétabolites et antibiotiques antitumoraux</w:t>
      </w:r>
    </w:p>
    <w:p>
      <w:r>
        <w:t>Le tableau suivant récapitule les principales caractéristiques des 18 DCI traitées dans ce chapitre : mécanisme d'action, voie d'élimination, toxicité d'organe limitante, dose cumulative maximale (lorsqu'applicable), et particularités cliniques saillantes. Il constitue un outil de référence rapide pour le pharmacien d'officine et le clinicien.</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DCI</w:t>
            </w:r>
          </w:p>
        </w:tc>
        <w:tc>
          <w:tcPr>
            <w:tcW w:type="dxa" w:w="1039"/>
          </w:tcPr>
          <w:p>
            <w:r>
              <w:rPr>
                <w:b/>
                <w:sz w:val="20"/>
              </w:rPr>
              <w:t>Sous-classe</w:t>
            </w:r>
          </w:p>
        </w:tc>
        <w:tc>
          <w:tcPr>
            <w:tcW w:type="dxa" w:w="1039"/>
          </w:tcPr>
          <w:p>
            <w:r>
              <w:rPr>
                <w:b/>
                <w:sz w:val="20"/>
              </w:rPr>
              <w:t>Mécanisme principal</w:t>
            </w:r>
          </w:p>
        </w:tc>
        <w:tc>
          <w:tcPr>
            <w:tcW w:type="dxa" w:w="1039"/>
          </w:tcPr>
          <w:p>
            <w:r>
              <w:rPr>
                <w:b/>
                <w:sz w:val="20"/>
              </w:rPr>
              <w:t>Phase du cycle</w:t>
            </w:r>
          </w:p>
        </w:tc>
        <w:tc>
          <w:tcPr>
            <w:tcW w:type="dxa" w:w="1039"/>
          </w:tcPr>
          <w:p>
            <w:r>
              <w:rPr>
                <w:b/>
                <w:sz w:val="20"/>
              </w:rPr>
              <w:t>Voie d'élimination principale</w:t>
            </w:r>
          </w:p>
        </w:tc>
        <w:tc>
          <w:tcPr>
            <w:tcW w:type="dxa" w:w="1039"/>
          </w:tcPr>
          <w:p>
            <w:r>
              <w:rPr>
                <w:b/>
                <w:sz w:val="20"/>
              </w:rPr>
              <w:t>Toxicité d'organe limitante</w:t>
            </w:r>
          </w:p>
        </w:tc>
        <w:tc>
          <w:tcPr>
            <w:tcW w:type="dxa" w:w="1039"/>
          </w:tcPr>
          <w:p>
            <w:r>
              <w:rPr>
                <w:b/>
                <w:sz w:val="20"/>
              </w:rPr>
              <w:t>Dose cumulative max.</w:t>
            </w:r>
          </w:p>
        </w:tc>
        <w:tc>
          <w:tcPr>
            <w:tcW w:type="dxa" w:w="1039"/>
          </w:tcPr>
          <w:p>
            <w:r>
              <w:rPr>
                <w:b/>
                <w:sz w:val="20"/>
              </w:rPr>
              <w:t>Antidote/sauvetage</w:t>
            </w:r>
          </w:p>
        </w:tc>
        <w:tc>
          <w:tcPr>
            <w:tcW w:type="dxa" w:w="1039"/>
          </w:tcPr>
          <w:p>
            <w:r>
              <w:rPr>
                <w:b/>
                <w:sz w:val="20"/>
              </w:rPr>
              <w:t>Particularité clinique majeure</w:t>
            </w:r>
          </w:p>
        </w:tc>
      </w:tr>
      <w:tr>
        <w:tc>
          <w:tcPr>
            <w:tcW w:type="dxa" w:w="1039"/>
          </w:tcPr>
          <w:p>
            <w:r>
              <w:rPr>
                <w:sz w:val="20"/>
              </w:rPr>
              <w:t>**Méthotrexate**</w:t>
            </w:r>
          </w:p>
        </w:tc>
        <w:tc>
          <w:tcPr>
            <w:tcW w:type="dxa" w:w="1039"/>
          </w:tcPr>
          <w:p>
            <w:r>
              <w:rPr>
                <w:sz w:val="20"/>
              </w:rPr>
              <w:t>Antifolique</w:t>
            </w:r>
          </w:p>
        </w:tc>
        <w:tc>
          <w:tcPr>
            <w:tcW w:type="dxa" w:w="1039"/>
          </w:tcPr>
          <w:p>
            <w:r>
              <w:rPr>
                <w:sz w:val="20"/>
              </w:rPr>
              <w:t>Inhibition DHFR (compétitif quasi-irréversible)</w:t>
            </w:r>
          </w:p>
        </w:tc>
        <w:tc>
          <w:tcPr>
            <w:tcW w:type="dxa" w:w="1039"/>
          </w:tcPr>
          <w:p>
            <w:r>
              <w:rPr>
                <w:sz w:val="20"/>
              </w:rPr>
              <w:t>Phase S</w:t>
            </w:r>
          </w:p>
        </w:tc>
        <w:tc>
          <w:tcPr>
            <w:tcW w:type="dxa" w:w="1039"/>
          </w:tcPr>
          <w:p>
            <w:r>
              <w:rPr>
                <w:sz w:val="20"/>
              </w:rPr>
              <w:t>Rénale (+++)</w:t>
            </w:r>
          </w:p>
        </w:tc>
        <w:tc>
          <w:tcPr>
            <w:tcW w:type="dxa" w:w="1039"/>
          </w:tcPr>
          <w:p>
            <w:r>
              <w:rPr>
                <w:sz w:val="20"/>
              </w:rPr>
              <w:t>Mucite, aplasie, néphrotoxicité, neurotoxicité HD</w:t>
            </w:r>
          </w:p>
        </w:tc>
        <w:tc>
          <w:tcPr>
            <w:tcW w:type="dxa" w:w="1039"/>
          </w:tcPr>
          <w:p>
            <w:r>
              <w:rPr>
                <w:sz w:val="20"/>
              </w:rPr>
              <w:t>Non (pour HD-MTX)</w:t>
            </w:r>
          </w:p>
        </w:tc>
        <w:tc>
          <w:tcPr>
            <w:tcW w:type="dxa" w:w="1039"/>
          </w:tcPr>
          <w:p>
            <w:r>
              <w:rPr>
                <w:sz w:val="20"/>
              </w:rPr>
              <w:t>**Folinate de calcium**</w:t>
            </w:r>
          </w:p>
        </w:tc>
        <w:tc>
          <w:tcPr>
            <w:tcW w:type="dxa" w:w="1039"/>
          </w:tcPr>
          <w:p>
            <w:r>
              <w:rPr>
                <w:sz w:val="20"/>
              </w:rPr>
              <w:t>HD-MTX avec sauvetage (ostéosarcome, LAL, LCP) ; déficit MTHFR ; interaction AINS</w:t>
            </w:r>
          </w:p>
        </w:tc>
      </w:tr>
      <w:tr>
        <w:tc>
          <w:tcPr>
            <w:tcW w:type="dxa" w:w="1039"/>
          </w:tcPr>
          <w:p>
            <w:r>
              <w:rPr>
                <w:sz w:val="20"/>
              </w:rPr>
              <w:t>**Pémétrexed**</w:t>
            </w:r>
          </w:p>
        </w:tc>
        <w:tc>
          <w:tcPr>
            <w:tcW w:type="dxa" w:w="1039"/>
          </w:tcPr>
          <w:p>
            <w:r>
              <w:rPr>
                <w:sz w:val="20"/>
              </w:rPr>
              <w:t>Antifolique multitarget</w:t>
            </w:r>
          </w:p>
        </w:tc>
        <w:tc>
          <w:tcPr>
            <w:tcW w:type="dxa" w:w="1039"/>
          </w:tcPr>
          <w:p>
            <w:r>
              <w:rPr>
                <w:sz w:val="20"/>
              </w:rPr>
              <w:t>Inhibition TS + DHFR + GARFT</w:t>
            </w:r>
          </w:p>
        </w:tc>
        <w:tc>
          <w:tcPr>
            <w:tcW w:type="dxa" w:w="1039"/>
          </w:tcPr>
          <w:p>
            <w:r>
              <w:rPr>
                <w:sz w:val="20"/>
              </w:rPr>
              <w:t>Phase S</w:t>
            </w:r>
          </w:p>
        </w:tc>
        <w:tc>
          <w:tcPr>
            <w:tcW w:type="dxa" w:w="1039"/>
          </w:tcPr>
          <w:p>
            <w:r>
              <w:rPr>
                <w:sz w:val="20"/>
              </w:rPr>
              <w:t>Rénale (+++)</w:t>
            </w:r>
          </w:p>
        </w:tc>
        <w:tc>
          <w:tcPr>
            <w:tcW w:type="dxa" w:w="1039"/>
          </w:tcPr>
          <w:p>
            <w:r>
              <w:rPr>
                <w:sz w:val="20"/>
              </w:rPr>
              <w:t>Aplasie, mucite, hépatotoxicité</w:t>
            </w:r>
          </w:p>
        </w:tc>
        <w:tc>
          <w:tcPr>
            <w:tcW w:type="dxa" w:w="1039"/>
          </w:tcPr>
          <w:p>
            <w:r>
              <w:rPr>
                <w:sz w:val="20"/>
              </w:rPr>
              <w:t>Non</w:t>
            </w:r>
          </w:p>
        </w:tc>
        <w:tc>
          <w:tcPr>
            <w:tcW w:type="dxa" w:w="1039"/>
          </w:tcPr>
          <w:p>
            <w:r>
              <w:rPr>
                <w:sz w:val="20"/>
              </w:rPr>
              <w:t>Supplémentation acide folique + B12</w:t>
            </w:r>
          </w:p>
        </w:tc>
        <w:tc>
          <w:tcPr>
            <w:tcW w:type="dxa" w:w="1039"/>
          </w:tcPr>
          <w:p>
            <w:r>
              <w:rPr>
                <w:sz w:val="20"/>
              </w:rPr>
              <w:t>CBNPC non épidermoïde, mésothéliome ; supplémentation B9/B12 obligatoire</w:t>
            </w:r>
          </w:p>
        </w:tc>
      </w:tr>
      <w:tr>
        <w:tc>
          <w:tcPr>
            <w:tcW w:type="dxa" w:w="1039"/>
          </w:tcPr>
          <w:p>
            <w:r>
              <w:rPr>
                <w:sz w:val="20"/>
              </w:rPr>
              <w:t>**5-Fluorouracile (5-FU)**</w:t>
            </w:r>
          </w:p>
        </w:tc>
        <w:tc>
          <w:tcPr>
            <w:tcW w:type="dxa" w:w="1039"/>
          </w:tcPr>
          <w:p>
            <w:r>
              <w:rPr>
                <w:sz w:val="20"/>
              </w:rPr>
              <w:t>Fluoropyrimidine</w:t>
            </w:r>
          </w:p>
        </w:tc>
        <w:tc>
          <w:tcPr>
            <w:tcW w:type="dxa" w:w="1039"/>
          </w:tcPr>
          <w:p>
            <w:r>
              <w:rPr>
                <w:sz w:val="20"/>
              </w:rPr>
              <w:t>Inhibition TS + incorporation ARN</w:t>
            </w:r>
          </w:p>
        </w:tc>
        <w:tc>
          <w:tcPr>
            <w:tcW w:type="dxa" w:w="1039"/>
          </w:tcPr>
          <w:p>
            <w:r>
              <w:rPr>
                <w:sz w:val="20"/>
              </w:rPr>
              <w:t>Phase S</w:t>
            </w:r>
          </w:p>
        </w:tc>
        <w:tc>
          <w:tcPr>
            <w:tcW w:type="dxa" w:w="1039"/>
          </w:tcPr>
          <w:p>
            <w:r>
              <w:rPr>
                <w:sz w:val="20"/>
              </w:rPr>
              <w:t>Métabolique (DPD hépatique)</w:t>
            </w:r>
          </w:p>
        </w:tc>
        <w:tc>
          <w:tcPr>
            <w:tcW w:type="dxa" w:w="1039"/>
          </w:tcPr>
          <w:p>
            <w:r>
              <w:rPr>
                <w:sz w:val="20"/>
              </w:rPr>
              <w:t>Mucite, aplasie, syndrome main-pied, cardiotoxicité</w:t>
            </w:r>
          </w:p>
        </w:tc>
        <w:tc>
          <w:tcPr>
            <w:tcW w:type="dxa" w:w="1039"/>
          </w:tcPr>
          <w:p>
            <w:r>
              <w:rPr>
                <w:sz w:val="20"/>
              </w:rPr>
              <w:t>Non</w:t>
            </w:r>
          </w:p>
        </w:tc>
        <w:tc>
          <w:tcPr>
            <w:tcW w:type="dxa" w:w="1039"/>
          </w:tcPr>
          <w:p>
            <w:r>
              <w:rPr>
                <w:sz w:val="20"/>
              </w:rPr>
              <w:t>Uridine (efficacité partielle) ; déficit DPD (+++)</w:t>
            </w:r>
          </w:p>
        </w:tc>
        <w:tc>
          <w:tcPr>
            <w:tcW w:type="dxa" w:w="1039"/>
          </w:tcPr>
          <w:p>
            <w:r>
              <w:rPr>
                <w:sz w:val="20"/>
              </w:rPr>
              <w:t>Bolus vs perfusion continue ; protocoles FOLFOX, FOLFIRI ; déficit DPD</w:t>
            </w:r>
          </w:p>
        </w:tc>
      </w:tr>
      <w:tr>
        <w:tc>
          <w:tcPr>
            <w:tcW w:type="dxa" w:w="1039"/>
          </w:tcPr>
          <w:p>
            <w:r>
              <w:rPr>
                <w:sz w:val="20"/>
              </w:rPr>
              <w:t>**Capécitabine**</w:t>
            </w:r>
          </w:p>
        </w:tc>
        <w:tc>
          <w:tcPr>
            <w:tcW w:type="dxa" w:w="1039"/>
          </w:tcPr>
          <w:p>
            <w:r>
              <w:rPr>
                <w:sz w:val="20"/>
              </w:rPr>
              <w:t>Fluoropyrimidine prodrogue orale</w:t>
            </w:r>
          </w:p>
        </w:tc>
        <w:tc>
          <w:tcPr>
            <w:tcW w:type="dxa" w:w="1039"/>
          </w:tcPr>
          <w:p>
            <w:r>
              <w:rPr>
                <w:sz w:val="20"/>
              </w:rPr>
              <w:t>Prodrogue → 5-FU (activation tumorale par TP)</w:t>
            </w:r>
          </w:p>
        </w:tc>
        <w:tc>
          <w:tcPr>
            <w:tcW w:type="dxa" w:w="1039"/>
          </w:tcPr>
          <w:p>
            <w:r>
              <w:rPr>
                <w:sz w:val="20"/>
              </w:rPr>
              <w:t>Phase S</w:t>
            </w:r>
          </w:p>
        </w:tc>
        <w:tc>
          <w:tcPr>
            <w:tcW w:type="dxa" w:w="1039"/>
          </w:tcPr>
          <w:p>
            <w:r>
              <w:rPr>
                <w:sz w:val="20"/>
              </w:rPr>
              <w:t>Métabolique (DPD hépatique)</w:t>
            </w:r>
          </w:p>
        </w:tc>
        <w:tc>
          <w:tcPr>
            <w:tcW w:type="dxa" w:w="1039"/>
          </w:tcPr>
          <w:p>
            <w:r>
              <w:rPr>
                <w:sz w:val="20"/>
              </w:rPr>
              <w:t>Syndrome main-pied (+++), mucite, aplasie, cardiotoxicité</w:t>
            </w:r>
          </w:p>
        </w:tc>
        <w:tc>
          <w:tcPr>
            <w:tcW w:type="dxa" w:w="1039"/>
          </w:tcPr>
          <w:p>
            <w:r>
              <w:rPr>
                <w:sz w:val="20"/>
              </w:rPr>
              <w:t>Non</w:t>
            </w:r>
          </w:p>
        </w:tc>
        <w:tc>
          <w:tcPr>
            <w:tcW w:type="dxa" w:w="1039"/>
          </w:tcPr>
          <w:p>
            <w:r>
              <w:rPr>
                <w:sz w:val="20"/>
              </w:rPr>
              <w:t>Dépistage déficit DPD</w:t>
            </w:r>
          </w:p>
        </w:tc>
        <w:tc>
          <w:tcPr>
            <w:tcW w:type="dxa" w:w="1039"/>
          </w:tcPr>
          <w:p>
            <w:r>
              <w:rPr>
                <w:sz w:val="20"/>
              </w:rPr>
              <w:t>Per os biquotidien J1-J14 ; cancer sein, colorectal, gastrique ; déficit DPD</w:t>
            </w:r>
          </w:p>
        </w:tc>
      </w:tr>
      <w:tr>
        <w:tc>
          <w:tcPr>
            <w:tcW w:type="dxa" w:w="1039"/>
          </w:tcPr>
          <w:p>
            <w:r>
              <w:rPr>
                <w:sz w:val="20"/>
              </w:rPr>
              <w:t>**Mercaptopurine**</w:t>
            </w:r>
          </w:p>
        </w:tc>
        <w:tc>
          <w:tcPr>
            <w:tcW w:type="dxa" w:w="1039"/>
          </w:tcPr>
          <w:p>
            <w:r>
              <w:rPr>
                <w:sz w:val="20"/>
              </w:rPr>
              <w:t>Analogue de purine</w:t>
            </w:r>
          </w:p>
        </w:tc>
        <w:tc>
          <w:tcPr>
            <w:tcW w:type="dxa" w:w="1039"/>
          </w:tcPr>
          <w:p>
            <w:r>
              <w:rPr>
                <w:sz w:val="20"/>
              </w:rPr>
              <w:t>Incorporation ADN/ARN (TGMP, TIMP)</w:t>
            </w:r>
          </w:p>
        </w:tc>
        <w:tc>
          <w:tcPr>
            <w:tcW w:type="dxa" w:w="1039"/>
          </w:tcPr>
          <w:p>
            <w:r>
              <w:rPr>
                <w:sz w:val="20"/>
              </w:rPr>
              <w:t>Phase S</w:t>
            </w:r>
          </w:p>
        </w:tc>
        <w:tc>
          <w:tcPr>
            <w:tcW w:type="dxa" w:w="1039"/>
          </w:tcPr>
          <w:p>
            <w:r>
              <w:rPr>
                <w:sz w:val="20"/>
              </w:rPr>
              <w:t>Métabolique (TPMT, XO)</w:t>
            </w:r>
          </w:p>
        </w:tc>
        <w:tc>
          <w:tcPr>
            <w:tcW w:type="dxa" w:w="1039"/>
          </w:tcPr>
          <w:p>
            <w:r>
              <w:rPr>
                <w:sz w:val="20"/>
              </w:rPr>
              <w:t>Aplasie, hépatotoxicité, pancréatite</w:t>
            </w:r>
          </w:p>
        </w:tc>
        <w:tc>
          <w:tcPr>
            <w:tcW w:type="dxa" w:w="1039"/>
          </w:tcPr>
          <w:p>
            <w:r>
              <w:rPr>
                <w:sz w:val="20"/>
              </w:rPr>
              <w:t>Non</w:t>
            </w:r>
          </w:p>
        </w:tc>
        <w:tc>
          <w:tcPr>
            <w:tcW w:type="dxa" w:w="1039"/>
          </w:tcPr>
          <w:p>
            <w:r>
              <w:rPr>
                <w:sz w:val="20"/>
              </w:rPr>
              <w:t>Allopurinol (réduit dose 25-75 %)</w:t>
            </w:r>
          </w:p>
        </w:tc>
        <w:tc>
          <w:tcPr>
            <w:tcW w:type="dxa" w:w="1039"/>
          </w:tcPr>
          <w:p>
            <w:r>
              <w:rPr>
                <w:sz w:val="20"/>
              </w:rPr>
              <w:t>Déficit TPMT (génotypage) ; ALL maintenance enfant ; allopurinol interaction</w:t>
            </w:r>
          </w:p>
        </w:tc>
      </w:tr>
      <w:tr>
        <w:tc>
          <w:tcPr>
            <w:tcW w:type="dxa" w:w="1039"/>
          </w:tcPr>
          <w:p>
            <w:r>
              <w:rPr>
                <w:sz w:val="20"/>
              </w:rPr>
              <w:t>**Fludarabine**</w:t>
            </w:r>
          </w:p>
        </w:tc>
        <w:tc>
          <w:tcPr>
            <w:tcW w:type="dxa" w:w="1039"/>
          </w:tcPr>
          <w:p>
            <w:r>
              <w:rPr>
                <w:sz w:val="20"/>
              </w:rPr>
              <w:t>Analogue de purine (fluoré)</w:t>
            </w:r>
          </w:p>
        </w:tc>
        <w:tc>
          <w:tcPr>
            <w:tcW w:type="dxa" w:w="1039"/>
          </w:tcPr>
          <w:p>
            <w:r>
              <w:rPr>
                <w:sz w:val="20"/>
              </w:rPr>
              <w:t>Incorporation ADN → inhibition ADN polymérase α, ribonucléotide réductase</w:t>
            </w:r>
          </w:p>
        </w:tc>
        <w:tc>
          <w:tcPr>
            <w:tcW w:type="dxa" w:w="1039"/>
          </w:tcPr>
          <w:p>
            <w:r>
              <w:rPr>
                <w:sz w:val="20"/>
              </w:rPr>
              <w:t>Phase S (cycle spécifique)</w:t>
            </w:r>
          </w:p>
        </w:tc>
        <w:tc>
          <w:tcPr>
            <w:tcW w:type="dxa" w:w="1039"/>
          </w:tcPr>
          <w:p>
            <w:r>
              <w:rPr>
                <w:sz w:val="20"/>
              </w:rPr>
              <w:t>Rénale (+++)</w:t>
            </w:r>
          </w:p>
        </w:tc>
        <w:tc>
          <w:tcPr>
            <w:tcW w:type="dxa" w:w="1039"/>
          </w:tcPr>
          <w:p>
            <w:r>
              <w:rPr>
                <w:sz w:val="20"/>
              </w:rPr>
              <w:t>Aplasie prolongée, immunosuppression majeure, neurotoxicité HD, auto-immunité</w:t>
            </w:r>
          </w:p>
        </w:tc>
        <w:tc>
          <w:tcPr>
            <w:tcW w:type="dxa" w:w="1039"/>
          </w:tcPr>
          <w:p>
            <w:r>
              <w:rPr>
                <w:sz w:val="20"/>
              </w:rPr>
              <w:t>Non</w:t>
            </w:r>
          </w:p>
        </w:tc>
        <w:tc>
          <w:tcPr>
            <w:tcW w:type="dxa" w:w="1039"/>
          </w:tcPr>
          <w:p>
            <w:r>
              <w:rPr>
                <w:sz w:val="20"/>
              </w:rPr>
              <w:t>Aucun (dialyse inefficace)</w:t>
            </w:r>
          </w:p>
        </w:tc>
        <w:tc>
          <w:tcPr>
            <w:tcW w:type="dxa" w:w="1039"/>
          </w:tcPr>
          <w:p>
            <w:r>
              <w:rPr>
                <w:sz w:val="20"/>
              </w:rPr>
              <w:t>LLC ; prophylaxie GVHD ; infections opportunistes (PCP, herpès, listériose)</w:t>
            </w:r>
          </w:p>
        </w:tc>
      </w:tr>
      <w:tr>
        <w:tc>
          <w:tcPr>
            <w:tcW w:type="dxa" w:w="1039"/>
          </w:tcPr>
          <w:p>
            <w:r>
              <w:rPr>
                <w:sz w:val="20"/>
              </w:rPr>
              <w:t>**Cladribine**</w:t>
            </w:r>
          </w:p>
        </w:tc>
        <w:tc>
          <w:tcPr>
            <w:tcW w:type="dxa" w:w="1039"/>
          </w:tcPr>
          <w:p>
            <w:r>
              <w:rPr>
                <w:sz w:val="20"/>
              </w:rPr>
              <w:t>Analogue de purine (chloré)</w:t>
            </w:r>
          </w:p>
        </w:tc>
        <w:tc>
          <w:tcPr>
            <w:tcW w:type="dxa" w:w="1039"/>
          </w:tcPr>
          <w:p>
            <w:r>
              <w:rPr>
                <w:sz w:val="20"/>
              </w:rPr>
              <w:t>Incorporation ADN → inhibition ADN polymérase, RNR</w:t>
            </w:r>
          </w:p>
        </w:tc>
        <w:tc>
          <w:tcPr>
            <w:tcW w:type="dxa" w:w="1039"/>
          </w:tcPr>
          <w:p>
            <w:r>
              <w:rPr>
                <w:sz w:val="20"/>
              </w:rPr>
              <w:t>Cycle-non-spécifique (cellules quiescentes incluses)</w:t>
            </w:r>
          </w:p>
        </w:tc>
        <w:tc>
          <w:tcPr>
            <w:tcW w:type="dxa" w:w="1039"/>
          </w:tcPr>
          <w:p>
            <w:r>
              <w:rPr>
                <w:sz w:val="20"/>
              </w:rPr>
              <w:t>Rénale (+++)</w:t>
            </w:r>
          </w:p>
        </w:tc>
        <w:tc>
          <w:tcPr>
            <w:tcW w:type="dxa" w:w="1039"/>
          </w:tcPr>
          <w:p>
            <w:r>
              <w:rPr>
                <w:sz w:val="20"/>
              </w:rPr>
              <w:t>Lymphopénie CD4 prolongée (4-5 ans), immunosuppression, aplasie</w:t>
            </w:r>
          </w:p>
        </w:tc>
        <w:tc>
          <w:tcPr>
            <w:tcW w:type="dxa" w:w="1039"/>
          </w:tcPr>
          <w:p>
            <w:r>
              <w:rPr>
                <w:sz w:val="20"/>
              </w:rPr>
              <w:t>Non</w:t>
            </w:r>
          </w:p>
        </w:tc>
        <w:tc>
          <w:tcPr>
            <w:tcW w:type="dxa" w:w="1039"/>
          </w:tcPr>
          <w:p>
            <w:r>
              <w:rPr>
                <w:sz w:val="20"/>
              </w:rPr>
              <w:t>Aucun</w:t>
            </w:r>
          </w:p>
        </w:tc>
        <w:tc>
          <w:tcPr>
            <w:tcW w:type="dxa" w:w="1039"/>
          </w:tcPr>
          <w:p>
            <w:r>
              <w:rPr>
                <w:sz w:val="20"/>
              </w:rPr>
              <w:t>HCL (rémission 80 % cure unique), SEP (2 cures/an x 2 ans) ; surveillance CD4 5 ans</w:t>
            </w:r>
          </w:p>
        </w:tc>
      </w:tr>
      <w:tr>
        <w:tc>
          <w:tcPr>
            <w:tcW w:type="dxa" w:w="1039"/>
          </w:tcPr>
          <w:p>
            <w:r>
              <w:rPr>
                <w:sz w:val="20"/>
              </w:rPr>
              <w:t>**Cytarabine (Ara-C)**</w:t>
            </w:r>
          </w:p>
        </w:tc>
        <w:tc>
          <w:tcPr>
            <w:tcW w:type="dxa" w:w="1039"/>
          </w:tcPr>
          <w:p>
            <w:r>
              <w:rPr>
                <w:sz w:val="20"/>
              </w:rPr>
              <w:t>Analogue de pyrimidine</w:t>
            </w:r>
          </w:p>
        </w:tc>
        <w:tc>
          <w:tcPr>
            <w:tcW w:type="dxa" w:w="1039"/>
          </w:tcPr>
          <w:p>
            <w:r>
              <w:rPr>
                <w:sz w:val="20"/>
              </w:rPr>
              <w:t>Incorporation ADN → terminaison de chaîne</w:t>
            </w:r>
          </w:p>
        </w:tc>
        <w:tc>
          <w:tcPr>
            <w:tcW w:type="dxa" w:w="1039"/>
          </w:tcPr>
          <w:p>
            <w:r>
              <w:rPr>
                <w:sz w:val="20"/>
              </w:rPr>
              <w:t>Phase S</w:t>
            </w:r>
          </w:p>
        </w:tc>
        <w:tc>
          <w:tcPr>
            <w:tcW w:type="dxa" w:w="1039"/>
          </w:tcPr>
          <w:p>
            <w:r>
              <w:rPr>
                <w:sz w:val="20"/>
              </w:rPr>
              <w:t>Métabolique (CDA hépatique)</w:t>
            </w:r>
          </w:p>
        </w:tc>
        <w:tc>
          <w:tcPr>
            <w:tcW w:type="dxa" w:w="1039"/>
          </w:tcPr>
          <w:p>
            <w:r>
              <w:rPr>
                <w:sz w:val="20"/>
              </w:rPr>
              <w:t>Aplasie sévère, mucite, conjonctivite, fièvre, neurotoxicité HD</w:t>
            </w:r>
          </w:p>
        </w:tc>
        <w:tc>
          <w:tcPr>
            <w:tcW w:type="dxa" w:w="1039"/>
          </w:tcPr>
          <w:p>
            <w:r>
              <w:rPr>
                <w:sz w:val="20"/>
              </w:rPr>
              <w:t>Non</w:t>
            </w:r>
          </w:p>
        </w:tc>
        <w:tc>
          <w:tcPr>
            <w:tcW w:type="dxa" w:w="1039"/>
          </w:tcPr>
          <w:p>
            <w:r>
              <w:rPr>
                <w:sz w:val="20"/>
              </w:rPr>
              <w:t>Corticoïdes oculaires ; folinate inefficace</w:t>
            </w:r>
          </w:p>
        </w:tc>
        <w:tc>
          <w:tcPr>
            <w:tcW w:type="dxa" w:w="1039"/>
          </w:tcPr>
          <w:p>
            <w:r>
              <w:rPr>
                <w:sz w:val="20"/>
              </w:rPr>
              <w:t>LAM induction (7+3), LAM HD-Ara-C, LNH, méningites ; TLS, syndrome d'Ara-C</w:t>
            </w:r>
          </w:p>
        </w:tc>
      </w:tr>
      <w:tr>
        <w:tc>
          <w:tcPr>
            <w:tcW w:type="dxa" w:w="1039"/>
          </w:tcPr>
          <w:p>
            <w:r>
              <w:rPr>
                <w:sz w:val="20"/>
              </w:rPr>
              <w:t>**Gemcitabine**</w:t>
            </w:r>
          </w:p>
        </w:tc>
        <w:tc>
          <w:tcPr>
            <w:tcW w:type="dxa" w:w="1039"/>
          </w:tcPr>
          <w:p>
            <w:r>
              <w:rPr>
                <w:sz w:val="20"/>
              </w:rPr>
              <w:t>Analogue de pyrimidine (difluoro)</w:t>
            </w:r>
          </w:p>
        </w:tc>
        <w:tc>
          <w:tcPr>
            <w:tcW w:type="dxa" w:w="1039"/>
          </w:tcPr>
          <w:p>
            <w:r>
              <w:rPr>
                <w:sz w:val="20"/>
              </w:rPr>
              <w:t>Incorporation ADN + « masked chain termination » + inhibition RNR</w:t>
            </w:r>
          </w:p>
        </w:tc>
        <w:tc>
          <w:tcPr>
            <w:tcW w:type="dxa" w:w="1039"/>
          </w:tcPr>
          <w:p>
            <w:r>
              <w:rPr>
                <w:sz w:val="20"/>
              </w:rPr>
              <w:t>Phase S</w:t>
            </w:r>
          </w:p>
        </w:tc>
        <w:tc>
          <w:tcPr>
            <w:tcW w:type="dxa" w:w="1039"/>
          </w:tcPr>
          <w:p>
            <w:r>
              <w:rPr>
                <w:sz w:val="20"/>
              </w:rPr>
              <w:t>Rénale et métabolique</w:t>
            </w:r>
          </w:p>
        </w:tc>
        <w:tc>
          <w:tcPr>
            <w:tcW w:type="dxa" w:w="1039"/>
          </w:tcPr>
          <w:p>
            <w:r>
              <w:rPr>
                <w:sz w:val="20"/>
              </w:rPr>
              <w:t>Aplasie, hépatotoxicité, syndrome respiratoire aigu, syndrome HUS-like, syndrome main-pied</w:t>
            </w:r>
          </w:p>
        </w:tc>
        <w:tc>
          <w:tcPr>
            <w:tcW w:type="dxa" w:w="1039"/>
          </w:tcPr>
          <w:p>
            <w:r>
              <w:rPr>
                <w:sz w:val="20"/>
              </w:rPr>
              <w:t>Non</w:t>
            </w:r>
          </w:p>
        </w:tc>
        <w:tc>
          <w:tcPr>
            <w:tcW w:type="dxa" w:w="1039"/>
          </w:tcPr>
          <w:p>
            <w:r>
              <w:rPr>
                <w:sz w:val="20"/>
              </w:rPr>
              <w:t>Aucun</w:t>
            </w:r>
          </w:p>
        </w:tc>
        <w:tc>
          <w:tcPr>
            <w:tcW w:type="dxa" w:w="1039"/>
          </w:tcPr>
          <w:p>
            <w:r>
              <w:rPr>
                <w:sz w:val="20"/>
              </w:rPr>
              <w:t>Pancreas, sein, vessie, NSCLC, ovaire ; perfusion 30 min fixe (ne pas dépasser) ; radio-sensibilisant</w:t>
            </w:r>
          </w:p>
        </w:tc>
      </w:tr>
      <w:tr>
        <w:tc>
          <w:tcPr>
            <w:tcW w:type="dxa" w:w="1039"/>
          </w:tcPr>
          <w:p>
            <w:r>
              <w:rPr>
                <w:sz w:val="20"/>
              </w:rPr>
              <w:t>**Azacitidine**</w:t>
            </w:r>
          </w:p>
        </w:tc>
        <w:tc>
          <w:tcPr>
            <w:tcW w:type="dxa" w:w="1039"/>
          </w:tcPr>
          <w:p>
            <w:r>
              <w:rPr>
                <w:sz w:val="20"/>
              </w:rPr>
              <w:t>Hypométhylant (analog. cytidine)</w:t>
            </w:r>
          </w:p>
        </w:tc>
        <w:tc>
          <w:tcPr>
            <w:tcW w:type="dxa" w:w="1039"/>
          </w:tcPr>
          <w:p>
            <w:r>
              <w:rPr>
                <w:sz w:val="20"/>
              </w:rPr>
              <w:t>Incorporation ARN/ADN → piège DNMT → hypométhylation</w:t>
            </w:r>
          </w:p>
        </w:tc>
        <w:tc>
          <w:tcPr>
            <w:tcW w:type="dxa" w:w="1039"/>
          </w:tcPr>
          <w:p>
            <w:r>
              <w:rPr>
                <w:sz w:val="20"/>
              </w:rPr>
              <w:t>Phase S</w:t>
            </w:r>
          </w:p>
        </w:tc>
        <w:tc>
          <w:tcPr>
            <w:tcW w:type="dxa" w:w="1039"/>
          </w:tcPr>
          <w:p>
            <w:r>
              <w:rPr>
                <w:sz w:val="20"/>
              </w:rPr>
              <w:t>Métabolique (uridine phosphorylase cytidine déaminase)</w:t>
            </w:r>
          </w:p>
        </w:tc>
        <w:tc>
          <w:tcPr>
            <w:tcW w:type="dxa" w:w="1039"/>
          </w:tcPr>
          <w:p>
            <w:r>
              <w:rPr>
                <w:sz w:val="20"/>
              </w:rPr>
              <w:t>Cytopénies, fatigue, constipation, pneumopathie hypoxémique</w:t>
            </w:r>
          </w:p>
        </w:tc>
        <w:tc>
          <w:tcPr>
            <w:tcW w:type="dxa" w:w="1039"/>
          </w:tcPr>
          <w:p>
            <w:r>
              <w:rPr>
                <w:sz w:val="20"/>
              </w:rPr>
              <w:t>Non</w:t>
            </w:r>
          </w:p>
        </w:tc>
        <w:tc>
          <w:tcPr>
            <w:tcW w:type="dxa" w:w="1039"/>
          </w:tcPr>
          <w:p>
            <w:r>
              <w:rPr>
                <w:sz w:val="20"/>
              </w:rPr>
              <w:t>Aucun</w:t>
            </w:r>
          </w:p>
        </w:tc>
        <w:tc>
          <w:tcPr>
            <w:tcW w:type="dxa" w:w="1039"/>
          </w:tcPr>
          <w:p>
            <w:r>
              <w:rPr>
                <w:sz w:val="20"/>
              </w:rPr>
              <w:t>SMD, LAM âgé ; SC x 7 j / 28 j ; survie globale ++ ; réponse hypométhylation</w:t>
            </w:r>
          </w:p>
        </w:tc>
      </w:tr>
      <w:tr>
        <w:tc>
          <w:tcPr>
            <w:tcW w:type="dxa" w:w="1039"/>
          </w:tcPr>
          <w:p>
            <w:r>
              <w:rPr>
                <w:sz w:val="20"/>
              </w:rPr>
              <w:t>**Hydroxycarbamide**</w:t>
            </w:r>
          </w:p>
        </w:tc>
        <w:tc>
          <w:tcPr>
            <w:tcW w:type="dxa" w:w="1039"/>
          </w:tcPr>
          <w:p>
            <w:r>
              <w:rPr>
                <w:sz w:val="20"/>
              </w:rPr>
              <w:t>Hydroxyurée</w:t>
            </w:r>
          </w:p>
        </w:tc>
        <w:tc>
          <w:tcPr>
            <w:tcW w:type="dxa" w:w="1039"/>
          </w:tcPr>
          <w:p>
            <w:r>
              <w:rPr>
                <w:sz w:val="20"/>
              </w:rPr>
              <w:t>Inhibition RNR ( Tyr radical)</w:t>
            </w:r>
          </w:p>
        </w:tc>
        <w:tc>
          <w:tcPr>
            <w:tcW w:type="dxa" w:w="1039"/>
          </w:tcPr>
          <w:p>
            <w:r>
              <w:rPr>
                <w:sz w:val="20"/>
              </w:rPr>
              <w:t>Phase S</w:t>
            </w:r>
          </w:p>
        </w:tc>
        <w:tc>
          <w:tcPr>
            <w:tcW w:type="dxa" w:w="1039"/>
          </w:tcPr>
          <w:p>
            <w:r>
              <w:rPr>
                <w:sz w:val="20"/>
              </w:rPr>
              <w:t>Rénale (+++)</w:t>
            </w:r>
          </w:p>
        </w:tc>
        <w:tc>
          <w:tcPr>
            <w:tcW w:type="dxa" w:w="1039"/>
          </w:tcPr>
          <w:p>
            <w:r>
              <w:rPr>
                <w:sz w:val="20"/>
              </w:rPr>
              <w:t>Aplasie, mucite, ulcères cutanés, syndrome de lyse</w:t>
            </w:r>
          </w:p>
        </w:tc>
        <w:tc>
          <w:tcPr>
            <w:tcW w:type="dxa" w:w="1039"/>
          </w:tcPr>
          <w:p>
            <w:r>
              <w:rPr>
                <w:sz w:val="20"/>
              </w:rPr>
              <w:t>Non</w:t>
            </w:r>
          </w:p>
        </w:tc>
        <w:tc>
          <w:tcPr>
            <w:tcW w:type="dxa" w:w="1039"/>
          </w:tcPr>
          <w:p>
            <w:r>
              <w:rPr>
                <w:sz w:val="20"/>
              </w:rPr>
              <w:t>Aucun</w:t>
            </w:r>
          </w:p>
        </w:tc>
        <w:tc>
          <w:tcPr>
            <w:tcW w:type="dxa" w:w="1039"/>
          </w:tcPr>
          <w:p>
            <w:r>
              <w:rPr>
                <w:sz w:val="20"/>
              </w:rPr>
              <w:t>LMC, SMD, Vaquez, thrombocythémie essentielle ; drépanocytose (prévention crise)</w:t>
            </w:r>
          </w:p>
        </w:tc>
      </w:tr>
      <w:tr>
        <w:tc>
          <w:tcPr>
            <w:tcW w:type="dxa" w:w="1039"/>
          </w:tcPr>
          <w:p>
            <w:r>
              <w:rPr>
                <w:sz w:val="20"/>
              </w:rPr>
              <w:t>**Doxorubicine**</w:t>
            </w:r>
          </w:p>
        </w:tc>
        <w:tc>
          <w:tcPr>
            <w:tcW w:type="dxa" w:w="1039"/>
          </w:tcPr>
          <w:p>
            <w:r>
              <w:rPr>
                <w:sz w:val="20"/>
              </w:rPr>
              <w:t>Anthracycline</w:t>
            </w:r>
          </w:p>
        </w:tc>
        <w:tc>
          <w:tcPr>
            <w:tcW w:type="dxa" w:w="1039"/>
          </w:tcPr>
          <w:p>
            <w:r>
              <w:rPr>
                <w:sz w:val="20"/>
              </w:rPr>
              <w:t>Intercalation ADN + inhibition topo II + radicaux libres (Fe²⁺)</w:t>
            </w:r>
          </w:p>
        </w:tc>
        <w:tc>
          <w:tcPr>
            <w:tcW w:type="dxa" w:w="1039"/>
          </w:tcPr>
          <w:p>
            <w:r>
              <w:rPr>
                <w:sz w:val="20"/>
              </w:rPr>
              <w:t>Cycle-non-spécifique</w:t>
            </w:r>
          </w:p>
        </w:tc>
        <w:tc>
          <w:tcPr>
            <w:tcW w:type="dxa" w:w="1039"/>
          </w:tcPr>
          <w:p>
            <w:r>
              <w:rPr>
                <w:sz w:val="20"/>
              </w:rPr>
              <w:t>Biliaire (+++)</w:t>
            </w:r>
          </w:p>
        </w:tc>
        <w:tc>
          <w:tcPr>
            <w:tcW w:type="dxa" w:w="1039"/>
          </w:tcPr>
          <w:p>
            <w:r>
              <w:rPr>
                <w:sz w:val="20"/>
              </w:rPr>
              <w:t>**Cardiotoxicité cumulative** (450-550 mg/m²), aplasie, mucite, alopécie, extravasation</w:t>
            </w:r>
          </w:p>
        </w:tc>
        <w:tc>
          <w:tcPr>
            <w:tcW w:type="dxa" w:w="1039"/>
          </w:tcPr>
          <w:p>
            <w:r>
              <w:rPr>
                <w:sz w:val="20"/>
              </w:rPr>
              <w:t>**450-550 mg/m²**</w:t>
            </w:r>
          </w:p>
        </w:tc>
        <w:tc>
          <w:tcPr>
            <w:tcW w:type="dxa" w:w="1039"/>
          </w:tcPr>
          <w:p>
            <w:r>
              <w:rPr>
                <w:sz w:val="20"/>
              </w:rPr>
              <w:t>Dexrazoxane ( cardioprotection) ; liposome pegylated (LIPODOX)</w:t>
            </w:r>
          </w:p>
        </w:tc>
        <w:tc>
          <w:tcPr>
            <w:tcW w:type="dxa" w:w="1039"/>
          </w:tcPr>
          <w:p>
            <w:r>
              <w:rPr>
                <w:sz w:val="20"/>
              </w:rPr>
              <w:t>Sarcome de Kaposi, sein, ovaire, LNH, sarcomes ; LIPODOX (cardiotox réduite)</w:t>
            </w:r>
          </w:p>
        </w:tc>
      </w:tr>
      <w:tr>
        <w:tc>
          <w:tcPr>
            <w:tcW w:type="dxa" w:w="1039"/>
          </w:tcPr>
          <w:p>
            <w:r>
              <w:rPr>
                <w:sz w:val="20"/>
              </w:rPr>
              <w:t>**Daunorubicine**</w:t>
            </w:r>
          </w:p>
        </w:tc>
        <w:tc>
          <w:tcPr>
            <w:tcW w:type="dxa" w:w="1039"/>
          </w:tcPr>
          <w:p>
            <w:r>
              <w:rPr>
                <w:sz w:val="20"/>
              </w:rPr>
              <w:t>Anthracycline</w:t>
            </w:r>
          </w:p>
        </w:tc>
        <w:tc>
          <w:tcPr>
            <w:tcW w:type="dxa" w:w="1039"/>
          </w:tcPr>
          <w:p>
            <w:r>
              <w:rPr>
                <w:sz w:val="20"/>
              </w:rPr>
              <w:t>Intercalation ADN + inhibition topo II + radicaux libres</w:t>
            </w:r>
          </w:p>
        </w:tc>
        <w:tc>
          <w:tcPr>
            <w:tcW w:type="dxa" w:w="1039"/>
          </w:tcPr>
          <w:p>
            <w:r>
              <w:rPr>
                <w:sz w:val="20"/>
              </w:rPr>
              <w:t>Cycle-non-spécifique</w:t>
            </w:r>
          </w:p>
        </w:tc>
        <w:tc>
          <w:tcPr>
            <w:tcW w:type="dxa" w:w="1039"/>
          </w:tcPr>
          <w:p>
            <w:r>
              <w:rPr>
                <w:sz w:val="20"/>
              </w:rPr>
              <w:t>Biliaire (+++)</w:t>
            </w:r>
          </w:p>
        </w:tc>
        <w:tc>
          <w:tcPr>
            <w:tcW w:type="dxa" w:w="1039"/>
          </w:tcPr>
          <w:p>
            <w:r>
              <w:rPr>
                <w:sz w:val="20"/>
              </w:rPr>
              <w:t>**Cardiotoxicité cumulative** (400-500 mg/m²), aplasie, mucite, alopécie, extravasation</w:t>
            </w:r>
          </w:p>
        </w:tc>
        <w:tc>
          <w:tcPr>
            <w:tcW w:type="dxa" w:w="1039"/>
          </w:tcPr>
          <w:p>
            <w:r>
              <w:rPr>
                <w:sz w:val="20"/>
              </w:rPr>
              <w:t>**400-500 mg/m²**</w:t>
            </w:r>
          </w:p>
        </w:tc>
        <w:tc>
          <w:tcPr>
            <w:tcW w:type="dxa" w:w="1039"/>
          </w:tcPr>
          <w:p>
            <w:r>
              <w:rPr>
                <w:sz w:val="20"/>
              </w:rPr>
              <w:t>Dexrazoxane ; liposomal</w:t>
            </w:r>
          </w:p>
        </w:tc>
        <w:tc>
          <w:tcPr>
            <w:tcW w:type="dxa" w:w="1039"/>
          </w:tcPr>
          <w:p>
            <w:r>
              <w:rPr>
                <w:sz w:val="20"/>
              </w:rPr>
              <w:t>LAM induction (3+7), LAL induction</w:t>
            </w:r>
          </w:p>
        </w:tc>
      </w:tr>
      <w:tr>
        <w:tc>
          <w:tcPr>
            <w:tcW w:type="dxa" w:w="1039"/>
          </w:tcPr>
          <w:p>
            <w:r>
              <w:rPr>
                <w:sz w:val="20"/>
              </w:rPr>
              <w:t>**Epirubicine**</w:t>
            </w:r>
          </w:p>
        </w:tc>
        <w:tc>
          <w:tcPr>
            <w:tcW w:type="dxa" w:w="1039"/>
          </w:tcPr>
          <w:p>
            <w:r>
              <w:rPr>
                <w:sz w:val="20"/>
              </w:rPr>
              <w:t>Anthracycline</w:t>
            </w:r>
          </w:p>
        </w:tc>
        <w:tc>
          <w:tcPr>
            <w:tcW w:type="dxa" w:w="1039"/>
          </w:tcPr>
          <w:p>
            <w:r>
              <w:rPr>
                <w:sz w:val="20"/>
              </w:rPr>
              <w:t>Intercalation ADN + inhibition topo II + radicaux libres (métabolite actif épirubinol)</w:t>
            </w:r>
          </w:p>
        </w:tc>
        <w:tc>
          <w:tcPr>
            <w:tcW w:type="dxa" w:w="1039"/>
          </w:tcPr>
          <w:p>
            <w:r>
              <w:rPr>
                <w:sz w:val="20"/>
              </w:rPr>
              <w:t>Cycle-non-spécifique</w:t>
            </w:r>
          </w:p>
        </w:tc>
        <w:tc>
          <w:tcPr>
            <w:tcW w:type="dxa" w:w="1039"/>
          </w:tcPr>
          <w:p>
            <w:r>
              <w:rPr>
                <w:sz w:val="20"/>
              </w:rPr>
              <w:t>Biliaire (+++)</w:t>
            </w:r>
          </w:p>
        </w:tc>
        <w:tc>
          <w:tcPr>
            <w:tcW w:type="dxa" w:w="1039"/>
          </w:tcPr>
          <w:p>
            <w:r>
              <w:rPr>
                <w:sz w:val="20"/>
              </w:rPr>
              <w:t>**Cardiotoxicité cumulative** (900-1000 mg/m², moindre que doxorubicine), aplasie, mucite, alopécie</w:t>
            </w:r>
          </w:p>
        </w:tc>
        <w:tc>
          <w:tcPr>
            <w:tcW w:type="dxa" w:w="1039"/>
          </w:tcPr>
          <w:p>
            <w:r>
              <w:rPr>
                <w:sz w:val="20"/>
              </w:rPr>
              <w:t>**900-1000 mg/m²**</w:t>
            </w:r>
          </w:p>
        </w:tc>
        <w:tc>
          <w:tcPr>
            <w:tcW w:type="dxa" w:w="1039"/>
          </w:tcPr>
          <w:p>
            <w:r>
              <w:rPr>
                <w:sz w:val="20"/>
              </w:rPr>
              <w:t>Dexrazoxane</w:t>
            </w:r>
          </w:p>
        </w:tc>
        <w:tc>
          <w:tcPr>
            <w:tcW w:type="dxa" w:w="1039"/>
          </w:tcPr>
          <w:p>
            <w:r>
              <w:rPr>
                <w:sz w:val="20"/>
              </w:rPr>
              <w:t>Sein adjuvant (FEC), vessie intra-vésicale, LNH</w:t>
            </w:r>
          </w:p>
        </w:tc>
      </w:tr>
      <w:tr>
        <w:tc>
          <w:tcPr>
            <w:tcW w:type="dxa" w:w="1039"/>
          </w:tcPr>
          <w:p>
            <w:r>
              <w:rPr>
                <w:sz w:val="20"/>
              </w:rPr>
              <w:t>**Mitoxantrone**</w:t>
            </w:r>
          </w:p>
        </w:tc>
        <w:tc>
          <w:tcPr>
            <w:tcW w:type="dxa" w:w="1039"/>
          </w:tcPr>
          <w:p>
            <w:r>
              <w:rPr>
                <w:sz w:val="20"/>
              </w:rPr>
              <w:t>Anthracènedione</w:t>
            </w:r>
          </w:p>
        </w:tc>
        <w:tc>
          <w:tcPr>
            <w:tcW w:type="dxa" w:w="1039"/>
          </w:tcPr>
          <w:p>
            <w:r>
              <w:rPr>
                <w:sz w:val="20"/>
              </w:rPr>
              <w:t>Intercalation ADN + inhibition topo II + liaisons covalentes ADN</w:t>
            </w:r>
          </w:p>
        </w:tc>
        <w:tc>
          <w:tcPr>
            <w:tcW w:type="dxa" w:w="1039"/>
          </w:tcPr>
          <w:p>
            <w:r>
              <w:rPr>
                <w:sz w:val="20"/>
              </w:rPr>
              <w:t>Cycle-non-spécifique</w:t>
            </w:r>
          </w:p>
        </w:tc>
        <w:tc>
          <w:tcPr>
            <w:tcW w:type="dxa" w:w="1039"/>
          </w:tcPr>
          <w:p>
            <w:r>
              <w:rPr>
                <w:sz w:val="20"/>
              </w:rPr>
              <w:t>Biliaire (+++)</w:t>
            </w:r>
          </w:p>
        </w:tc>
        <w:tc>
          <w:tcPr>
            <w:tcW w:type="dxa" w:w="1039"/>
          </w:tcPr>
          <w:p>
            <w:r>
              <w:rPr>
                <w:sz w:val="20"/>
              </w:rPr>
              <w:t>**Cardiotoxicité cumulative** (140 mg/m² oncologie, 100 mg/m² SEP), aplasie</w:t>
            </w:r>
          </w:p>
        </w:tc>
        <w:tc>
          <w:tcPr>
            <w:tcW w:type="dxa" w:w="1039"/>
          </w:tcPr>
          <w:p>
            <w:r>
              <w:rPr>
                <w:sz w:val="20"/>
              </w:rPr>
              <w:t>**140 mg/m²** (oncologie) ; **100 mg/m²** (SEP)</w:t>
            </w:r>
          </w:p>
        </w:tc>
        <w:tc>
          <w:tcPr>
            <w:tcW w:type="dxa" w:w="1039"/>
          </w:tcPr>
          <w:p>
            <w:r>
              <w:rPr>
                <w:sz w:val="20"/>
              </w:rPr>
              <w:t>Aucun</w:t>
            </w:r>
          </w:p>
        </w:tc>
        <w:tc>
          <w:tcPr>
            <w:tcW w:type="dxa" w:w="1039"/>
          </w:tcPr>
          <w:p>
            <w:r>
              <w:rPr>
                <w:sz w:val="20"/>
              </w:rPr>
              <w:t>LAM, LNH, sein, prostate, SEP ; urines bleu-vert</w:t>
            </w:r>
          </w:p>
        </w:tc>
      </w:tr>
      <w:tr>
        <w:tc>
          <w:tcPr>
            <w:tcW w:type="dxa" w:w="1039"/>
          </w:tcPr>
          <w:p>
            <w:r>
              <w:rPr>
                <w:sz w:val="20"/>
              </w:rPr>
              <w:t>**Bléomycine**</w:t>
            </w:r>
          </w:p>
        </w:tc>
        <w:tc>
          <w:tcPr>
            <w:tcW w:type="dxa" w:w="1039"/>
          </w:tcPr>
          <w:p>
            <w:r>
              <w:rPr>
                <w:sz w:val="20"/>
              </w:rPr>
              <w:t>Antibiotique antitumoral (glycopeptide)</w:t>
            </w:r>
          </w:p>
        </w:tc>
        <w:tc>
          <w:tcPr>
            <w:tcW w:type="dxa" w:w="1039"/>
          </w:tcPr>
          <w:p>
            <w:r>
              <w:rPr>
                <w:sz w:val="20"/>
              </w:rPr>
              <w:t>Coupure ADN (Fe²⁺ + O₂ → radicaux OH)</w:t>
            </w:r>
          </w:p>
        </w:tc>
        <w:tc>
          <w:tcPr>
            <w:tcW w:type="dxa" w:w="1039"/>
          </w:tcPr>
          <w:p>
            <w:r>
              <w:rPr>
                <w:sz w:val="20"/>
              </w:rPr>
              <w:t>G2 et M</w:t>
            </w:r>
          </w:p>
        </w:tc>
        <w:tc>
          <w:tcPr>
            <w:tcW w:type="dxa" w:w="1039"/>
          </w:tcPr>
          <w:p>
            <w:r>
              <w:rPr>
                <w:sz w:val="20"/>
              </w:rPr>
              <w:t>Rénale (+++) ; inactivation par bléomycine hydrolase (sauf poumons)</w:t>
            </w:r>
          </w:p>
        </w:tc>
        <w:tc>
          <w:tcPr>
            <w:tcW w:type="dxa" w:w="1039"/>
          </w:tcPr>
          <w:p>
            <w:r>
              <w:rPr>
                <w:sz w:val="20"/>
              </w:rPr>
              <w:t>**Pneumotoxicité cumulative** (fibrose), cutanée (Raynaud, pigmentation), mucite modérée</w:t>
            </w:r>
          </w:p>
        </w:tc>
        <w:tc>
          <w:tcPr>
            <w:tcW w:type="dxa" w:w="1039"/>
          </w:tcPr>
          <w:p>
            <w:r>
              <w:rPr>
                <w:sz w:val="20"/>
              </w:rPr>
              <w:t>**300-400 UI/m²** (250 si âge &gt; 70 ans ou RT thoracique)</w:t>
            </w:r>
          </w:p>
        </w:tc>
        <w:tc>
          <w:tcPr>
            <w:tcW w:type="dxa" w:w="1039"/>
          </w:tcPr>
          <w:p>
            <w:r>
              <w:rPr>
                <w:sz w:val="20"/>
              </w:rPr>
              <w:t>Corticothérapie (prednisone 1 mg/kg/j) ; pas d'O₂</w:t>
            </w:r>
          </w:p>
        </w:tc>
        <w:tc>
          <w:tcPr>
            <w:tcW w:type="dxa" w:w="1039"/>
          </w:tcPr>
          <w:p>
            <w:r>
              <w:rPr>
                <w:sz w:val="20"/>
              </w:rPr>
              <w:t>Hodgkin (ABVD), germains (BEP) ; surveillance EFR (DLCO) avant chaque cure ; éviter anesthésie générale avec O₂ 6 mois après</w:t>
            </w:r>
          </w:p>
        </w:tc>
      </w:tr>
      <w:tr>
        <w:tc>
          <w:tcPr>
            <w:tcW w:type="dxa" w:w="1039"/>
          </w:tcPr>
          <w:p>
            <w:r>
              <w:rPr>
                <w:sz w:val="20"/>
              </w:rPr>
              <w:t>**Mitomycine C**</w:t>
            </w:r>
          </w:p>
        </w:tc>
        <w:tc>
          <w:tcPr>
            <w:tcW w:type="dxa" w:w="1039"/>
          </w:tcPr>
          <w:p>
            <w:r>
              <w:rPr>
                <w:sz w:val="20"/>
              </w:rPr>
              <w:t>Antibiotique antitumoral (alkylant)</w:t>
            </w:r>
          </w:p>
        </w:tc>
        <w:tc>
          <w:tcPr>
            <w:tcW w:type="dxa" w:w="1039"/>
          </w:tcPr>
          <w:p>
            <w:r>
              <w:rPr>
                <w:sz w:val="20"/>
              </w:rPr>
              <w:t>Activation réductive → alkylation bifonctionnelle ADN (cross-links inter-brins)</w:t>
            </w:r>
          </w:p>
        </w:tc>
        <w:tc>
          <w:tcPr>
            <w:tcW w:type="dxa" w:w="1039"/>
          </w:tcPr>
          <w:p>
            <w:r>
              <w:rPr>
                <w:sz w:val="20"/>
              </w:rPr>
              <w:t>Cycle-non-spécifique</w:t>
            </w:r>
          </w:p>
        </w:tc>
        <w:tc>
          <w:tcPr>
            <w:tcW w:type="dxa" w:w="1039"/>
          </w:tcPr>
          <w:p>
            <w:r>
              <w:rPr>
                <w:sz w:val="20"/>
              </w:rPr>
              <w:t>Biliaire et rénale</w:t>
            </w:r>
          </w:p>
        </w:tc>
        <w:tc>
          <w:tcPr>
            <w:tcW w:type="dxa" w:w="1039"/>
          </w:tcPr>
          <w:p>
            <w:r>
              <w:rPr>
                <w:sz w:val="20"/>
              </w:rPr>
              <w:t>**Toxicité hématologique retardée** (nadir J28-J35), SHU, pneumotoxicité, extravasation (vésicant majeur)</w:t>
            </w:r>
          </w:p>
        </w:tc>
        <w:tc>
          <w:tcPr>
            <w:tcW w:type="dxa" w:w="1039"/>
          </w:tcPr>
          <w:p>
            <w:r>
              <w:rPr>
                <w:sz w:val="20"/>
              </w:rPr>
              <w:t>**60 mg/m²**</w:t>
            </w:r>
          </w:p>
        </w:tc>
        <w:tc>
          <w:tcPr>
            <w:tcW w:type="dxa" w:w="1039"/>
          </w:tcPr>
          <w:p>
            <w:r>
              <w:rPr>
                <w:sz w:val="20"/>
              </w:rPr>
              <w:t>Sodium thiosulfate (extravasation, effet partiel)</w:t>
            </w:r>
          </w:p>
        </w:tc>
        <w:tc>
          <w:tcPr>
            <w:tcW w:type="dxa" w:w="1039"/>
          </w:tcPr>
          <w:p>
            <w:r>
              <w:rPr>
                <w:sz w:val="20"/>
              </w:rPr>
              <w:t>Estomac, vessie (intra-vésical), anal (Nigro) ; instillation vésicale ; glaucome peropératoire ; interaction vinca-alcaloïdes (bronchospasme)</w:t>
            </w:r>
          </w:p>
        </w:tc>
      </w:tr>
      <w:tr>
        <w:tc>
          <w:tcPr>
            <w:tcW w:type="dxa" w:w="1039"/>
          </w:tcPr>
          <w:p>
            <w:r>
              <w:rPr>
                <w:sz w:val="20"/>
              </w:rPr>
              <w:t>**Dactinomycine**</w:t>
            </w:r>
          </w:p>
        </w:tc>
        <w:tc>
          <w:tcPr>
            <w:tcW w:type="dxa" w:w="1039"/>
          </w:tcPr>
          <w:p>
            <w:r>
              <w:rPr>
                <w:sz w:val="20"/>
              </w:rPr>
              <w:t>Antibiotique antitumoral (peptide chromophore)</w:t>
            </w:r>
          </w:p>
        </w:tc>
        <w:tc>
          <w:tcPr>
            <w:tcW w:type="dxa" w:w="1039"/>
          </w:tcPr>
          <w:p>
            <w:r>
              <w:rPr>
                <w:sz w:val="20"/>
              </w:rPr>
              <w:t>Intercalation ADN (chromophore phénoxazinone) + inhibition ARN polymérase</w:t>
            </w:r>
          </w:p>
        </w:tc>
        <w:tc>
          <w:tcPr>
            <w:tcW w:type="dxa" w:w="1039"/>
          </w:tcPr>
          <w:p>
            <w:r>
              <w:rPr>
                <w:sz w:val="20"/>
              </w:rPr>
              <w:t>Cycle-non-spécifique</w:t>
            </w:r>
          </w:p>
        </w:tc>
        <w:tc>
          <w:tcPr>
            <w:tcW w:type="dxa" w:w="1039"/>
          </w:tcPr>
          <w:p>
            <w:r>
              <w:rPr>
                <w:sz w:val="20"/>
              </w:rPr>
              <w:t>Biliaire et rénale</w:t>
            </w:r>
          </w:p>
        </w:tc>
        <w:tc>
          <w:tcPr>
            <w:tcW w:type="dxa" w:w="1039"/>
          </w:tcPr>
          <w:p>
            <w:r>
              <w:rPr>
                <w:sz w:val="20"/>
              </w:rPr>
              <w:t>Aplasie sévère, mucite sévère, alopécie, hépatotoxicité, radiation recall, immunosuppression</w:t>
            </w:r>
          </w:p>
        </w:tc>
        <w:tc>
          <w:tcPr>
            <w:tcW w:type="dxa" w:w="1039"/>
          </w:tcPr>
          <w:p>
            <w:r>
              <w:rPr>
                <w:sz w:val="20"/>
              </w:rPr>
              <w:t>Non</w:t>
            </w:r>
          </w:p>
        </w:tc>
        <w:tc>
          <w:tcPr>
            <w:tcW w:type="dxa" w:w="1039"/>
          </w:tcPr>
          <w:p>
            <w:r>
              <w:rPr>
                <w:sz w:val="20"/>
              </w:rPr>
              <w:t>Sodium thiosulfate (extravasation, effet partiel)</w:t>
            </w:r>
          </w:p>
        </w:tc>
        <w:tc>
          <w:tcPr>
            <w:tcW w:type="dxa" w:w="1039"/>
          </w:tcPr>
          <w:p>
            <w:r>
              <w:rPr>
                <w:sz w:val="20"/>
              </w:rPr>
              <w:t>Pédiatrie (+++) : Wilms (SIOP-RTWS), rhabdomyosarcome (VAC), Ewing (Euro-E.W.I.N.G.), tumeurs germinales pédiatriques, maladie trophoblastique</w:t>
            </w:r>
          </w:p>
        </w:tc>
      </w:tr>
    </w:tbl>
    <w:p/>
    <w:p>
      <w:pPr>
        <w:pStyle w:val="Heading2"/>
      </w:pPr>
      <w:r>
        <w:t>Conclusion du Chapitre 102</w:t>
      </w:r>
    </w:p>
    <w:p>
      <w:r>
        <w:t xml:space="preserve">Les dix-huit antimétabolites et antibiotiques antitumoraux traités dans ce chapitre illustrent la richesse et la complexité de la pharmacologie anticancéreuse classique. Malgré l'avènement des thérapies ciblées (ITK, anticorps monoclonaux) et de l'immunothérapie (anti-PD-1/PD-L1, anti-CTLA-4), ces molécules « historiques » demeurent </w:t>
      </w:r>
      <w:r>
        <w:rPr>
          <w:b/>
        </w:rPr>
        <w:t>irremplaçables</w:t>
      </w:r>
      <w:r>
        <w:t xml:space="preserve"> dans de nombreuses indications (LAL de l'enfant, ostéosarcome, maladie de Hodgkin, tumeurs germinales, LAM, cancers colorectaux et gastriques, tumeurs pédiatriques embryonnaires). Leur maniement repose sur une </w:t>
      </w:r>
      <w:r>
        <w:rPr>
          <w:b/>
        </w:rPr>
        <w:t>maîtrise fine</w:t>
      </w:r>
      <w:r>
        <w:t xml:space="preserve"> de la pharmacocinétique (élimination rénale du méthotrexate, de la fludarabine, de la cladribine, de la bléomycine ; métabolisme hépatique de la capécitabine par la DPD, de la mercaptopurine par la TPMT, de la cytarabine par la CDA), des </w:t>
      </w:r>
      <w:r>
        <w:rPr>
          <w:b/>
        </w:rPr>
        <w:t>toxicités d'organe spécifiques</w:t>
      </w:r>
      <w:r>
        <w:t xml:space="preserve"> (cardiotoxicité cumulative des anthracyclines — dose seuil 450-550 mg/m² ; pneumotoxicité de la bléomycine — dose seuil 300-400 UI/m² ; SHU de la mitomycine C — dose cumulée 60 mg/m² ; neurotoxicité du méthotrexate et de la cytarabine à haute dose ; aplasie retardée de la mitomycine C — nadir J28-J35), et des </w:t>
      </w:r>
      <w:r>
        <w:rPr>
          <w:b/>
        </w:rPr>
        <w:t>sauvetages thérapeutiques spécifiques</w:t>
      </w:r>
      <w:r>
        <w:t xml:space="preserve"> (folinate de calcium pour le méthotrexate à haute dose ; dexrazoxane pour la cardioprotection des anthracyclines ; formes liposomales pour réduire la cardiotoxicité de la doxorubicine — LIPODOX).</w:t>
      </w:r>
    </w:p>
    <w:p>
      <w:r>
        <w:t xml:space="preserve">La </w:t>
      </w:r>
      <w:r>
        <w:rPr>
          <w:b/>
        </w:rPr>
        <w:t>situation algérienne</w:t>
      </w:r>
      <w:r>
        <w:t xml:space="preserve"> est marquée par une </w:t>
      </w:r>
      <w:r>
        <w:rPr>
          <w:b/>
        </w:rPr>
        <w:t>disparité importante</w:t>
      </w:r>
      <w:r>
        <w:t xml:space="preserve"> de disponibilité : certaines molécules sont largement disponibles sous plusieurs génériques locaux (méthotrexate, gemcitabine, pémétrexed — avec l'arrivée récente de SAIDAL, ALFACARE, HIKMA, IMGSA, HIKMA), tandis que d'autres sont en </w:t>
      </w:r>
      <w:r>
        <w:rPr>
          <w:b/>
        </w:rPr>
        <w:t>indisponibilité chronique préoccupante</w:t>
      </w:r>
      <w:r>
        <w:t xml:space="preserve"> (mitomycine C, dactinomycine — formes retirées ; mitoxantrone — formes non renouvelables). Cette situation impose une vigilance particulière au pharmacien d'officine et au clinicien, qui doivent anticiper les ruptures de stock (autorisation d'importation ponctuelle, switch thérapeutique vers des alternatives) et maintenir une coordination étroite avec les centres anticancéreux (CAC Pierre et Marie Curie d'Alger, EPH CAC d'Oran, EHU de Constantine).</w:t>
      </w:r>
    </w:p>
    <w:p>
      <w:r>
        <w:t xml:space="preserve">Le </w:t>
      </w:r>
      <w:r>
        <w:rPr>
          <w:b/>
        </w:rPr>
        <w:t>rôle du pharmacien</w:t>
      </w:r>
      <w:r>
        <w:t xml:space="preserve"> est central : (i) </w:t>
      </w:r>
      <w:r>
        <w:rPr>
          <w:b/>
        </w:rPr>
        <w:t>dispensation et conseil</w:t>
      </w:r>
      <w:r>
        <w:t xml:space="preserve"> au patient (observance, reconnaissance des signes d'alerte, gestion des effets indésirables courants), (ii) </w:t>
      </w:r>
      <w:r>
        <w:rPr>
          <w:b/>
        </w:rPr>
        <w:t>préparation des doses néoadjuvantes/adjuvantes</w:t>
      </w:r>
      <w:r>
        <w:t xml:space="preserve"> en pharmacie hospitalière avec précautions cytotoxiques strictes (flux laminaire, EPI norme EN 13034), (iii) </w:t>
      </w:r>
      <w:r>
        <w:rPr>
          <w:b/>
        </w:rPr>
        <w:t>surveillance des interactions médicamenteuses</w:t>
      </w:r>
      <w:r>
        <w:t xml:space="preserve"> (notamment méthotrexate + AINS, sulfamides ; capécitabine + Coumadine ; bléomycine + cisplatine ; dactinomycine + vaccins vivants), (iv) </w:t>
      </w:r>
      <w:r>
        <w:rPr>
          <w:b/>
        </w:rPr>
        <w:t>dépistage des déficits enzymatiques</w:t>
      </w:r>
      <w:r>
        <w:t xml:space="preserve"> avant prescription (DPD avant capécitabine/5-FU ; TPMT avant mercaptopurine ; déficit en G6PD avant rasburicase en complément du syndrome de lyse), (v) </w:t>
      </w:r>
      <w:r>
        <w:rPr>
          <w:b/>
        </w:rPr>
        <w:t>participation à la pharmacovigilance</w:t>
      </w:r>
      <w:r>
        <w:t xml:space="preserve"> (déclaration systématique des effets indésirables graves — pneumopathie à bléomycine, SHU à mitomycine, cardiotoxicité des anthracyclines, neutropénies fébriles), (vi) </w:t>
      </w:r>
      <w:r>
        <w:rPr>
          <w:b/>
        </w:rPr>
        <w:t>éducation thérapeutique</w:t>
      </w:r>
      <w:r>
        <w:t xml:space="preserve"> du patient et de sa famille (notamment en pédiatrie — tumeur de Wilms, rhabdomyosarcome, LAL), (vii) </w:t>
      </w:r>
      <w:r>
        <w:rPr>
          <w:b/>
        </w:rPr>
        <w:t>coordination avec les équipes soignantes</w:t>
      </w:r>
      <w:r>
        <w:t xml:space="preserve"> (médecins oncologues, infirmiers d'oncologie, diététiciens, psychologues).</w:t>
      </w:r>
    </w:p>
    <w:p>
      <w:r>
        <w:t xml:space="preserve">La </w:t>
      </w:r>
      <w:r>
        <w:rPr>
          <w:b/>
        </w:rPr>
        <w:t>prévention des erreurs médicamenteuses</w:t>
      </w:r>
      <w:r>
        <w:t xml:space="preserve"> (iatrogénie) est un enjeu majeur de cette classe : (a) </w:t>
      </w:r>
      <w:r>
        <w:rPr>
          <w:b/>
        </w:rPr>
        <w:t>confusion posologique</w:t>
      </w:r>
      <w:r>
        <w:t xml:space="preserve"> du méthotrexate (hebdomadaire en rhumato vs quotidien = erreur potentiellement létale) ; (b) </w:t>
      </w:r>
      <w:r>
        <w:rPr>
          <w:b/>
        </w:rPr>
        <w:t>voie d'administration inadéquate</w:t>
      </w:r>
      <w:r>
        <w:t xml:space="preserve"> (intrathécale vs IV — accident mortel par administration IV de vincristine à la place de methotrexate intrathécal, ou inverse) ; (c) </w:t>
      </w:r>
      <w:r>
        <w:rPr>
          <w:b/>
        </w:rPr>
        <w:t>extravasation</w:t>
      </w:r>
      <w:r>
        <w:t xml:space="preserve"> des vésicants (anthracyclines, mitomycine, dactinomycine) nécessitant un protocole d'urgence (sodium thiosulfate, dexrazoxane, cold-packs, chirurgie reconstructrice) ; (d) </w:t>
      </w:r>
      <w:r>
        <w:rPr>
          <w:b/>
        </w:rPr>
        <w:t>déficit enzymatique non dépisté</w:t>
      </w:r>
      <w:r>
        <w:t xml:space="preserve"> (DPD avant 5-FU/capécitabine — toxicité létale en 4-7 jours ; TPMT avant mercaptopurine — aplasie fulminante) ; (e) </w:t>
      </w:r>
      <w:r>
        <w:rPr>
          <w:b/>
        </w:rPr>
        <w:t>interaction médicamenteuse méconnue</w:t>
      </w:r>
      <w:r>
        <w:t xml:space="preserve"> (méthotrexate + AINS ; capécitabine + Coumadine ; bléomycine + O₂ anesthésie ; dactinomycine + vaccins vivants) ; (f) </w:t>
      </w:r>
      <w:r>
        <w:rPr>
          <w:b/>
        </w:rPr>
        <w:t>surveillance insuffisante</w:t>
      </w:r>
      <w:r>
        <w:t xml:space="preserve"> des toxicités cumulatives (anthracyclines — échographie cardiaque ; bléomycine — EFR avec DLCO ; mitomycine C — NFS hebdomadaire 8 semaines).</w:t>
      </w:r>
    </w:p>
    <w:p>
      <w:r>
        <w:t xml:space="preserve">Enfin, l'émergence de la </w:t>
      </w:r>
      <w:r>
        <w:rPr>
          <w:b/>
        </w:rPr>
        <w:t>génomique oncologique</w:t>
      </w:r>
      <w:r>
        <w:t xml:space="preserve"> et de la </w:t>
      </w:r>
      <w:r>
        <w:rPr>
          <w:b/>
        </w:rPr>
        <w:t>pharmacogénétique</w:t>
      </w:r>
      <w:r>
        <w:t xml:space="preserve"> (détection des polymorphismes DPD, TPMT, MTHFR) tend à transformer la pratique clinique vers une </w:t>
      </w:r>
      <w:r>
        <w:rPr>
          <w:b/>
        </w:rPr>
        <w:t>personnalisation thérapeutique</w:t>
      </w:r>
      <w:r>
        <w:t xml:space="preserve"> qui permettra de réduire la iatrogénie de ces molécules historiques et d'en optimiser l'efficacité. L'avenir verra probablement le développement de </w:t>
      </w:r>
      <w:r>
        <w:rPr>
          <w:b/>
        </w:rPr>
        <w:t>formes galéniques innovantes</w:t>
      </w:r>
      <w:r>
        <w:t xml:space="preserve"> (anthracyclines liposomales pegylated de 2ème génération, conjugaisons anticorps-médicament [ADC] — trastuzumab-deruxtelcan, sacituzumab-govitecan pour le 5-FU/SN38) qui prolongeront la vie de ces molécules emblématiques dans l'arsenal thérapeutique anticancéreux. La pratique du pharmacien algérien devra s'adapter à cette évolution en intégrant progressivement ces nouveaux outils diagnostiques et thérapeutiques.</w:t>
      </w:r>
    </w:p>
    <w:p>
      <w:pPr>
        <w:pStyle w:val="Heading1"/>
      </w:pPr>
      <w:r>
        <w:t>Fascicule XII — Oncologie / Chimiothérapies cytotoxiques</w:t>
      </w:r>
    </w:p>
    <w:p>
      <w:pPr>
        <w:pStyle w:val="Heading2"/>
      </w:pPr>
      <w:r>
        <w:t>Chapitre 103 — Inhibiteurs du fuseau mitotique (Taxanes, Alcaloïdes de la pervenche, Halichondrine) et Inhibiteurs de la topoisomérase (II et I)</w:t>
      </w:r>
    </w:p>
    <w:p>
      <w:pPr>
        <w:pStyle w:val="Heading2"/>
      </w:pPr>
      <w:r>
        <w:t>Introduction du Chapitre 103</w:t>
      </w:r>
    </w:p>
    <w:p>
      <w:r>
        <w:t>La division cellulaire (mitose) et la réplication de l'acide désoxyribonucléique (ADN) constituent deux processus biologiques fondamentaux dont la perturbation pharmacologique sélective constitue, depuis les années 1960-1970, l'un des piliers de la chimiothérapie anticancéreuse cytotoxique. Le présent chapitre (Chapitre 103) — premier chapitre du Fascicule XII consacré aux cytotoxiques proprement dits — aborde deux familles pharmacologiques complémentaires qui ciblent respectivement l'appareil mitotique (fuseau achromatéen) et la machinerie de réplication/transcription de l'ADN (topoisomérases I et II). Ces deux cibles, bien que distinctes sur le plan moléculaire, partagent la particularité d'être exclusivement cellulaires (sans équivalent fonctionnel bactérien exploitable) et d'opérer selon une logique de phase du cycle cellulaire (phase M pour le fuseau ; phase S/G2 pour les topoisomérases), ce qui conditionne leurs schémas d'administration pulsés et leurs toxicités profil-dépendantes.</w:t>
      </w:r>
    </w:p>
    <w:p>
      <w:r>
        <w:t xml:space="preserve">La présente classe comporte </w:t>
      </w:r>
      <w:r>
        <w:rPr>
          <w:b/>
        </w:rPr>
        <w:t>11 DCIs</w:t>
      </w:r>
      <w:r>
        <w:t xml:space="preserve"> réparties en cinq sous-classes cohérentes :</w:t>
      </w:r>
    </w:p>
    <w:p>
      <w:pPr>
        <w:pStyle w:val="ListNumber"/>
      </w:pPr>
      <w:r/>
      <w:r>
        <w:rPr>
          <w:b/>
        </w:rPr>
        <w:t>Inhibiteurs du fuseau — Taxanes</w:t>
      </w:r>
      <w:r>
        <w:t xml:space="preserve"> (3 DCIs) : </w:t>
      </w:r>
      <w:r>
        <w:rPr>
          <w:b/>
        </w:rPr>
        <w:t>paclitaxel</w:t>
      </w:r>
      <w:r>
        <w:t xml:space="preserve"> (Taxol®, Bristol-Myers Squibb, 1992 — issu de l'écorce d'if du Pacifique *Taxus brevifolia*), </w:t>
      </w:r>
      <w:r>
        <w:rPr>
          <w:b/>
        </w:rPr>
        <w:t>docetaxel</w:t>
      </w:r>
      <w:r>
        <w:t xml:space="preserve"> (Taxotère®, Aventis, 1996 — semi-synthétique dérivé des feuilles d'if européen *Taxus baccata*), </w:t>
      </w:r>
      <w:r>
        <w:rPr>
          <w:b/>
        </w:rPr>
        <w:t>cabazitaxel</w:t>
      </w:r>
      <w:r>
        <w:t xml:space="preserve"> (Jevtana®, Sanofi, 2010 — semi-synthétique diméthoxy dérivé du docetaxel, affinité réduite pour la P-gp). Tous trois stabilisent les microtubules en bloquant la dépolymérisation de la tubuline-β, ce qui conduit à un arrêt en métaphase (bloc mitotique) et à l'apoptose.</w:t>
      </w:r>
    </w:p>
    <w:p>
      <w:pPr>
        <w:pStyle w:val="ListNumber"/>
      </w:pPr>
      <w:r/>
      <w:r>
        <w:rPr>
          <w:b/>
        </w:rPr>
        <w:t>Inhibiteurs du fuseau — Alcaloïdes de la pervenche (Vinca)</w:t>
      </w:r>
      <w:r>
        <w:t xml:space="preserve"> (5 DCIs) : </w:t>
      </w:r>
      <w:r>
        <w:rPr>
          <w:b/>
        </w:rPr>
        <w:t>vincristine</w:t>
      </w:r>
      <w:r>
        <w:t xml:space="preserve"> (Oncovin®, Lilly, 1963 — *Catharanthus roseus*), </w:t>
      </w:r>
      <w:r>
        <w:rPr>
          <w:b/>
        </w:rPr>
        <w:t>vinblastine</w:t>
      </w:r>
      <w:r>
        <w:t xml:space="preserve"> (Velbe®, Lilly, 1965), </w:t>
      </w:r>
      <w:r>
        <w:rPr>
          <w:b/>
        </w:rPr>
        <w:t>vindesine</w:t>
      </w:r>
      <w:r>
        <w:t xml:space="preserve"> (Eldisine®, Lilly, 1979 — semi-synthétique), </w:t>
      </w:r>
      <w:r>
        <w:rPr>
          <w:b/>
        </w:rPr>
        <w:t>vinorelbine</w:t>
      </w:r>
      <w:r>
        <w:t xml:space="preserve"> (Navelbine®, Pierre Fabre, 1989 — semi-synthétique, première Vinca orale), </w:t>
      </w:r>
      <w:r>
        <w:rPr>
          <w:b/>
        </w:rPr>
        <w:t>vinflunine</w:t>
      </w:r>
      <w:r>
        <w:t xml:space="preserve"> (Javlor®, Pierre Fabre, 2009 — difluoro-dérivé de la vinorelbine, dernière Vinca commercialisée). Toutes cinq agissent à l'inverse des taxanes : elles </w:t>
      </w:r>
      <w:r>
        <w:rPr>
          <w:b/>
        </w:rPr>
        <w:t>dépolymérisent</w:t>
      </w:r>
      <w:r>
        <w:t xml:space="preserve"> les microtubules par fixation à la tubuline-β (site vinca), empêchant la polymérisation et désorganisant le fuseau mitotique.</w:t>
      </w:r>
    </w:p>
    <w:p>
      <w:pPr>
        <w:pStyle w:val="ListNumber"/>
      </w:pPr>
      <w:r/>
      <w:r>
        <w:rPr>
          <w:b/>
        </w:rPr>
        <w:t>Inhibiteurs du fuseau — Halichondrine</w:t>
      </w:r>
      <w:r>
        <w:t xml:space="preserve"> (1 DCI) : </w:t>
      </w:r>
      <w:r>
        <w:rPr>
          <w:b/>
        </w:rPr>
        <w:t>eribuline</w:t>
      </w:r>
      <w:r>
        <w:t xml:space="preserve"> (Halaven®, Eisai, 2011 — analogue synthétique simplifié de l'halichondrine B, une macrolide poly-éthérée isolée de l'éponge marine *Halichondria okadai*). Son mécanisme est original au sein des poisons du fuseau : elle se fixe au site vinca (à proximité, mais non identique), inhibe la phase d'élongation (et non de nucléation) de la polymérisation des microtubules, et conduit à un arrêt mitotique irréversible.</w:t>
      </w:r>
    </w:p>
    <w:p>
      <w:pPr>
        <w:pStyle w:val="ListNumber"/>
      </w:pPr>
      <w:r/>
      <w:r>
        <w:rPr>
          <w:b/>
        </w:rPr>
        <w:t>Inhibiteurs de la topoisomérase II</w:t>
      </w:r>
      <w:r>
        <w:t xml:space="preserve"> (1 DCI) : </w:t>
      </w:r>
      <w:r>
        <w:rPr>
          <w:b/>
        </w:rPr>
        <w:t>étoposide</w:t>
      </w:r>
      <w:r>
        <w:t xml:space="preserve"> (Vepéside®, Bristol-Myers Squibb, 1983 — démi-synthétique dérivé de la podophyllotoxine, extraite de *Podophyllum peltatum*). Mécanisme : stabilisation du complexe clivable ADN–topoisomérase II (collateral damage), convertissant la topo II (enzyme de réparation topologique) en poison aboutissant à des cassures double-brin de l'ADN, principalement en phase S/G2.</w:t>
      </w:r>
    </w:p>
    <w:p>
      <w:pPr>
        <w:pStyle w:val="ListNumber"/>
      </w:pPr>
      <w:r/>
      <w:r>
        <w:rPr>
          <w:b/>
        </w:rPr>
        <w:t>Inhibiteurs de la topoisomérase I</w:t>
      </w:r>
      <w:r>
        <w:t xml:space="preserve"> (1 DCI) : </w:t>
      </w:r>
      <w:r>
        <w:rPr>
          <w:b/>
        </w:rPr>
        <w:t>irinotécan</w:t>
      </w:r>
      <w:r>
        <w:t xml:space="preserve"> (Campto®, Pfizer ex-Rhône-Poulenc Rorer, 1994 — semi-synthétique dérivé de la camptothécine, extraite de *Camptotheca acuminata*). Prodrogue convertie par la carboxylestérase 2 (CES2) hépatique et intestinale en métabolite actif </w:t>
      </w:r>
      <w:r>
        <w:rPr>
          <w:b/>
        </w:rPr>
        <w:t>SN-38</w:t>
      </w:r>
      <w:r>
        <w:t xml:space="preserve"> (100 à 1 000 fois plus actif), lui-même inactivé par glucuroconjugaison via l'</w:t>
      </w:r>
      <w:r>
        <w:rPr>
          <w:b/>
        </w:rPr>
        <w:t>UGT1A1</w:t>
      </w:r>
      <w:r>
        <w:t xml:space="preserve"> — d'où le rôle critique du polymorphisme génétique *UGT1A1\*28* (syndrome Gilbert) dans la prédiction de la toxicité sévère (diarrhée tardive, neutropénie fébrile).</w:t>
      </w:r>
    </w:p>
    <w:p>
      <w:r>
        <w:t>Le marché algérien, tel qu'il ressort de la nomenclature nationale des médicaments (Avril 2026), reflète une diversité remarquable pour ces classes : le docetaxel est disponible sous plus de 14 marques (princeps Taxotère® et 13 génériques dont Saidal, IMGSA, Orion Lab, Sun Pharma, Dr. Reddy's), le paclitaxel sous 7 marques (dont 3 actives), la cabazitaxel sous 6 marques (toutes actives), la vincristine sous 6 marques (1 seule active — Naprod), la vinorelbine sous 4 marques (1 seule active — forme orale Navelbine® 30 mg Pierre Fabre), la vinflunine sous 1 marque (Javlor® Pierre Fabre, exclusivement), l'étoposide sous 11 marques (1 seule active — Etoposide Mylan), l'irinotécan sous 6 marques (5 actives), et l'eribuline sous 1 seule marque (Halaven® Eisai). Cette diversité contraste avec la rareté de la vindesine (1 marque retirée — Eldisine® Lilly) et de la vinblastine (1 marque active — Velbastine® Korea United, et 2 marques retirées Velbe® et Lemplastine®).</w:t>
      </w:r>
    </w:p>
    <w:p>
      <w:r>
        <w:t xml:space="preserve">Les </w:t>
      </w:r>
      <w:r>
        <w:rPr>
          <w:b/>
        </w:rPr>
        <w:t>caractéristiques pharmacologiques critiques</w:t>
      </w:r>
      <w:r>
        <w:t xml:space="preserve"> de ces classes, qui seront détaillées pour chaque DCI, comprennent :</w:t>
      </w:r>
    </w:p>
    <w:p>
      <w:pPr>
        <w:pStyle w:val="ListBullet"/>
      </w:pPr>
      <w:r/>
      <w:r>
        <w:rPr>
          <w:b/>
        </w:rPr>
        <w:t>Taxanes</w:t>
      </w:r>
      <w:r>
        <w:t xml:space="preserve"> : prémédication anti-allergique systématique (anti-H1 + anti-H2 + corticoïde) liée au solvant Crémophor EL (paclitaxel) ou polysorbate 80 (docetaxel) — risque de choc anaphylactique fatal en l'absence de prémédication ; neurotoxicité périphérique cumulative dose-dépendante (atteinte axonale sensitivo-motrice) ; docetaxel — rétention hydrosodée cumulative pouvant évoluer vers des œdèmes généralisés et un épanchement pleural/péricardique (prémédication corticoïde dexaméthasone 8 mg × 2/j les 3 jours précédant la perfusion) ; cabazitaxel — faible affinité pour la P-glycoprotéine → franchissement de la barrière hémato-encéphalique et activité dans les métastases cérébrales, mais toxicité hématologique plus marquée.</w:t>
      </w:r>
    </w:p>
    <w:p>
      <w:pPr>
        <w:pStyle w:val="ListBullet"/>
      </w:pPr>
      <w:r/>
      <w:r>
        <w:rPr>
          <w:b/>
        </w:rPr>
        <w:t>Alcaloïdes de la pervenche</w:t>
      </w:r>
      <w:r>
        <w:t xml:space="preserve"> : neurotoxicité dose-limitante pour la vincristine (atteinte axonale sensitivo-motrice et surtout autonome — iléus paralytique, constipation sévère, dysurie, hypotension orthostatique) ; </w:t>
      </w:r>
      <w:r>
        <w:rPr>
          <w:b/>
        </w:rPr>
        <w:t>contre-indication ABSOLUE d'administration intrathécale</w:t>
      </w:r>
      <w:r>
        <w:t xml:space="preserve"> de la vincristine (injection accidentelle intrathécale = morte chez l'adulte en 3-7 jours par encéphalopathie toxique ascendante — recommandation OMS de conditionnement exclusif en minibags IV et non en seringue pour prévenir cette erreur cataclysmique) ; vincristine ne s'utilise qu'à doses faibles (1-1,4 mg/m², capped à 2 mg) ; vinblastine plus myélosuppressive ; vinorelbine — forme orale (capsule molle) disponible, profil myélotoxicité et neurotoxicité intermédiaire, indication princeps : cancer du poumon non à petites cellules (CBNPC) et sein ; vinflunine — dernière génération, indication限ée au cancer urothélial avancé en 2e ligne après platine.</w:t>
      </w:r>
    </w:p>
    <w:p>
      <w:pPr>
        <w:pStyle w:val="ListBullet"/>
      </w:pPr>
      <w:r/>
      <w:r>
        <w:rPr>
          <w:b/>
        </w:rPr>
        <w:t>Halichondrine (eribuline)</w:t>
      </w:r>
      <w:r>
        <w:t xml:space="preserve"> : indication limitée au cancer du sein métastatique en 2e/3e ligne après anthracycline et taxane, et au sarcome des tissus mous (liposarcome) — mécanisme original (bloc de l'élongation des microtubules, et non de la nucléation), toxicité hématologique et allongement du QT à surveiller.</w:t>
      </w:r>
    </w:p>
    <w:p>
      <w:pPr>
        <w:pStyle w:val="ListBullet"/>
      </w:pPr>
      <w:r/>
      <w:r>
        <w:rPr>
          <w:b/>
        </w:rPr>
        <w:t>Topoisomérase II (étoposide)</w:t>
      </w:r>
      <w:r>
        <w:t xml:space="preserve"> : hypotension (à la perfusion rapide — limite ≤ 4 mg/mL et 30-60 min), réactions anaphylactoïdes (solvant polysorbate 80, éthanol, glycofurol), myélosuppression (nadir J10-14), leucémies secondaires (translocation 11q23 / MLL — risque dose-cumul-dépendant — classe 1 A cancérogène CIRC), forme orale (capsule) disponible — intérêt majeur en oncologie pédiatrique et ambulatoire.</w:t>
      </w:r>
    </w:p>
    <w:p>
      <w:pPr>
        <w:pStyle w:val="ListBullet"/>
      </w:pPr>
      <w:r/>
      <w:r>
        <w:rPr>
          <w:b/>
        </w:rPr>
        <w:t>Topoisomérase I (irinotécan)</w:t>
      </w:r>
      <w:r>
        <w:t xml:space="preserve"> : **polymorphisme UGT1A1\*28** (syndrome de Gilbert — 8-10 % de la population caucasienne homozygote) → risque majeur de diarrhée tardive (J+3 à J+10) et de neutropénie sévère — dose initiale réduite recommandée chez les homozygotes *28/*28 ; syndrome cholinergique précoce (≤ 24 h — flush, diarrhée, crampes abdominales, rhinorrhée, larmoiements, myosis, hypersialorrhée) — à traiter par atropine IV (0,25-1 mg sous-cutané) ; diarrhée tardive — à traiter d'EMBLÉE par lopéramide (4 mg puis 2 mg toutes les 2 h, maximum 16 mg/j pendant au moins 12 h après la dernière selle liquide), hospitalisation si signes de gravité (diarrhée &gt; 6/j, fièvre, hypovolémie).</w:t>
      </w:r>
    </w:p>
    <w:p>
      <w:r>
        <w:t xml:space="preserve">Le présent chapitre, à l'instar des autres chapitres du Fascicule XII, s'organise en </w:t>
      </w:r>
      <w:r>
        <w:rPr>
          <w:b/>
        </w:rPr>
        <w:t>5 sections de sous-classe</w:t>
      </w:r>
      <w:r>
        <w:t xml:space="preserve"> (avec une introduction pharmacologique et historique pour chacune), suivies de </w:t>
      </w:r>
      <w:r>
        <w:rPr>
          <w:b/>
        </w:rPr>
        <w:t>11 fiches DCI</w:t>
      </w:r>
      <w:r>
        <w:t xml:space="preserve"> exhaustives selon un schéma standardisé à 12 sections minimum, puis de </w:t>
      </w:r>
      <w:r>
        <w:rPr>
          <w:b/>
        </w:rPr>
        <w:t>tableaux comparatifs synthétiques</w:t>
      </w:r>
      <w:r>
        <w:t xml:space="preserve"> (effets indésirables, cinétique, surveillance, formes galéniques), d'une liste de </w:t>
      </w:r>
      <w:r>
        <w:rPr>
          <w:b/>
        </w:rPr>
        <w:t>15 règles d'or absolues</w:t>
      </w:r>
      <w:r>
        <w:t xml:space="preserve">, de </w:t>
      </w:r>
      <w:r>
        <w:rPr>
          <w:b/>
        </w:rPr>
        <w:t>25 pièges majeurs au comptoir</w:t>
      </w:r>
      <w:r>
        <w:t xml:space="preserve">, d'une conclusion et des </w:t>
      </w:r>
      <w:r>
        <w:rPr>
          <w:b/>
        </w:rPr>
        <w:t>sources bibliographiques</w:t>
      </w:r>
      <w:r>
        <w:t>. Les sources principales sont le VIDAL 2026, les RCP ANSM, la base Thériaque, le CRAT (Centre de Renseignements sur les Agents Tératogènes), les recommandations NCCN (National Comprehensive Cancer Network), UpToDate, et la nomenclature algérienne des médicaments.</w:t>
      </w:r>
    </w:p>
    <w:p>
      <w:pPr>
        <w:pStyle w:val="Heading2"/>
      </w:pPr>
      <w:r>
        <w:t>Sous-classe 1 — Inhibiteurs du fuseau mitotique — Taxanes (Paclitaxel, Docetaxel, Cabazitaxel)</w:t>
      </w:r>
    </w:p>
    <w:p>
      <w:r>
        <w:t>Les taxanes (paclitaxel, docetaxel, cabazitaxel) constituent l'une des classes anticancéreuses les plus importantes de la pharmacologie moderne, et représentent sans doute, avec les anthracyclines et les sels de platine, l'un des trois piliers historiques de la chimiothérapie cytotoxique solide. Leur histoire est celle d'une quête taxonomique et botanique exceptionnelle,qui s'est étendue sur près de quarante ans entre la découverte (1962) et la commercialisation (1992).</w:t>
      </w:r>
    </w:p>
    <w:p>
      <w:r/>
      <w:r>
        <w:rPr>
          <w:b/>
        </w:rPr>
        <w:t>Histoire des taxanes</w:t>
      </w:r>
      <w:r>
        <w:t xml:space="preserve"> : en 1962, dans le cadre du programme NCI-USDA (National Cancer Institute — United States Department of Agriculture) de screening systématique des plantes à activité antitumorale, les botanistes Arthur Barclay et al. récoltent des écorces d'if du Pacifique (</w:t>
      </w:r>
      <w:r>
        <w:rPr>
          <w:i/>
        </w:rPr>
        <w:t>Taxus brevifolia</w:t>
      </w:r>
      <w:r>
        <w:t xml:space="preserve"> Nutt., famille des Taxacées) dans la forêt nationale du mont Hood (État de Washington). L'extrait se révèle cytotoxique in vitro (cellules KB, cellules L1210). En 1967, Monroe Wall et Mansukh Wani (Research Triangle Institute, Caroline du Nord) isolent et identifient la molécule active, qu'ils baptisent « paclitaxel » (du genre </w:t>
      </w:r>
      <w:r>
        <w:rPr>
          <w:i/>
        </w:rPr>
        <w:t>Taxus</w:t>
      </w:r>
      <w:r>
        <w:t xml:space="preserve">). En 1971, ils publient sa structure chimique (diterpène pseudo-tricyclique, noyau taxane complexe avec une chaîne latérale β-phényl-isosérine en C13 — déterminante pour l'activité). Le mécanisme d'action est élucidé en 1979 par Susan Horwitz (Albert Einstein College of Medicine, New York) : le paclitaxel se fixe à la β-tubuline et </w:t>
      </w:r>
      <w:r>
        <w:rPr>
          <w:b/>
        </w:rPr>
        <w:t>stabilise les microtubules</w:t>
      </w:r>
      <w:r>
        <w:t xml:space="preserve"> en empêchant leur dépolymérisation (à l'inverse des alcaloïdes de la pervenche, qui empêchent leur polymérisation). Les microtubules ainsi « gelés » ne peuvent plus assurer la traction chromosomique en anaphase → bloc mitotique en métaphase → apoptose. Cette découverte fut révolutionnaire car elle identifiait un nouveau mécanisme anticancéreux (et une nouvelle cible — la tubuline-β, avec un site de fixation distinct de celui des Vinca).</w:t>
      </w:r>
    </w:p>
    <w:p>
      <w:r>
        <w:t xml:space="preserve">Le passage à la clinique fut lent, freiné par deux obstacles majeurs : (i) la rareté de la ressource (écorce d'if du Pacifique — arbre à croissance lente, à 2 mg de paclitaxel par arbre adulte — eût-il fallu décimer les forêts de l'Oregon pour traiter quelques milliers de patientes ?) et (ii) la faible solubilité aqueuse du paclitaxel, nécessitant un solvant lourd — l'huile de ricin polyoxyéthylénée ou </w:t>
      </w:r>
      <w:r>
        <w:rPr>
          <w:b/>
        </w:rPr>
        <w:t>Crémophor EL</w:t>
      </w:r>
      <w:r>
        <w:t xml:space="preserve"> (BASF) — responsable de réactions d'hypersensibilité sévères à l'origine du protocole de prémédication systématique qui reste en vigueur aujourd'hui. La synthèse totale fut réalisée en 1994 (Holton et Nicolaou — deux groupes simultanés) mais reste industriellemen t non rentable. La solution vint des hémisynthèses à partir de la </w:t>
      </w:r>
      <w:r>
        <w:rPr>
          <w:b/>
        </w:rPr>
        <w:t>10-déacétyl-baccatine III (10-DAB III)</w:t>
      </w:r>
      <w:r>
        <w:t xml:space="preserve">, extraite des feuilles (et non de l'écorce — ressource renouvelable) de l'if européen </w:t>
      </w:r>
      <w:r>
        <w:rPr>
          <w:i/>
        </w:rPr>
        <w:t>Taxus baccata</w:t>
      </w:r>
      <w:r>
        <w:t xml:space="preserve"> (Potier, Guéritte-Voegele, CNRS Gif-sur-Yvette, 1988) — prélude à la synthèse du docetaxel. Le paclitaxel fut approuvé par la FDA le 29 décembre 1992 (cancer de l'ovaire après platine) — l'un des records de vitesse d'approbation de l'histoire de la FDA, sous pression de l'opinion publique.</w:t>
      </w:r>
    </w:p>
    <w:p>
      <w:r>
        <w:t xml:space="preserve">Le </w:t>
      </w:r>
      <w:r>
        <w:rPr>
          <w:b/>
        </w:rPr>
        <w:t>docetaxel</w:t>
      </w:r>
      <w:r>
        <w:t xml:space="preserve"> (Taxotère®, Rhône-Poulenc Rorer — devenu Aventis puis Sanofi) fut développé à partir de 1985 par le groupe de Potier à Gif-sur-Yvette, comme dérivé semi-synthétique de la 10-DAB III. Sa structure diffère du paclitaxel par deux modifications : (i) un groupement ester en C10 (au lieu d'un acétate) et (ii) une chaîne latérale t-butoxycarbonylamino (au lieu de benzamido). Ces modifications confèrent au docetaxel une activité cytotoxique supérieure (environ × 2 à × 3 in vitro), une meilleure affinité pour le site de fixation tubuline (dissociation plus lente), et surtout un profil de solubilité plus favorable (solvant polysorbate 80 + éthanol, mieux toléré que le Crémophor EL). Approuvé en 1996 (cancer du sein métastatique après anthracycline), le docetaxel est rapidement devenu la pierre angulaire des protocoles mammaires (AC-T, TAC), prostatiques (docetaxel + prednisone — protocole TAX327, 2004), gastriques (TCF), pulmonaires (DC) et ORL (TPF). Sa toxicité princeps est la </w:t>
      </w:r>
      <w:r>
        <w:rPr>
          <w:b/>
        </w:rPr>
        <w:t>rétention hydrosodée cumulative</w:t>
      </w:r>
      <w:r>
        <w:t xml:space="preserve"> (capillary-leak syndrome — atteinte dose-cumulative, prévenue par la prémédication corticoïde dexaméthasone 8 mg × 2/j les 3 jours précédant la perfusion, et 1 jour après).</w:t>
      </w:r>
    </w:p>
    <w:p>
      <w:r>
        <w:t xml:space="preserve">Le </w:t>
      </w:r>
      <w:r>
        <w:rPr>
          <w:b/>
        </w:rPr>
        <w:t>cabazitaxel</w:t>
      </w:r>
      <w:r>
        <w:t xml:space="preserve"> (Jevtana®, Sanofi, 2010) est le plus récent des taxanes commercialisés. Développé par le groupe Vrignaud (Sanofi-Aventis, 2001-2010) comme dérivé diméthoxy (10β, 13α-diméthoxy) du docetaxel, il se distingue par une </w:t>
      </w:r>
      <w:r>
        <w:rPr>
          <w:b/>
        </w:rPr>
        <w:t>faible affinité pour la P-glycoprotéine (P-gp, MDR1, ABCB1)</w:t>
      </w:r>
      <w:r>
        <w:t xml:space="preserve"> — pompe d'efflux qui rend de nombreuses cellules cancéreuses résistantes aux taxanes de 1re et 2e génération. Cette propriété permet au cabazitaxel de franchir la barrière hémato-encéphalique (BHE) et de rester actif dans les cellules exprimant la P-gp, ouvrant la voie à des indications comme le cancer de la prostate métastatique résistant à la castration (mCRPC) après échec du docetaxel (protocole TROPIC, 2010 NEJM). Sa toxicité hématologique est cependant plus marquée (neutropénie de grade 4 chez 82 % des patients, neutropénie fébrile chez 8 %) — avec une mortalité toxique préoccupante (5 %) dans les premiers protocoles, réduite par l'adjonction systématique de G-CSF prophylactique.</w:t>
      </w:r>
    </w:p>
    <w:p>
      <w:r/>
      <w:r>
        <w:rPr>
          <w:b/>
        </w:rPr>
        <w:t>Cible moléculaire commune</w:t>
      </w:r>
      <w:r>
        <w:t xml:space="preserve"> : tous les taxanes se fixent sur la </w:t>
      </w:r>
      <w:r>
        <w:rPr>
          <w:b/>
        </w:rPr>
        <w:t>β-tubuline</w:t>
      </w:r>
      <w:r>
        <w:t xml:space="preserve"> au niveau d'une poche hydrophobe formée par les helices H1, H2, H6-H7 et le β-sheet B9 (site taxane), distinct du site vinca (auquel se fixent les Vinca et l'eribuline). La fixation du taxane stabilise le microtubule en empêchant le </w:t>
      </w:r>
      <w:r>
        <w:rPr>
          <w:b/>
        </w:rPr>
        <w:t>repliement de la boucle M</w:t>
      </w:r>
      <w:r>
        <w:t xml:space="preserve"> qui déclenche la dépolymérisation ( normally déclenchée par l'hydrolyse du GTP lié à la β-tubuline). Les microtubules deviennent « gelés » en forme polymérisée — ce qui abolit leur dynamique (« dynamic instability ») indispensable à la capture des chromosomes en prométaphase. La cellule reste bloquée en métaphase (bloc mitotique — checkpoint M) puis meurt par apoptose (via phosphorylation de Bcl-2 → libération du cytochrome c → activation de la cascade caspase-9/caspase-3).</w:t>
      </w:r>
    </w:p>
    <w:p>
      <w:r/>
      <w:r>
        <w:rPr>
          <w:b/>
        </w:rPr>
        <w:t>Indications principales (synthétique)</w:t>
      </w:r>
      <w:r>
        <w:t xml:space="preserve"> :</w:t>
      </w:r>
    </w:p>
    <w:p>
      <w:pPr>
        <w:pStyle w:val="ListBullet"/>
      </w:pPr>
      <w:r/>
      <w:r>
        <w:rPr>
          <w:b/>
        </w:rPr>
        <w:t>Paclitaxel</w:t>
      </w:r>
      <w:r>
        <w:t xml:space="preserve"> : cancer de l'ovaire (1re et 2e ligne), sein (adjuvant, néo-adjuvant, métastatique — protocole AC-T), poumon non à petites cellules (CBNPC — protocole carboplatine-paclitaxel), cancers ORL (protocole cisplatine-paclitaxel), Kaposi sarcomateux (2e ligne), cancer de l'endomètre, cancer de la vessie (MVAC,替代 paclitaxel-gemcitabine). Forme </w:t>
      </w:r>
      <w:r>
        <w:rPr>
          <w:b/>
        </w:rPr>
        <w:t>nab-paclitaxel</w:t>
      </w:r>
      <w:r>
        <w:t xml:space="preserve"> (Abraxane®, Abraxis BioScience → Celgene → BMS, 2005 — nanoparticules d'albumine-paclitaxel, sans Crémophor EL — permet une dose supérieure et une perfusion plus courte, sans prémédication anti-allergique — non commercialisée en Algérie à ce jour).</w:t>
      </w:r>
    </w:p>
    <w:p>
      <w:pPr>
        <w:pStyle w:val="ListBullet"/>
      </w:pPr>
      <w:r/>
      <w:r>
        <w:rPr>
          <w:b/>
        </w:rPr>
        <w:t>Docetaxel</w:t>
      </w:r>
      <w:r>
        <w:t xml:space="preserve"> : cancer du sein (adjuvant TAC, métastatique après anthracycline), prostate métastatique résistant à la castration (mCRPC — protocole docetaxel + prednisone), CBNPC (adjuvant, métastatique — protocole cisplatin-docetaxel), gastrique (TCF), ORL (TPF), vessie (adjuvant, métastatique). Indication conditionnelle à un PS 0-1 et un statut biologique compatible (NFS, bilan hépatique, fonction rénale).</w:t>
      </w:r>
    </w:p>
    <w:p>
      <w:pPr>
        <w:pStyle w:val="ListBullet"/>
      </w:pPr>
      <w:r/>
      <w:r>
        <w:rPr>
          <w:b/>
        </w:rPr>
        <w:t>Cabazitaxel</w:t>
      </w:r>
      <w:r>
        <w:t xml:space="preserve"> : cancer de la prostate métastatique résistant à la castration (mCRPC) après échec d'un docetaxel-based (indication stricte — protocole TROPIC, Jevtana®). Expansion : essais cliniques en cancer du sein triple-négatif (essai TNBC).</w:t>
      </w:r>
    </w:p>
    <w:p>
      <w:r>
        <w:t xml:space="preserve">Le marché algérien des taxanes reflète une maturité et une diversité remarquables : le </w:t>
      </w:r>
      <w:r>
        <w:rPr>
          <w:b/>
        </w:rPr>
        <w:t>paclitaxel</w:t>
      </w:r>
      <w:r>
        <w:t xml:space="preserve"> est disponible sous 3 marques actives (PACLITAX Cipla, PACLITAXEL-SAIDAL, PATAXEL Belmed) et 4 marques retirées/non renouvelables (PACLITAXEL EBEWE, TAXOL princeps BMS — retiré, PRAXEL Lemery, OKA-PACLITAXEL Biovital) ; le </w:t>
      </w:r>
      <w:r>
        <w:rPr>
          <w:b/>
        </w:rPr>
        <w:t>docetaxel</w:t>
      </w:r>
      <w:r>
        <w:t xml:space="preserve"> est largement représenté (Taxotère® princeps + 13 génériques dont Docefrez, Doxacetaxel-Saidal, Oriontaxel, Taxadoc, Doctored, Docetaxel Sol IMGSA, etc.) — saturation du marché qui assure une disponibilité constante ; le </w:t>
      </w:r>
      <w:r>
        <w:rPr>
          <w:b/>
        </w:rPr>
        <w:t>cabazitaxel</w:t>
      </w:r>
      <w:r>
        <w:t xml:space="preserve"> est commercialisé sous 6 marques actives (Jevtana® Sanofi princeps + 5 génériques dont CABAZITAXEL-SAIDAL, BACAZIRED Dr Reddy's, NEUTAXAN Mustafa Nevzat, Z-TEXEL Alfacare, CABAZITAXEL EVER PHARMA — la seule forme monohydrate 10 mg/mL à concentration différente).</w:t>
      </w:r>
    </w:p>
    <w:p>
      <w:pPr>
        <w:pStyle w:val="Heading3"/>
      </w:pPr>
      <w:r>
        <w:t>1. DCI : Paclitaxel (Seule)</w:t>
      </w:r>
    </w:p>
    <w:p>
      <w:r/>
      <w:r>
        <w:rPr>
          <w:b/>
        </w:rPr>
        <w:t>Liste des Catégories :</w:t>
      </w:r>
      <w:r>
        <w:t xml:space="preserve"> Cytotoxique — Taxane (1re génération) ; Poison du fuseau mitotique (stabilisateur des microtubules) ; Médicament à surveillance hématologique obligatoire (NFS hebdomadaire) ; Prémédication anti-allergique systématique requise (Crémophor EL) ; Neurotoxique dose-cumulative ; Tératogène (catégorie D — CRAT : « à éviter » — exclure toute grossesse pendant et 6 mois après arrêt) ; Prescription réservée aux spécialistes en oncologie ou hématologie ; Liste I ; médication hospitalière stricte.</w:t>
      </w:r>
    </w:p>
    <w:p>
      <w:r>
        <w:t xml:space="preserve">Le paclitaxel (5β,20-époxy-1,2α,4,7β,10β,13α-hexahydroxytax-11-en-9-one 4,10-diacétate 2-benzoate 13-ester avec (2R,3S)-N-benzoyl-3-phényl-isosérine) est un diterpène pseudo-tricyclique de masse molaire 853,9 g/mol, isolé originellement de l'écorce de l'if du Pacifique </w:t>
      </w:r>
      <w:r>
        <w:rPr>
          <w:i/>
        </w:rPr>
        <w:t>Taxus brevifolia</w:t>
      </w:r>
      <w:r>
        <w:t xml:space="preserve"> et aujourd'hui produit par hémi-synthèse à partir de la 10-déacétyl-baccatine III (10-DAB III) extraite des feuilles de l'if européen </w:t>
      </w:r>
      <w:r>
        <w:rPr>
          <w:i/>
        </w:rPr>
        <w:t>Taxus baccata</w:t>
      </w:r>
      <w:r>
        <w:t>. C'est le chef de file des taxanes, premier stabilisateur des microtubules à avoir été commercialisé (FDA décembre 1992 sous le nom Taxol®, Bristol-Myers Squibb). Sa très faible solubilité aqueuse a imposé un solvant lourd — l'</w:t>
      </w:r>
      <w:r>
        <w:rPr>
          <w:b/>
        </w:rPr>
        <w:t>huile de ricin polyoxyéthylénée (Crémophor EL, BASF)</w:t>
      </w:r>
      <w:r>
        <w:t xml:space="preserve"> — responsable de réactions d'hypersensibilité sévères (jusqu'à 30 % sans prémédication), à l'origine du protocole de prémédication anti-allergique systématique (anti-H1 + anti-H2 + corticoïde) qui reste en vigueur. Le paclitaxel exerce sa cytotoxicité en bloquant les cellules en phase G2/M, avec une cytotoxicité maximale observée à des concentrations ≥ 10 nM et une activité synergique avec le cisplatine (administration séquentielle paclitaxel → cisplatine pour minimiser l'effet antagoniste lié la fixation compétitive sur la DNA-PK).</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PACLITAX</w:t>
            </w:r>
          </w:p>
        </w:tc>
        <w:tc>
          <w:tcPr>
            <w:tcW w:type="dxa" w:w="1559"/>
          </w:tcPr>
          <w:p>
            <w:r>
              <w:rPr>
                <w:sz w:val="20"/>
              </w:rPr>
              <w:t>CIPLA LIMITED</w:t>
            </w:r>
          </w:p>
        </w:tc>
        <w:tc>
          <w:tcPr>
            <w:tcW w:type="dxa" w:w="1559"/>
          </w:tcPr>
          <w:p>
            <w:r>
              <w:rPr>
                <w:sz w:val="20"/>
              </w:rPr>
              <w:t>Solution à diluer pour perfusion IV — 6 mg/mL (30 mg/5 mL ; 100 mg/16,7 mL ; 300 mg/50 mL)</w:t>
            </w:r>
          </w:p>
        </w:tc>
        <w:tc>
          <w:tcPr>
            <w:tcW w:type="dxa" w:w="1559"/>
          </w:tcPr>
          <w:p>
            <w:r>
              <w:rPr>
                <w:sz w:val="20"/>
              </w:rPr>
              <w:t>B/1 flacon de 5 mL ; B/1 flacon de 16,7 mL ; B/1 flacon de 50 mL</w:t>
            </w:r>
          </w:p>
        </w:tc>
        <w:tc>
          <w:tcPr>
            <w:tcW w:type="dxa" w:w="1559"/>
          </w:tcPr>
          <w:p>
            <w:r>
              <w:rPr>
                <w:sz w:val="20"/>
              </w:rPr>
              <w:t>Liste I</w:t>
            </w:r>
          </w:p>
        </w:tc>
        <w:tc>
          <w:tcPr>
            <w:tcW w:type="dxa" w:w="1559"/>
          </w:tcPr>
          <w:p>
            <w:r>
              <w:rPr>
                <w:sz w:val="20"/>
              </w:rPr>
              <w:t>**Actif**</w:t>
            </w:r>
          </w:p>
        </w:tc>
      </w:tr>
      <w:tr>
        <w:tc>
          <w:tcPr>
            <w:tcW w:type="dxa" w:w="1559"/>
          </w:tcPr>
          <w:p>
            <w:r>
              <w:rPr>
                <w:sz w:val="20"/>
              </w:rPr>
              <w:t>PACLITAXEL-SAIDAL</w:t>
            </w:r>
          </w:p>
        </w:tc>
        <w:tc>
          <w:tcPr>
            <w:tcW w:type="dxa" w:w="1559"/>
          </w:tcPr>
          <w:p>
            <w:r>
              <w:rPr>
                <w:sz w:val="20"/>
              </w:rPr>
              <w:t>GROUPE SAIDAL</w:t>
            </w:r>
          </w:p>
        </w:tc>
        <w:tc>
          <w:tcPr>
            <w:tcW w:type="dxa" w:w="1559"/>
          </w:tcPr>
          <w:p>
            <w:r>
              <w:rPr>
                <w:sz w:val="20"/>
              </w:rPr>
              <w:t>Solution à diluer pour perfusion IV — 6 mg/mL (100 mg/16,7 mL ; 300 mg/50 mL)</w:t>
            </w:r>
          </w:p>
        </w:tc>
        <w:tc>
          <w:tcPr>
            <w:tcW w:type="dxa" w:w="1559"/>
          </w:tcPr>
          <w:p>
            <w:r>
              <w:rPr>
                <w:sz w:val="20"/>
              </w:rPr>
              <w:t>B/1 flacon de 16,7 mL (100 mg) ; B/1 flacon de 50 mL (300 mg)</w:t>
            </w:r>
          </w:p>
        </w:tc>
        <w:tc>
          <w:tcPr>
            <w:tcW w:type="dxa" w:w="1559"/>
          </w:tcPr>
          <w:p>
            <w:r>
              <w:rPr>
                <w:sz w:val="20"/>
              </w:rPr>
              <w:t>Liste I</w:t>
            </w:r>
          </w:p>
        </w:tc>
        <w:tc>
          <w:tcPr>
            <w:tcW w:type="dxa" w:w="1559"/>
          </w:tcPr>
          <w:p>
            <w:r>
              <w:rPr>
                <w:sz w:val="20"/>
              </w:rPr>
              <w:t>**Actif**</w:t>
            </w:r>
          </w:p>
        </w:tc>
      </w:tr>
      <w:tr>
        <w:tc>
          <w:tcPr>
            <w:tcW w:type="dxa" w:w="1559"/>
          </w:tcPr>
          <w:p>
            <w:r>
              <w:rPr>
                <w:sz w:val="20"/>
              </w:rPr>
              <w:t>PATAXEL</w:t>
            </w:r>
          </w:p>
        </w:tc>
        <w:tc>
          <w:tcPr>
            <w:tcW w:type="dxa" w:w="1559"/>
          </w:tcPr>
          <w:p>
            <w:r>
              <w:rPr>
                <w:sz w:val="20"/>
              </w:rPr>
              <w:t>LES LABORATOIRES BELMED PREPARATY (Biélorussie)</w:t>
            </w:r>
          </w:p>
        </w:tc>
        <w:tc>
          <w:tcPr>
            <w:tcW w:type="dxa" w:w="1559"/>
          </w:tcPr>
          <w:p>
            <w:r>
              <w:rPr>
                <w:sz w:val="20"/>
              </w:rPr>
              <w:t>Solution à diluer pour perfusion IV — 6 mg/mL</w:t>
            </w:r>
          </w:p>
        </w:tc>
        <w:tc>
          <w:tcPr>
            <w:tcW w:type="dxa" w:w="1559"/>
          </w:tcPr>
          <w:p>
            <w:r>
              <w:rPr>
                <w:sz w:val="20"/>
              </w:rPr>
              <w:t>B/1 flacon de 10 mL ; B/1 flacon de 20 mL contenant 16,7 mL</w:t>
            </w:r>
          </w:p>
        </w:tc>
        <w:tc>
          <w:tcPr>
            <w:tcW w:type="dxa" w:w="1559"/>
          </w:tcPr>
          <w:p>
            <w:r>
              <w:rPr>
                <w:sz w:val="20"/>
              </w:rPr>
              <w:t>Liste I</w:t>
            </w:r>
          </w:p>
        </w:tc>
        <w:tc>
          <w:tcPr>
            <w:tcW w:type="dxa" w:w="1559"/>
          </w:tcPr>
          <w:p>
            <w:r>
              <w:rPr>
                <w:sz w:val="20"/>
              </w:rPr>
              <w:t>**Actif**</w:t>
            </w:r>
          </w:p>
        </w:tc>
      </w:tr>
    </w:tbl>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PACLITAXEL EBEWE</w:t>
            </w:r>
          </w:p>
        </w:tc>
        <w:tc>
          <w:tcPr>
            <w:tcW w:type="dxa" w:w="1559"/>
          </w:tcPr>
          <w:p>
            <w:r>
              <w:rPr>
                <w:sz w:val="20"/>
              </w:rPr>
              <w:t>EBEWE PHARMA (Autriche)</w:t>
            </w:r>
          </w:p>
        </w:tc>
        <w:tc>
          <w:tcPr>
            <w:tcW w:type="dxa" w:w="1559"/>
          </w:tcPr>
          <w:p>
            <w:r>
              <w:rPr>
                <w:sz w:val="20"/>
              </w:rPr>
              <w:t>Solution injectable IV — 6 mg/mL (30 mg/5 mL ; 100 mg/16,7 mL ; 150 mg/25 mL ; 300 mg/50 mL)</w:t>
            </w:r>
          </w:p>
        </w:tc>
        <w:tc>
          <w:tcPr>
            <w:tcW w:type="dxa" w:w="1559"/>
          </w:tcPr>
          <w:p>
            <w:r>
              <w:rPr>
                <w:sz w:val="20"/>
              </w:rPr>
              <w:t>Flacon de 5 mL ; 16,7 mL ; 25 mL ; 50 mL</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TAXOL</w:t>
            </w:r>
          </w:p>
        </w:tc>
        <w:tc>
          <w:tcPr>
            <w:tcW w:type="dxa" w:w="1559"/>
          </w:tcPr>
          <w:p>
            <w:r>
              <w:rPr>
                <w:sz w:val="20"/>
              </w:rPr>
              <w:t>BRISTOL MYERS SQUIBB (princeps)</w:t>
            </w:r>
          </w:p>
        </w:tc>
        <w:tc>
          <w:tcPr>
            <w:tcW w:type="dxa" w:w="1559"/>
          </w:tcPr>
          <w:p>
            <w:r>
              <w:rPr>
                <w:sz w:val="20"/>
              </w:rPr>
              <w:t>Solution injectable IV — 30 mg/5 mL (6 mg/mL)</w:t>
            </w:r>
          </w:p>
        </w:tc>
        <w:tc>
          <w:tcPr>
            <w:tcW w:type="dxa" w:w="1559"/>
          </w:tcPr>
          <w:p>
            <w:r>
              <w:rPr>
                <w:sz w:val="20"/>
              </w:rPr>
              <w:t>B/1</w:t>
            </w:r>
          </w:p>
        </w:tc>
        <w:tc>
          <w:tcPr>
            <w:tcW w:type="dxa" w:w="1559"/>
          </w:tcPr>
          <w:p>
            <w:r>
              <w:rPr>
                <w:sz w:val="20"/>
              </w:rPr>
              <w:t>Liste I</w:t>
            </w:r>
          </w:p>
        </w:tc>
        <w:tc>
          <w:tcPr>
            <w:tcW w:type="dxa" w:w="1559"/>
          </w:tcPr>
          <w:p>
            <w:r>
              <w:rPr>
                <w:sz w:val="20"/>
              </w:rPr>
              <w:t>**Retiré (R)**</w:t>
            </w:r>
          </w:p>
        </w:tc>
      </w:tr>
      <w:tr>
        <w:tc>
          <w:tcPr>
            <w:tcW w:type="dxa" w:w="1559"/>
          </w:tcPr>
          <w:p>
            <w:r>
              <w:rPr>
                <w:sz w:val="20"/>
              </w:rPr>
              <w:t>PRAXEL</w:t>
            </w:r>
          </w:p>
        </w:tc>
        <w:tc>
          <w:tcPr>
            <w:tcW w:type="dxa" w:w="1559"/>
          </w:tcPr>
          <w:p>
            <w:r>
              <w:rPr>
                <w:sz w:val="20"/>
              </w:rPr>
              <w:t>LEMERY SA DE CV (Mexique)</w:t>
            </w:r>
          </w:p>
        </w:tc>
        <w:tc>
          <w:tcPr>
            <w:tcW w:type="dxa" w:w="1559"/>
          </w:tcPr>
          <w:p>
            <w:r>
              <w:rPr>
                <w:sz w:val="20"/>
              </w:rPr>
              <w:t>Solution injectable IV — 6 mg/mL (300 mg/50 mL)</w:t>
            </w:r>
          </w:p>
        </w:tc>
        <w:tc>
          <w:tcPr>
            <w:tcW w:type="dxa" w:w="1559"/>
          </w:tcPr>
          <w:p>
            <w:r>
              <w:rPr>
                <w:sz w:val="20"/>
              </w:rPr>
              <w:t>Flacon de 50 mL</w:t>
            </w:r>
          </w:p>
        </w:tc>
        <w:tc>
          <w:tcPr>
            <w:tcW w:type="dxa" w:w="1559"/>
          </w:tcPr>
          <w:p>
            <w:r>
              <w:rPr>
                <w:sz w:val="20"/>
              </w:rPr>
              <w:t>Liste I</w:t>
            </w:r>
          </w:p>
        </w:tc>
        <w:tc>
          <w:tcPr>
            <w:tcW w:type="dxa" w:w="1559"/>
          </w:tcPr>
          <w:p>
            <w:r>
              <w:rPr>
                <w:sz w:val="20"/>
              </w:rPr>
              <w:t>**Retiré (R)**</w:t>
            </w:r>
          </w:p>
        </w:tc>
      </w:tr>
      <w:tr>
        <w:tc>
          <w:tcPr>
            <w:tcW w:type="dxa" w:w="1559"/>
          </w:tcPr>
          <w:p>
            <w:r>
              <w:rPr>
                <w:sz w:val="20"/>
              </w:rPr>
              <w:t>OKA-PACLITAXEL</w:t>
            </w:r>
          </w:p>
        </w:tc>
        <w:tc>
          <w:tcPr>
            <w:tcW w:type="dxa" w:w="1559"/>
          </w:tcPr>
          <w:p>
            <w:r>
              <w:rPr>
                <w:sz w:val="20"/>
              </w:rPr>
              <w:t>BIOVITAL</w:t>
            </w:r>
          </w:p>
        </w:tc>
        <w:tc>
          <w:tcPr>
            <w:tcW w:type="dxa" w:w="1559"/>
          </w:tcPr>
          <w:p>
            <w:r>
              <w:rPr>
                <w:sz w:val="20"/>
              </w:rPr>
              <w:t>Solution à diluer pour perfusion IV — 6 mg/mL (260 mg/43,4 mL)</w:t>
            </w:r>
          </w:p>
        </w:tc>
        <w:tc>
          <w:tcPr>
            <w:tcW w:type="dxa" w:w="1559"/>
          </w:tcPr>
          <w:p>
            <w:r>
              <w:rPr>
                <w:sz w:val="20"/>
              </w:rPr>
              <w:t>Flacon de 43,4 mL</w:t>
            </w:r>
          </w:p>
        </w:tc>
        <w:tc>
          <w:tcPr>
            <w:tcW w:type="dxa" w:w="1559"/>
          </w:tcPr>
          <w:p>
            <w:r>
              <w:rPr>
                <w:sz w:val="20"/>
              </w:rPr>
              <w:t>Liste I</w:t>
            </w:r>
          </w:p>
        </w:tc>
        <w:tc>
          <w:tcPr>
            <w:tcW w:type="dxa" w:w="1559"/>
          </w:tcPr>
          <w:p>
            <w:r>
              <w:rPr>
                <w:sz w:val="20"/>
              </w:rPr>
              <w:t>**Retiré (R)**</w:t>
            </w:r>
          </w:p>
        </w:tc>
      </w:tr>
    </w:tbl>
    <w:p/>
    <w:p>
      <w:r/>
      <w:r>
        <w:rPr>
          <w:i/>
        </w:rPr>
        <w:t>Note : le paclitaxel reste disponible en Algérie sous 3 marques actives (PACLITAX Cipla, PACLITAXEL-SAIDAL, PATAXEL Belmed) — approvisionnement stable. Le princeps TAXOL® (Bristol-Myers Squibb) a été retiré du marché algérien au profit des génériques. Les formes de dosage 30 mg/5 mL, 100 mg/16,7 mL et 300 mg/50 mL correspondent aux doses standard pour 1 perfusion (calculateur : 175 mg/m² × 1,7 m² = ~300 mg → flacon 300 mg/50 mL).</w:t>
      </w:r>
      <w:r/>
    </w:p>
    <w:p>
      <w:r/>
      <w:r>
        <w:rPr>
          <w:b/>
        </w:rPr>
        <w:t>Sous-classe et Mécanisme d'action :</w:t>
      </w:r>
      <w:r/>
    </w:p>
    <w:p>
      <w:pPr>
        <w:pStyle w:val="ListBullet"/>
      </w:pPr>
      <w:r>
        <w:t>Sous-classe : Taxanes (1re génération — poison du fuseau mitotique stabilisateur des microtubules). Classification ATC : L01CD01. Au sein de la pharmacopée anticancéreuse, le paclitaxel constitue avec le docetaxel la pierre angulaire des protocoles de chimiothérapie du cancer du sein, de l'ovaire et du poumon. Sa place dans la stratégie thérapeutique est aujourd'hui confortée par les résultats d'essais pivots (CALGB 9344 —获益 survival adjuvant sein ; GOG-111 — bénéfice ovarian ; ECOG 1594 — 1re ligne CBNPC). Le développement des formulations nanoparticulaires (nab-paclitaxel/Abraxane®) a élargi l'arsenal mais reste non disponible en Algérie à ce jour.</w:t>
      </w:r>
    </w:p>
    <w:p>
      <w:pPr>
        <w:pStyle w:val="ListBullet"/>
      </w:pPr>
      <w:r>
        <w:t xml:space="preserve">Mécanisme d'action : </w:t>
      </w:r>
      <w:r>
        <w:rPr>
          <w:b/>
        </w:rPr>
        <w:t>stabilisation des microtubules par fixation à la β-tubuline au site taxane</w:t>
      </w:r>
      <w:r>
        <w:t xml:space="preserve"> (poche hydrophobe formée par les hélices H1, H2, H6-H7 et le β-sheet B9). Cette fixation empêche la dépolymérisation des microtubules en bloquant le repliement conformationnel de la boucle M qui suit normalement l'hydrolyse du GTP lié à la β-tubuline. Les microtubules deviennent « gelés » en état polymérisé — ce qui abolit leur </w:t>
      </w:r>
      <w:r>
        <w:rPr>
          <w:b/>
        </w:rPr>
        <w:t>dynamic instability</w:t>
      </w:r>
      <w:r>
        <w:t xml:space="preserve"> (cycle de polymérisation-dépolymérisation permanent) indispensable à la capture des chromosomes en prométaphase. Conséquences cellulaires : (i) bloc du fuseau mitotique en métaphase (bloc mitotique — checkpoint M, spindle assembly checkpoint SAC) ; (ii) activation de l'apoptose via phosphorylation de Bcl-2 → déplacement de Bax → libération du cytochrome c mitochondrial → activation de la cascade caspase-9 → caspase-3 → apoptose ; (iii) action en phase G2/M (phase-spécifique), mais aussi cytotoxicité en phase G0 par altération des microtubules interphasiques (notamment au niveau du trafic vésiculaire et de la migration cellulaire). Effets annexes non négligeables : inhibition de la fonction P-gp par le Crémophor EL (solvant) → augmentation paradoxale de la biodisponibilité de certains co-médicaments ; inhibition de la sécrétion d'IL-1β et TNF-α (effet anti-inflammatoire modeste — exploité dans la polyarthrite rhumatoïde expérimentale, mais non validé cliniquement).</w:t>
      </w:r>
    </w:p>
    <w:p>
      <w:r/>
      <w:r>
        <w:rPr>
          <w:b/>
        </w:rPr>
        <w:t>Profil Pharmacologique et Indications :</w:t>
      </w:r>
      <w:r/>
    </w:p>
    <w:p>
      <w:pPr>
        <w:pStyle w:val="ListBullet"/>
      </w:pPr>
      <w:r>
        <w:t>Indications (selon AMM française et algérienne — RCP VIDAL) :</w:t>
      </w:r>
    </w:p>
    <w:p>
      <w:pPr>
        <w:pStyle w:val="ListBullet"/>
      </w:pPr>
      <w:r/>
      <w:r>
        <w:rPr>
          <w:b/>
        </w:rPr>
        <w:t>Cancer de l'ovaire</w:t>
      </w:r>
      <w:r>
        <w:t xml:space="preserve"> : 1re ligne (carboplatine-paclitaxel — protocole standard) ; 2e ligne en cas de récidive &gt; 6 mois (platinum-sensitive) ou &lt; 6 mois (en monothérapie, 2e ligne).</w:t>
      </w:r>
    </w:p>
    <w:p>
      <w:pPr>
        <w:pStyle w:val="ListBullet"/>
      </w:pPr>
      <w:r/>
      <w:r>
        <w:rPr>
          <w:b/>
        </w:rPr>
        <w:t>Cancer du sein</w:t>
      </w:r>
      <w:r>
        <w:t xml:space="preserve"> : adjuvant (AC-T — doxorubicine 60 mg/m² + cyclophosphamide 600 mg/m² J1, puis paclitaxel 175 mg/m² J1 J8 à partir de J22, toutes les 3 semaines × 4 cycles) ; néo-adjuvant ; métastatique (1re ligne en association à l'herceptine si HER2+ — protocole Hohenberger 2002) ; 2e ligne après anthracycline (paclitaxel monothérapie hebdomadaire 80 mg/m²).</w:t>
      </w:r>
    </w:p>
    <w:p>
      <w:pPr>
        <w:pStyle w:val="ListBullet"/>
      </w:pPr>
      <w:r/>
      <w:r>
        <w:rPr>
          <w:b/>
        </w:rPr>
        <w:t>Cancer du poumon non à petites cellules (CBNPC)</w:t>
      </w:r>
      <w:r>
        <w:t xml:space="preserve"> : 1re ligne en association avec carboplatine (protocole Calvert AUC 6 + paclitaxel 200 mg/m² J1 toutes les 3 semaines — protocole de référence en gériatrie onco-pulmonaire) ou cisplatine (paclitaxel 175 mg/m² + cisplatine 75 mg/m² J1).</w:t>
      </w:r>
    </w:p>
    <w:p>
      <w:pPr>
        <w:pStyle w:val="ListBullet"/>
      </w:pPr>
      <w:r/>
      <w:r>
        <w:rPr>
          <w:b/>
        </w:rPr>
        <w:t>Cancers ORL</w:t>
      </w:r>
      <w:r>
        <w:t xml:space="preserve"> : 1re ligne métastatique ou récidive (cisplatine-paclitaxel) ; chimioradiothérapie concomitante (paclitaxel-carboplatine hebdomadaire).</w:t>
      </w:r>
    </w:p>
    <w:p>
      <w:pPr>
        <w:pStyle w:val="ListBullet"/>
      </w:pPr>
      <w:r/>
      <w:r>
        <w:rPr>
          <w:b/>
        </w:rPr>
        <w:t>Cancer de l'endomètre</w:t>
      </w:r>
      <w:r>
        <w:t xml:space="preserve"> : protocole carboplatine-paclitaxel (devenu le standard de 1re ligne métastatique après l'essai GOG-209, 2012).</w:t>
      </w:r>
    </w:p>
    <w:p>
      <w:pPr>
        <w:pStyle w:val="ListBullet"/>
      </w:pPr>
      <w:r/>
      <w:r>
        <w:rPr>
          <w:b/>
        </w:rPr>
        <w:t>Sarcome de Kaposi</w:t>
      </w:r>
      <w:r>
        <w:t xml:space="preserve"> (VIH — 2e ligne après liposomale doxorubicine).</w:t>
      </w:r>
    </w:p>
    <w:p>
      <w:pPr>
        <w:pStyle w:val="ListBullet"/>
      </w:pPr>
      <w:r/>
      <w:r>
        <w:rPr>
          <w:b/>
        </w:rPr>
        <w:t>Cancer de la vessie</w:t>
      </w:r>
      <w:r>
        <w:t xml:space="preserve"> : métastatique — paclitaxel-gemcitabine (alternative au MVAC classique).</w:t>
      </w:r>
    </w:p>
    <w:p>
      <w:pPr>
        <w:pStyle w:val="ListBullet"/>
      </w:pPr>
      <w:r/>
      <w:r>
        <w:rPr>
          <w:b/>
        </w:rPr>
        <w:t>Hors-AMM</w:t>
      </w:r>
      <w:r>
        <w:t xml:space="preserve"> (référentiel SNCCP ou NCCN Off-label) : cancer de l'œsophage (protocole TPF-bis), cancers gynécologiques avancés, cancers cervicaux (cisplatine-paclitaxel + radiothérapie).</w:t>
      </w:r>
    </w:p>
    <w:p>
      <w:pPr>
        <w:pStyle w:val="ListBullet"/>
      </w:pPr>
      <w:r>
        <w:t>Particularités pharmacologiques :</w:t>
      </w:r>
    </w:p>
    <w:p>
      <w:pPr>
        <w:pStyle w:val="ListBullet"/>
      </w:pPr>
      <w:r>
        <w:t>Cinétique non linéaire à forte dose (saturation du métabolisme CYP2C8) — la clairance diminue avec la dose.</w:t>
      </w:r>
    </w:p>
    <w:p>
      <w:pPr>
        <w:pStyle w:val="ListBullet"/>
      </w:pPr>
      <w:r>
        <w:t>Distribution large — volume de distribution ~ 87 L/m² ; liaison protéique élevée (95 % — surtout albumine et AAG α1-acide-glycoprotéine) — pas de déplacement protéique cliniquement significatif par d'autres médicaments.</w:t>
      </w:r>
    </w:p>
    <w:p>
      <w:pPr>
        <w:pStyle w:val="ListBullet"/>
      </w:pPr>
      <w:r>
        <w:t>Métabolisme hépatique prédominant (CYP2C8 → 6α-hydroxy-paclitaxel — métabolite inactif ; CYP3A4 → 3′-p-hydroxy-paclitaxel — inactif) — élimination biliaire (~ 70 % dans les fèces en 24-48 h) ; moins de 10 % dans les urines (rôle rénal négligeable → utilisable chez l'insuffisant rénal sans adaptation).</w:t>
      </w:r>
    </w:p>
    <w:p>
      <w:pPr>
        <w:pStyle w:val="ListBullet"/>
      </w:pPr>
      <w:r>
        <w:t>Demi-vie d'élimination : 5-13 h (variable selon le schéma — 1 h perfusion courte = cinétique biphasique avec α-phase 30 min et β-phase 4-6 h ; 3 h perfusion standard = β-phase dominante).</w:t>
      </w:r>
    </w:p>
    <w:p>
      <w:pPr>
        <w:pStyle w:val="ListBullet"/>
      </w:pPr>
      <w:r>
        <w:t>Adaptation hépatique : en cas d'hyperbilirubinémie, AAT ≥ 5 × LSN, phosphatases alcalines ≥ 5 × LSN — contre-indication. En cas de bilirubine ≤ 1,5 × LSN et ASAT ≤ 5 × LSN et PAL ≤ 5 × LSN : dose pleine (175 mg/m²). En cas de bilirubine 1,5-3 × LSN ou PAL &gt; 5 × LSN : dose réduite à 135 mg/m². Au-delà — contre-indication.</w:t>
      </w:r>
    </w:p>
    <w:p>
      <w:pPr>
        <w:pStyle w:val="ListBullet"/>
      </w:pPr>
      <w:r>
        <w:t>Schémas d'administration : (i) 175 mg/m² sur 3 h toutes les 3 semaines (standard historique) ; (ii) 80-90 mg/m² sur 1 h hebdomadaire × 3 semaines (semaine 4 = repos) — schéma hebdomadaire avec moindre myélotoxicité et meilleure tolérance neurologique ; (iii) dose-dense (paclitaxel 175 mg/m² J1 + doxorubicine liposomale pegylée 30 mg/m² J1 toutes les 2 semaines — protocole ovarien MITO-8) ; (iv) en perfusion continue 24 h (rare — historique).</w:t>
      </w:r>
    </w:p>
    <w:p>
      <w:r/>
      <w:r>
        <w:rPr>
          <w:b/>
        </w:rPr>
        <w:t>Contre-indications et Précautions d'Emploi :</w:t>
      </w:r>
      <w:r/>
    </w:p>
    <w:p>
      <w:pPr>
        <w:pStyle w:val="ListBullet"/>
      </w:pPr>
      <w:r>
        <w:t>Contre-indications absolues :</w:t>
      </w:r>
    </w:p>
    <w:p>
      <w:pPr>
        <w:pStyle w:val="ListBullet"/>
      </w:pPr>
      <w:r>
        <w:t>Hypersensibilité connue au paclitaxel ou à l'un des excipients, notamment l'</w:t>
      </w:r>
      <w:r>
        <w:rPr>
          <w:b/>
        </w:rPr>
        <w:t>huile de ricin polyoxyéthylénée (Crémophor EL / Kolliphor EL / Macrogolglycerol ricinoleate)</w:t>
      </w:r>
      <w:r>
        <w:t xml:space="preserve"> — en pratique, une réaction anaphylactique sévère lors d'une perfusion précédente contre-indique la ré-administration sauf protocole de désensibilisation (rarement réalisé). Pour les patients avec allergie sévère au Crémophor EL, switching vers nab-paclitaxel (Abraxane® — sans solvant Crémophor) est l'alternative recommandée (non disponible en Algérie actuellement — orientation vers le docetaxel à condition de vérifier l'absence de cross-allergie).</w:t>
      </w:r>
    </w:p>
    <w:p>
      <w:pPr>
        <w:pStyle w:val="ListBullet"/>
      </w:pPr>
      <w:r/>
      <w:r>
        <w:rPr>
          <w:b/>
        </w:rPr>
        <w:t>Neutropénie sévère</w:t>
      </w:r>
      <w:r>
        <w:t xml:space="preserve"> (&lt; 1 500/mm³) ou </w:t>
      </w:r>
      <w:r>
        <w:rPr>
          <w:b/>
        </w:rPr>
        <w:t>thrombopénie</w:t>
      </w:r>
      <w:r>
        <w:t xml:space="preserve"> (&lt; 100 000/mm³) pré-existantes — attendre récupération hématologique ≥ 1 500 PNN/mm³ et ≥ 100 000 plaquettes/mm³ avant la cure.</w:t>
      </w:r>
    </w:p>
    <w:p>
      <w:pPr>
        <w:pStyle w:val="ListBullet"/>
      </w:pPr>
      <w:r/>
      <w:r>
        <w:rPr>
          <w:b/>
        </w:rPr>
        <w:t>Insuffisance hépatique sévère</w:t>
      </w:r>
      <w:r>
        <w:t xml:space="preserve"> : bilirubine &gt; 3 × LSN, ou ASAT &gt; 5 × LSN, ou PAL &gt; 5 × LSN (séparément ou en association) — risque d'augmentation majeure de l'AUC et de toxicité grave.</w:t>
      </w:r>
    </w:p>
    <w:p>
      <w:pPr>
        <w:pStyle w:val="ListBullet"/>
      </w:pPr>
      <w:r/>
      <w:r>
        <w:rPr>
          <w:b/>
        </w:rPr>
        <w:t>Grossesse et allaitement</w:t>
      </w:r>
      <w:r>
        <w:t xml:space="preserve"> (catégorie D — tératogène — exclure toute grossesse pendant et 6 mois après arrêt — contraception efficace obligatoire chez la femme en âge de procréer et chez l'homme partenaire pendant 3 mois après dernière cure — cf. CRAT).</w:t>
      </w:r>
    </w:p>
    <w:p>
      <w:pPr>
        <w:pStyle w:val="ListBullet"/>
      </w:pPr>
      <w:r/>
      <w:r>
        <w:rPr>
          <w:b/>
        </w:rPr>
        <w:t>Vaccination par vaccin vivant atténué</w:t>
      </w:r>
      <w:r>
        <w:t xml:space="preserve"> (BCG, ROR, fièvre jaune, varicelle-zona) — contre-indication pendant et jusqu'à 3 mois après arrêt du paclitaxel — risque de maladie vaccinale disséminée (immunodépression cellulaire).</w:t>
      </w:r>
    </w:p>
    <w:p>
      <w:pPr>
        <w:pStyle w:val="ListBullet"/>
      </w:pPr>
      <w:r>
        <w:t>Patient déjà sous traitement par gemfibrozil (inhibiteur puissant du CYP2C8 — risque d'augmentation majeure de l'AUC du paclitaxel) — si impossible à interrompre, contre-indication.</w:t>
      </w:r>
    </w:p>
    <w:p>
      <w:pPr>
        <w:pStyle w:val="ListBullet"/>
      </w:pPr>
      <w:r>
        <w:t>Précautions d'emploi :</w:t>
      </w:r>
    </w:p>
    <w:p>
      <w:pPr>
        <w:pStyle w:val="ListBullet"/>
      </w:pPr>
      <w:r/>
      <w:r>
        <w:rPr>
          <w:b/>
        </w:rPr>
        <w:t>Prémédication anti-allergique systématique</w:t>
      </w:r>
      <w:r>
        <w:t xml:space="preserve"> : dexaméthasone 20 mg PO ou IV 12 h et 6 h avant la perfusion (ou 30 min avant en IV si oubli — schéma de sauvetage), associée à un anti-H1 (dexchlorphéniramine 5 mg IV ou clemastine 2 mg IV) et un anti-H2 (ranitidine 50 mg IV ou cimetidine 300 mg IV) 30 min avant le paclitaxel. Ne pas omettre cette prémédication — risque d'anaphylaxie fatale.</w:t>
      </w:r>
    </w:p>
    <w:p>
      <w:pPr>
        <w:pStyle w:val="ListBullet"/>
      </w:pPr>
      <w:r/>
      <w:r>
        <w:rPr>
          <w:b/>
        </w:rPr>
        <w:t>Surveillance hématologique</w:t>
      </w:r>
      <w:r>
        <w:t xml:space="preserve"> : NFS avant chaque cure (PNN ≥ 1 500/mm³, plaquettes ≥ 100 000/mm³) ; en cas de neutropénie fébrile à la cure précédente — délai de 1 semaine, dose réduite de 20 %, ou ajout de G-CSF prophylactique (filgrastim 5 µg/kg/j J3 à J10).</w:t>
      </w:r>
    </w:p>
    <w:p>
      <w:pPr>
        <w:pStyle w:val="ListBullet"/>
      </w:pPr>
      <w:r/>
      <w:r>
        <w:rPr>
          <w:b/>
        </w:rPr>
        <w:t>Surveillance neurologique</w:t>
      </w:r>
      <w:r>
        <w:t xml:space="preserve"> : examen clinique pré-cure à la recherche de paresthésies, hypoesthésie, dysesthésies en gants et chaussettes, faiblesse motrice distale — gradation NCI-CTCAE. En cas de neurotoxicité grade ≥ 3, suspension de la cure et réduction de dose à 135 mg/m².</w:t>
      </w:r>
    </w:p>
    <w:p>
      <w:pPr>
        <w:pStyle w:val="ListBullet"/>
      </w:pPr>
      <w:r/>
      <w:r>
        <w:rPr>
          <w:b/>
        </w:rPr>
        <w:t>Surveillance cardiaque</w:t>
      </w:r>
      <w:r>
        <w:t xml:space="preserve"> : ECG pré-cure, monitoring continu pendant la perfusion si antécédents cardiaques ou troubles du rythme — risque de bradycardie sinusale (5 %), blocs auriculo-ventriculaires (rare — cas rapportés de BAV complet nécessitant pace-maker), troubles du rythme (FA, extrasystoles). Les β-bloquants, les digitaliques et les antiarythmiques de classe I et III potentialisent ce risque.</w:t>
      </w:r>
    </w:p>
    <w:p>
      <w:pPr>
        <w:pStyle w:val="ListBullet"/>
      </w:pPr>
      <w:r/>
      <w:r>
        <w:rPr>
          <w:b/>
        </w:rPr>
        <w:t>Insuffisance hépatique modérée</w:t>
      </w:r>
      <w:r>
        <w:t xml:space="preserve"> (bilirubine 1,5-3 × LSN, ou ASAT &gt; 5 × LSN avec bilirubine &lt; 1,5 × LSN) : dose réduite à 135 mg/m².</w:t>
      </w:r>
    </w:p>
    <w:p>
      <w:pPr>
        <w:pStyle w:val="ListBullet"/>
      </w:pPr>
      <w:r>
        <w:t>Sujet âgé (&gt; 70 ans) : pas de réduction posologique systématique, mais surveillance accrue (myélosuppression plus marquée, neurotoxicité plus longue à récupérer).</w:t>
      </w:r>
    </w:p>
    <w:p>
      <w:pPr>
        <w:pStyle w:val="ListBullet"/>
      </w:pPr>
      <w:r>
        <w:t>Précautions de manipulation : cytotoxique — manipulation exclusivement par personnel formé, en ZAC (zone d'atmosphère contrôlée) ou hotte à flux laminaire vertical, équipements de protection individuelle (gants nitrile double, charlotte, masque FFP2, surblouse, lunettes) ; en cas de contact cutané, lavage abondant à l'eau, surveillance 24 h.</w:t>
      </w:r>
    </w:p>
    <w:p>
      <w:pPr>
        <w:pStyle w:val="ListBullet"/>
      </w:pPr>
      <w:r>
        <w:t xml:space="preserve">Précautions de perfusion : tubulure </w:t>
      </w:r>
      <w:r>
        <w:rPr>
          <w:b/>
        </w:rPr>
        <w:t>sans DEHP</w:t>
      </w:r>
      <w:r>
        <w:t xml:space="preserve"> (di-2-éthylhexyl-phtalate) — le Crémophor EL le lessive et libère des plastifiants toxiques ; utiliser tubulure en polyéthylène ou polyoléfine avec filtre en ligne 0,22 µm (recommandé — réduction du risque de particules).</w:t>
      </w:r>
    </w:p>
    <w:p>
      <w:r/>
      <w:r>
        <w:rPr>
          <w:b/>
        </w:rPr>
        <w:t>Effets Indésirables :</w:t>
      </w:r>
      <w:r/>
    </w:p>
    <w:p>
      <w:pPr>
        <w:pStyle w:val="ListBullet"/>
      </w:pPr>
      <w:r/>
      <w:r>
        <w:rPr>
          <w:b/>
        </w:rPr>
        <w:t>Hypersensibilité et réactions anaphylactoïdes</w:t>
      </w:r>
      <w:r>
        <w:t xml:space="preserve"> (jusqu'à 30 % sans prémédication, &lt; 5 % avec prémédication — grade 3-4 &lt; 2 %) : surviennent typiquement dans les 10 premières minutes de la perfusion (90 % des cas dans les 1ères 10 min du 1er cycle — la surveillance pendant le 1er cycle doit être maximale). Signes : flush, dyspnée (bronchospasme), hypotension, tachycardie, douleur thoracique, urticaire généralisée, angio-œdème. Mécanisme : libération d'histamine par le Crémophor EL (activation directe du complément — non IgE-médiée) → à distinguer d'une véritable allergie IgE au paclitaxel lui-même (rare). Conduite : arrêt immédiat de la perfusion, mise en décubitus, oxygène, remplissage vasculaire (NaCl 0,9 %), adrénaline IM 0,3 mg (si choc), anti-H1 IV, corticoïde IV. Réintroduction éventuelle selon protocole de désensibilisation (Castells) si bénéfice/risque favorable — jamais sans avis spécialisé.</w:t>
      </w:r>
    </w:p>
    <w:p>
      <w:pPr>
        <w:pStyle w:val="ListBullet"/>
      </w:pPr>
      <w:r/>
      <w:r>
        <w:rPr>
          <w:b/>
        </w:rPr>
        <w:t>Myélosuppression</w:t>
      </w:r>
      <w:r>
        <w:t xml:space="preserve"> (effet dose-limitant — especially neutropénie) :</w:t>
      </w:r>
    </w:p>
    <w:p>
      <w:pPr>
        <w:pStyle w:val="ListBullet"/>
      </w:pPr>
      <w:r>
        <w:t>Neutropénie : quasi-constante (≥ grade 3 : 60-80 % des patients à 175 mg/m²) — nadir J8-11, récupération J15-21. Neutropénie fébrile : 5-10 % des cures. Prévention : G-CSF prophylactique secondaire (après 1er épisode) ou primaire (patient &gt; 65 ans, antécédents de radiothérapie large champs, PS ≥ 2).</w:t>
      </w:r>
    </w:p>
    <w:p>
      <w:pPr>
        <w:pStyle w:val="ListBullet"/>
      </w:pPr>
      <w:r>
        <w:t>Thrombopénie : 20-30 % (grade 3-4 : 5-10 %) — nadir J8-11.</w:t>
      </w:r>
    </w:p>
    <w:p>
      <w:pPr>
        <w:pStyle w:val="ListBullet"/>
      </w:pPr>
      <w:r>
        <w:t>Anémie : 50-90 % (grade 3-4 : 5-15 %) — souvent tardive, cumulative.</w:t>
      </w:r>
    </w:p>
    <w:p>
      <w:pPr>
        <w:pStyle w:val="ListBullet"/>
      </w:pPr>
      <w:r/>
      <w:r>
        <w:rPr>
          <w:b/>
        </w:rPr>
        <w:t>Neurotoxicité périphérique</w:t>
      </w:r>
      <w:r>
        <w:t xml:space="preserve"> (dose-cumulative — manifestation la plus spécifique) :</w:t>
      </w:r>
    </w:p>
    <w:p>
      <w:pPr>
        <w:pStyle w:val="ListBullet"/>
      </w:pPr>
      <w:r>
        <w:t>Sensitives (le plus souvent — ≥ grade 1 chez 60 % des patients après 4 cures à 175 mg/m²) : paresthésies, dysesthésies, hypoesthésie en « gants et chaussettes » (distribution distale symétrique) — parfois associées à des douleurs à type de brûlure (neuropathie painful). Mécanisme : atteinte axonale des fibres sensitives de gros calibre (A-β et A-δ) par altération du transport axonal microtubulaire. Récupération habituellement en 3-6 mois après arrêt, parfois incomplète (10-20 % des cas).</w:t>
      </w:r>
    </w:p>
    <w:p>
      <w:pPr>
        <w:pStyle w:val="ListBullet"/>
      </w:pPr>
      <w:r>
        <w:t>Motrices (plus rares, 5-15 %) : faiblesse musculaire distale, diminution des réflexes ostéotendineux (ROT) — surtout Achilléens. Atteinte typique du patient avec diabète ou neuropathie alcoolique préexistante (effet additif).</w:t>
      </w:r>
    </w:p>
    <w:p>
      <w:pPr>
        <w:pStyle w:val="ListBullet"/>
      </w:pPr>
      <w:r>
        <w:t>Autonomiques (5-10 %) : ileus paralytique (post-opératoire +++), constipation sévère, hypotension orthostatique, rétention urinaire, troubles de la sudation.</w:t>
      </w:r>
    </w:p>
    <w:p>
      <w:pPr>
        <w:pStyle w:val="ListBullet"/>
      </w:pPr>
      <w:r>
        <w:t>Toxicité cumulative dose-dépendante : seuil critique à 300-400 mg/m² cumulés (risque majoré), 600 mg/m² = toxicité de grade 3 quasi-constante.</w:t>
      </w:r>
    </w:p>
    <w:p>
      <w:pPr>
        <w:pStyle w:val="ListBullet"/>
      </w:pPr>
      <w:r>
        <w:t>Gradation NCI-CTCAE v5 : G1 (paresthésies asymptômatiques, ROT abolis) ; G2 (paresthésies modérées, gêne fonctionnelle) ; G3 (paresthésies sévères, gêne majeure des ADL — Activities of Daily Living) ; G4 (neuropathie invalidante, autonomie compromise).</w:t>
      </w:r>
    </w:p>
    <w:p>
      <w:pPr>
        <w:pStyle w:val="ListBullet"/>
      </w:pPr>
      <w:r/>
      <w:r>
        <w:rPr>
          <w:b/>
        </w:rPr>
        <w:t>Cardiotoxicité</w:t>
      </w:r>
      <w:r>
        <w:t xml:space="preserve"> :</w:t>
      </w:r>
    </w:p>
    <w:p>
      <w:pPr>
        <w:pStyle w:val="ListBullet"/>
      </w:pPr>
      <w:r/>
      <w:r>
        <w:rPr>
          <w:b/>
        </w:rPr>
        <w:t>Bradycardie sinusale asymptomatique</w:t>
      </w:r>
      <w:r>
        <w:t xml:space="preserve"> (30 % — généralement sans signification clinique — surveillance ECG seule).</w:t>
      </w:r>
    </w:p>
    <w:p>
      <w:pPr>
        <w:pStyle w:val="ListBullet"/>
      </w:pPr>
      <w:r>
        <w:t>Troubles du rythme : FA, extrasystoles ventriculaires (rare — 2-5 %), BAV (rare — cas rapportés de BAV complet imposant pace-maker).</w:t>
      </w:r>
    </w:p>
    <w:p>
      <w:pPr>
        <w:pStyle w:val="ListBullet"/>
      </w:pPr>
      <w:r/>
      <w:r>
        <w:rPr>
          <w:b/>
        </w:rPr>
        <w:t>Ischémie myocardique</w:t>
      </w:r>
      <w:r>
        <w:t xml:space="preserve"> (rare — 1-3 % — cas rapportés d'infarctus du myocarde pendant ou dans les 24 h suivant la perfusion — particulièrement chez les patients avec antécédents coronariens).</w:t>
      </w:r>
    </w:p>
    <w:p>
      <w:pPr>
        <w:pStyle w:val="ListBullet"/>
      </w:pPr>
      <w:r/>
      <w:r>
        <w:rPr>
          <w:b/>
        </w:rPr>
        <w:t>Toxicité digestive</w:t>
      </w:r>
      <w:r>
        <w:t xml:space="preserve"> : nausées/vomissements (modérés — émétogénicité grade 2-3 — protocole antiémétique triplet à base d'antagoniste 5-HT3 + dexaméthasone + anti-NK1) ; mucite (10-30 % — grade 3-4 : 5 %) ; diarrhée (rare).</w:t>
      </w:r>
    </w:p>
    <w:p>
      <w:pPr>
        <w:pStyle w:val="ListBullet"/>
      </w:pPr>
      <w:r/>
      <w:r>
        <w:rPr>
          <w:b/>
        </w:rPr>
        <w:t>Alopécie</w:t>
      </w:r>
      <w:r>
        <w:t xml:space="preserve"> (quasi-constante — 90 % — débute 2-3 semaines après 1re cure — complète — récupération 3-6 mois après dernière cure — propos systématique prothèse capillaire).</w:t>
      </w:r>
    </w:p>
    <w:p>
      <w:pPr>
        <w:pStyle w:val="ListBullet"/>
      </w:pPr>
      <w:r/>
      <w:r>
        <w:rPr>
          <w:b/>
        </w:rPr>
        <w:t>Toxicité cutanée</w:t>
      </w:r>
      <w:r>
        <w:t xml:space="preserve"> : rash maculopapuleux (5-10 %), réactions de photosensibilité, pigmentation unguéale (lignes de Beau, onycholysise, hémorragies en éclats — 10-20 %), extrémités douloureuses (palmo-plantaire — syndrome main-pied atypique).</w:t>
      </w:r>
    </w:p>
    <w:p>
      <w:pPr>
        <w:pStyle w:val="ListBullet"/>
      </w:pPr>
      <w:r/>
      <w:r>
        <w:rPr>
          <w:b/>
        </w:rPr>
        <w:t>Toxicité hépatique</w:t>
      </w:r>
      <w:r>
        <w:t xml:space="preserve"> : cytolyse (5-10 % — grade 3-4 : 2-5 %), élévation des PAL et bilirubine (rare — mécanisme mixte — cholestase intra-hépatique).</w:t>
      </w:r>
    </w:p>
    <w:p>
      <w:pPr>
        <w:pStyle w:val="ListBullet"/>
      </w:pPr>
      <w:r/>
      <w:r>
        <w:rPr>
          <w:b/>
        </w:rPr>
        <w:t>Toxicité musculaire</w:t>
      </w:r>
      <w:r>
        <w:t xml:space="preserve"> : arthralgies et myalgies (jusqu'à 40 % — typiquement 2-5 jours après la perfusion, durant 3-7 jours — syndrome « paclitaxel arthralgia » — sensible aux AINS et à la prednisone courte durée).</w:t>
      </w:r>
    </w:p>
    <w:p>
      <w:pPr>
        <w:pStyle w:val="ListBullet"/>
      </w:pPr>
      <w:r/>
      <w:r>
        <w:rPr>
          <w:b/>
        </w:rPr>
        <w:t>Toxicité locale au point d'injection</w:t>
      </w:r>
      <w:r>
        <w:t xml:space="preserve"> : réaction locale (rougeur, douleur, induration, phlébite) ; en cas d'extravasation — nécrose tissulaire grave (le paclitaxel est un vesicant — déconseillé en périphérique si vue veine difficile — recommandation : voie veineuse centrale type Port-a-cath ou PICC).</w:t>
      </w:r>
    </w:p>
    <w:p>
      <w:r/>
      <w:r>
        <w:rPr>
          <w:b/>
        </w:rPr>
        <w:t>Prévention et Gestion des Effets Indésirables :</w:t>
      </w:r>
      <w:r/>
    </w:p>
    <w:p>
      <w:pPr>
        <w:pStyle w:val="ListBullet"/>
      </w:pPr>
      <w:r>
        <w:t>Prévention systématique :</w:t>
      </w:r>
    </w:p>
    <w:p>
      <w:pPr>
        <w:pStyle w:val="ListBullet"/>
      </w:pPr>
      <w:r/>
      <w:r>
        <w:rPr>
          <w:b/>
        </w:rPr>
        <w:t>Prémédication anti-allergique</w:t>
      </w:r>
      <w:r>
        <w:t xml:space="preserve"> : dexaméthasone 20 mg PO 12 h et 6 h avant la perfusion (ou 20 mg IV 30 min avant si schéma court) + dexchlorphéniramine 5 mg IV + ranitidine 50 mg IV (ou cimetidine 300 mg IV) 30 min avant. Ne jamais omettre, surtout pour les 2 premières cures. Vérifier la prise effective de la dexaméthasone PO (souvent oubliée par le patient — si oubli, donner 20 mg IV 30 min avant).</w:t>
      </w:r>
    </w:p>
    <w:p>
      <w:pPr>
        <w:pStyle w:val="ListBullet"/>
      </w:pPr>
      <w:r/>
      <w:r>
        <w:rPr>
          <w:b/>
        </w:rPr>
        <w:t>Prévention hématologique</w:t>
      </w:r>
      <w:r>
        <w:t xml:space="preserve"> : NFS avant chaque cure, délai à J8 si PNN &lt; 1 500/mm³, G-CSF prophylactique (filgrastim 5 µg/kg/j SC J3-J10 ou pegfilgrastim 6 mg SC J2) si facteurs de risque (âge &gt; 65 ans, antécédent de neutropénie fébrile, schéma dose-dense, maladie envahissant la moelle).</w:t>
      </w:r>
    </w:p>
    <w:p>
      <w:pPr>
        <w:pStyle w:val="ListBullet"/>
      </w:pPr>
      <w:r/>
      <w:r>
        <w:rPr>
          <w:b/>
        </w:rPr>
        <w:t>Prévention neurotoxicité</w:t>
      </w:r>
      <w:r>
        <w:t xml:space="preserve"> : évaluation neurologique pré-cure (questionnaire EORTC QLQ-CIPN20 ou examen clinique), documentation des signes, dépistage des cofacteurs (diabète, alcool, autres neurotoxiques — vincristine, cisplatine, bortézomib). Pas de traitement préventif validé — évaluation régulière de la dose cumulative (seuil de tolérance à 350-400 mg/m² cumulés pour la décision de switch vers nab-paclitaxel ou autre molécule si neuropathie G3). Études avec glutamine 30 g/j PO ou acetyl-L-carnitine 1 000 mg × 3/j — résultats mitigés (essai N00C3 — pas de bénéfice — non recommandé).</w:t>
      </w:r>
    </w:p>
    <w:p>
      <w:pPr>
        <w:pStyle w:val="ListBullet"/>
      </w:pPr>
      <w:r/>
      <w:r>
        <w:rPr>
          <w:b/>
        </w:rPr>
        <w:t>Prévention digestive</w:t>
      </w:r>
      <w:r>
        <w:t xml:space="preserve"> : antiémétique triplet (sétron 5-HT3 + dexaméthasone 8 mg IV + anti-NK1 aprepitant 125 mg PO J1 puis 80 mg J2-J3) ; soins de bouche (bains de bouche bicarbonate ou chlorhexidine), alimentation tiède et mixée, supplémentation en glutamine 10 g × 2/j en cas de mucite.</w:t>
      </w:r>
    </w:p>
    <w:p>
      <w:pPr>
        <w:pStyle w:val="ListBullet"/>
      </w:pPr>
      <w:r/>
      <w:r>
        <w:rPr>
          <w:b/>
        </w:rPr>
        <w:t>Prévention alvéolyse</w:t>
      </w:r>
      <w:r>
        <w:t xml:space="preserve"> : casque réfrigéré (cooling cap — DigniCap, Paxman) 30 min avant perfusion et pendant toute la durée + 2 h après — réduit l'alopécie sévère de 50 % (essai Scalp Cooling NCT 01991160 — New Eng J Med 2017). À proposer systématiquement chez la femme jeune. Prothèse capillaire en attente de récupération.</w:t>
      </w:r>
    </w:p>
    <w:p>
      <w:pPr>
        <w:pStyle w:val="ListBullet"/>
      </w:pPr>
      <w:r/>
      <w:r>
        <w:rPr>
          <w:b/>
        </w:rPr>
        <w:t>Prévention arthralgies</w:t>
      </w:r>
      <w:r>
        <w:t xml:space="preserve"> : paracétamol 1 g × 3/j + AINS courts (ibuprofène 400 mg × 3/j pendant 3-5 jours) ; prednisone 20 mg/j pendant 5 jours si formes sévères.</w:t>
      </w:r>
    </w:p>
    <w:p>
      <w:pPr>
        <w:pStyle w:val="ListBullet"/>
      </w:pPr>
      <w:r>
        <w:t>Conduite à tenir :</w:t>
      </w:r>
    </w:p>
    <w:p>
      <w:pPr>
        <w:pStyle w:val="ListBullet"/>
      </w:pPr>
      <w:r/>
      <w:r>
        <w:rPr>
          <w:b/>
        </w:rPr>
        <w:t>En cas de réaction d'hypersensibilité</w:t>
      </w:r>
      <w:r>
        <w:t xml:space="preserve"> : arrêt IMMÉDIAT de la perfusion, mise en décubitus dorsal, jambes surélevées, oxygène 6-10 L/min, mise en place d'une VVP de gros calibre avec remplissage NaCl 0,9 % 500 mL en 30 min, adrénaline IM 0,3 mg (si choc ou œdème laryngé), anti-H1 IV (dexchlorphéniramine 5 mg), corticothérapie IV (méthylprednisolone 60-120 mg). Surveillance USI 24 h. Décision de réintroduction éventuelle par oncologue référent (parfois possible avec protocole de désensibilisation de Castells sur 6-12 h).</w:t>
      </w:r>
    </w:p>
    <w:p>
      <w:pPr>
        <w:pStyle w:val="ListBullet"/>
      </w:pPr>
      <w:r/>
      <w:r>
        <w:rPr>
          <w:b/>
        </w:rPr>
        <w:t>En cas de neutropénie fébrile</w:t>
      </w:r>
      <w:r>
        <w:t xml:space="preserve"> : hospitalisation en urgence, hémocultures, ECBU, prélèvements portal d'entrée, antibiothérapie empirique à large spectre selon protocole local (en général pipéracilline-tazobactam 4 g × 4/j IV ou céfépime 2 g × 3/j IV) ; G-CSF 5 µg/kg/j SC jusqu'à récupération PNN &gt; 1 500/mm³ ; délai de 1-2 semaines pour la cure suivante, réduction de dose à 135 mg/m² si le patient n'avait pas de G-CSF prophylactique.</w:t>
      </w:r>
    </w:p>
    <w:p>
      <w:pPr>
        <w:pStyle w:val="ListBullet"/>
      </w:pPr>
      <w:r/>
      <w:r>
        <w:rPr>
          <w:b/>
        </w:rPr>
        <w:t>En cas de neurotoxicité grade ≥ 3</w:t>
      </w:r>
      <w:r>
        <w:t xml:space="preserve"> : suspension de la cure, évaluation neurologique spécialisée, ENMG si nécessaire, discussion d'un switch thérapeutique (nab-paclitaxel, vinorelbine, gemcitabine). Traitements symptomatiques : pregabaline 75-150 mg × 2/j ou gabapentine 300-900 mg × 3/j pour les douleurs neuropathiques ; duloxetine 30-60 mg/j (efficacité démontrée — essai N00C3). Pas de bénéfice prouvé des antidépresseurs tricycliques.</w:t>
      </w:r>
    </w:p>
    <w:p>
      <w:pPr>
        <w:pStyle w:val="ListBullet"/>
      </w:pPr>
      <w:r/>
      <w:r>
        <w:rPr>
          <w:b/>
        </w:rPr>
        <w:t>En cas de bradycardie sévère ou BAV</w:t>
      </w:r>
      <w:r>
        <w:t xml:space="preserve"> : arrêt transitoire de la perfusion, atropine 0,5-1 mg IV si bradycardie symptomatique, monitoring ECG continu ; avis cardiologique.</w:t>
      </w:r>
    </w:p>
    <w:p>
      <w:pPr>
        <w:pStyle w:val="ListBullet"/>
      </w:pPr>
      <w:r/>
      <w:r>
        <w:rPr>
          <w:b/>
        </w:rPr>
        <w:t>En cas d'extravasation</w:t>
      </w:r>
      <w:r>
        <w:t xml:space="preserve"> : arrêt IMMÉDIAT de la perfusion, aspiration du résidu dans la tubulure par le cathéter si possible, application de compresses froides 15-20 min toutes les 4-6 h pendant 24-48 h (NE PAS appliquer de chaleur — aggraverait la diffusion). Pas d'antidote spécifique (hyaluronidase discutée — non validée). Surveillance cutanée 24-72 h, avis chirurgical si nécrose ou phlyctène.</w:t>
      </w:r>
    </w:p>
    <w:p>
      <w:r/>
      <w:r>
        <w:rPr>
          <w:b/>
        </w:rPr>
        <w:t>Interactions Importantes :</w:t>
      </w:r>
      <w:r/>
    </w:p>
    <w:p>
      <w:pPr>
        <w:pStyle w:val="ListBullet"/>
      </w:pPr>
      <w:r/>
      <w:r>
        <w:rPr>
          <w:b/>
        </w:rPr>
        <w:t>Paclitaxel + gemfibrozil</w:t>
      </w:r>
      <w:r>
        <w:t xml:space="preserve"> (inhibiteur puissant du CYP2C8) : augmentation majeure de l'AUC paclitaxel (× 2-3) — risque de neurotoxicité sévère et de neutropénie prolongée. </w:t>
      </w:r>
      <w:r>
        <w:rPr>
          <w:b/>
        </w:rPr>
        <w:t>Contre-indication pratique</w:t>
      </w:r>
      <w:r>
        <w:t xml:space="preserve"> — switcher vers une statine ou un autre hypolipidémiant, ou utiliser le docetaxel métabolisé par CYP3A4.</w:t>
      </w:r>
    </w:p>
    <w:p>
      <w:pPr>
        <w:pStyle w:val="ListBullet"/>
      </w:pPr>
      <w:r/>
      <w:r>
        <w:rPr>
          <w:b/>
        </w:rPr>
        <w:t>Paclitaxel + inhibiteurs du CYP3A4</w:t>
      </w:r>
      <w:r>
        <w:t xml:space="preserve"> (kétoconazole, itraconazole, voriconazole, fluconazole, ritonavir, saquinavir, indinavir, nelfinavir, atazanavir, clarithromycine, érythromycine, télithromycine, grapefruit juice) : augmentation modeste de l'AUC paclitaxel (15-30 %), et surtout augmentation marquée du métabolite 3′-p-hydroxypaclitaxel (potentiellement neurotoxique). Surveillance clinique accrue, pas de réduction posologique systématique.</w:t>
      </w:r>
    </w:p>
    <w:p>
      <w:pPr>
        <w:pStyle w:val="ListBullet"/>
      </w:pPr>
      <w:r/>
      <w:r>
        <w:rPr>
          <w:b/>
        </w:rPr>
        <w:t>Paclitaxel + inducteurs du CYP3A4</w:t>
      </w:r>
      <w:r>
        <w:t xml:space="preserve"> (rifampicine, rifabutine, phénytoïne, carbamazépine, phénobarbital, millepertuis) : baisse de l'AUC paclitaxel (10-30 %) — risque d'efficacité réduite — surveillance clinique, augmentation de dose discutée au cas par cas.</w:t>
      </w:r>
    </w:p>
    <w:p>
      <w:pPr>
        <w:pStyle w:val="ListBullet"/>
      </w:pPr>
      <w:r/>
      <w:r>
        <w:rPr>
          <w:b/>
        </w:rPr>
        <w:t>Paclitaxel + cisplatine</w:t>
      </w:r>
      <w:r>
        <w:t xml:space="preserve"> : séquence d'administration critique — </w:t>
      </w:r>
      <w:r>
        <w:rPr>
          <w:b/>
        </w:rPr>
        <w:t>paclitaxel AVANT cisplatine</w:t>
      </w:r>
      <w:r>
        <w:t xml:space="preserve"> (le cisplatine administré avant altère la clairance du paclitaxel de 25 % par inhibition de la clairance rénale et hépatique). Le protocole standard : paclitaxel J1 + cisplatine J1 (après) ou J2.</w:t>
      </w:r>
    </w:p>
    <w:p>
      <w:pPr>
        <w:pStyle w:val="ListBullet"/>
      </w:pPr>
      <w:r/>
      <w:r>
        <w:rPr>
          <w:b/>
        </w:rPr>
        <w:t>Paclitaxel + doxorubicine</w:t>
      </w:r>
      <w:r>
        <w:t xml:space="preserve"> : séquence critique — </w:t>
      </w:r>
      <w:r>
        <w:rPr>
          <w:b/>
        </w:rPr>
        <w:t>doxorubicine AVANT paclitaxel</w:t>
      </w:r>
      <w:r>
        <w:t xml:space="preserve"> (le paclitaxel administré en premier potentialise la cardiotoxicité de la doxorubicine en diminuant sa clairance de 30 % et en augmentant l'AUC doxorubicinol — métabolite cardiotoxique). Protocole AC-T : doxorubicine + cyclophosphamide × 4 cycles, puis paclitaxel × 4 cycles.</w:t>
      </w:r>
    </w:p>
    <w:p>
      <w:pPr>
        <w:pStyle w:val="ListBullet"/>
      </w:pPr>
      <w:r/>
      <w:r>
        <w:rPr>
          <w:b/>
        </w:rPr>
        <w:t>Paclitaxel + anticancéreux autres</w:t>
      </w:r>
      <w:r>
        <w:t xml:space="preserve"> : trastuzumab (cardiotoxicité synergique — surveillance FEVG échographique systématique avant chaque cure, arrêt si baisse &gt; 10 % absolue ou FEVG &lt; 50 %) ; cyclophosphamide (cardiotoxicité additif — surveillance FEVG) ; radiothérapie concomitante (radio-sensibilisation — pneumopathie radique majorée) ; irradiation thoracique préalable (risque de pneumopathie interstitielle).</w:t>
      </w:r>
    </w:p>
    <w:p>
      <w:pPr>
        <w:pStyle w:val="ListBullet"/>
      </w:pPr>
      <w:r/>
      <w:r>
        <w:rPr>
          <w:b/>
        </w:rPr>
        <w:t>Paclitaxel + anticoagulants oraux</w:t>
      </w:r>
      <w:r>
        <w:t xml:space="preserve"> (warfarine, acénocoumarol) : augmentation de l'INR (mécanisme mal élucidé — déplacement protéique et inhibition CYP2C9). Surveillance INR rapprochée (J0, J3, J7), adaptation posologique.</w:t>
      </w:r>
    </w:p>
    <w:p>
      <w:pPr>
        <w:pStyle w:val="ListBullet"/>
      </w:pPr>
      <w:r/>
      <w:r>
        <w:rPr>
          <w:b/>
        </w:rPr>
        <w:t>Paclitaxel + vaccines vivants atténués</w:t>
      </w:r>
      <w:r>
        <w:t xml:space="preserve"> : contre-indication (immunodépression — risque de maladie vaccinale).</w:t>
      </w:r>
    </w:p>
    <w:p>
      <w:pPr>
        <w:pStyle w:val="ListBullet"/>
      </w:pPr>
      <w:r/>
      <w:r>
        <w:rPr>
          <w:b/>
        </w:rPr>
        <w:t>Paclitaxel + phénytoïne</w:t>
      </w:r>
      <w:r>
        <w:t xml:space="preserve"> : baisse de la phénytoïnémie (induction enzymatique réciproque) — surveillance.</w:t>
      </w:r>
    </w:p>
    <w:p>
      <w:pPr>
        <w:pStyle w:val="ListBullet"/>
      </w:pPr>
      <w:r/>
      <w:r>
        <w:rPr>
          <w:b/>
        </w:rPr>
        <w:t>Paclitaxel + crack cocaine / MDMA</w:t>
      </w:r>
      <w:r>
        <w:t xml:space="preserve"> : inhibition du CYP3A4 par ces drogues illicites — augmentation des concentrations du paclitaxel — recherche systématique.</w:t>
      </w:r>
    </w:p>
    <w:p>
      <w:r/>
      <w:r>
        <w:rPr>
          <w:b/>
        </w:rPr>
        <w:t>Grossesse et Allaitement :</w:t>
      </w:r>
      <w:r/>
    </w:p>
    <w:p>
      <w:pPr>
        <w:pStyle w:val="ListBullet"/>
      </w:pPr>
      <w:r>
        <w:t xml:space="preserve">Grossesse : selon le CRAT, le paclitaxel est classé « à éviter » (équivalent : catégorie D — tératogène). Études animales : embryotoxicité, fœtotoxicité, tératogénicité (malformations squelettiques, nerveuses et viscérales) à doses thérapeutiques chez le rat et le lapin. Pas d'études contrôlées chez la femme enceinte (cas cliniques ponctuels — quelques grossesses menées à terme avec issue favorable, mais risque élevé de prématurité, retard de croissance, et exceptionnellement malformations). </w:t>
      </w:r>
      <w:r>
        <w:rPr>
          <w:b/>
        </w:rPr>
        <w:t>Conduite à tenir</w:t>
      </w:r>
      <w:r>
        <w:t xml:space="preserve"> : (1) </w:t>
      </w:r>
      <w:r>
        <w:rPr>
          <w:b/>
        </w:rPr>
        <w:t>pré-conceptionnel</w:t>
      </w:r>
      <w:r>
        <w:t xml:space="preserve"> : contraception efficace obligatoire pendant le traitement et 6 mois après dernière cure chez la femme, 3 mois chez l'homme partenaire (atteinte potentielle de la spermatogenèse — spermogramme pré-thérapeutique et conservation de sperme à proposer systématiquement avant 1re cure chez l'homme jeune) ; (2) si grossesse déjà engagée : interruption médicale de grossesse à discuter (avis oncologique + obstétrical + éthique), si maintien de la grossesse (refus maternel ou grossesse tardive) — échographie spécialisée (18-22 SA — morphologique et cardiaque), déclaration à la pharmacovigilance, surveillance rapprochée. Aucune cure de paclitaxel pendant le 1er trimestre (période d'organogenèse).</w:t>
      </w:r>
    </w:p>
    <w:p>
      <w:pPr>
        <w:pStyle w:val="ListBullet"/>
      </w:pPr>
      <w:r>
        <w:t>Allaitement : contre-indication ABSOLUE — passage important dans le lait maternel (rapport lait/plasma élevé — toxicité hématologique et neurologique pour le nourrisson). Interruption définitive de l'allaitement avant la 1re cure.</w:t>
      </w:r>
    </w:p>
    <w:p>
      <w:pPr>
        <w:pStyle w:val="ListBullet"/>
      </w:pPr>
      <w:r>
        <w:t>Conservation de gamètes : systématique à proposer avant 1re cure chez la femme jeune (cancer du sein &lt; 35 ans — oncofertilité) — consultation spécialisée d'oncofertilité (COS avec antagoniste GnRH et cryoconservation ovocytaire ou embryonnaire) ; chez l'homme jeune (cancer du testicule, lymphome) — spermogramme pré-thérapeutique et congélation de sperme.</w:t>
      </w:r>
    </w:p>
    <w:p>
      <w:pPr>
        <w:pStyle w:val="ListBullet"/>
      </w:pPr>
      <w:r>
        <w:t>Précautions contraception : méthode non hormonale (préservatif + DIU cuivre) ou contraception microprogestative (desogestrel 75 µg/j — discutable) ; la contraception estroprogestative est généralement déconseillée en raison du risque thromboembolique majoré chez la patiente cancéreuse. Triptoréline mensuelle (analogues GnRH) — protection ovarienne discutée (POEMS-SWOG S0230 — réduit le risque d'insuffisance ovarienne précoce de 30 %).</w:t>
      </w:r>
    </w:p>
    <w:p>
      <w:r/>
      <w:r>
        <w:rPr>
          <w:b/>
        </w:rPr>
        <w:t>Posologie et Mode d'Administration :</w:t>
      </w:r>
      <w:r/>
    </w:p>
    <w:p>
      <w:pPr>
        <w:pStyle w:val="ListBullet"/>
      </w:pPr>
      <w:r>
        <w:t>Adulte :</w:t>
      </w:r>
    </w:p>
    <w:p>
      <w:pPr>
        <w:pStyle w:val="ListBullet"/>
      </w:pPr>
      <w:r/>
      <w:r>
        <w:rPr>
          <w:b/>
        </w:rPr>
        <w:t>Schéma standard (3 semaines)</w:t>
      </w:r>
      <w:r>
        <w:t xml:space="preserve"> : 175 mg/m² en perfusion IV de 3 h toutes les 3 semaines — 4 à 6 cures selon protocole.</w:t>
      </w:r>
    </w:p>
    <w:p>
      <w:pPr>
        <w:pStyle w:val="ListBullet"/>
      </w:pPr>
      <w:r/>
      <w:r>
        <w:rPr>
          <w:b/>
        </w:rPr>
        <w:t>Schéma hebdomadaire</w:t>
      </w:r>
      <w:r>
        <w:t xml:space="preserve"> : 80-90 mg/m² en perfusion IV de 1 h hebdomadaire × 6 semaines (semaine 7 = repos) — particulièrement pour le cancer du sein métastatique et le cancer de l'ovaire en 2e ligne.</w:t>
      </w:r>
    </w:p>
    <w:p>
      <w:pPr>
        <w:pStyle w:val="ListBullet"/>
      </w:pPr>
      <w:r/>
      <w:r>
        <w:rPr>
          <w:b/>
        </w:rPr>
        <w:t>Schéma dose-dense (Calvert, GOG)</w:t>
      </w:r>
      <w:r>
        <w:t xml:space="preserve"> : 175 mg/m² sur 3 h + carboplatine AUC 5-6 J1, toutes les 3 semaines × 6 cures (ovaire) — alternativement, dose-dense hebdomadaire paclitaxel 80 mg/m² J1, J8, J15 + carboplatine AUC 6 J1 toutes les 3 semaines (protocole Katsumata JGOG3016 — survie globale supérieure, mais tolérance hématologique plus sévère).</w:t>
      </w:r>
    </w:p>
    <w:p>
      <w:pPr>
        <w:pStyle w:val="ListBullet"/>
      </w:pPr>
      <w:r/>
      <w:r>
        <w:rPr>
          <w:b/>
        </w:rPr>
        <w:t>Dose maximale par cure</w:t>
      </w:r>
      <w:r>
        <w:t xml:space="preserve"> : 250 mg/m² (au-delà — neurotoxicité et mucite excessives, schéma abandonné).</w:t>
      </w:r>
    </w:p>
    <w:p>
      <w:pPr>
        <w:pStyle w:val="ListBullet"/>
      </w:pPr>
      <w:r/>
      <w:r>
        <w:rPr>
          <w:b/>
        </w:rPr>
        <w:t>Réduction de dose</w:t>
      </w:r>
      <w:r>
        <w:t xml:space="preserve"> : (i) si neutropénie fébrile à la cure précédente — réduction à 135 mg/m² + G-CSF prophylactique ; (ii) si neurotoxicité G2 persistante — réduction à 135 mg/m² ; (iii) si neurotoxicité G3 ou G4 — arrêt définitif ; (iv) si insuffisance hépatique modérée (bilirubine 1,5-3 × LSN) — réduction à 135 mg/m².</w:t>
      </w:r>
    </w:p>
    <w:p>
      <w:pPr>
        <w:pStyle w:val="ListBullet"/>
      </w:pPr>
      <w:r>
        <w:t>Enfant :</w:t>
      </w:r>
    </w:p>
    <w:p>
      <w:pPr>
        <w:pStyle w:val="ListBullet"/>
      </w:pPr>
      <w:r>
        <w:t>Schéma standard : 250-350 mg/m² en perfusion IV de 3 h toutes les 3 semaines — protocoles pédiatriques (sarcomes des tissus mous, neuroblastome refractaire, tumeurs germinales réfractaires). Prémédication identique à l'adulte.</w:t>
      </w:r>
    </w:p>
    <w:p>
      <w:pPr>
        <w:pStyle w:val="ListBullet"/>
      </w:pPr>
      <w:r>
        <w:t>Préparation et perfusion :</w:t>
      </w:r>
    </w:p>
    <w:p>
      <w:pPr>
        <w:pStyle w:val="ListBullet"/>
      </w:pPr>
      <w:r/>
      <w:r>
        <w:rPr>
          <w:b/>
        </w:rPr>
        <w:t>Dilution</w:t>
      </w:r>
      <w:r>
        <w:t xml:space="preserve"> : le paclitaxel (concentration 6 mg/mL) est dilué dans NaCl 0,9 % ou G5 % pour obtenir une concentration finale entre 0,3 et 1,2 mg/mL. Volume habituel : 250-1 000 mL selon la dose. Utiliser une tubulure </w:t>
      </w:r>
      <w:r>
        <w:rPr>
          <w:b/>
        </w:rPr>
        <w:t>sans DEHP</w:t>
      </w:r>
      <w:r>
        <w:t xml:space="preserve"> (le Crémophor EL le lessive) avec filtre en ligne 0,22 µm.</w:t>
      </w:r>
    </w:p>
    <w:p>
      <w:pPr>
        <w:pStyle w:val="ListBullet"/>
      </w:pPr>
      <w:r/>
      <w:r>
        <w:rPr>
          <w:b/>
        </w:rPr>
        <w:t>Prémédication</w:t>
      </w:r>
      <w:r>
        <w:t xml:space="preserve"> : cf. ci-dessus — dexaméthasone 20 mg PO 12 h et 6 h avant (ou 20 mg IV 30 min avant) + dexchlorphéniramine 5 mg IV + ranitidine 50 mg IV (ou cimétidine 300 mg IV) 30 min avant la perfusion.</w:t>
      </w:r>
    </w:p>
    <w:p>
      <w:pPr>
        <w:pStyle w:val="ListBullet"/>
      </w:pPr>
      <w:r/>
      <w:r>
        <w:rPr>
          <w:b/>
        </w:rPr>
        <w:t>Surveillance pendant la perfusion</w:t>
      </w:r>
      <w:r>
        <w:t xml:space="preserve"> : scope cardiorespiratoire, PAs toutes les 15 min pendant la 1re heure, surveillance rapprochée par IDE pendant les 30 premières minutes (en particulier pendant le 1er cycle) — détection des réactions d'hypersensibilité précoce.</w:t>
      </w:r>
    </w:p>
    <w:p>
      <w:pPr>
        <w:pStyle w:val="ListBullet"/>
      </w:pPr>
      <w:r/>
      <w:r>
        <w:rPr>
          <w:b/>
        </w:rPr>
        <w:t>Durée de perfusion</w:t>
      </w:r>
      <w:r>
        <w:t xml:space="preserve"> : standard 3 h (protocole princeps) ; 1 h pour le schéma hebdomadaire ; 24 h (historique, abandonné).</w:t>
      </w:r>
    </w:p>
    <w:p>
      <w:pPr>
        <w:pStyle w:val="ListBullet"/>
      </w:pPr>
      <w:r>
        <w:t>Adaptation posologique :</w:t>
      </w:r>
    </w:p>
    <w:p>
      <w:pPr>
        <w:pStyle w:val="ListBullet"/>
      </w:pPr>
      <w:r>
        <w:t>Insuffisance rénale : pas d'adaptation (élimination hépatique prédominante, &lt; 10 % rénal).</w:t>
      </w:r>
    </w:p>
    <w:p>
      <w:pPr>
        <w:pStyle w:val="ListBullet"/>
      </w:pPr>
      <w:r>
        <w:t>Insuffisance hépatique modérée (bilirubine 1,5-3 × LSN, ou ASAT &gt; 5 × LSN avec bilirubine &lt; 1,5 × LSN) : dose réduite à 135 mg/m².</w:t>
      </w:r>
    </w:p>
    <w:p>
      <w:pPr>
        <w:pStyle w:val="ListBullet"/>
      </w:pPr>
      <w:r>
        <w:t>Insuffisance hépatique sévère (bilirubine &gt; 3 × LSN, ou ASAT &gt; 5 × LSN avec bilirubine &gt; 1,5 × LSN) : contre-indication.</w:t>
      </w:r>
    </w:p>
    <w:p>
      <w:pPr>
        <w:pStyle w:val="ListBullet"/>
      </w:pPr>
      <w:r>
        <w:t>Sujet âgé &gt; 75 ans : pas de réduction systématique, surveillance accrue (myélosuppression, neurotoxicité).</w:t>
      </w:r>
    </w:p>
    <w:p>
      <w:pPr>
        <w:pStyle w:val="ListBullet"/>
      </w:pPr>
      <w:r>
        <w:t>Conditions de conservation : flacons à conserver entre 2 et 8 °C, à l'abri de la lumière, ne pas congeler. Après dilution : stabilité 27 h à température ambiante (20-25 °C) en NaCl 0,9 % ou G5 %.</w:t>
      </w:r>
    </w:p>
    <w:p>
      <w:r/>
      <w:r>
        <w:rPr>
          <w:b/>
        </w:rPr>
        <w:t>Arbitrage et Bénéfices des Formes Galéniques :</w:t>
      </w:r>
      <w:r/>
    </w:p>
    <w:p>
      <w:pPr>
        <w:pStyle w:val="ListBullet"/>
      </w:pPr>
      <w:r/>
      <w:r>
        <w:rPr>
          <w:b/>
        </w:rPr>
        <w:t>Solution à diluer pour perfusion IV — 6 mg/mL</w:t>
      </w:r>
      <w:r>
        <w:t xml:space="preserve"> (toutes marques confondues — PACLITAX Cipla, PACLITAXEL-SAIDAL, PATAXEL Belmed, PACLITAXEL EBEWE non renouvelable) : galénique unique pour la voie IV stricte. Disponibilité en Algérie de 3 dosages : 30 mg/5 mL (1re dose faible — ~ 175 mg/m² × 1,5 m² = ~ 250 mg → flacon 300 mg/50 mL), 100 mg/16,7 mL et 300 mg/50 mL. Pour les faibles doses (protocole hebdomadaire 80-90 mg/m²), le flacon 100 mg/16,7 mL est adapté ; pour les doses standards (175 mg/m²), le flacon 300 mg/50 mL est idéal (1 flacon = 1 cure pour un patient de 1,7 m²). La présentation à 150 mg/25 mL (PACLITAXEL EBEWE) n'est pas disponible dans les marques actives algériennes — choix entre 100 mg/16,7 mL + 30 mg/5 mL ou 300 mg/50 mL pour ajustement. L'absence de forme orale et de forme nab-paclitaxel (Abraxane®) en Algérie est à noter — pour les patients allergiques au Crémophor EL, switch vers docetaxel (solvant polysorbate 80) après vérification d'absence de cross-allergie.</w:t>
      </w:r>
    </w:p>
    <w:p>
      <w:pPr>
        <w:pStyle w:val="ListBullet"/>
      </w:pPr>
      <w:r/>
      <w:r>
        <w:rPr>
          <w:b/>
        </w:rPr>
        <w:t>Conditionnement</w:t>
      </w:r>
      <w:r>
        <w:t xml:space="preserve"> : tous en flacons unidoses, à conserver entre 2 et 8 °C — conditionnement hospitalier exclusif. Pas de conditionnement multidose (prévention des erreurs de calcul de dose). Manipulation en ZAC ou hotte à flux laminaire vertical, équipements de protection individuelle obligatoires.</w:t>
      </w:r>
    </w:p>
    <w:p>
      <w:pPr>
        <w:pStyle w:val="ListBullet"/>
      </w:pPr>
      <w:r/>
      <w:r>
        <w:rPr>
          <w:b/>
        </w:rPr>
        <w:t>Choix de la marque</w:t>
      </w:r>
      <w:r>
        <w:t xml:space="preserve"> : le choix dépend essentiellement de la disponibilité locale et du tarif de cotation. Les génériques (PACLITAX Cipla, PACLITAXEL-SAIDAL, PATAXEL Belmed) ont une bioéquivalence démontrée (concentration en paclitaxel identique, même solvant Crémophor EL). Le princeps TAXOL® BMS est retiré — pas de préférence princeps justifiée. Vérification systématique de la concentration (6 mg/mL) avant dilution — plusieurs cas rapportés d'erreurs liées à la confusion entre la concentration de la solution concentrée (6 mg/mL) et celle de la perfusion finale (0,3-1,2 mg/mL).</w:t>
      </w:r>
    </w:p>
    <w:p>
      <w:r/>
      <w:r>
        <w:rPr>
          <w:b/>
        </w:rPr>
        <w:t>Instructions et Conseils au Patient :</w:t>
      </w:r>
      <w:r/>
    </w:p>
    <w:p>
      <w:pPr>
        <w:pStyle w:val="ListBullet"/>
      </w:pPr>
      <w:r>
        <w:t>Communication avant la cure (consultation oncologique préalable obligatoire) :</w:t>
      </w:r>
    </w:p>
    <w:p>
      <w:pPr>
        <w:pStyle w:val="ListBullet"/>
      </w:pPr>
      <w:r>
        <w:t>« Ce médicament est un anticancéreux puissant administré à l'hôpital uniquement, en perfusion veineuse de 1 à 3 heures, toutes les 3 semaines en général. Le traitement complet comporte 4 à 6 cures. »</w:t>
      </w:r>
    </w:p>
    <w:p>
      <w:pPr>
        <w:pStyle w:val="ListBullet"/>
      </w:pPr>
      <w:r>
        <w:t>« Vous recevrez AVANT chaque perfusion une prémédication (comprimés de cortisone à prendre à domicile 12 h et 6 h avant la perfusion, puis médicaments contre l'allergie en perfusion à l'hôpital 30 min avant). Il est INDISPENSABLE de prendre les comprimés de cortisone aux heures indiquées — sans cela, vous risquez une réaction allergique grave pendant la perfusion. »</w:t>
      </w:r>
    </w:p>
    <w:p>
      <w:pPr>
        <w:pStyle w:val="ListBullet"/>
      </w:pPr>
      <w:r>
        <w:t>« Signalez immédiatement à l'infirmière pendant la perfusion TOUT signe : rougeur, démangeaisons, sensation de chaleur, gêne respiratoire, vertiges, palpitations — ces signes peuvent traduire une réaction allergique qui nécessite un arrêt immédiat de la perfusion. »</w:t>
      </w:r>
    </w:p>
    <w:p>
      <w:pPr>
        <w:pStyle w:val="ListBullet"/>
      </w:pPr>
      <w:r>
        <w:t>« Vous risquez une perte de cheveux complète 2-3 semaines après la 1re cure — c'est prévisible et réversible en 3-6 mois après la fin du traitement. Nous vous proposons un casque réfrigéré pour limiter cette alopécie, et une prothèse capillaire en attendant. »</w:t>
      </w:r>
    </w:p>
    <w:p>
      <w:pPr>
        <w:pStyle w:val="ListBullet"/>
      </w:pPr>
      <w:r>
        <w:t>« Signalez tout signe neurologique : fourmillements, engourdissements, sensation de picotements dans les mains et les pieds, faiblesse musculaire — votre médecin ajustera la dose. »</w:t>
      </w:r>
    </w:p>
    <w:p>
      <w:pPr>
        <w:pStyle w:val="ListBullet"/>
      </w:pPr>
      <w:r>
        <w:t>« Signalez immédiatement une fièvre (≥ 38,5 °C) — c'est une urgence médicale (risque d'infection grave par baisse des globules blancs) — présentez-vous aux urgences avec votre dossier oncologique. »</w:t>
      </w:r>
    </w:p>
    <w:p>
      <w:pPr>
        <w:pStyle w:val="ListBullet"/>
      </w:pPr>
      <w:r>
        <w:t>« Si vous êtes une femme en âge de procréer, une contraception efficace est OBLIGATOIRE pendant tout le traitement et 6 mois après la dernière cure. Si vous êtes enceinte ou si vous envisagez une grossesse, parlez-en à votre oncologue AVANT la cure. »</w:t>
      </w:r>
    </w:p>
    <w:p>
      <w:pPr>
        <w:pStyle w:val="ListBullet"/>
      </w:pPr>
      <w:r>
        <w:t>« Évitez les vaccins vivants (BCG, ROR, fièvre jaune, varicelle-zona) pendant le traitement et 3 mois après — parlez-en à votre médecin avant tout vaccin. »</w:t>
      </w:r>
    </w:p>
    <w:p>
      <w:pPr>
        <w:pStyle w:val="ListBullet"/>
      </w:pPr>
      <w:r>
        <w:t>« Évitez le pamplemousse (jus ou fruit) pendant le traitement — il peut modifier l'effet du médicament. »</w:t>
      </w:r>
    </w:p>
    <w:p>
      <w:pPr>
        <w:pStyle w:val="ListBullet"/>
      </w:pPr>
      <w:r>
        <w:t>« Signalez tous les médicaments que vous prenez (y compris en automédication, plantes — particulièrement le millepertuis), certains peuvent interagir dangereusement. »</w:t>
      </w:r>
    </w:p>
    <w:p>
      <w:pPr>
        <w:pStyle w:val="ListBullet"/>
      </w:pPr>
      <w:r>
        <w:t>Surveillance à domicile :</w:t>
      </w:r>
    </w:p>
    <w:p>
      <w:pPr>
        <w:pStyle w:val="ListBullet"/>
      </w:pPr>
      <w:r>
        <w:t>Prendre la température 2 fois/jour pendant 2 semaines après chaque cure — consulter en urgence si fièvre ≥ 38,5 °C (neutropénie fébrile).</w:t>
      </w:r>
    </w:p>
    <w:p>
      <w:pPr>
        <w:pStyle w:val="ListBullet"/>
      </w:pPr>
      <w:r>
        <w:t>Surveiller la peau : lésions buccales (mucite), eruption cutanée, modification des ongles.</w:t>
      </w:r>
    </w:p>
    <w:p>
      <w:pPr>
        <w:pStyle w:val="ListBullet"/>
      </w:pPr>
      <w:r>
        <w:t>Surveiller les selles : en cas de diarrhée &gt; 4/j, consulter.</w:t>
      </w:r>
    </w:p>
    <w:p>
      <w:pPr>
        <w:pStyle w:val="ListBullet"/>
      </w:pPr>
      <w:r>
        <w:t>Hygiène buccodentaire rigoureuse : brossage doux, bain de bouche bicarbonate, aliments tièdes mixés en cas de mucite.</w:t>
      </w:r>
    </w:p>
    <w:p>
      <w:pPr>
        <w:pStyle w:val="ListBullet"/>
      </w:pPr>
      <w:r>
        <w:t>Éviter les foules et contacts avec personnes malades (immunodépression).</w:t>
      </w:r>
    </w:p>
    <w:p>
      <w:pPr>
        <w:pStyle w:val="ListBullet"/>
      </w:pPr>
      <w:r>
        <w:t>Activité physique modérée maintenue (lutte contre fatigue, prévention thrombose).</w:t>
      </w:r>
    </w:p>
    <w:p>
      <w:pPr>
        <w:pStyle w:val="ListBullet"/>
      </w:pPr>
      <w:r>
        <w:t>Pas de conduite automobile en cas de fatigue intense ou de neurotoxicité motrice.</w:t>
      </w:r>
    </w:p>
    <w:p>
      <w:r/>
      <w:r>
        <w:rPr>
          <w:b/>
        </w:rPr>
        <w:t>Notes, Règles d'Or &amp; Pièges au Comptoir :</w:t>
      </w:r>
      <w:r/>
    </w:p>
    <w:p>
      <w:pPr>
        <w:pStyle w:val="ListBullet"/>
      </w:pPr>
      <w:r>
        <w:t xml:space="preserve">Piège classique : </w:t>
      </w:r>
      <w:r>
        <w:rPr>
          <w:b/>
        </w:rPr>
        <w:t>oubli de la prémédication PO à domicile</w:t>
      </w:r>
      <w:r>
        <w:t xml:space="preserve"> (dexaméthasone 20 mg 12 h et 6 h avant la perfusion) — le patient se présente à l'hôpital sans avoir pris les comprimés — soit le protocole est retardé (administration d'attaque par 20 mg IV 30 min avant), soit la perfusion est reportée. Vérification systématique par l'IDE d'oncologie de jour avant le branchement.</w:t>
      </w:r>
    </w:p>
    <w:p>
      <w:pPr>
        <w:pStyle w:val="ListBullet"/>
      </w:pPr>
      <w:r>
        <w:t xml:space="preserve">Piège classique : </w:t>
      </w:r>
      <w:r>
        <w:rPr>
          <w:b/>
        </w:rPr>
        <w:t>confusion dose vs concentration</w:t>
      </w:r>
      <w:r>
        <w:t xml:space="preserve"> — la solution concentrée est à 6 mg/mL, mais la perfusion finale est à 0,3-1,2 mg/mL. Erreur classique de calcul (préparation d'une perfusion à 6 mg/mL au lieu de 0,6 mg/mL → surdose massive mortelle). Double contrôle indépendant obligatoire avant validation (calculateur informatisé obligatoire en oncologie).</w:t>
      </w:r>
    </w:p>
    <w:p>
      <w:pPr>
        <w:pStyle w:val="ListBullet"/>
      </w:pPr>
      <w:r>
        <w:t xml:space="preserve">Piège classique : </w:t>
      </w:r>
      <w:r>
        <w:rPr>
          <w:b/>
        </w:rPr>
        <w:t>tubulure avec DEHP</w:t>
      </w:r>
      <w:r>
        <w:t xml:space="preserve"> — le Crémophor EL solubilise les plastifiants DEHP de tubulures PVC classiques, libérant jusqu'à 5 mg de DEHP par litre — toxicité hépatique et gonadique — obligation de tubulure polyoléfine ou polyéthylène. Vérification du matériel avant branchement.</w:t>
      </w:r>
    </w:p>
    <w:p>
      <w:pPr>
        <w:pStyle w:val="ListBullet"/>
      </w:pPr>
      <w:r>
        <w:t xml:space="preserve">Piège classique : </w:t>
      </w:r>
      <w:r>
        <w:rPr>
          <w:b/>
        </w:rPr>
        <w:t>extravasation</w:t>
      </w:r>
      <w:r>
        <w:t xml:space="preserve"> — le paclitaxel est un vesicant (vésicant) — en cas d'extravasation, nécrose tissulaire grave. Recommandation : pose de voie veineuse centrale (Port-a-cath, PICC) systématique si traitement prolongé &gt; 6 cures prévues ; perfusion veineuse périphérique avec surveillance renforcée sinon. En cas de signe d'extravasation (douleur, rougeur, induration au point de ponction) — ARRÊT IMMÉDIAT, aspiration du résidu, compresses froides, avis chirurgical.</w:t>
      </w:r>
    </w:p>
    <w:p>
      <w:pPr>
        <w:pStyle w:val="ListBullet"/>
      </w:pPr>
      <w:r>
        <w:t xml:space="preserve">Piège classique : </w:t>
      </w:r>
      <w:r>
        <w:rPr>
          <w:b/>
        </w:rPr>
        <w:t>séquence d'administration avec cisplatine ou doxorubicine</w:t>
      </w:r>
      <w:r>
        <w:t xml:space="preserve"> — TOUJOURS paclitaxel AVANT cisplatine, TOUJOURS doxorubicine AVANT paclitaxel. Erreur de séquence = diminution de l'efficacité ou majoration de la toxicité.</w:t>
      </w:r>
    </w:p>
    <w:p>
      <w:pPr>
        <w:pStyle w:val="ListBullet"/>
      </w:pPr>
      <w:r>
        <w:t xml:space="preserve">Piège classique : </w:t>
      </w:r>
      <w:r>
        <w:rPr>
          <w:b/>
        </w:rPr>
        <w:t>bradycardie asymptomatique pendant la perfusion</w:t>
      </w:r>
      <w:r>
        <w:t xml:space="preserve"> — jusqu'à 30 % des patients — sans signification clinique, mais à ne pas confondre avec un choc cardiogénique — surveillance ECG seule suffit (pas d'atropine systématique).</w:t>
      </w:r>
    </w:p>
    <w:p>
      <w:pPr>
        <w:pStyle w:val="ListBullet"/>
      </w:pPr>
      <w:r>
        <w:t xml:space="preserve">Piège classique : </w:t>
      </w:r>
      <w:r>
        <w:rPr>
          <w:b/>
        </w:rPr>
        <w:t>allergie Croisée avec docetaxel</w:t>
      </w:r>
      <w:r>
        <w:t xml:space="preserve"> — l'allergie au Crémophor EL (paclitaxel) peut prédisposer à une allergie au polysorbate 80 (docetaxel) — ne pas switcher sans avis oncologique spécialisé.</w:t>
      </w:r>
    </w:p>
    <w:p>
      <w:pPr>
        <w:pStyle w:val="ListBullet"/>
      </w:pPr>
      <w:r>
        <w:t>Règle d'or : prémédication anti-allergique systématique — TOUJOURS — y compris si le patient a déjà toléré plusieurs cures (l'allergie peut survenir à n'importe quelle cure — à ne jamais négliger).</w:t>
      </w:r>
    </w:p>
    <w:p>
      <w:pPr>
        <w:pStyle w:val="ListBullet"/>
      </w:pPr>
      <w:r>
        <w:t>Règle d'or : NFS avant chaque cure — pas de cure si PNN &lt; 1 500/mm³ ou plaquettes &lt; 100 000/mm³. Si cure reportée à 1 semaine, recontrôler avant branchement.</w:t>
      </w:r>
    </w:p>
    <w:p>
      <w:pPr>
        <w:pStyle w:val="ListBullet"/>
      </w:pPr>
      <w:r>
        <w:t>Règle d'or : contraception efficace obligatoire chez la femme en âge de procréer ET chez l'homme partenaire (3 mois) — pas de grossesse pendant et 6 mois après arrêt.</w:t>
      </w:r>
    </w:p>
    <w:p>
      <w:pPr>
        <w:pStyle w:val="ListBullet"/>
      </w:pPr>
      <w:r>
        <w:t>Préparation et Conservation : flacons à conserver entre 2 et 8 °C (réfrigérateur) à l'abri de la lumière — ne pas congeler (la congération peut faire précipiter la solution). Après dilution en NaCl 0,9 % ou G5 %, stabilité 27 h à température ambiante — ne pas conserver au-delà. Manipulation en ZAC ou hotte par personnel formé exclusivement.</w:t>
      </w:r>
    </w:p>
    <w:p>
      <w:pPr>
        <w:pStyle w:val="Heading3"/>
      </w:pPr>
      <w:r>
        <w:t>2. DCI : Docetaxel (Seule)</w:t>
      </w:r>
    </w:p>
    <w:p>
      <w:r/>
      <w:r>
        <w:rPr>
          <w:b/>
        </w:rPr>
        <w:t>Liste des Catégories :</w:t>
      </w:r>
      <w:r>
        <w:t xml:space="preserve"> Cytotoxique — Taxane (2e génération) ; Poison du fuseau mitotique (stabilisateur des microtubules) ; Médicament à surveillance hématologique et hydro-électrolytique obligatoire ; Prémédication corticoïde systématique requise (polysorbate 80 + rétention hydrosodée) ; Neurotoxique dose-cumulative ; Tératogène (catégorie D — CRAT : « à éviter » — exclure toute grossesse pendant et 6 mois après arrêt) ; Prescription réservée aux spécialistes en oncologie ou hématologie ; Liste I ; médication hospitalière stricte.</w:t>
      </w:r>
    </w:p>
    <w:p>
      <w:r>
        <w:t xml:space="preserve">Le docetaxel (5β,20-époxy-1,2α,4,7β,10β,13α-hexahydroxytax-11-en-9-one 4-acétate 2-benzoate trihydrate, ester du (2R,3S)-N-tert-butoxycarbonyl-3-phényl-isosérine) est un diterpène de masse molaire 861,9 g/mol (forme hydratée), semi-synthétique, dérivé de la 10-déacétyl-baccatine III (10-DAB III) extraite des feuilles — ressource renouvelable — de l'if européen </w:t>
      </w:r>
      <w:r>
        <w:rPr>
          <w:i/>
        </w:rPr>
        <w:t>Taxus baccata</w:t>
      </w:r>
      <w:r>
        <w:t xml:space="preserve"> (Potier, Guéritte-Voegele, CNRS Gif-sur-Yvette, 1985). Le docetaxel diffère du paclitaxel par deux modifications structurales majeures : (i) un groupement hydroxyle libre en C10 (au lieu d'un acétate), augmentant la solubilité, et (ii) une chaîne latérale t-butoxycarbonylamino (au lieu de benzamido), augmentant l'affinité pour la tubuline. Cette double modification confère au docetaxel une cytotoxicité in vitro supérieure (× 2 à × 3 — IC50 ~ 4 nM vs 8 nM pour le paclitaxel) et une meilleure affinité tubuline (dissociation 2 fois plus lente). Le solvant utilisé — polysorbate 80 (Tween 80) + éthanol à 50/50 v/v — est mieux toléré que le Crémophor EL du paclitaxel, mais reste responsable d'hypersensibilité (prémédication corticoïde systématique). Le docetaxel a été commercialisé en 1996 (Taxotère®, Rhône-Poulenc Rorer — Aventis — Sanofi) et a rapidement supplanté le paclitaxel dans de nombreuses indications (sein, prostate, ORL, gastrique, CBNPC). Sa toxicité princeps est la </w:t>
      </w:r>
      <w:r>
        <w:rPr>
          <w:b/>
        </w:rPr>
        <w:t>rétention hydrosodée cumulative</w:t>
      </w:r>
      <w:r>
        <w:t xml:space="preserve"> (capillary-leak syndrome — œdèmes périphériques, prise de poids, épanchement pleural, épanchement péricardique, ascite) — prévenue par la prémédication corticoïde dexaméthasone 8 mg × 2/j PO les 3 jours précédant la perfusion et 1 jour après, qui reste en vigueur pour chaque cure.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TAXOTERE</w:t>
            </w:r>
          </w:p>
        </w:tc>
        <w:tc>
          <w:tcPr>
            <w:tcW w:type="dxa" w:w="1559"/>
          </w:tcPr>
          <w:p>
            <w:r>
              <w:rPr>
                <w:sz w:val="20"/>
              </w:rPr>
              <w:t>AVENTIS PHARMA S.A (princeps Sanofi)</w:t>
            </w:r>
          </w:p>
        </w:tc>
        <w:tc>
          <w:tcPr>
            <w:tcW w:type="dxa" w:w="1559"/>
          </w:tcPr>
          <w:p>
            <w:r>
              <w:rPr>
                <w:sz w:val="20"/>
              </w:rPr>
              <w:t>Solution à diluer pour perfusion IV — 20 mg/mL (flacon 1 mL = 20 mg)</w:t>
            </w:r>
          </w:p>
        </w:tc>
        <w:tc>
          <w:tcPr>
            <w:tcW w:type="dxa" w:w="1559"/>
          </w:tcPr>
          <w:p>
            <w:r>
              <w:rPr>
                <w:sz w:val="20"/>
              </w:rPr>
              <w:t>B/1 flacon de 1 mL</w:t>
            </w:r>
          </w:p>
        </w:tc>
        <w:tc>
          <w:tcPr>
            <w:tcW w:type="dxa" w:w="1559"/>
          </w:tcPr>
          <w:p>
            <w:r>
              <w:rPr>
                <w:sz w:val="20"/>
              </w:rPr>
              <w:t>Liste I</w:t>
            </w:r>
          </w:p>
        </w:tc>
        <w:tc>
          <w:tcPr>
            <w:tcW w:type="dxa" w:w="1559"/>
          </w:tcPr>
          <w:p>
            <w:r>
              <w:rPr>
                <w:sz w:val="20"/>
              </w:rPr>
              <w:t>**Actif**</w:t>
            </w:r>
          </w:p>
        </w:tc>
      </w:tr>
      <w:tr>
        <w:tc>
          <w:tcPr>
            <w:tcW w:type="dxa" w:w="1559"/>
          </w:tcPr>
          <w:p>
            <w:r>
              <w:rPr>
                <w:sz w:val="20"/>
              </w:rPr>
              <w:t>TAXOTERE</w:t>
            </w:r>
          </w:p>
        </w:tc>
        <w:tc>
          <w:tcPr>
            <w:tcW w:type="dxa" w:w="1559"/>
          </w:tcPr>
          <w:p>
            <w:r>
              <w:rPr>
                <w:sz w:val="20"/>
              </w:rPr>
              <w:t>AVENTIS PHARMA S.A (princeps Sanofi)</w:t>
            </w:r>
          </w:p>
        </w:tc>
        <w:tc>
          <w:tcPr>
            <w:tcW w:type="dxa" w:w="1559"/>
          </w:tcPr>
          <w:p>
            <w:r>
              <w:rPr>
                <w:sz w:val="20"/>
              </w:rPr>
              <w:t>Solution à diluer pour perfusion IV — 80 mg/4 mL</w:t>
            </w:r>
          </w:p>
        </w:tc>
        <w:tc>
          <w:tcPr>
            <w:tcW w:type="dxa" w:w="1559"/>
          </w:tcPr>
          <w:p>
            <w:r>
              <w:rPr>
                <w:sz w:val="20"/>
              </w:rPr>
              <w:t>B/1 flacon de 4 mL</w:t>
            </w:r>
          </w:p>
        </w:tc>
        <w:tc>
          <w:tcPr>
            <w:tcW w:type="dxa" w:w="1559"/>
          </w:tcPr>
          <w:p>
            <w:r>
              <w:rPr>
                <w:sz w:val="20"/>
              </w:rPr>
              <w:t>Liste I</w:t>
            </w:r>
          </w:p>
        </w:tc>
        <w:tc>
          <w:tcPr>
            <w:tcW w:type="dxa" w:w="1559"/>
          </w:tcPr>
          <w:p>
            <w:r>
              <w:rPr>
                <w:sz w:val="20"/>
              </w:rPr>
              <w:t>**Actif**</w:t>
            </w:r>
          </w:p>
        </w:tc>
      </w:tr>
      <w:tr>
        <w:tc>
          <w:tcPr>
            <w:tcW w:type="dxa" w:w="1559"/>
          </w:tcPr>
          <w:p>
            <w:r>
              <w:rPr>
                <w:sz w:val="20"/>
              </w:rPr>
              <w:t>DOCETAXEL IMGSA</w:t>
            </w:r>
          </w:p>
        </w:tc>
        <w:tc>
          <w:tcPr>
            <w:tcW w:type="dxa" w:w="1559"/>
          </w:tcPr>
          <w:p>
            <w:r>
              <w:rPr>
                <w:sz w:val="20"/>
              </w:rPr>
              <w:t>IMGSA GROUPE INDUSTRIE PHARMACEUTIQUE</w:t>
            </w:r>
          </w:p>
        </w:tc>
        <w:tc>
          <w:tcPr>
            <w:tcW w:type="dxa" w:w="1559"/>
          </w:tcPr>
          <w:p>
            <w:r>
              <w:rPr>
                <w:sz w:val="20"/>
              </w:rPr>
              <w:t>Solution à diluer pour perfusion IV — 20 mg/mL (20 mg/1 mL)</w:t>
            </w:r>
          </w:p>
        </w:tc>
        <w:tc>
          <w:tcPr>
            <w:tcW w:type="dxa" w:w="1559"/>
          </w:tcPr>
          <w:p>
            <w:r>
              <w:rPr>
                <w:sz w:val="20"/>
              </w:rPr>
              <w:t>B/1 flacon de 1 mL</w:t>
            </w:r>
          </w:p>
        </w:tc>
        <w:tc>
          <w:tcPr>
            <w:tcW w:type="dxa" w:w="1559"/>
          </w:tcPr>
          <w:p>
            <w:r>
              <w:rPr>
                <w:sz w:val="20"/>
              </w:rPr>
              <w:t>Liste I</w:t>
            </w:r>
          </w:p>
        </w:tc>
        <w:tc>
          <w:tcPr>
            <w:tcW w:type="dxa" w:w="1559"/>
          </w:tcPr>
          <w:p>
            <w:r>
              <w:rPr>
                <w:sz w:val="20"/>
              </w:rPr>
              <w:t>**Actif**</w:t>
            </w:r>
          </w:p>
        </w:tc>
      </w:tr>
      <w:tr>
        <w:tc>
          <w:tcPr>
            <w:tcW w:type="dxa" w:w="1559"/>
          </w:tcPr>
          <w:p>
            <w:r>
              <w:rPr>
                <w:sz w:val="20"/>
              </w:rPr>
              <w:t>DOCETAXEL IMGSA</w:t>
            </w:r>
          </w:p>
        </w:tc>
        <w:tc>
          <w:tcPr>
            <w:tcW w:type="dxa" w:w="1559"/>
          </w:tcPr>
          <w:p>
            <w:r>
              <w:rPr>
                <w:sz w:val="20"/>
              </w:rPr>
              <w:t>IMGSA GROUPE INDUSTRIE PHARMACEUTIQUE</w:t>
            </w:r>
          </w:p>
        </w:tc>
        <w:tc>
          <w:tcPr>
            <w:tcW w:type="dxa" w:w="1559"/>
          </w:tcPr>
          <w:p>
            <w:r>
              <w:rPr>
                <w:sz w:val="20"/>
              </w:rPr>
              <w:t>Solution à diluer pour perfusion IV — 80 mg/8 mL (10 mg/mL)</w:t>
            </w:r>
          </w:p>
        </w:tc>
        <w:tc>
          <w:tcPr>
            <w:tcW w:type="dxa" w:w="1559"/>
          </w:tcPr>
          <w:p>
            <w:r>
              <w:rPr>
                <w:sz w:val="20"/>
              </w:rPr>
              <w:t>B/1 flacon de 8 mL</w:t>
            </w:r>
          </w:p>
        </w:tc>
        <w:tc>
          <w:tcPr>
            <w:tcW w:type="dxa" w:w="1559"/>
          </w:tcPr>
          <w:p>
            <w:r>
              <w:rPr>
                <w:sz w:val="20"/>
              </w:rPr>
              <w:t>Liste I</w:t>
            </w:r>
          </w:p>
        </w:tc>
        <w:tc>
          <w:tcPr>
            <w:tcW w:type="dxa" w:w="1559"/>
          </w:tcPr>
          <w:p>
            <w:r>
              <w:rPr>
                <w:sz w:val="20"/>
              </w:rPr>
              <w:t>**Actif**</w:t>
            </w:r>
          </w:p>
        </w:tc>
      </w:tr>
      <w:tr>
        <w:tc>
          <w:tcPr>
            <w:tcW w:type="dxa" w:w="1559"/>
          </w:tcPr>
          <w:p>
            <w:r>
              <w:rPr>
                <w:sz w:val="20"/>
              </w:rPr>
              <w:t>DOCETAXEL SOL IMGSA</w:t>
            </w:r>
          </w:p>
        </w:tc>
        <w:tc>
          <w:tcPr>
            <w:tcW w:type="dxa" w:w="1559"/>
          </w:tcPr>
          <w:p>
            <w:r>
              <w:rPr>
                <w:sz w:val="20"/>
              </w:rPr>
              <w:t>IMGSA GROUPE INDUSTRIE PHARMACEUTIQUE</w:t>
            </w:r>
          </w:p>
        </w:tc>
        <w:tc>
          <w:tcPr>
            <w:tcW w:type="dxa" w:w="1559"/>
          </w:tcPr>
          <w:p>
            <w:r>
              <w:rPr>
                <w:sz w:val="20"/>
              </w:rPr>
              <w:t>Solution à diluer pour perfusion IV — 20 mg/mL (1 mL)</w:t>
            </w:r>
          </w:p>
        </w:tc>
        <w:tc>
          <w:tcPr>
            <w:tcW w:type="dxa" w:w="1559"/>
          </w:tcPr>
          <w:p>
            <w:r>
              <w:rPr>
                <w:sz w:val="20"/>
              </w:rPr>
              <w:t>B/1 flacon de 1 mL</w:t>
            </w:r>
          </w:p>
        </w:tc>
        <w:tc>
          <w:tcPr>
            <w:tcW w:type="dxa" w:w="1559"/>
          </w:tcPr>
          <w:p>
            <w:r>
              <w:rPr>
                <w:sz w:val="20"/>
              </w:rPr>
              <w:t>Liste I</w:t>
            </w:r>
          </w:p>
        </w:tc>
        <w:tc>
          <w:tcPr>
            <w:tcW w:type="dxa" w:w="1559"/>
          </w:tcPr>
          <w:p>
            <w:r>
              <w:rPr>
                <w:sz w:val="20"/>
              </w:rPr>
              <w:t>**Actif**</w:t>
            </w:r>
          </w:p>
        </w:tc>
      </w:tr>
      <w:tr>
        <w:tc>
          <w:tcPr>
            <w:tcW w:type="dxa" w:w="1559"/>
          </w:tcPr>
          <w:p>
            <w:r>
              <w:rPr>
                <w:sz w:val="20"/>
              </w:rPr>
              <w:t>DOCETAXEL SOL IMGSA</w:t>
            </w:r>
          </w:p>
        </w:tc>
        <w:tc>
          <w:tcPr>
            <w:tcW w:type="dxa" w:w="1559"/>
          </w:tcPr>
          <w:p>
            <w:r>
              <w:rPr>
                <w:sz w:val="20"/>
              </w:rPr>
              <w:t>IMGSA GROUPE INDUSTRIE PHARMACEUTIQUE</w:t>
            </w:r>
          </w:p>
        </w:tc>
        <w:tc>
          <w:tcPr>
            <w:tcW w:type="dxa" w:w="1559"/>
          </w:tcPr>
          <w:p>
            <w:r>
              <w:rPr>
                <w:sz w:val="20"/>
              </w:rPr>
              <w:t>Solution à diluer pour perfusion IV — 80 mg/4 mL (20 mg/mL)</w:t>
            </w:r>
          </w:p>
        </w:tc>
        <w:tc>
          <w:tcPr>
            <w:tcW w:type="dxa" w:w="1559"/>
          </w:tcPr>
          <w:p>
            <w:r>
              <w:rPr>
                <w:sz w:val="20"/>
              </w:rPr>
              <w:t>B/1 flacon de 4 mL</w:t>
            </w:r>
          </w:p>
        </w:tc>
        <w:tc>
          <w:tcPr>
            <w:tcW w:type="dxa" w:w="1559"/>
          </w:tcPr>
          <w:p>
            <w:r>
              <w:rPr>
                <w:sz w:val="20"/>
              </w:rPr>
              <w:t>Liste I</w:t>
            </w:r>
          </w:p>
        </w:tc>
        <w:tc>
          <w:tcPr>
            <w:tcW w:type="dxa" w:w="1559"/>
          </w:tcPr>
          <w:p>
            <w:r>
              <w:rPr>
                <w:sz w:val="20"/>
              </w:rPr>
              <w:t>**Actif**</w:t>
            </w:r>
          </w:p>
        </w:tc>
      </w:tr>
      <w:tr>
        <w:tc>
          <w:tcPr>
            <w:tcW w:type="dxa" w:w="1559"/>
          </w:tcPr>
          <w:p>
            <w:r>
              <w:rPr>
                <w:sz w:val="20"/>
              </w:rPr>
              <w:t>DOXACETAXEL-SAIDAL</w:t>
            </w:r>
          </w:p>
        </w:tc>
        <w:tc>
          <w:tcPr>
            <w:tcW w:type="dxa" w:w="1559"/>
          </w:tcPr>
          <w:p>
            <w:r>
              <w:rPr>
                <w:sz w:val="20"/>
              </w:rPr>
              <w:t>GROUPE SAIDAL</w:t>
            </w:r>
          </w:p>
        </w:tc>
        <w:tc>
          <w:tcPr>
            <w:tcW w:type="dxa" w:w="1559"/>
          </w:tcPr>
          <w:p>
            <w:r>
              <w:rPr>
                <w:sz w:val="20"/>
              </w:rPr>
              <w:t>Solution à diluer pour perfusion IV — 20 mg/mL (1 mL)</w:t>
            </w:r>
          </w:p>
        </w:tc>
        <w:tc>
          <w:tcPr>
            <w:tcW w:type="dxa" w:w="1559"/>
          </w:tcPr>
          <w:p>
            <w:r>
              <w:rPr>
                <w:sz w:val="20"/>
              </w:rPr>
              <w:t>B/1 flacon de 1 mL</w:t>
            </w:r>
          </w:p>
        </w:tc>
        <w:tc>
          <w:tcPr>
            <w:tcW w:type="dxa" w:w="1559"/>
          </w:tcPr>
          <w:p>
            <w:r>
              <w:rPr>
                <w:sz w:val="20"/>
              </w:rPr>
              <w:t>Liste I</w:t>
            </w:r>
          </w:p>
        </w:tc>
        <w:tc>
          <w:tcPr>
            <w:tcW w:type="dxa" w:w="1559"/>
          </w:tcPr>
          <w:p>
            <w:r>
              <w:rPr>
                <w:sz w:val="20"/>
              </w:rPr>
              <w:t>**Actif**</w:t>
            </w:r>
          </w:p>
        </w:tc>
      </w:tr>
      <w:tr>
        <w:tc>
          <w:tcPr>
            <w:tcW w:type="dxa" w:w="1559"/>
          </w:tcPr>
          <w:p>
            <w:r>
              <w:rPr>
                <w:sz w:val="20"/>
              </w:rPr>
              <w:t>DOCETAXEL TRIHYDRATE-SAIDAL</w:t>
            </w:r>
          </w:p>
        </w:tc>
        <w:tc>
          <w:tcPr>
            <w:tcW w:type="dxa" w:w="1559"/>
          </w:tcPr>
          <w:p>
            <w:r>
              <w:rPr>
                <w:sz w:val="20"/>
              </w:rPr>
              <w:t>GROUPE SAIDAL</w:t>
            </w:r>
          </w:p>
        </w:tc>
        <w:tc>
          <w:tcPr>
            <w:tcW w:type="dxa" w:w="1559"/>
          </w:tcPr>
          <w:p>
            <w:r>
              <w:rPr>
                <w:sz w:val="20"/>
              </w:rPr>
              <w:t>Solution à diluer pour perfusion IV — 80 mg/4 mL</w:t>
            </w:r>
          </w:p>
        </w:tc>
        <w:tc>
          <w:tcPr>
            <w:tcW w:type="dxa" w:w="1559"/>
          </w:tcPr>
          <w:p>
            <w:r>
              <w:rPr>
                <w:sz w:val="20"/>
              </w:rPr>
              <w:t>B/1 flacon de 4 mL</w:t>
            </w:r>
          </w:p>
        </w:tc>
        <w:tc>
          <w:tcPr>
            <w:tcW w:type="dxa" w:w="1559"/>
          </w:tcPr>
          <w:p>
            <w:r>
              <w:rPr>
                <w:sz w:val="20"/>
              </w:rPr>
              <w:t>Liste I</w:t>
            </w:r>
          </w:p>
        </w:tc>
        <w:tc>
          <w:tcPr>
            <w:tcW w:type="dxa" w:w="1559"/>
          </w:tcPr>
          <w:p>
            <w:r>
              <w:rPr>
                <w:sz w:val="20"/>
              </w:rPr>
              <w:t>**Actif**</w:t>
            </w:r>
          </w:p>
        </w:tc>
      </w:tr>
      <w:tr>
        <w:tc>
          <w:tcPr>
            <w:tcW w:type="dxa" w:w="1559"/>
          </w:tcPr>
          <w:p>
            <w:r>
              <w:rPr>
                <w:sz w:val="20"/>
              </w:rPr>
              <w:t>ORIONTAXEL</w:t>
            </w:r>
          </w:p>
        </w:tc>
        <w:tc>
          <w:tcPr>
            <w:tcW w:type="dxa" w:w="1559"/>
          </w:tcPr>
          <w:p>
            <w:r>
              <w:rPr>
                <w:sz w:val="20"/>
              </w:rPr>
              <w:t>ORION LAB</w:t>
            </w:r>
          </w:p>
        </w:tc>
        <w:tc>
          <w:tcPr>
            <w:tcW w:type="dxa" w:w="1559"/>
          </w:tcPr>
          <w:p>
            <w:r>
              <w:rPr>
                <w:sz w:val="20"/>
              </w:rPr>
              <w:t>Solution à diluer pour perfusion IV — 20 mg/mL (1 mL)</w:t>
            </w:r>
          </w:p>
        </w:tc>
        <w:tc>
          <w:tcPr>
            <w:tcW w:type="dxa" w:w="1559"/>
          </w:tcPr>
          <w:p>
            <w:r>
              <w:rPr>
                <w:sz w:val="20"/>
              </w:rPr>
              <w:t>B/1 flacon de 1 mL</w:t>
            </w:r>
          </w:p>
        </w:tc>
        <w:tc>
          <w:tcPr>
            <w:tcW w:type="dxa" w:w="1559"/>
          </w:tcPr>
          <w:p>
            <w:r>
              <w:rPr>
                <w:sz w:val="20"/>
              </w:rPr>
              <w:t>Liste I</w:t>
            </w:r>
          </w:p>
        </w:tc>
        <w:tc>
          <w:tcPr>
            <w:tcW w:type="dxa" w:w="1559"/>
          </w:tcPr>
          <w:p>
            <w:r>
              <w:rPr>
                <w:sz w:val="20"/>
              </w:rPr>
              <w:t>**Actif**</w:t>
            </w:r>
          </w:p>
        </w:tc>
      </w:tr>
      <w:tr>
        <w:tc>
          <w:tcPr>
            <w:tcW w:type="dxa" w:w="1559"/>
          </w:tcPr>
          <w:p>
            <w:r>
              <w:rPr>
                <w:sz w:val="20"/>
              </w:rPr>
              <w:t>ORIONTAXEL</w:t>
            </w:r>
          </w:p>
        </w:tc>
        <w:tc>
          <w:tcPr>
            <w:tcW w:type="dxa" w:w="1559"/>
          </w:tcPr>
          <w:p>
            <w:r>
              <w:rPr>
                <w:sz w:val="20"/>
              </w:rPr>
              <w:t>ORION LAB</w:t>
            </w:r>
          </w:p>
        </w:tc>
        <w:tc>
          <w:tcPr>
            <w:tcW w:type="dxa" w:w="1559"/>
          </w:tcPr>
          <w:p>
            <w:r>
              <w:rPr>
                <w:sz w:val="20"/>
              </w:rPr>
              <w:t>Solution à diluer pour perfusion IV — 80 mg/4 mL</w:t>
            </w:r>
          </w:p>
        </w:tc>
        <w:tc>
          <w:tcPr>
            <w:tcW w:type="dxa" w:w="1559"/>
          </w:tcPr>
          <w:p>
            <w:r>
              <w:rPr>
                <w:sz w:val="20"/>
              </w:rPr>
              <w:t>B/1 flacon de 4 mL</w:t>
            </w:r>
          </w:p>
        </w:tc>
        <w:tc>
          <w:tcPr>
            <w:tcW w:type="dxa" w:w="1559"/>
          </w:tcPr>
          <w:p>
            <w:r>
              <w:rPr>
                <w:sz w:val="20"/>
              </w:rPr>
              <w:t>Liste I</w:t>
            </w:r>
          </w:p>
        </w:tc>
        <w:tc>
          <w:tcPr>
            <w:tcW w:type="dxa" w:w="1559"/>
          </w:tcPr>
          <w:p>
            <w:r>
              <w:rPr>
                <w:sz w:val="20"/>
              </w:rPr>
              <w:t>**Actif**</w:t>
            </w:r>
          </w:p>
        </w:tc>
      </w:tr>
      <w:tr>
        <w:tc>
          <w:tcPr>
            <w:tcW w:type="dxa" w:w="1559"/>
          </w:tcPr>
          <w:p>
            <w:r>
              <w:rPr>
                <w:sz w:val="20"/>
              </w:rPr>
              <w:t>DOCEFREZ 20</w:t>
            </w:r>
          </w:p>
        </w:tc>
        <w:tc>
          <w:tcPr>
            <w:tcW w:type="dxa" w:w="1559"/>
          </w:tcPr>
          <w:p>
            <w:r>
              <w:rPr>
                <w:sz w:val="20"/>
              </w:rPr>
              <w:t>SUN PHARMACEUTICALS INDUSTRIES LTD (Inde)</w:t>
            </w:r>
          </w:p>
        </w:tc>
        <w:tc>
          <w:tcPr>
            <w:tcW w:type="dxa" w:w="1559"/>
          </w:tcPr>
          <w:p>
            <w:r>
              <w:rPr>
                <w:sz w:val="20"/>
              </w:rPr>
              <w:t>Lyophilisat et solvant (polysorbate-éthanol) pour perfusion IV — 20 mg/1 mL</w:t>
            </w:r>
          </w:p>
        </w:tc>
        <w:tc>
          <w:tcPr>
            <w:tcW w:type="dxa" w:w="1559"/>
          </w:tcPr>
          <w:p>
            <w:r>
              <w:rPr>
                <w:sz w:val="20"/>
              </w:rPr>
              <w:t>B/1 flacon de lyophilisat + 1 flacon de 1 mL de solvant</w:t>
            </w:r>
          </w:p>
        </w:tc>
        <w:tc>
          <w:tcPr>
            <w:tcW w:type="dxa" w:w="1559"/>
          </w:tcPr>
          <w:p>
            <w:r>
              <w:rPr>
                <w:sz w:val="20"/>
              </w:rPr>
              <w:t>Liste I</w:t>
            </w:r>
          </w:p>
        </w:tc>
        <w:tc>
          <w:tcPr>
            <w:tcW w:type="dxa" w:w="1559"/>
          </w:tcPr>
          <w:p>
            <w:r>
              <w:rPr>
                <w:sz w:val="20"/>
              </w:rPr>
              <w:t>**Actif**</w:t>
            </w:r>
          </w:p>
        </w:tc>
      </w:tr>
      <w:tr>
        <w:tc>
          <w:tcPr>
            <w:tcW w:type="dxa" w:w="1559"/>
          </w:tcPr>
          <w:p>
            <w:r>
              <w:rPr>
                <w:sz w:val="20"/>
              </w:rPr>
              <w:t>DOCEFREZ 80</w:t>
            </w:r>
          </w:p>
        </w:tc>
        <w:tc>
          <w:tcPr>
            <w:tcW w:type="dxa" w:w="1559"/>
          </w:tcPr>
          <w:p>
            <w:r>
              <w:rPr>
                <w:sz w:val="20"/>
              </w:rPr>
              <w:t>SUN PHARMACEUTICALS INDUSTRIES LTD (Inde)</w:t>
            </w:r>
          </w:p>
        </w:tc>
        <w:tc>
          <w:tcPr>
            <w:tcW w:type="dxa" w:w="1559"/>
          </w:tcPr>
          <w:p>
            <w:r>
              <w:rPr>
                <w:sz w:val="20"/>
              </w:rPr>
              <w:t>Solution à diluer pour perfusion IV — 80 mg/4 mL</w:t>
            </w:r>
          </w:p>
        </w:tc>
        <w:tc>
          <w:tcPr>
            <w:tcW w:type="dxa" w:w="1559"/>
          </w:tcPr>
          <w:p>
            <w:r>
              <w:rPr>
                <w:sz w:val="20"/>
              </w:rPr>
              <w:t>B/1 flacon de 4 mL</w:t>
            </w:r>
          </w:p>
        </w:tc>
        <w:tc>
          <w:tcPr>
            <w:tcW w:type="dxa" w:w="1559"/>
          </w:tcPr>
          <w:p>
            <w:r>
              <w:rPr>
                <w:sz w:val="20"/>
              </w:rPr>
              <w:t>Liste I</w:t>
            </w:r>
          </w:p>
        </w:tc>
        <w:tc>
          <w:tcPr>
            <w:tcW w:type="dxa" w:w="1559"/>
          </w:tcPr>
          <w:p>
            <w:r>
              <w:rPr>
                <w:sz w:val="20"/>
              </w:rPr>
              <w:t>**Actif**</w:t>
            </w:r>
          </w:p>
        </w:tc>
      </w:tr>
      <w:tr>
        <w:tc>
          <w:tcPr>
            <w:tcW w:type="dxa" w:w="1559"/>
          </w:tcPr>
          <w:p>
            <w:r>
              <w:rPr>
                <w:sz w:val="20"/>
              </w:rPr>
              <w:t>DOXTORED</w:t>
            </w:r>
          </w:p>
        </w:tc>
        <w:tc>
          <w:tcPr>
            <w:tcW w:type="dxa" w:w="1559"/>
          </w:tcPr>
          <w:p>
            <w:r>
              <w:rPr>
                <w:sz w:val="20"/>
              </w:rPr>
              <w:t>DR. REDDY'S LABORATORIES LIMITED (Inde)</w:t>
            </w:r>
          </w:p>
        </w:tc>
        <w:tc>
          <w:tcPr>
            <w:tcW w:type="dxa" w:w="1559"/>
          </w:tcPr>
          <w:p>
            <w:r>
              <w:rPr>
                <w:sz w:val="20"/>
              </w:rPr>
              <w:t>Solution à diluer pour perfusion IV — 20 mg/mL (1 mL) + solvant 4 mL</w:t>
            </w:r>
          </w:p>
        </w:tc>
        <w:tc>
          <w:tcPr>
            <w:tcW w:type="dxa" w:w="1559"/>
          </w:tcPr>
          <w:p>
            <w:r>
              <w:rPr>
                <w:sz w:val="20"/>
              </w:rPr>
              <w:t>B/1 flacon 1 mL solution + 1 flacon 4 mL solvant</w:t>
            </w:r>
          </w:p>
        </w:tc>
        <w:tc>
          <w:tcPr>
            <w:tcW w:type="dxa" w:w="1559"/>
          </w:tcPr>
          <w:p>
            <w:r>
              <w:rPr>
                <w:sz w:val="20"/>
              </w:rPr>
              <w:t>Liste I</w:t>
            </w:r>
          </w:p>
        </w:tc>
        <w:tc>
          <w:tcPr>
            <w:tcW w:type="dxa" w:w="1559"/>
          </w:tcPr>
          <w:p>
            <w:r>
              <w:rPr>
                <w:sz w:val="20"/>
              </w:rPr>
              <w:t>**Actif**</w:t>
            </w:r>
          </w:p>
        </w:tc>
      </w:tr>
      <w:tr>
        <w:tc>
          <w:tcPr>
            <w:tcW w:type="dxa" w:w="1559"/>
          </w:tcPr>
          <w:p>
            <w:r>
              <w:rPr>
                <w:sz w:val="20"/>
              </w:rPr>
              <w:t>TAXADOC</w:t>
            </w:r>
          </w:p>
        </w:tc>
        <w:tc>
          <w:tcPr>
            <w:tcW w:type="dxa" w:w="1559"/>
          </w:tcPr>
          <w:p>
            <w:r>
              <w:rPr>
                <w:sz w:val="20"/>
              </w:rPr>
              <w:t>MUSTAFA NEVZAT ILAÇ SANAYII A.Ş (Turquie)</w:t>
            </w:r>
          </w:p>
        </w:tc>
        <w:tc>
          <w:tcPr>
            <w:tcW w:type="dxa" w:w="1559"/>
          </w:tcPr>
          <w:p>
            <w:r>
              <w:rPr>
                <w:sz w:val="20"/>
              </w:rPr>
              <w:t>Solution à diluer pour perfusion IV — 80 mg/4 mL + solvant 6 mL ; 20 mg/0,5 mL + solvant 1,5 mL</w:t>
            </w:r>
          </w:p>
        </w:tc>
        <w:tc>
          <w:tcPr>
            <w:tcW w:type="dxa" w:w="1559"/>
          </w:tcPr>
          <w:p>
            <w:r>
              <w:rPr>
                <w:sz w:val="20"/>
              </w:rPr>
              <w:t>B/1 flacon 2 mL conc. + 1 flacon 6 mL solvant ; B/1 flacon 0,5 mL conc. + 1 flacon 1,5 mL solvant</w:t>
            </w:r>
          </w:p>
        </w:tc>
        <w:tc>
          <w:tcPr>
            <w:tcW w:type="dxa" w:w="1559"/>
          </w:tcPr>
          <w:p>
            <w:r>
              <w:rPr>
                <w:sz w:val="20"/>
              </w:rPr>
              <w:t>Liste I</w:t>
            </w:r>
          </w:p>
        </w:tc>
        <w:tc>
          <w:tcPr>
            <w:tcW w:type="dxa" w:w="1559"/>
          </w:tcPr>
          <w:p>
            <w:r>
              <w:rPr>
                <w:sz w:val="20"/>
              </w:rPr>
              <w:t>**Actif**</w:t>
            </w:r>
          </w:p>
        </w:tc>
      </w:tr>
    </w:tbl>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DOCETAX 120</w:t>
            </w:r>
          </w:p>
        </w:tc>
        <w:tc>
          <w:tcPr>
            <w:tcW w:type="dxa" w:w="1559"/>
          </w:tcPr>
          <w:p>
            <w:r>
              <w:rPr>
                <w:sz w:val="20"/>
              </w:rPr>
              <w:t>CIPLA LIMITED</w:t>
            </w:r>
          </w:p>
        </w:tc>
        <w:tc>
          <w:tcPr>
            <w:tcW w:type="dxa" w:w="1559"/>
          </w:tcPr>
          <w:p>
            <w:r>
              <w:rPr>
                <w:sz w:val="20"/>
              </w:rPr>
              <w:t>Concentré pour solution injectable — 120 mg/flacon de concentré (3 mL)</w:t>
            </w:r>
          </w:p>
        </w:tc>
        <w:tc>
          <w:tcPr>
            <w:tcW w:type="dxa" w:w="1559"/>
          </w:tcPr>
          <w:p>
            <w:r>
              <w:rPr>
                <w:sz w:val="20"/>
              </w:rPr>
              <w:t>B/1 flacon 3 mL conc. + 1 flacon 9 mL solvant</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OKA-DOCETAXEL 20</w:t>
            </w:r>
          </w:p>
        </w:tc>
        <w:tc>
          <w:tcPr>
            <w:tcW w:type="dxa" w:w="1559"/>
          </w:tcPr>
          <w:p>
            <w:r>
              <w:rPr>
                <w:sz w:val="20"/>
              </w:rPr>
              <w:t>BIOVITAL</w:t>
            </w:r>
          </w:p>
        </w:tc>
        <w:tc>
          <w:tcPr>
            <w:tcW w:type="dxa" w:w="1559"/>
          </w:tcPr>
          <w:p>
            <w:r>
              <w:rPr>
                <w:sz w:val="20"/>
              </w:rPr>
              <w:t>Concentré à diluer pour perfusion IV — 20 mg/flacon</w:t>
            </w:r>
          </w:p>
        </w:tc>
        <w:tc>
          <w:tcPr>
            <w:tcW w:type="dxa" w:w="1559"/>
          </w:tcPr>
          <w:p>
            <w:r>
              <w:rPr>
                <w:sz w:val="20"/>
              </w:rPr>
              <w:t>B/1 flacon conc. + 1 flacon 1,5 mL solvant</w:t>
            </w:r>
          </w:p>
        </w:tc>
        <w:tc>
          <w:tcPr>
            <w:tcW w:type="dxa" w:w="1559"/>
          </w:tcPr>
          <w:p>
            <w:r>
              <w:rPr>
                <w:sz w:val="20"/>
              </w:rPr>
              <w:t>Liste I</w:t>
            </w:r>
          </w:p>
        </w:tc>
        <w:tc>
          <w:tcPr>
            <w:tcW w:type="dxa" w:w="1559"/>
          </w:tcPr>
          <w:p>
            <w:r>
              <w:rPr>
                <w:sz w:val="20"/>
              </w:rPr>
              <w:t>**Retiré (R)**</w:t>
            </w:r>
          </w:p>
        </w:tc>
      </w:tr>
      <w:tr>
        <w:tc>
          <w:tcPr>
            <w:tcW w:type="dxa" w:w="1559"/>
          </w:tcPr>
          <w:p>
            <w:r>
              <w:rPr>
                <w:sz w:val="20"/>
              </w:rPr>
              <w:t>OKA-DOCETAXEL 80</w:t>
            </w:r>
          </w:p>
        </w:tc>
        <w:tc>
          <w:tcPr>
            <w:tcW w:type="dxa" w:w="1559"/>
          </w:tcPr>
          <w:p>
            <w:r>
              <w:rPr>
                <w:sz w:val="20"/>
              </w:rPr>
              <w:t>BIOVITAL</w:t>
            </w:r>
          </w:p>
        </w:tc>
        <w:tc>
          <w:tcPr>
            <w:tcW w:type="dxa" w:w="1559"/>
          </w:tcPr>
          <w:p>
            <w:r>
              <w:rPr>
                <w:sz w:val="20"/>
              </w:rPr>
              <w:t>Concentré à diluer pour perfusion IV — 80 mg/flacon</w:t>
            </w:r>
          </w:p>
        </w:tc>
        <w:tc>
          <w:tcPr>
            <w:tcW w:type="dxa" w:w="1559"/>
          </w:tcPr>
          <w:p>
            <w:r>
              <w:rPr>
                <w:sz w:val="20"/>
              </w:rPr>
              <w:t>B/1 flacon conc. + 1 flacon 6 mL solvant</w:t>
            </w:r>
          </w:p>
        </w:tc>
        <w:tc>
          <w:tcPr>
            <w:tcW w:type="dxa" w:w="1559"/>
          </w:tcPr>
          <w:p>
            <w:r>
              <w:rPr>
                <w:sz w:val="20"/>
              </w:rPr>
              <w:t>Liste I</w:t>
            </w:r>
          </w:p>
        </w:tc>
        <w:tc>
          <w:tcPr>
            <w:tcW w:type="dxa" w:w="1559"/>
          </w:tcPr>
          <w:p>
            <w:r>
              <w:rPr>
                <w:sz w:val="20"/>
              </w:rPr>
              <w:t>**Retiré (R)**</w:t>
            </w:r>
          </w:p>
        </w:tc>
      </w:tr>
      <w:tr>
        <w:tc>
          <w:tcPr>
            <w:tcW w:type="dxa" w:w="1559"/>
          </w:tcPr>
          <w:p>
            <w:r>
              <w:rPr>
                <w:sz w:val="20"/>
              </w:rPr>
              <w:t>DOCETAX 20</w:t>
            </w:r>
          </w:p>
        </w:tc>
        <w:tc>
          <w:tcPr>
            <w:tcW w:type="dxa" w:w="1559"/>
          </w:tcPr>
          <w:p>
            <w:r>
              <w:rPr>
                <w:sz w:val="20"/>
              </w:rPr>
              <w:t>CIPLA LIMITED</w:t>
            </w:r>
          </w:p>
        </w:tc>
        <w:tc>
          <w:tcPr>
            <w:tcW w:type="dxa" w:w="1559"/>
          </w:tcPr>
          <w:p>
            <w:r>
              <w:rPr>
                <w:sz w:val="20"/>
              </w:rPr>
              <w:t>Concentré pour solution injectable — 20 mg/flacon (0,5 mL)</w:t>
            </w:r>
          </w:p>
        </w:tc>
        <w:tc>
          <w:tcPr>
            <w:tcW w:type="dxa" w:w="1559"/>
          </w:tcPr>
          <w:p>
            <w:r>
              <w:rPr>
                <w:sz w:val="20"/>
              </w:rPr>
              <w:t>B/1 flacon 0,5 mL conc. + 1 flacon 1,5 mL solvant</w:t>
            </w:r>
          </w:p>
        </w:tc>
        <w:tc>
          <w:tcPr>
            <w:tcW w:type="dxa" w:w="1559"/>
          </w:tcPr>
          <w:p>
            <w:r>
              <w:rPr>
                <w:sz w:val="20"/>
              </w:rPr>
              <w:t>Liste I</w:t>
            </w:r>
          </w:p>
        </w:tc>
        <w:tc>
          <w:tcPr>
            <w:tcW w:type="dxa" w:w="1559"/>
          </w:tcPr>
          <w:p>
            <w:r>
              <w:rPr>
                <w:sz w:val="20"/>
              </w:rPr>
              <w:t>**Retiré (R)**</w:t>
            </w:r>
          </w:p>
        </w:tc>
      </w:tr>
      <w:tr>
        <w:tc>
          <w:tcPr>
            <w:tcW w:type="dxa" w:w="1559"/>
          </w:tcPr>
          <w:p>
            <w:r>
              <w:rPr>
                <w:sz w:val="20"/>
              </w:rPr>
              <w:t>DOCETAX 80</w:t>
            </w:r>
          </w:p>
        </w:tc>
        <w:tc>
          <w:tcPr>
            <w:tcW w:type="dxa" w:w="1559"/>
          </w:tcPr>
          <w:p>
            <w:r>
              <w:rPr>
                <w:sz w:val="20"/>
              </w:rPr>
              <w:t>CIPLA LIMITED</w:t>
            </w:r>
          </w:p>
        </w:tc>
        <w:tc>
          <w:tcPr>
            <w:tcW w:type="dxa" w:w="1559"/>
          </w:tcPr>
          <w:p>
            <w:r>
              <w:rPr>
                <w:sz w:val="20"/>
              </w:rPr>
              <w:t>Solution concentrée injectable — 80 mg/flacon (2 mL)</w:t>
            </w:r>
          </w:p>
        </w:tc>
        <w:tc>
          <w:tcPr>
            <w:tcW w:type="dxa" w:w="1559"/>
          </w:tcPr>
          <w:p>
            <w:r>
              <w:rPr>
                <w:sz w:val="20"/>
              </w:rPr>
              <w:t>B/1 flacon 2 mL conc. + 1 flacon 6 mL solvant</w:t>
            </w:r>
          </w:p>
        </w:tc>
        <w:tc>
          <w:tcPr>
            <w:tcW w:type="dxa" w:w="1559"/>
          </w:tcPr>
          <w:p>
            <w:r>
              <w:rPr>
                <w:sz w:val="20"/>
              </w:rPr>
              <w:t>Liste I</w:t>
            </w:r>
          </w:p>
        </w:tc>
        <w:tc>
          <w:tcPr>
            <w:tcW w:type="dxa" w:w="1559"/>
          </w:tcPr>
          <w:p>
            <w:r>
              <w:rPr>
                <w:sz w:val="20"/>
              </w:rPr>
              <w:t>**Retiré (R)**</w:t>
            </w:r>
          </w:p>
        </w:tc>
      </w:tr>
    </w:tbl>
    <w:p/>
    <w:p>
      <w:r/>
      <w:r>
        <w:rPr>
          <w:i/>
        </w:rPr>
        <w:t>Note : le marché algérien du docetaxel est remarquablement saturé — 14 marques actives dont le princeps TAXOTERE® (Sanofi-Aventis), 5 génériques industriels algériens (DOXACETAXEL-SAIDAL, DOCETAXEL IMGSA × 2 dosages, DOCETAXEL SOL IMGSA × 2 dosages, DOCETAXEL TRIHYDRATE-SAIDAL), 4 génériques étrangers (ORIONTAXEL Orion Lab, DOCEFREZ Sun Pharma × 2 dosages, DOXTORED Dr. Reddy's, TAXADOC Mustafa Nevzat). Cette diversité assure un approvisionnement stable — l'alternative princeps ↔ générique est possible sans différence clinique significative (bioéquivalence démontrée). Attention à la forme DOCETAXEL IMGSA 80 mg/8 mL (10 mg/mL) — concentration différente des autres marques (20 mg/mL) — erreur de calcul possible.</w:t>
      </w:r>
      <w:r/>
    </w:p>
    <w:p>
      <w:r/>
      <w:r>
        <w:rPr>
          <w:b/>
        </w:rPr>
        <w:t>Sous-classe et Mécanisme d'action :</w:t>
      </w:r>
      <w:r/>
    </w:p>
    <w:p>
      <w:pPr>
        <w:pStyle w:val="ListBullet"/>
      </w:pPr>
      <w:r>
        <w:t>Sous-classe : Taxanes (2e génération — poison du fuseau mitotique stabilisateur des microtubules). Classification ATC : L01CD02. Le docetaxel est devenu, depuis 1996, la pierre angulaire des protocoles mammaires (TAC, AC-T, TC), prostatiques (docetaxel-prednisone — protocole TAX327 de Tannock, NEJM 2004), pulmonaires (DC — docetaxel + cisplatine ; DCG — docetaxel + cisplatine + gemcitabine), gastriques (TCF — docetaxel + cisplatine + 5-FU, V325, JCO 2006), ORL (TPF — docetaxel + cisplatine + 5-FU, TAX 323 et TAX 324), et vésicaux (adjuvant, métastatique). Sa place dans l'arsenal thérapeutique est aujourd'hui confortée par les indications adjuvantes (sein, vessie) et néo-adjuvantes (sein HER2+, ORL). Le développement de formes orales (ModraDoc001 — essai en cours) et de formulations nanoparticulaires (docetaxel-polymer nanoparticles — BIND-014) reste en cours.</w:t>
      </w:r>
    </w:p>
    <w:p>
      <w:pPr>
        <w:pStyle w:val="ListBullet"/>
      </w:pPr>
      <w:r>
        <w:t xml:space="preserve">Mécanisme d'action : identique au paclitaxel — </w:t>
      </w:r>
      <w:r>
        <w:rPr>
          <w:b/>
        </w:rPr>
        <w:t>stabilisation des microtubules par fixation à la β-tubuline au site taxane</w:t>
      </w:r>
      <w:r>
        <w:t xml:space="preserve"> (même poche hydrophobe — mais affinité 2 fois supérieure — dissociation 2 fois plus lente — d'où une cytotoxicité plus marquée et une durée d'action plus prolongée). Le docetaxel bloque la dépolymérisation des microtubules en empêchant le repliement conformationnel de la boucle M qui suit normalement l'hydrolyse du GTP lié à la β-tubuline — les microtubules deviennent « gelés » en état polymérisé — bloc mitotique en métaphase (spindle assembly checkpoint SAC) — apoptose. Action phase-spécifique (G2/M) mais aussi cytotoxicité en phase G0 (altération du trafic vésiculaire interphasique). Effets annexes : inhibition de la Bcl-2 phosphorylation (apoptose via voie mitochondriale) ; inhibition du VEGF (effet anti-angiogénique modeste) ; inhibition de la P-gp par le polysorbate 80 (solvant) — augmentation paradoxale de la biodisponibilité de certains co-médicaments (mais effet moindre que pour le Crémophor EL).</w:t>
      </w:r>
    </w:p>
    <w:p>
      <w:r/>
      <w:r>
        <w:rPr>
          <w:b/>
        </w:rPr>
        <w:t>Profil Pharmacologique et Indications :</w:t>
      </w:r>
      <w:r/>
    </w:p>
    <w:p>
      <w:pPr>
        <w:pStyle w:val="ListBullet"/>
      </w:pPr>
      <w:r>
        <w:t>Indications (selon AMM française et algérienne — RCP VIDAL 2026) :</w:t>
      </w:r>
    </w:p>
    <w:p>
      <w:pPr>
        <w:pStyle w:val="ListBullet"/>
      </w:pPr>
      <w:r/>
      <w:r>
        <w:rPr>
          <w:b/>
        </w:rPr>
        <w:t>Cancer du sein</w:t>
      </w:r>
      <w:r>
        <w:t xml:space="preserve"> : (i) adjuvant — protocole TAC (docetaxel 75 mg/m² + doxorubicine 50 mg/m² + cyclophosphamide 500 mg/m² J1 toutes les 3 semaines × 6 cycles — essai BCIRG-001, NEJM 2005) — particularly pour les patientes N+ ; (ii) adjuvant — protocole TC (docetaxel 75 mg/m² + cyclophosphamide 600 mg/m² J1 toutes les 3 semaines × 4 cycles — particularly pour les patientes N0-1, HER2-, hormonosensibles — essai US Oncology 9735, JCO 2009) ; (iii) néo-adjuvant — protocole AC-T ou TAC, ou docetaxel + trastuzumab + pertuzumab si HER2+ ; (iv) métastatique — 1re ligne après échec anthracycline (docetaxel 75-100 mg/m² J1 toutes les 3 semaines — dose-dense hebdomadaire 35-40 mg/m² J1, J8, J15 — alternative) ; 2e ligne (paclitaxel → docetaxel) ; 3e ligne (eribuline, ixabépilone, capecitabine).</w:t>
      </w:r>
    </w:p>
    <w:p>
      <w:pPr>
        <w:pStyle w:val="ListBullet"/>
      </w:pPr>
      <w:r/>
      <w:r>
        <w:rPr>
          <w:b/>
        </w:rPr>
        <w:t>Cancer de la prostate métastatique résistant à la castration (mCRPC)</w:t>
      </w:r>
      <w:r>
        <w:t xml:space="preserve"> : protocole docetaxel 75 mg/m² J1 toutes les 3 semaines + prednisone 10 mg/j PO continu — 9-10 cures (protocole TAX327 de Tannock, NEJM 2004 — bénéfice en survie globale +2,4 mois vs mitoxantrone) ; alternative en 1re ligne après échec hormonothérapie + abiratérone ou enzalutamide.</w:t>
      </w:r>
    </w:p>
    <w:p>
      <w:pPr>
        <w:pStyle w:val="ListBullet"/>
      </w:pPr>
      <w:r/>
      <w:r>
        <w:rPr>
          <w:b/>
        </w:rPr>
        <w:t>CBNPC</w:t>
      </w:r>
      <w:r>
        <w:t xml:space="preserve"> : (i) 1re ligne métastatique — protocole DC (docetaxel 75 mg/m² + cisplatine 75 mg/m² J1 toutes les 3 semaines × 4-6 cycles) ; (ii) 2e ligne en monothérapie après échec platine (docetaxel 75 mg/m² J1 toutes les 3 semaines — essai TAX 317, Shepherd NEJM 2000 — bénéfice en survie +3 mois vs BSC) ; (iii) adjuvant — protocole cisplatine-vinorelbine préféré.</w:t>
      </w:r>
    </w:p>
    <w:p>
      <w:pPr>
        <w:pStyle w:val="ListBullet"/>
      </w:pPr>
      <w:r/>
      <w:r>
        <w:rPr>
          <w:b/>
        </w:rPr>
        <w:t>Cancer gastrique</w:t>
      </w:r>
      <w:r>
        <w:t xml:space="preserve"> : protocole TCF (docetaxel 75 mg/m² + cisplatine 75 mg/m² + 5-FU 750 mg/m² J1-J5, toutes les 3 semaines × 6 cycles — essai V325, JCO 2006) — particularly pour les adénocarcinomes gastriques ou du cardia métastatiques HER2- ; alternative DCF ou FLOT (5-FU + leucovorine + oxaliplatine + docetaxel) en néo-adjuvant.</w:t>
      </w:r>
    </w:p>
    <w:p>
      <w:pPr>
        <w:pStyle w:val="ListBullet"/>
      </w:pPr>
      <w:r/>
      <w:r>
        <w:rPr>
          <w:b/>
        </w:rPr>
        <w:t>Cancers ORL</w:t>
      </w:r>
      <w:r>
        <w:t xml:space="preserve"> : (i) métastatique ou récidive locorégionale — protocole TPF (docetaxel 75 mg/m² + cisplatine 75 mg/m² J1 + 5-FU 750 mg/m² J1-J5, toutes les 3 semaines × 4 cycles — essai TAX 324, Posner NEJM 2007) — particulièrement pour les cancers localement avancés non opérables ; (ii) néo-adjuvant — protocole TPF suivi de chimioradiothérapie (cisplatine hebdomadaire + radiothérapie 70 Gy) ; (iii) chimioradiothérapie concomitante.</w:t>
      </w:r>
    </w:p>
    <w:p>
      <w:pPr>
        <w:pStyle w:val="ListBullet"/>
      </w:pPr>
      <w:r/>
      <w:r>
        <w:rPr>
          <w:b/>
        </w:rPr>
        <w:t>Cancer de la vessie</w:t>
      </w:r>
      <w:r>
        <w:t xml:space="preserve"> : (i) métastatique — protocole GC (gemcitabine + cisplatine) préféré en 1re ligne — docetaxel en 2e ligne (essai RAGHAVAN, JCO 2009 — survie médiane 7 mois) ; (ii) adjuvant — protocole MVAC (méthotrexate + vinblastine + doxorubicine + cisplatine) ou GC — docetaxel en alternative.</w:t>
      </w:r>
    </w:p>
    <w:p>
      <w:pPr>
        <w:pStyle w:val="ListBullet"/>
      </w:pPr>
      <w:r/>
      <w:r>
        <w:rPr>
          <w:b/>
        </w:rPr>
        <w:t>Cancer de l'ovaire</w:t>
      </w:r>
      <w:r>
        <w:t xml:space="preserve"> : 2e ligne en monothérapie ou en association (carboplatine-docetaxel) — alternative au paclitaxel en cas d'allergie au Crémophor EL.</w:t>
      </w:r>
    </w:p>
    <w:p>
      <w:pPr>
        <w:pStyle w:val="ListBullet"/>
      </w:pPr>
      <w:r>
        <w:t>Hors-AMM (référentiel NCCN Off-label) : cancer de l'endomètre, sarcomes des tissus mous, mésothéliome, cancer du col utérin.</w:t>
      </w:r>
    </w:p>
    <w:p>
      <w:pPr>
        <w:pStyle w:val="ListBullet"/>
      </w:pPr>
      <w:r>
        <w:t>Particularités pharmacologiques :</w:t>
      </w:r>
    </w:p>
    <w:p>
      <w:pPr>
        <w:pStyle w:val="ListBullet"/>
      </w:pPr>
      <w:r>
        <w:t>Cinétique linéaire aux doses thérapeutiques (75-100 mg/m²) — clairance 21 L/h/m² ± 50 %.</w:t>
      </w:r>
    </w:p>
    <w:p>
      <w:pPr>
        <w:pStyle w:val="ListBullet"/>
      </w:pPr>
      <w:r>
        <w:t>Distribution large — Vd 113 L ; liaison protéique élevée (94 % — albumine, AAG, lipoprotéines).</w:t>
      </w:r>
    </w:p>
    <w:p>
      <w:pPr>
        <w:pStyle w:val="ListBullet"/>
      </w:pPr>
      <w:r>
        <w:t>Métabolisme hépatique prédominant (CYP3A4 → métabolites inactifs ; CYP3A5 accessoire) — élimination biliaire (~ 75 % dans les fèces en 48 h) ; moins de 5 % dans les urines (rôle rénal négligeable → utilisable chez l'insuffisant rénal sans adaptation).</w:t>
      </w:r>
    </w:p>
    <w:p>
      <w:pPr>
        <w:pStyle w:val="ListBullet"/>
      </w:pPr>
      <w:r>
        <w:t>Demi-vie d'élimination : 11 h (biphasique — α-phase 7 min, β-phase 1,5 h, γ-phase 12 h).</w:t>
      </w:r>
    </w:p>
    <w:p>
      <w:pPr>
        <w:pStyle w:val="ListBullet"/>
      </w:pPr>
      <w:r>
        <w:t>Adaptation hépatique : (i) bilirubine ≤ 1 × LSN, ASAT/ALAT ≤ 1,5 × LSN, PAL ≤ 2,5 × LSN : dose pleine (75-100 mg/m²) ; (ii) bilirubine 1-1,5 × LSN, ou ASAT/ALAT 1,5-3,5 × LSN, ou PAL 2,5-5 × LSN : dose réduite à 50 mg/m² ; (iii) bilirubine &gt; 1,5 × LSN, ou ASAT/ALAT &gt; 3,5 × LSN avec PAL &gt; 5 × LSN : contre-indication.</w:t>
      </w:r>
    </w:p>
    <w:p>
      <w:pPr>
        <w:pStyle w:val="ListBullet"/>
      </w:pPr>
      <w:r>
        <w:t>Schémas : (i) 75-100 mg/m² J1 sur 1 h toutes les 3 semaines (standard historique) ; (ii) 35-40 mg/m² J1, J8, J15 hebdomadaire × 6 semaines (semaine 7 = repos) — alternative avec moindre myélotoxicité et tolérance neurologique meilleure ; (iii) dose-dense (docetaxel 75 mg/m² + doxorubicine 50 mg/m² + cyclophosphamide 500 mg/m² J1 toutes les 2 semaines — protocole G-CSF-supported — protocole TAC dose-dense, GDG).</w:t>
      </w:r>
    </w:p>
    <w:p>
      <w:r/>
      <w:r>
        <w:rPr>
          <w:b/>
        </w:rPr>
        <w:t>Contre-indications et Précautions d'Emploi :</w:t>
      </w:r>
      <w:r/>
    </w:p>
    <w:p>
      <w:pPr>
        <w:pStyle w:val="ListBullet"/>
      </w:pPr>
      <w:r>
        <w:t>Contre-indications absolues :</w:t>
      </w:r>
    </w:p>
    <w:p>
      <w:pPr>
        <w:pStyle w:val="ListBullet"/>
      </w:pPr>
      <w:r>
        <w:t xml:space="preserve">Hypersensibilité connue au docetaxel ou à l'un des excipients, notamment le </w:t>
      </w:r>
      <w:r>
        <w:rPr>
          <w:b/>
        </w:rPr>
        <w:t>polysorbate 80 (Tween 80)</w:t>
      </w:r>
      <w:r>
        <w:t xml:space="preserve"> — en pratique, une réaction anaphylactique sévère lors d'une perfusion précédente contre-indique la ré-administration sauf protocole de désensibilisation. Pour les patients allergiques au polysorbate 80, switching vers paclitaxel (solvant Crémophor EL) est contre-indiqué en raison d'une allergie croisée possible — switch vers nab-paclitaxel (sans solvant) recommandé (non disponible en Algérie).</w:t>
      </w:r>
    </w:p>
    <w:p>
      <w:pPr>
        <w:pStyle w:val="ListBullet"/>
      </w:pPr>
      <w:r/>
      <w:r>
        <w:rPr>
          <w:b/>
        </w:rPr>
        <w:t>Neutropénie sévère</w:t>
      </w:r>
      <w:r>
        <w:t xml:space="preserve"> (&lt; 1 500/mm³) pré-existante — attendre récupération PNN ≥ 1 500/mm³ avant la cure.</w:t>
      </w:r>
    </w:p>
    <w:p>
      <w:pPr>
        <w:pStyle w:val="ListBullet"/>
      </w:pPr>
      <w:r/>
      <w:r>
        <w:rPr>
          <w:b/>
        </w:rPr>
        <w:t>Insuffisance hépatique sévère</w:t>
      </w:r>
      <w:r>
        <w:t xml:space="preserve"> (bilirubine &gt; 1,5 × LSN et/ou ASAT/ALAT &gt; 3,5 × LSN avec PAL &gt; 5 × LSN) — risque d'augmentation majeure de l'AUC et de toxicité grave (neutropénie fébrile, mucite, décès toxique).</w:t>
      </w:r>
    </w:p>
    <w:p>
      <w:pPr>
        <w:pStyle w:val="ListBullet"/>
      </w:pPr>
      <w:r/>
      <w:r>
        <w:rPr>
          <w:b/>
        </w:rPr>
        <w:t>Grossesse et allaitement</w:t>
      </w:r>
      <w:r>
        <w:t xml:space="preserve"> (catégorie D — tératogène — exclure toute grossesse pendant et 6 mois après arrêt — contraception efficace obligatoire).</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r>
        <w:rPr>
          <w:b/>
        </w:rPr>
        <w:t>Prémédication corticoïde systématique</w:t>
      </w:r>
      <w:r>
        <w:t xml:space="preserve"> : dexaméthasone 8 mg PO toutes les 12 h pendant 5 prises (la veille J-1 matin et soir, le jour J0 matin et soir, le lendemain J+1 matin) — soit 4 prises à J-1 et J0, 1 prise à J+1 — protocole standard Taxotère®. Pour les génériques, vérifier le RCP (certains recommandent 4 prises × 8 mg en 2 jours — J-1 et J0). Cette prémédication a pour but : (i) prévenir la rétention hydrosodée (effet vasculaire du polysorbate 80 + du docetaxel lui-même sur les endothéliums capillaires) ; (ii) réduire l'hypersensibilité au polysorbate 80. Ne pas omettre — la rétention hydrosodée peut évoluer vers un anasarque, un épanchement pleural/péricardique, voire une insuffisance cardiaque.</w:t>
      </w:r>
    </w:p>
    <w:p>
      <w:pPr>
        <w:pStyle w:val="ListBullet"/>
      </w:pPr>
      <w:r/>
      <w:r>
        <w:rPr>
          <w:b/>
        </w:rPr>
        <w:t>Surveillance hématologique</w:t>
      </w:r>
      <w:r>
        <w:t xml:space="preserve"> : NFS avant chaque cure (PNN ≥ 1 500/mm³, plaquettes ≥ 100 000/mm³) ; en cas de neutropénie fébrile à la cure précédente — délai de 1 semaine, dose réduite de 20 % (75 → 60 mg/m² ; 100 → 75 mg/m²), G-CSF prophylactique (filgrastim 5 µg/kg/j J3-J10 ou pegfilgrastim 6 mg SC J2).</w:t>
      </w:r>
    </w:p>
    <w:p>
      <w:pPr>
        <w:pStyle w:val="ListBullet"/>
      </w:pPr>
      <w:r/>
      <w:r>
        <w:rPr>
          <w:b/>
        </w:rPr>
        <w:t>Surveillance hydro-électrolytique et pondérale</w:t>
      </w:r>
      <w:r>
        <w:t xml:space="preserve"> : poids avant chaque cure, évaluation des œdèmes (membres inférieurs, sacro-lombaire, facial), recherche de dyspnée (épanchement pleural), auscultation cardiaque (épanchement péricardique). En cas de prise de poids &gt; 2 kg en 3 semaines ou d'œdèmes cliniques significatifs — augmentation du dosage de dexaméthasone (8 mg × 4/j), surveillance biologique (BNP, échographie cardiaque), et discussion d'une réduction de dose ou d'un switch vers paclitaxel.</w:t>
      </w:r>
    </w:p>
    <w:p>
      <w:pPr>
        <w:pStyle w:val="ListBullet"/>
      </w:pPr>
      <w:r/>
      <w:r>
        <w:rPr>
          <w:b/>
        </w:rPr>
        <w:t>Surveillance neurologique</w:t>
      </w:r>
      <w:r>
        <w:t xml:space="preserve"> : examen clinique pré-cure à la recherche de paresthésies, hypoesthésie, dysesthésies en gants et chaussettes — gradation NCI-CTCAE. En cas de neurotoxicité G ≥ 3, réduction de dose à 60 mg/m² ou switch vers vinorelbine.</w:t>
      </w:r>
    </w:p>
    <w:p>
      <w:pPr>
        <w:pStyle w:val="ListBullet"/>
      </w:pPr>
      <w:r/>
      <w:r>
        <w:rPr>
          <w:b/>
        </w:rPr>
        <w:t>Surveillance cutanée</w:t>
      </w:r>
      <w:r>
        <w:t xml:space="preserve"> : réactions cutanées sévères (syndrome de Stevens-Johnson, syndrome de Lyell, érythème polymorphe) — particulièrement au 1er cycle. En cas d'éruption cutanée généralisée avec fièvre — arrêt immédiat, hospitalisation dermatologie, jamais de réintroduction.</w:t>
      </w:r>
    </w:p>
    <w:p>
      <w:pPr>
        <w:pStyle w:val="ListBullet"/>
      </w:pPr>
      <w:r/>
      <w:r>
        <w:rPr>
          <w:b/>
        </w:rPr>
        <w:t>Surveillance hépatique</w:t>
      </w:r>
      <w:r>
        <w:t xml:space="preserve"> : bilan hépatique (bilirubine totale, ASAT, ALAT, PAL, GGT) avant chaque cure — adaptation posologique selon grille (cf. ci-dessus).</w:t>
      </w:r>
    </w:p>
    <w:p>
      <w:pPr>
        <w:pStyle w:val="ListBullet"/>
      </w:pPr>
      <w:r>
        <w:t>Sujet âgé &gt; 75 ans : surveillance accrue (myélosuppression, neurotoxicité, rétention hydrosodée) — pas de réduction systématique mais discussion au cas par cas.</w:t>
      </w:r>
    </w:p>
    <w:p>
      <w:pPr>
        <w:pStyle w:val="ListBullet"/>
      </w:pPr>
      <w:r>
        <w:t>Précautions de manipulation : cytotoxique — manipulation exclusivement par personnel formé, en ZAC ou hotte à flux laminaire vertical, équipements de protection individuelle.</w:t>
      </w:r>
    </w:p>
    <w:p>
      <w:pPr>
        <w:pStyle w:val="ListBullet"/>
      </w:pPr>
      <w:r>
        <w:t>Précautions de perfusion : tubulure sans DEHP — polysorbate 80 le lessive (à un degré moindre que le Crémophor EL mais précaution identique) ; tubulure en polyéthylène ou polyoléfine avec filtre en ligne 0,22 µm.</w:t>
      </w:r>
    </w:p>
    <w:p>
      <w:r/>
      <w:r>
        <w:rPr>
          <w:b/>
        </w:rPr>
        <w:t>Effets Indésirables :</w:t>
      </w:r>
      <w:r/>
    </w:p>
    <w:p>
      <w:pPr>
        <w:pStyle w:val="ListBullet"/>
      </w:pPr>
      <w:r/>
      <w:r>
        <w:rPr>
          <w:b/>
        </w:rPr>
        <w:t>Hypersensibilité</w:t>
      </w:r>
      <w:r>
        <w:t xml:space="preserve"> (jusqu'à 25 % sans prémédication, &lt; 5 % avec prémédication corticoïde) : surviennent typiquement dans les 10 premières minutes de la perfusion. Signes : flush, dyspnée, hypotension, bronchospasme, douleur thoracique, urticaire généralisée. Mécanisme : libération d'histamine par le polysorbate 80 (activation directe du complément). Conduite : identique au paclitaxel (arrêt immédiat, adrénaline IM, anti-H1, corticoïde IV).</w:t>
      </w:r>
    </w:p>
    <w:p>
      <w:pPr>
        <w:pStyle w:val="ListBullet"/>
      </w:pPr>
      <w:r/>
      <w:r>
        <w:rPr>
          <w:b/>
        </w:rPr>
        <w:t>Myélosuppression</w:t>
      </w:r>
      <w:r>
        <w:t xml:space="preserve"> (effet dose-limitant) :</w:t>
      </w:r>
    </w:p>
    <w:p>
      <w:pPr>
        <w:pStyle w:val="ListBullet"/>
      </w:pPr>
      <w:r>
        <w:t>Neutropénie : quasi-constante (grade 3-4 : 75-95 % à 100 mg/m² sans G-CSF) — nadir J7, récupération J14. Neutropénie fébrile : 10-25 % des cures. Prévention : G-CSF prophylactique primaire recommandé à 100 mg/m².</w:t>
      </w:r>
    </w:p>
    <w:p>
      <w:pPr>
        <w:pStyle w:val="ListBullet"/>
      </w:pPr>
      <w:r>
        <w:t>Thrombopénie : 10-15 % (grade 3-4 : 5 %) — nadir J8.</w:t>
      </w:r>
    </w:p>
    <w:p>
      <w:pPr>
        <w:pStyle w:val="ListBullet"/>
      </w:pPr>
      <w:r>
        <w:t>Anémie : 50-90 % (grade 3-4 : 5-10 %) — souvent tardive, cumulative.</w:t>
      </w:r>
    </w:p>
    <w:p>
      <w:pPr>
        <w:pStyle w:val="ListBullet"/>
      </w:pPr>
      <w:r/>
      <w:r>
        <w:rPr>
          <w:b/>
        </w:rPr>
        <w:t>Rétention hydrosodée cumulative</w:t>
      </w:r>
      <w:r>
        <w:t xml:space="preserve"> (toxicité spécifique du docetaxel — capillary-leak syndrome) :</w:t>
      </w:r>
    </w:p>
    <w:p>
      <w:pPr>
        <w:pStyle w:val="ListBullet"/>
      </w:pPr>
      <w:r>
        <w:t>Œdèmes périphériques (membres inférieurs, sacro-lombaire, facial) — 30-50 % des patients après 4 cures.</w:t>
      </w:r>
    </w:p>
    <w:p>
      <w:pPr>
        <w:pStyle w:val="ListBullet"/>
      </w:pPr>
      <w:r>
        <w:t>Prise de poids &gt; 2 kg en 3 semaines chez 20-30 % des patients.</w:t>
      </w:r>
    </w:p>
    <w:p>
      <w:pPr>
        <w:pStyle w:val="ListBullet"/>
      </w:pPr>
      <w:r>
        <w:t>Épanchement pleural (10-20 % — surtout après 5-6 cures) — parfois bilatéral.</w:t>
      </w:r>
    </w:p>
    <w:p>
      <w:pPr>
        <w:pStyle w:val="ListBullet"/>
      </w:pPr>
      <w:r>
        <w:t>Épanchement péricardique (5-10 % — rarement tamponnade).</w:t>
      </w:r>
    </w:p>
    <w:p>
      <w:pPr>
        <w:pStyle w:val="ListBullet"/>
      </w:pPr>
      <w:r>
        <w:t>Ascite (5-10 %).</w:t>
      </w:r>
    </w:p>
    <w:p>
      <w:pPr>
        <w:pStyle w:val="ListBullet"/>
      </w:pPr>
      <w:r>
        <w:t>Insuffisance cardiaque congestive (rare — 1-3 % — particulièrement chez les patients avec antécédents cardiaques ou après anthracyclines).</w:t>
      </w:r>
    </w:p>
    <w:p>
      <w:pPr>
        <w:pStyle w:val="ListBullet"/>
      </w:pPr>
      <w:r>
        <w:t>Mécanisme : effet vasculaire du polysorbate 80 + action directe du docetaxel sur les endothéliums capillaires → augmentation de la perméabilité capillaire → fuite plasmatique. Prévention : dexaméthasone 8 mg × 2/j PO les jours J-1, J0, J+1 (5 prises) — réduit l'incidence de 50 % (études princeps Taxotère®). En cas de survenue — majoration de la corticothérapie (8 mg × 4/j pendant 5-7 jours), diurétiques (furosémide 20-40 mg IV), arrêt transitoire du docetaxel si formes sévères.</w:t>
      </w:r>
    </w:p>
    <w:p>
      <w:pPr>
        <w:pStyle w:val="ListBullet"/>
      </w:pPr>
      <w:r/>
      <w:r>
        <w:rPr>
          <w:b/>
        </w:rPr>
        <w:t>Neurotoxicité périphérique</w:t>
      </w:r>
      <w:r>
        <w:t xml:space="preserve"> (similaire au paclitaxel — dose-cumulative) :</w:t>
      </w:r>
    </w:p>
    <w:p>
      <w:pPr>
        <w:pStyle w:val="ListBullet"/>
      </w:pPr>
      <w:r>
        <w:t>Sensitives (40-60 % des patients après 4 cures à 75-100 mg/m²) : paresthésies, dysesthésies, hypoesthésie en « gants et chaussettes ».</w:t>
      </w:r>
    </w:p>
    <w:p>
      <w:pPr>
        <w:pStyle w:val="ListBullet"/>
      </w:pPr>
      <w:r>
        <w:t>Motrices (10-20 %) : faiblesse musculaire distale, ROT diminués.</w:t>
      </w:r>
    </w:p>
    <w:p>
      <w:pPr>
        <w:pStyle w:val="ListBullet"/>
      </w:pPr>
      <w:r>
        <w:t>Autonomiques (5-10 %) : constipation, ileus paralytique, hypotension orthostatique, rétention urinaire.</w:t>
      </w:r>
    </w:p>
    <w:p>
      <w:pPr>
        <w:pStyle w:val="ListBullet"/>
      </w:pPr>
      <w:r>
        <w:t>Cumul dose-dépendant : seuil critique à 400 mg/m² cumulés.</w:t>
      </w:r>
    </w:p>
    <w:p>
      <w:pPr>
        <w:pStyle w:val="ListBullet"/>
      </w:pPr>
      <w:r/>
      <w:r>
        <w:rPr>
          <w:b/>
        </w:rPr>
        <w:t>Toxicité cutanée</w:t>
      </w:r>
      <w:r>
        <w:t xml:space="preserve"> :</w:t>
      </w:r>
    </w:p>
    <w:p>
      <w:pPr>
        <w:pStyle w:val="ListBullet"/>
      </w:pPr>
      <w:r/>
      <w:r>
        <w:rPr>
          <w:b/>
        </w:rPr>
        <w:t>Alopécie</w:t>
      </w:r>
      <w:r>
        <w:t xml:space="preserve"> (quasi-constante — 80 % — débute 2-3 semaines après 1re cure — complète — récupération 3-6 mois après dernière cure).</w:t>
      </w:r>
    </w:p>
    <w:p>
      <w:pPr>
        <w:pStyle w:val="ListBullet"/>
      </w:pPr>
      <w:r/>
      <w:r>
        <w:rPr>
          <w:b/>
        </w:rPr>
        <w:t>Rash maculopapuleux</w:t>
      </w:r>
      <w:r>
        <w:t xml:space="preserve"> (25-50 %) — généralement modéré.</w:t>
      </w:r>
    </w:p>
    <w:p>
      <w:pPr>
        <w:pStyle w:val="ListBullet"/>
      </w:pPr>
      <w:r/>
      <w:r>
        <w:rPr>
          <w:b/>
        </w:rPr>
        <w:t>Syndrome main-pied</w:t>
      </w:r>
      <w:r>
        <w:t xml:space="preserve"> (15-25 % — érythème douloureux palmo-plantaire, desquamation — grade 3-4 : 5 %).</w:t>
      </w:r>
    </w:p>
    <w:p>
      <w:pPr>
        <w:pStyle w:val="ListBullet"/>
      </w:pPr>
      <w:r/>
      <w:r>
        <w:rPr>
          <w:b/>
        </w:rPr>
        <w:t>Modifications unguéales</w:t>
      </w:r>
      <w:r>
        <w:t xml:space="preserve"> (30-50 % — onycholysis, lignes de Beau, hémorragies en éclats, pigmentation, voire perte de l'ongle — particulièrement invalidant).</w:t>
      </w:r>
    </w:p>
    <w:p>
      <w:pPr>
        <w:pStyle w:val="ListBullet"/>
      </w:pPr>
      <w:r/>
      <w:r>
        <w:rPr>
          <w:b/>
        </w:rPr>
        <w:t>Réactions de photosensibilité</w:t>
      </w:r>
      <w:r>
        <w:t xml:space="preserve"> (10-20 %).</w:t>
      </w:r>
    </w:p>
    <w:p>
      <w:pPr>
        <w:pStyle w:val="ListBullet"/>
      </w:pPr>
      <w:r/>
      <w:r>
        <w:rPr>
          <w:b/>
        </w:rPr>
        <w:t>Stevens-Johnson / Lyell</w:t>
      </w:r>
      <w:r>
        <w:t xml:space="preserve"> (rare — &lt; 1 % — première cure le plus souvent — arrêt définitif).</w:t>
      </w:r>
    </w:p>
    <w:p>
      <w:pPr>
        <w:pStyle w:val="ListBullet"/>
      </w:pPr>
      <w:r/>
      <w:r>
        <w:rPr>
          <w:b/>
        </w:rPr>
        <w:t>Toxicité digestive</w:t>
      </w:r>
      <w:r>
        <w:t xml:space="preserve"> : nausées/vomissements (modérés — grade 1-2 chez 30-50 % — protocole antiémétique triplet) ; mucite (30-50 % — grade 3-4 : 5-10 %) ; diarrhée (10-20 % — rarement sévère) ; constipation (10-20 %).</w:t>
      </w:r>
    </w:p>
    <w:p>
      <w:pPr>
        <w:pStyle w:val="ListBullet"/>
      </w:pPr>
      <w:r/>
      <w:r>
        <w:rPr>
          <w:b/>
        </w:rPr>
        <w:t>Toxicité hépatique</w:t>
      </w:r>
      <w:r>
        <w:t xml:space="preserve"> : élévation transitoire ASAT/ALAT (15-25 % — grade 3-4 : 5 %), hyperbilirubinémie (5-10 %), cholestase intra-hépatique (rare).</w:t>
      </w:r>
    </w:p>
    <w:p>
      <w:pPr>
        <w:pStyle w:val="ListBullet"/>
      </w:pPr>
      <w:r/>
      <w:r>
        <w:rPr>
          <w:b/>
        </w:rPr>
        <w:t>Toxicité musculaire</w:t>
      </w:r>
      <w:r>
        <w:t xml:space="preserve"> : arthralgies et myalgies (15-25 % — moins fréquent que paclitaxel), crampes musculaires (10 %).</w:t>
      </w:r>
    </w:p>
    <w:p>
      <w:pPr>
        <w:pStyle w:val="ListBullet"/>
      </w:pPr>
      <w:r/>
      <w:r>
        <w:rPr>
          <w:b/>
        </w:rPr>
        <w:t>Toxicité cardiovasculaire</w:t>
      </w:r>
      <w:r>
        <w:t xml:space="preserve"> : hypotension transitoire (10 %), troubles du rythme (FA, extrasystoles — 5 %), ischémie myocardique (rare — 1-2 %), insuffisance cardiaque congestive (1-3 % — particulièrement après anthracyclines ou radiothérapie thoracique).</w:t>
      </w:r>
    </w:p>
    <w:p>
      <w:pPr>
        <w:pStyle w:val="ListBullet"/>
      </w:pPr>
      <w:r/>
      <w:r>
        <w:rPr>
          <w:b/>
        </w:rPr>
        <w:t>Toxicité locale au point d'injection</w:t>
      </w:r>
      <w:r>
        <w:t xml:space="preserve"> : réaction locale, phlébite ; extravasation → nécrose tissulaire (le docetaxel est un vesicant — recommandation : voie veineuse centrale type Port-a-cath ou PICC).</w:t>
      </w:r>
    </w:p>
    <w:p>
      <w:r/>
      <w:r>
        <w:rPr>
          <w:b/>
        </w:rPr>
        <w:t>Prévention et Gestion des Effets Indésirables :</w:t>
      </w:r>
      <w:r/>
    </w:p>
    <w:p>
      <w:pPr>
        <w:pStyle w:val="ListBullet"/>
      </w:pPr>
      <w:r>
        <w:t>Prévention systématique :</w:t>
      </w:r>
    </w:p>
    <w:p>
      <w:pPr>
        <w:pStyle w:val="ListBullet"/>
      </w:pPr>
      <w:r/>
      <w:r>
        <w:rPr>
          <w:b/>
        </w:rPr>
        <w:t>Prémédication corticoïde</w:t>
      </w:r>
      <w:r>
        <w:t xml:space="preserve"> : dexaméthasone 8 mg PO × 2/j (matin et soir) les jours J-1, J0 et J+1 matin (soit 5 prises de 8 mg — 4 prises en 2 jours + 1 prise le lendemain matin). Vérification de la prise effective par l'IDE avant branchement — si oubli, administration d'attaque 20 mg IV 30 min avant.</w:t>
      </w:r>
    </w:p>
    <w:p>
      <w:pPr>
        <w:pStyle w:val="ListBullet"/>
      </w:pPr>
      <w:r/>
      <w:r>
        <w:rPr>
          <w:b/>
        </w:rPr>
        <w:t>Prévention hématologique</w:t>
      </w:r>
      <w:r>
        <w:t xml:space="preserve"> : NFS avant chaque cure, délai à J8 si PNN &lt; 1 500/mm³, G-CSF prophylactique primaire recommandé à 100 mg/m² (filgrastim 5 µg/kg/j SC J3-J10 ou pegfilgrastim 6 mg SC J2). À 75 mg/m², G-CSF secondaire si épisode de neutropénie fébrile.</w:t>
      </w:r>
    </w:p>
    <w:p>
      <w:pPr>
        <w:pStyle w:val="ListBullet"/>
      </w:pPr>
      <w:r/>
      <w:r>
        <w:rPr>
          <w:b/>
        </w:rPr>
        <w:t>Prévention rétention hydrosodée</w:t>
      </w:r>
      <w:r>
        <w:t xml:space="preserve"> : dexaméthasone 8 mg × 2/j (cf. ci-dessus) — protocole systématique ne jamais omettre. Surveillance du poids, des œdèmes, et de la tolérance respiratoire (dyspnée = épanchement pleural). Diurétiques si nécessaire (furosémide 20-40 mg PO ou IV).</w:t>
      </w:r>
    </w:p>
    <w:p>
      <w:pPr>
        <w:pStyle w:val="ListBullet"/>
      </w:pPr>
      <w:r/>
      <w:r>
        <w:rPr>
          <w:b/>
        </w:rPr>
        <w:t>Prévention alvéolyse</w:t>
      </w:r>
      <w:r>
        <w:t xml:space="preserve"> : casque réfrigéré (DigniCap, Paxman) — à proposer systématiquement chez la femme jeune.</w:t>
      </w:r>
    </w:p>
    <w:p>
      <w:pPr>
        <w:pStyle w:val="ListBullet"/>
      </w:pPr>
      <w:r/>
      <w:r>
        <w:rPr>
          <w:b/>
        </w:rPr>
        <w:t>Prévention mucite</w:t>
      </w:r>
      <w:r>
        <w:t xml:space="preserve"> : bains de bouche bicarbonate ou chlorhexidine 4 ×/j, alimentation tiède et mixée, supplémentation en glutamine 10 g × 2/j, cryothérapie orale (sucer des glaçons pendant la perfusion).</w:t>
      </w:r>
    </w:p>
    <w:p>
      <w:pPr>
        <w:pStyle w:val="ListBullet"/>
      </w:pPr>
      <w:r/>
      <w:r>
        <w:rPr>
          <w:b/>
        </w:rPr>
        <w:t>Prévention syndrome main-pied</w:t>
      </w:r>
      <w:r>
        <w:t xml:space="preserve"> : urée 10-20 % crème locale 2 ×/j, pyridoxine 50-100 mg/j PO, émollients, éviter les frottements, chaussures larges.</w:t>
      </w:r>
    </w:p>
    <w:p>
      <w:pPr>
        <w:pStyle w:val="ListBullet"/>
      </w:pPr>
      <w:r/>
      <w:r>
        <w:rPr>
          <w:b/>
        </w:rPr>
        <w:t>Prévention onychopathie</w:t>
      </w:r>
      <w:r>
        <w:t xml:space="preserve"> : protection des ongles (vernis protecteur), cryothérapie digitale (« cold gloves » pendant la perfusion).</w:t>
      </w:r>
    </w:p>
    <w:p>
      <w:pPr>
        <w:pStyle w:val="ListBullet"/>
      </w:pPr>
      <w:r/>
      <w:r>
        <w:rPr>
          <w:b/>
        </w:rPr>
        <w:t>Prévention neurotoxicité</w:t>
      </w:r>
      <w:r>
        <w:t xml:space="preserve"> : évaluation neurologique pré-cure, dépistage des cofacteurs (diabète, alcool, autres neurotoxiques). Duloxetine 30-60 mg/j si neuropathie douloureuse.</w:t>
      </w:r>
    </w:p>
    <w:p>
      <w:pPr>
        <w:pStyle w:val="ListBullet"/>
      </w:pPr>
      <w:r>
        <w:t>Conduite à tenir :</w:t>
      </w:r>
    </w:p>
    <w:p>
      <w:pPr>
        <w:pStyle w:val="ListBullet"/>
      </w:pPr>
      <w:r/>
      <w:r>
        <w:rPr>
          <w:b/>
        </w:rPr>
        <w:t>En cas de rétention hydrosodée modérée</w:t>
      </w:r>
      <w:r>
        <w:t xml:space="preserve"> (œdèmes mineurs, prise de poids &lt; 2 kg) : maintien du docetaxel à dose réduite à 60 mg/m², majoration de la dexaméthasone à 8 mg × 4/j pendant 5-7 jours, diurétiques (furosémide 20-40 mg PO).</w:t>
      </w:r>
    </w:p>
    <w:p>
      <w:pPr>
        <w:pStyle w:val="ListBullet"/>
      </w:pPr>
      <w:r/>
      <w:r>
        <w:rPr>
          <w:b/>
        </w:rPr>
        <w:t>En cas de rétention sévère</w:t>
      </w:r>
      <w:r>
        <w:t xml:space="preserve"> (œdèmes généralisés, épanchement pleural/péricardique, ascite, prise de poids &gt; 4 kg) : ARRÊT définitif du docetaxel, hospitalisation, échographie cardiaque, diurétiques IV, surveillance USI. Switch vers paclitaxel (solvant différent) ou vinorelbine après un délai de récupération de 3-4 semaines.</w:t>
      </w:r>
    </w:p>
    <w:p>
      <w:pPr>
        <w:pStyle w:val="ListBullet"/>
      </w:pPr>
      <w:r/>
      <w:r>
        <w:rPr>
          <w:b/>
        </w:rPr>
        <w:t>En cas de neutropénie fébrile</w:t>
      </w:r>
      <w:r>
        <w:t xml:space="preserve"> : cf. paclitaxel — hospitalisation, antibiothérapie empirique large spectre, G-CSF, délai 1-2 semaines, réduction de dose à 60 mg/m² et G-CSF prophylactique pour les cures suivantes.</w:t>
      </w:r>
    </w:p>
    <w:p>
      <w:pPr>
        <w:pStyle w:val="ListBullet"/>
      </w:pPr>
      <w:r/>
      <w:r>
        <w:rPr>
          <w:b/>
        </w:rPr>
        <w:t>En cas de neurotoxicité G ≥ 3</w:t>
      </w:r>
      <w:r>
        <w:t xml:space="preserve"> : suspension, évaluation neurologique, switch thérapeutique (vinorelbine, gemcitabine). Duloxetine pour les douleurs neuropathiques.</w:t>
      </w:r>
    </w:p>
    <w:p>
      <w:pPr>
        <w:pStyle w:val="ListBullet"/>
      </w:pPr>
      <w:r/>
      <w:r>
        <w:rPr>
          <w:b/>
        </w:rPr>
        <w:t>En cas de Stevens-Johnson / Lyell</w:t>
      </w:r>
      <w:r>
        <w:t xml:space="preserve"> : arrêt IMMÉDIAT et définitif (cross-réaction possible avec paclitaxel — switch vers vinca), hospitalisation dermatologie/réanimation.</w:t>
      </w:r>
    </w:p>
    <w:p>
      <w:pPr>
        <w:pStyle w:val="ListBullet"/>
      </w:pPr>
      <w:r/>
      <w:r>
        <w:rPr>
          <w:b/>
        </w:rPr>
        <w:t>En cas d'extravasation</w:t>
      </w:r>
      <w:r>
        <w:t xml:space="preserve"> : cf. paclitaxel — arrêt immédiat, aspiration du résidu, compresses froides, avis chirurgical.</w:t>
      </w:r>
    </w:p>
    <w:p>
      <w:r/>
      <w:r>
        <w:rPr>
          <w:b/>
        </w:rPr>
        <w:t>Interactions Importantes :</w:t>
      </w:r>
      <w:r/>
    </w:p>
    <w:p>
      <w:pPr>
        <w:pStyle w:val="ListBullet"/>
      </w:pPr>
      <w:r/>
      <w:r>
        <w:rPr>
          <w:b/>
        </w:rPr>
        <w:t>Docetaxel + inhibiteurs du CYP3A4</w:t>
      </w:r>
      <w:r>
        <w:t xml:space="preserve"> (kétoconazole, itraconazole, voriconazole, fluconazole, ritonavir, saquinavir, indinavir, nelfinavir, atazanavir, cobicistat, clarithromycine, érythromycine, télithromycine, grapefruit juice, vérapamil, diltiazem) : augmentation majeure de l'AUC docetaxel (× 2-3) — risque de neutropénie fébrile sévère, mucite grade 4, décès toxique. </w:t>
      </w:r>
      <w:r>
        <w:rPr>
          <w:b/>
        </w:rPr>
        <w:t>Éviter l'association</w:t>
      </w:r>
      <w:r>
        <w:t xml:space="preserve"> ou réduire la dose de docetaxel à 50 % et surveillance rapprochée. Si impossible à éviter (antirétroviraux VIH, antifongiques systémiques), switch vers paclitaxel (métabolisme CYP2C8 prédominant).</w:t>
      </w:r>
    </w:p>
    <w:p>
      <w:pPr>
        <w:pStyle w:val="ListBullet"/>
      </w:pPr>
      <w:r/>
      <w:r>
        <w:rPr>
          <w:b/>
        </w:rPr>
        <w:t>Docetaxel + inducteurs du CYP3A4</w:t>
      </w:r>
      <w:r>
        <w:t xml:space="preserve"> (rifampicine, rifabutine, phénytoïne, carbamazépine, phénobarbital, oxcarbazépine, millepertuis, modafinil) : baisse de l'AUC docetaxel (50-70 %) — risque d'efficacité réduite — surveillance clinique, augmentation de dose discutée au cas par cas (mais non recommandée en pratique).</w:t>
      </w:r>
    </w:p>
    <w:p>
      <w:pPr>
        <w:pStyle w:val="ListBullet"/>
      </w:pPr>
      <w:r/>
      <w:r>
        <w:rPr>
          <w:b/>
        </w:rPr>
        <w:t>Docetaxel + anticancéreux autres</w:t>
      </w:r>
      <w:r>
        <w:t xml:space="preserve"> : doxorubicine (cardiotoxicité additif — surveillance FEVG, séquence doxorubicine → docetaxel) ; cisplatine (neurotoxicité additif) ; cyclophosphamide (myélotoxicité synergique — protocole TAC) ; trastuzumab (cardiotoxicité synergique — surveillance FEVG échographique systématique avant chaque cure, arrêt si baisse &gt; 10 % absolue ou FEVG &lt; 50 %) ; pertuzumab (diarrhée majorée) ; 5-FU (mucite synergique — protocole TCF) ; vinorelbine (neurotoxicité synergique — protocole DV) ; gemcitabine (hépatotoxicité — protocole DG).</w:t>
      </w:r>
    </w:p>
    <w:p>
      <w:pPr>
        <w:pStyle w:val="ListBullet"/>
      </w:pPr>
      <w:r/>
      <w:r>
        <w:rPr>
          <w:b/>
        </w:rPr>
        <w:t>Docetaxel + anticoagulants oraux</w:t>
      </w:r>
      <w:r>
        <w:t xml:space="preserve"> (warfarine, acénocoumarol) : augmentation de l'INR (mécanisme mal élucidé — déplacement protéique). Surveillance INR rapprochée (J0, J3, J7), adaptation posologique.</w:t>
      </w:r>
    </w:p>
    <w:p>
      <w:pPr>
        <w:pStyle w:val="ListBullet"/>
      </w:pPr>
      <w:r/>
      <w:r>
        <w:rPr>
          <w:b/>
        </w:rPr>
        <w:t>Docetaxel + vaccines vivants atténués</w:t>
      </w:r>
      <w:r>
        <w:t xml:space="preserve"> : contre-indication (immunodépression).</w:t>
      </w:r>
    </w:p>
    <w:p>
      <w:pPr>
        <w:pStyle w:val="ListBullet"/>
      </w:pPr>
      <w:r/>
      <w:r>
        <w:rPr>
          <w:b/>
        </w:rPr>
        <w:t>Docetaxel + radiothérapie concomitante</w:t>
      </w:r>
      <w:r>
        <w:t xml:space="preserve"> : radio-sensibilisation — pneumopathie radique majorée — particularly thoracique. Décision multidisciplinaire.</w:t>
      </w:r>
    </w:p>
    <w:p>
      <w:r/>
      <w:r>
        <w:rPr>
          <w:b/>
        </w:rPr>
        <w:t>Grossesse et Allaitement :</w:t>
      </w:r>
      <w:r/>
    </w:p>
    <w:p>
      <w:pPr>
        <w:pStyle w:val="ListBullet"/>
      </w:pPr>
      <w:r>
        <w:t xml:space="preserve">Grossesse : selon le CRAT, le docetaxel est classé « à éviter » (catégorie D — tératogène). Études animales : embryotoxicité, fœtotoxicité, tératogénicité (malformations squelettiques et viscérales) à doses thérapeutiques chez le rat et le lapin. </w:t>
      </w:r>
      <w:r>
        <w:rPr>
          <w:b/>
        </w:rPr>
        <w:t>Conduite à tenir</w:t>
      </w:r>
      <w:r>
        <w:t xml:space="preserve"> : contraception efficace obligatoire pendant le traitement et 6 mois après dernière cure chez la femme, 3 mois chez l'homme partenaire. Conservation de gamètes (oncofertilité) à proposer systématiquement avant 1re cure chez la femme jeune (cancer du sein &lt; 35 ans) et chez l'homme jeune.</w:t>
      </w:r>
    </w:p>
    <w:p>
      <w:pPr>
        <w:pStyle w:val="ListBullet"/>
      </w:pPr>
      <w:r>
        <w:t>Allaitement : contre-indication ABSOLUE — passage important dans le lait maternel — interruption définitive avant la 1re cure.</w:t>
      </w:r>
    </w:p>
    <w:p>
      <w:pPr>
        <w:pStyle w:val="ListBullet"/>
      </w:pPr>
      <w:r>
        <w:t>Précautions contraception : méthode non hormonale (préservatif + DIU cuivre) ou contraception microprogestative (desogestrel 75 µg/j — discutable) ; analogues GnRH (triptoréline mensuelle — protection ovarienne discutée selon essai POEMS-SWOG S0230).</w:t>
      </w:r>
    </w:p>
    <w:p>
      <w:r/>
      <w:r>
        <w:rPr>
          <w:b/>
        </w:rPr>
        <w:t>Posologie et Mode d'Administration :</w:t>
      </w:r>
      <w:r/>
    </w:p>
    <w:p>
      <w:pPr>
        <w:pStyle w:val="ListBullet"/>
      </w:pPr>
      <w:r>
        <w:t>Adulte :</w:t>
      </w:r>
    </w:p>
    <w:p>
      <w:pPr>
        <w:pStyle w:val="ListBullet"/>
      </w:pPr>
      <w:r/>
      <w:r>
        <w:rPr>
          <w:b/>
        </w:rPr>
        <w:t>Schéma standard (3 semaines)</w:t>
      </w:r>
      <w:r>
        <w:t xml:space="preserve"> : 75-100 mg/m² en perfusion IV de 1 h toutes les 3 semaines — 4 à 6 cures selon protocole. Pour le cancer du sein adjuvant (TAC) : 75 mg/m² ; pour le cancer du sein métastatique (monothérapie) : 100 mg/m² ; pour le mCRPC : 75 mg/m² ; pour le CBNPC 2e ligne : 75 mg/m².</w:t>
      </w:r>
    </w:p>
    <w:p>
      <w:pPr>
        <w:pStyle w:val="ListBullet"/>
      </w:pPr>
      <w:r/>
      <w:r>
        <w:rPr>
          <w:b/>
        </w:rPr>
        <w:t>Schéma hebdomadaire</w:t>
      </w:r>
      <w:r>
        <w:t xml:space="preserve"> : 35-40 mg/m² en perfusion IV de 1 h hebdomadaire × 6 semaines (semaine 7 = repos) — alternative pour le cancer du sein métastatique avec meilleure tolérance hématologique.</w:t>
      </w:r>
    </w:p>
    <w:p>
      <w:pPr>
        <w:pStyle w:val="ListBullet"/>
      </w:pPr>
      <w:r/>
      <w:r>
        <w:rPr>
          <w:b/>
        </w:rPr>
        <w:t>Dose maximale par cure</w:t>
      </w:r>
      <w:r>
        <w:t xml:space="preserve"> : 100 mg/m² (au-delà — toxicité excessive).</w:t>
      </w:r>
    </w:p>
    <w:p>
      <w:pPr>
        <w:pStyle w:val="ListBullet"/>
      </w:pPr>
      <w:r/>
      <w:r>
        <w:rPr>
          <w:b/>
        </w:rPr>
        <w:t>Réduction de dose</w:t>
      </w:r>
      <w:r>
        <w:t xml:space="preserve"> : (i) si neutropénie fébrile à la cure précédente — réduction à 60 mg/m² + G-CSF prophylactique ; (ii) si neurotoxicité G2 persistante — réduction à 60 mg/m² ; (iii) si neurotoxicité G3 ou G4 — arrêt définitif ; (iv) si insuffisance hépatique modérée (bilirubine 1-1,5 × LSN, ou ASAT/ALAT 1,5-3,5 × LSN, ou PAL 2,5-5 × LSN) — réduction à 50 mg/m².</w:t>
      </w:r>
    </w:p>
    <w:p>
      <w:pPr>
        <w:pStyle w:val="ListBullet"/>
      </w:pPr>
      <w:r>
        <w:t>Enfant :</w:t>
      </w:r>
    </w:p>
    <w:p>
      <w:pPr>
        <w:pStyle w:val="ListBullet"/>
      </w:pPr>
      <w:r>
        <w:t>Schéma standard : 60-75 mg/m² en perfusion IV de 1 h toutes les 3 semaines — protocoles pédiatriques (sarcomes des tissus mous, tumeurs solides réfractaires). Prémédication identique à l'adulte.</w:t>
      </w:r>
    </w:p>
    <w:p>
      <w:pPr>
        <w:pStyle w:val="ListBullet"/>
      </w:pPr>
      <w:r>
        <w:t>Préparation et perfusion :</w:t>
      </w:r>
    </w:p>
    <w:p>
      <w:pPr>
        <w:pStyle w:val="ListBullet"/>
      </w:pPr>
      <w:r/>
      <w:r>
        <w:rPr>
          <w:b/>
        </w:rPr>
        <w:t>Dilution</w:t>
      </w:r>
      <w:r>
        <w:t xml:space="preserve"> : le docetaxel concentré (20 mg/mL ou 10 mg/mL selon marque) est dilué dans NaCl 0,9 % ou G5 % pour obtenir une concentration finale entre 0,3 et 0,74 mg/mL. Volume habituel : 250-500 mL selon la dose. Utiliser une tubulure sans DEHP (le polysorbate 80 le lessive, à un degré moindre que le Crémophor EL) avec filtre en ligne 0,22 µm.</w:t>
      </w:r>
    </w:p>
    <w:p>
      <w:pPr>
        <w:pStyle w:val="ListBullet"/>
      </w:pPr>
      <w:r/>
      <w:r>
        <w:rPr>
          <w:b/>
        </w:rPr>
        <w:t>Prémédication</w:t>
      </w:r>
      <w:r>
        <w:t xml:space="preserve"> : dexaméthasone 8 mg PO × 2/j (matin et soir) les jours J-1, J0 et J+1 matin (5 prises).</w:t>
      </w:r>
    </w:p>
    <w:p>
      <w:pPr>
        <w:pStyle w:val="ListBullet"/>
      </w:pPr>
      <w:r/>
      <w:r>
        <w:rPr>
          <w:b/>
        </w:rPr>
        <w:t>Surveillance pendant la perfusion</w:t>
      </w:r>
      <w:r>
        <w:t xml:space="preserve"> : scope cardiorespiratoire, PAs toutes les 15 min pendant la 1re heure, surveillance rapprochée par IDE pendant les 30 premières minutes — détection des réactions d'hypersensibilité précoce et de la rétention hydrosodée (prise de poids, œdèmes).</w:t>
      </w:r>
    </w:p>
    <w:p>
      <w:pPr>
        <w:pStyle w:val="ListBullet"/>
      </w:pPr>
      <w:r/>
      <w:r>
        <w:rPr>
          <w:b/>
        </w:rPr>
        <w:t>Durée de perfusion</w:t>
      </w:r>
      <w:r>
        <w:t xml:space="preserve"> : standard 1 h.</w:t>
      </w:r>
    </w:p>
    <w:p>
      <w:pPr>
        <w:pStyle w:val="ListBullet"/>
      </w:pPr>
      <w:r>
        <w:t>Adaptation posologique :</w:t>
      </w:r>
    </w:p>
    <w:p>
      <w:pPr>
        <w:pStyle w:val="ListBullet"/>
      </w:pPr>
      <w:r>
        <w:t>Insuffisance rénale : pas d'adaptation (élimination hépatique prédominante).</w:t>
      </w:r>
    </w:p>
    <w:p>
      <w:pPr>
        <w:pStyle w:val="ListBullet"/>
      </w:pPr>
      <w:r>
        <w:t>Insuffisance hépatique modérée : dose réduite à 50 mg/m².</w:t>
      </w:r>
    </w:p>
    <w:p>
      <w:pPr>
        <w:pStyle w:val="ListBullet"/>
      </w:pPr>
      <w:r>
        <w:t>Insuffisance hépatique sévère : contre-indication.</w:t>
      </w:r>
    </w:p>
    <w:p>
      <w:pPr>
        <w:pStyle w:val="ListBullet"/>
      </w:pPr>
      <w:r>
        <w:t>Sujet âgé &gt; 75 ans : pas de réduction systématique, surveillance accrue.</w:t>
      </w:r>
    </w:p>
    <w:p>
      <w:pPr>
        <w:pStyle w:val="ListBullet"/>
      </w:pPr>
      <w:r>
        <w:t>Conditions de conservation : flacons à conserver entre 2 et 8 °C (réfrigérateur) à l'abri de la lumière, ne pas congeler. Après dilution : stabilité 4 h à température ambiante (20-25 °C) en NaCl 0,9 % ou G5 % (concentration ≤ 0,74 mg/mL) — ne pas dépasser.</w:t>
      </w:r>
    </w:p>
    <w:p>
      <w:r/>
      <w:r>
        <w:rPr>
          <w:b/>
        </w:rPr>
        <w:t>Arbitrage et Bénéfices des Formes Galéniques :</w:t>
      </w:r>
      <w:r/>
    </w:p>
    <w:p>
      <w:pPr>
        <w:pStyle w:val="ListBullet"/>
      </w:pPr>
      <w:r/>
      <w:r>
        <w:rPr>
          <w:b/>
        </w:rPr>
        <w:t>Solution à diluer pour perfusion IV — 20 mg/mL (1 mL = 20 mg)</w:t>
      </w:r>
      <w:r>
        <w:t xml:space="preserve"> (TAXOTERE princeps, DOCETAXEL IMGSA, DOCETAXEL SOL IMGSA, DOXACETAXEL-SAIDAL, ORIONTAXEL, DOCEFREZ 20, DOXTORED) : dosage adapté pour les faibles doses (35-40 mg/m² hebdomadaire, ou 60-75 mg/m² standard chez les patients de faible surface corporelle &lt; 1,5 m²). Flacon unique de 1 mL — simplification logistique pour les petites cures.</w:t>
      </w:r>
    </w:p>
    <w:p>
      <w:pPr>
        <w:pStyle w:val="ListBullet"/>
      </w:pPr>
      <w:r/>
      <w:r>
        <w:rPr>
          <w:b/>
        </w:rPr>
        <w:t>Solution à diluer pour perfusion IV — 80 mg/4 mL (20 mg/mL)</w:t>
      </w:r>
      <w:r>
        <w:t xml:space="preserve"> (TAXOTERE princeps, DOCETAXEL SOL IMGSA, DOCETAXEL TRIHYDRATE-SAIDAL, ORIONTAXEL, DOCEFREZ 80, TAXADOC) : dosage adapté pour les doses standards (75-100 mg/m² chez un patient de surface moyenne 1,7-2 m² — flacon 80 mg correspond à ~ 1 cure pour 75 mg/m² × 1,1 m²). Flacon unique de 4 mL — choix le plus courant en pratique.</w:t>
      </w:r>
    </w:p>
    <w:p>
      <w:pPr>
        <w:pStyle w:val="ListBullet"/>
      </w:pPr>
      <w:r/>
      <w:r>
        <w:rPr>
          <w:b/>
        </w:rPr>
        <w:t>Solution à diluer pour perfusion IV — 80 mg/8 mL (10 mg/mL)</w:t>
      </w:r>
      <w:r>
        <w:t xml:space="preserve"> (DOCETAXEL IMGSA — uniquement) : ATTENTION — concentration différente des autres marques (10 mg/mL au lieu de 20 mg/mL) — erreur de calcul possible si non vérification de la concentration. Volume de dilution plus important — perfusion plus longue — à manipuler avec attention.</w:t>
      </w:r>
    </w:p>
    <w:p>
      <w:pPr>
        <w:pStyle w:val="ListBullet"/>
      </w:pPr>
      <w:r/>
      <w:r>
        <w:rPr>
          <w:b/>
        </w:rPr>
        <w:t>Concentré 120 mg/flacon</w:t>
      </w:r>
      <w:r>
        <w:t xml:space="preserve"> (DOCETAX 120 Cipla — non renouvelable) : dosage ancien adapté pour les doses élevées (100 mg/m² × 1,7 m² = ~ 170 mg → flacon 120 mg + flacon 80 mg). Discontinued en Algérie.</w:t>
      </w:r>
    </w:p>
    <w:p>
      <w:pPr>
        <w:pStyle w:val="ListBullet"/>
      </w:pPr>
      <w:r/>
      <w:r>
        <w:rPr>
          <w:b/>
        </w:rPr>
        <w:t>Lyophilisat</w:t>
      </w:r>
      <w:r>
        <w:t xml:space="preserve"> (DOCEFREZ 20 Sun Pharma) : forme lyophilisée à reconstituer avec le solvant fourni (polysorbate-éthanol) — intérêt : stabilité prolongée à température ambiante (vs solution prête à l'emploi à conserver 2-8 °C) — pratique pour les structures ne disposant pas de chaîne du froid.</w:t>
      </w:r>
    </w:p>
    <w:p>
      <w:pPr>
        <w:pStyle w:val="ListBullet"/>
      </w:pPr>
      <w:r/>
      <w:r>
        <w:rPr>
          <w:b/>
        </w:rPr>
        <w:t>Conditionnement</w:t>
      </w:r>
      <w:r>
        <w:t xml:space="preserve"> : tous en flacons unidoses avec solvant séparé (sauf formes prêtes à l'emploi IMGSA, ORIONTAXEL) — manipulation en ZAC ou hotte à flux laminaire vertical, équipements de protection individuelle obligatoires.</w:t>
      </w:r>
    </w:p>
    <w:p>
      <w:pPr>
        <w:pStyle w:val="ListBullet"/>
      </w:pPr>
      <w:r/>
      <w:r>
        <w:rPr>
          <w:b/>
        </w:rPr>
        <w:t>Choix de la marque</w:t>
      </w:r>
      <w:r>
        <w:t xml:space="preserve"> : bioéquivalence démontrée entre princeps et génériques — choix guidé par disponibilité locale, prix, et préférence du centre (certains centres ont des conventions avec Saidal, IMGSA, ou Sun Pharma). ATTENTION à la concentration différente de DOCETAXEL IMGSA 80 mg/8 mL (10 mg/mL) — double contrôle obligatoire avant dilution.</w:t>
      </w:r>
    </w:p>
    <w:p>
      <w:r/>
      <w:r>
        <w:rPr>
          <w:b/>
        </w:rPr>
        <w:t>Instructions et Conseils au Patient :</w:t>
      </w:r>
      <w:r/>
    </w:p>
    <w:p>
      <w:pPr>
        <w:pStyle w:val="ListBullet"/>
      </w:pPr>
      <w:r>
        <w:t>Communication avant la cure :</w:t>
      </w:r>
    </w:p>
    <w:p>
      <w:pPr>
        <w:pStyle w:val="ListBullet"/>
      </w:pPr>
      <w:r>
        <w:t>« Ce médicament est un anticancéreux puissant administré à l'hôpital uniquement, en perfusion veineuse de 1 heure, toutes les 3 semaines en général. Le traitement complet comporte 4 à 6 cures. »</w:t>
      </w:r>
    </w:p>
    <w:p>
      <w:pPr>
        <w:pStyle w:val="ListBullet"/>
      </w:pPr>
      <w:r>
        <w:t>« Vous recevrez AVANT chaque perfusion une prémédication par comprimés de cortisone (dexaméthasone 8 mg) à prendre à domicile la veille (matin et soir), le jour de la cure (matin et soir) et le lendemain matin — soit 5 prises au total. Il est INDISPENSABLE de prendre ces comprimés aux heures indiquées — sans cela, vous risquez une rétention d'eau grave (œdèmes, épanchement pleural, prise de poids importante). »</w:t>
      </w:r>
    </w:p>
    <w:p>
      <w:pPr>
        <w:pStyle w:val="ListBullet"/>
      </w:pPr>
      <w:r>
        <w:t>« Signalez immédiatement à l'infirmière pendant la perfusion TOUT signe : rougeur, démangeaisons, sensation de chaleur, gêne respiratoire, vertiges, palpitations — réaction allergique possible. »</w:t>
      </w:r>
    </w:p>
    <w:p>
      <w:pPr>
        <w:pStyle w:val="ListBullet"/>
      </w:pPr>
      <w:r>
        <w:t>« Signalez tout signe neurologique : fourmillements, engourdissements, picotements dans les mains et les pieds, faiblesse musculaire. »</w:t>
      </w:r>
    </w:p>
    <w:p>
      <w:pPr>
        <w:pStyle w:val="ListBullet"/>
      </w:pPr>
      <w:r>
        <w:t>« Signalez toute prise de poids &gt; 2 kg entre deux cures, tout œdème des jambes, toute essoufflement inhabituel — votre médecin ajustera le traitement. »</w:t>
      </w:r>
    </w:p>
    <w:p>
      <w:pPr>
        <w:pStyle w:val="ListBullet"/>
      </w:pPr>
      <w:r>
        <w:t>« Signalez immédiatement une fièvre (≥ 38,5 °C) — urgence médicale. »</w:t>
      </w:r>
    </w:p>
    <w:p>
      <w:pPr>
        <w:pStyle w:val="ListBullet"/>
      </w:pPr>
      <w:r>
        <w:t>« Si vous êtes une femme en âge de procréer, une contraception efficace est OBLIGATOIRE pendant tout le traitement et 6 mois après la dernière cure. »</w:t>
      </w:r>
    </w:p>
    <w:p>
      <w:pPr>
        <w:pStyle w:val="ListBullet"/>
      </w:pPr>
      <w:r>
        <w:t>« Évitez les vaccins vivants (BCG, ROR, fièvre jaune, varicelle-zona) pendant le traitement et 3 mois après. »</w:t>
      </w:r>
    </w:p>
    <w:p>
      <w:pPr>
        <w:pStyle w:val="ListBullet"/>
      </w:pPr>
      <w:r>
        <w:t>« Évitez le pamplemousse (jus ou fruit) pendant le traitement — il peut modifier l'effet du médicament. »</w:t>
      </w:r>
    </w:p>
    <w:p>
      <w:pPr>
        <w:pStyle w:val="ListBullet"/>
      </w:pPr>
      <w:r>
        <w:t>« Évitez de prendre du millepertuis (Hypericum perforatum) ou des médicaments à base d'azolés antifongiques sans avis médical. »</w:t>
      </w:r>
    </w:p>
    <w:p>
      <w:pPr>
        <w:pStyle w:val="ListBullet"/>
      </w:pPr>
      <w:r>
        <w:t>Surveillance à domicile :</w:t>
      </w:r>
    </w:p>
    <w:p>
      <w:pPr>
        <w:pStyle w:val="ListBullet"/>
      </w:pPr>
      <w:r>
        <w:t>Prendre la température 2 fois/jour pendant 2 semaines après chaque cure — consulter en urgence si fièvre ≥ 38,5 °C.</w:t>
      </w:r>
    </w:p>
    <w:p>
      <w:pPr>
        <w:pStyle w:val="ListBullet"/>
      </w:pPr>
      <w:r>
        <w:t>Pesée quotidienne, surveiller l'apparition d'œdèmes (mains, pieds, visage).</w:t>
      </w:r>
    </w:p>
    <w:p>
      <w:pPr>
        <w:pStyle w:val="ListBullet"/>
      </w:pPr>
      <w:r>
        <w:t>Surveiller la peau : lésions buccales (mucite), eruption cutanée (Stevens-Johnson si signe de gravité : bulles, décollement, fièvre — urgence), modifications des ongles.</w:t>
      </w:r>
    </w:p>
    <w:p>
      <w:pPr>
        <w:pStyle w:val="ListBullet"/>
      </w:pPr>
      <w:r>
        <w:t>Surveiller les selles.</w:t>
      </w:r>
    </w:p>
    <w:p>
      <w:pPr>
        <w:pStyle w:val="ListBullet"/>
      </w:pPr>
      <w:r>
        <w:t>Hygiène buccodentaire rigoureuse, alimentation tiède et mixée en cas de mucite.</w:t>
      </w:r>
    </w:p>
    <w:p>
      <w:pPr>
        <w:pStyle w:val="ListBullet"/>
      </w:pPr>
      <w:r>
        <w:t>Éviter les foules et contacts avec personnes malades.</w:t>
      </w:r>
    </w:p>
    <w:p>
      <w:r/>
      <w:r>
        <w:rPr>
          <w:b/>
        </w:rPr>
        <w:t>Notes, Règles d'Or &amp; Pièges au Comptoir :</w:t>
      </w:r>
      <w:r/>
    </w:p>
    <w:p>
      <w:pPr>
        <w:pStyle w:val="ListBullet"/>
      </w:pPr>
      <w:r>
        <w:t xml:space="preserve">Piège classique : </w:t>
      </w:r>
      <w:r>
        <w:rPr>
          <w:b/>
        </w:rPr>
        <w:t>oubli de la prémédication PO à domicile</w:t>
      </w:r>
      <w:r>
        <w:t xml:space="preserve"> (dexaméthasone 8 mg × 2/j les jours J-1, J0 et J+1 matin) — risque majeur de rétention hydrosodée et d'hypersensibilité. Vérification systématique par l'IDE avant branchement.</w:t>
      </w:r>
    </w:p>
    <w:p>
      <w:pPr>
        <w:pStyle w:val="ListBullet"/>
      </w:pPr>
      <w:r>
        <w:t xml:space="preserve">Piège classique : </w:t>
      </w:r>
      <w:r>
        <w:rPr>
          <w:b/>
        </w:rPr>
        <w:t>confusion concentration 20 mg/mL vs 10 mg/mL</w:t>
      </w:r>
      <w:r>
        <w:t xml:space="preserve"> — la marque DOCETAXEL IMGSA 80 mg/8 mL est à 10 mg/mL (vs 20 mg/mL pour les autres marques à 80 mg/4 mL) — erreur de calcul possible si non vérification. Double contrôle obligatoire.</w:t>
      </w:r>
    </w:p>
    <w:p>
      <w:pPr>
        <w:pStyle w:val="ListBullet"/>
      </w:pPr>
      <w:r>
        <w:t xml:space="preserve">Piège classique : </w:t>
      </w:r>
      <w:r>
        <w:rPr>
          <w:b/>
        </w:rPr>
        <w:t>tubulure avec DEHP</w:t>
      </w:r>
      <w:r>
        <w:t xml:space="preserve"> — le polysorbate 80 le lessive (à un degré moindre que le Crémophor EL du paclitaxel mais précaution identique) — obligation de tubulure polyoléfine ou polyéthylène avec filtre 0,22 µm.</w:t>
      </w:r>
    </w:p>
    <w:p>
      <w:pPr>
        <w:pStyle w:val="ListBullet"/>
      </w:pPr>
      <w:r>
        <w:t xml:space="preserve">Piège classique : </w:t>
      </w:r>
      <w:r>
        <w:rPr>
          <w:b/>
        </w:rPr>
        <w:t>extravasation</w:t>
      </w:r>
      <w:r>
        <w:t xml:space="preserve"> — le docetaxel est un vesicant — en cas d'extravasation, nécrose tissulaire grave. Voie veineuse centrale systématique si traitement prolongé.</w:t>
      </w:r>
    </w:p>
    <w:p>
      <w:pPr>
        <w:pStyle w:val="ListBullet"/>
      </w:pPr>
      <w:r>
        <w:t xml:space="preserve">Piège classique : </w:t>
      </w:r>
      <w:r>
        <w:rPr>
          <w:b/>
        </w:rPr>
        <w:t>rétention hydrosodée cumulative</w:t>
      </w:r>
      <w:r>
        <w:t xml:space="preserve"> — augmentation progressive dose-cumulative — particularly après 4-5 cures. Surveillance du poids et des œdèmes à chaque consultation. En cas d'œdèmes généralisés ou d'épanchement pleural — arrêt définitif.</w:t>
      </w:r>
    </w:p>
    <w:p>
      <w:pPr>
        <w:pStyle w:val="ListBullet"/>
      </w:pPr>
      <w:r>
        <w:t xml:space="preserve">Piège classique : </w:t>
      </w:r>
      <w:r>
        <w:rPr>
          <w:b/>
        </w:rPr>
        <w:t>Stevens-Johnson / Lyell au 1er cycle</w:t>
      </w:r>
      <w:r>
        <w:t xml:space="preserve"> — en cas d'éruption cutanée fébrile avec bulles ou décollement — ARRÊT IMMÉDIAT ET DÉFINITIF — hospitalisation urgence dermatologie — cross-réaction possible avec paclitaxel.</w:t>
      </w:r>
    </w:p>
    <w:p>
      <w:pPr>
        <w:pStyle w:val="ListBullet"/>
      </w:pPr>
      <w:r>
        <w:t xml:space="preserve">Piège classique : </w:t>
      </w:r>
      <w:r>
        <w:rPr>
          <w:b/>
        </w:rPr>
        <w:t>allergie croisée paclitaxel ↔ docetaxel</w:t>
      </w:r>
      <w:r>
        <w:t xml:space="preserve"> — possible (les deux taxanes ont des structures proches et les solvants Crémophor EL et polysorbate 80 peuvent causer des allergies croisées) — ne pas switcher sans avis oncologique.</w:t>
      </w:r>
    </w:p>
    <w:p>
      <w:pPr>
        <w:pStyle w:val="ListBullet"/>
      </w:pPr>
      <w:r>
        <w:t>Règle d'or : prémédication corticoïde systématique — TOUJOURS — ne jamais omettre.</w:t>
      </w:r>
    </w:p>
    <w:p>
      <w:pPr>
        <w:pStyle w:val="ListBullet"/>
      </w:pPr>
      <w:r>
        <w:t>Règle d'or : NFS avant chaque cure — pas de cure si PNN &lt; 1 500/mm³ ou plaquettes &lt; 100 000/mm³.</w:t>
      </w:r>
    </w:p>
    <w:p>
      <w:pPr>
        <w:pStyle w:val="ListBullet"/>
      </w:pPr>
      <w:r>
        <w:t>Règle d'or : contraception efficace obligatoire chez la femme en âge de procréer ET chez l'homme partenaire (3 mois) — pas de grossesse pendant et 6 mois après arrêt.</w:t>
      </w:r>
    </w:p>
    <w:p>
      <w:pPr>
        <w:pStyle w:val="ListBullet"/>
      </w:pPr>
      <w:r>
        <w:t>Préparation et Conservation : flacons à conserver entre 2 et 8 °C (réfrigérateur) à l'abri de la lumière — ne pas congeler. Après dilution en NaCl 0,9 % ou G5 %, stabilité 4 h à température ambiante (concentration ≤ 0,74 mg/mL) — ne pas dépasser. Manipulation en ZAC ou hotte par personnel formé exclusivement.</w:t>
      </w:r>
    </w:p>
    <w:p>
      <w:pPr>
        <w:pStyle w:val="Heading3"/>
      </w:pPr>
      <w:r>
        <w:t>3. DCI : Cabazitaxel (Seule)</w:t>
      </w:r>
    </w:p>
    <w:p>
      <w:r/>
      <w:r>
        <w:rPr>
          <w:b/>
        </w:rPr>
        <w:t>Liste des Catégories :</w:t>
      </w:r>
      <w:r>
        <w:t xml:space="preserve"> Cytotoxique — Taxane (3e génération) ; Poison du fuseau mitotique (stabilisateur des microtubules) ; Médicament à surveillance hématologique stricte (neutropénie très fréquente) ; Prémédication anti-allergique systématique requise (polysorbate 80) ; Neurotoxique dose-cumulative (mais moindre que docetaxel) ; Tératogène (catégorie D — CRAT : « à éviter ») ; Prescription réservée aux spécialistes en oncologie ou urologie oncologique ; Liste I ; médication hospitalière stricte.</w:t>
      </w:r>
    </w:p>
    <w:p>
      <w:r>
        <w:t xml:space="preserve">Le cabazitaxel (5β,20-époxy-1,2α,4,7β,10β,13α-hexahydroxytax-11-en-9-one 4-acétate 2-benzoate 10,13-diméthoxy, ester avec (2R,3S)-N-tert-butoxycarbonyl-3-phényl-isosérine) est un diterpène trihydroxy diméthoxylé de masse molaire 894,4 g/mol (forme monohydrate), semi-synthétique, dérivé de la 10-déacétyl-baccatine III (10-DAB III) extraite des feuilles de l'if européen </w:t>
      </w:r>
      <w:r>
        <w:rPr>
          <w:i/>
        </w:rPr>
        <w:t>Taxus baccata</w:t>
      </w:r>
      <w:r>
        <w:t xml:space="preserve">. C'est le plus récent des taxanes commercialisés, développé par le groupe Vrignaud (Sanofi-Aventis, 2001-2010) comme dérivé diméthoxy (10β, 13α-diméthoxy) du docetaxel. Cette double méthylation a pour effet de : (i) réduire fortement l'affinité pour la </w:t>
      </w:r>
      <w:r>
        <w:rPr>
          <w:b/>
        </w:rPr>
        <w:t>P-glycoprotéine (P-gp, MDR1, ABCB1)</w:t>
      </w:r>
      <w:r>
        <w:t xml:space="preserve"> — pompe d'efflux ATP-dépendante qui rend les cellules cancéreuses résistantes aux taxanes de 1re et 2e génération (paclitaxel, docetaxel) ; (ii) maintenir une activité cytotoxique élevée (IC50 ~ 5 nM — comparable au docetaxel) ; (iii) permettre le </w:t>
      </w:r>
      <w:r>
        <w:rPr>
          <w:b/>
        </w:rPr>
        <w:t>franchissement de la barrière hémato-encéphalique (BHE)</w:t>
      </w:r>
      <w:r>
        <w:t xml:space="preserve"> — ouvrant la voie à des indications futures pour les métastases cérébrales et les tumeurs primitives du SNC (essais cliniques en cours). Le cabazitaxel a été approuvé par la FDA en juin 2010 (et par l'EMA en mars 2011) pour le traitement du cancer de la prostate métastatique résistant à la castration (mCRPC) après échec d'un traitement par docetaxel (essai pivot TROPIC, de Bono et al., Lancet 2010 — bénéfice en survie globale de 2,4 mois vs mitoxantrone). Sa toxicité hématologique est cependant plus marquée que celle du docetaxel — neutropénie grade 3-4 chez 82 % des patients, neutropénie fébrile chez 8 %, mortalité toxique préoccupante (5 %) dans les premiers protocoles, réduite par l'adjonction systématique de G-CSF prophylactique et par l'adaptation posologique en cas d'insuffisance hépatique ou d'âge avancé. Indication stricte — mCRPC post-docetaxel — l'élargissement à d'autres indications (sein triple-négatif, vessie, cancers ORL) est à l'étude.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JEVTANA</w:t>
            </w:r>
          </w:p>
        </w:tc>
        <w:tc>
          <w:tcPr>
            <w:tcW w:type="dxa" w:w="1559"/>
          </w:tcPr>
          <w:p>
            <w:r>
              <w:rPr>
                <w:sz w:val="20"/>
              </w:rPr>
              <w:t>SANOFI AVENTIS FRANCE (princeps)</w:t>
            </w:r>
          </w:p>
        </w:tc>
        <w:tc>
          <w:tcPr>
            <w:tcW w:type="dxa" w:w="1559"/>
          </w:tcPr>
          <w:p>
            <w:r>
              <w:rPr>
                <w:sz w:val="20"/>
              </w:rPr>
              <w:t>Solution à diluer et solvant pour solution pour perfusion IV — 60 mg/1,5 mL (40 mg/mL)</w:t>
            </w:r>
          </w:p>
        </w:tc>
        <w:tc>
          <w:tcPr>
            <w:tcW w:type="dxa" w:w="1559"/>
          </w:tcPr>
          <w:p>
            <w:r>
              <w:rPr>
                <w:sz w:val="20"/>
              </w:rPr>
              <w:t>B/1 flacon 1,5 mL de solution à diluer + 1 flacon 4,5 mL de solvant (éthanol 96° + EPPI)</w:t>
            </w:r>
          </w:p>
        </w:tc>
        <w:tc>
          <w:tcPr>
            <w:tcW w:type="dxa" w:w="1559"/>
          </w:tcPr>
          <w:p>
            <w:r>
              <w:rPr>
                <w:sz w:val="20"/>
              </w:rPr>
              <w:t>Liste I</w:t>
            </w:r>
          </w:p>
        </w:tc>
        <w:tc>
          <w:tcPr>
            <w:tcW w:type="dxa" w:w="1559"/>
          </w:tcPr>
          <w:p>
            <w:r>
              <w:rPr>
                <w:sz w:val="20"/>
              </w:rPr>
              <w:t>**Actif**</w:t>
            </w:r>
          </w:p>
        </w:tc>
      </w:tr>
      <w:tr>
        <w:tc>
          <w:tcPr>
            <w:tcW w:type="dxa" w:w="1559"/>
          </w:tcPr>
          <w:p>
            <w:r>
              <w:rPr>
                <w:sz w:val="20"/>
              </w:rPr>
              <w:t>CABAZITAXEL-SAIDAL</w:t>
            </w:r>
          </w:p>
        </w:tc>
        <w:tc>
          <w:tcPr>
            <w:tcW w:type="dxa" w:w="1559"/>
          </w:tcPr>
          <w:p>
            <w:r>
              <w:rPr>
                <w:sz w:val="20"/>
              </w:rPr>
              <w:t>GROUPE SAIDAL</w:t>
            </w:r>
          </w:p>
        </w:tc>
        <w:tc>
          <w:tcPr>
            <w:tcW w:type="dxa" w:w="1559"/>
          </w:tcPr>
          <w:p>
            <w:r>
              <w:rPr>
                <w:sz w:val="20"/>
              </w:rPr>
              <w:t>Solution à diluer et solvant pour solution pour perfusion IV — 60 mg/1,5 mL</w:t>
            </w:r>
          </w:p>
        </w:tc>
        <w:tc>
          <w:tcPr>
            <w:tcW w:type="dxa" w:w="1559"/>
          </w:tcPr>
          <w:p>
            <w:r>
              <w:rPr>
                <w:sz w:val="20"/>
              </w:rPr>
              <w:t>B/1 flacon 1,5 mL + 1 flacon solvant (éthanol 96° + eau pour injection)</w:t>
            </w:r>
          </w:p>
        </w:tc>
        <w:tc>
          <w:tcPr>
            <w:tcW w:type="dxa" w:w="1559"/>
          </w:tcPr>
          <w:p>
            <w:r>
              <w:rPr>
                <w:sz w:val="20"/>
              </w:rPr>
              <w:t>Liste I</w:t>
            </w:r>
          </w:p>
        </w:tc>
        <w:tc>
          <w:tcPr>
            <w:tcW w:type="dxa" w:w="1559"/>
          </w:tcPr>
          <w:p>
            <w:r>
              <w:rPr>
                <w:sz w:val="20"/>
              </w:rPr>
              <w:t>**Actif**</w:t>
            </w:r>
          </w:p>
        </w:tc>
      </w:tr>
      <w:tr>
        <w:tc>
          <w:tcPr>
            <w:tcW w:type="dxa" w:w="1559"/>
          </w:tcPr>
          <w:p>
            <w:r>
              <w:rPr>
                <w:sz w:val="20"/>
              </w:rPr>
              <w:t>BACAZIRED</w:t>
            </w:r>
          </w:p>
        </w:tc>
        <w:tc>
          <w:tcPr>
            <w:tcW w:type="dxa" w:w="1559"/>
          </w:tcPr>
          <w:p>
            <w:r>
              <w:rPr>
                <w:sz w:val="20"/>
              </w:rPr>
              <w:t>DR. REDDY'S LABORATORIES LIMITED (Inde)</w:t>
            </w:r>
          </w:p>
        </w:tc>
        <w:tc>
          <w:tcPr>
            <w:tcW w:type="dxa" w:w="1559"/>
          </w:tcPr>
          <w:p>
            <w:r>
              <w:rPr>
                <w:sz w:val="20"/>
              </w:rPr>
              <w:t>Solution à diluer et solvant pour solution pour perfusion IV — 60 mg/1,5 mL</w:t>
            </w:r>
          </w:p>
        </w:tc>
        <w:tc>
          <w:tcPr>
            <w:tcW w:type="dxa" w:w="1559"/>
          </w:tcPr>
          <w:p>
            <w:r>
              <w:rPr>
                <w:sz w:val="20"/>
              </w:rPr>
              <w:t>B/1 flacon 1,5 mL + 1 flacon 4,5 mL de solvant</w:t>
            </w:r>
          </w:p>
        </w:tc>
        <w:tc>
          <w:tcPr>
            <w:tcW w:type="dxa" w:w="1559"/>
          </w:tcPr>
          <w:p>
            <w:r>
              <w:rPr>
                <w:sz w:val="20"/>
              </w:rPr>
              <w:t>Liste I</w:t>
            </w:r>
          </w:p>
        </w:tc>
        <w:tc>
          <w:tcPr>
            <w:tcW w:type="dxa" w:w="1559"/>
          </w:tcPr>
          <w:p>
            <w:r>
              <w:rPr>
                <w:sz w:val="20"/>
              </w:rPr>
              <w:t>**Actif**</w:t>
            </w:r>
          </w:p>
        </w:tc>
      </w:tr>
      <w:tr>
        <w:tc>
          <w:tcPr>
            <w:tcW w:type="dxa" w:w="1559"/>
          </w:tcPr>
          <w:p>
            <w:r>
              <w:rPr>
                <w:sz w:val="20"/>
              </w:rPr>
              <w:t>NEUTAXAN</w:t>
            </w:r>
          </w:p>
        </w:tc>
        <w:tc>
          <w:tcPr>
            <w:tcW w:type="dxa" w:w="1559"/>
          </w:tcPr>
          <w:p>
            <w:r>
              <w:rPr>
                <w:sz w:val="20"/>
              </w:rPr>
              <w:t>MUSTAFA NEVZAT ILAÇ SANAYII A.Ş (Turquie)</w:t>
            </w:r>
          </w:p>
        </w:tc>
        <w:tc>
          <w:tcPr>
            <w:tcW w:type="dxa" w:w="1559"/>
          </w:tcPr>
          <w:p>
            <w:r>
              <w:rPr>
                <w:sz w:val="20"/>
              </w:rPr>
              <w:t>Solution à diluer et solvant pour solution pour perfusion IV — 60 mg/1,5 mL</w:t>
            </w:r>
          </w:p>
        </w:tc>
        <w:tc>
          <w:tcPr>
            <w:tcW w:type="dxa" w:w="1559"/>
          </w:tcPr>
          <w:p>
            <w:r>
              <w:rPr>
                <w:sz w:val="20"/>
              </w:rPr>
              <w:t>B/1 flacon de solution + 1 flacon de solvant</w:t>
            </w:r>
          </w:p>
        </w:tc>
        <w:tc>
          <w:tcPr>
            <w:tcW w:type="dxa" w:w="1559"/>
          </w:tcPr>
          <w:p>
            <w:r>
              <w:rPr>
                <w:sz w:val="20"/>
              </w:rPr>
              <w:t>Liste I</w:t>
            </w:r>
          </w:p>
        </w:tc>
        <w:tc>
          <w:tcPr>
            <w:tcW w:type="dxa" w:w="1559"/>
          </w:tcPr>
          <w:p>
            <w:r>
              <w:rPr>
                <w:sz w:val="20"/>
              </w:rPr>
              <w:t>**Actif**</w:t>
            </w:r>
          </w:p>
        </w:tc>
      </w:tr>
      <w:tr>
        <w:tc>
          <w:tcPr>
            <w:tcW w:type="dxa" w:w="1559"/>
          </w:tcPr>
          <w:p>
            <w:r>
              <w:rPr>
                <w:sz w:val="20"/>
              </w:rPr>
              <w:t>Z-TEXEL</w:t>
            </w:r>
          </w:p>
        </w:tc>
        <w:tc>
          <w:tcPr>
            <w:tcW w:type="dxa" w:w="1559"/>
          </w:tcPr>
          <w:p>
            <w:r>
              <w:rPr>
                <w:sz w:val="20"/>
              </w:rPr>
              <w:t>ALFACARE</w:t>
            </w:r>
          </w:p>
        </w:tc>
        <w:tc>
          <w:tcPr>
            <w:tcW w:type="dxa" w:w="1559"/>
          </w:tcPr>
          <w:p>
            <w:r>
              <w:rPr>
                <w:sz w:val="20"/>
              </w:rPr>
              <w:t>Solution à diluer et solvant pour solution pour perfusion IV — 60 mg/1,5 mL</w:t>
            </w:r>
          </w:p>
        </w:tc>
        <w:tc>
          <w:tcPr>
            <w:tcW w:type="dxa" w:w="1559"/>
          </w:tcPr>
          <w:p>
            <w:r>
              <w:rPr>
                <w:sz w:val="20"/>
              </w:rPr>
              <w:t>B/1 flacon 1,5 mL + 1 flacon 4,5 mL diluant</w:t>
            </w:r>
          </w:p>
        </w:tc>
        <w:tc>
          <w:tcPr>
            <w:tcW w:type="dxa" w:w="1559"/>
          </w:tcPr>
          <w:p>
            <w:r>
              <w:rPr>
                <w:sz w:val="20"/>
              </w:rPr>
              <w:t>Liste I</w:t>
            </w:r>
          </w:p>
        </w:tc>
        <w:tc>
          <w:tcPr>
            <w:tcW w:type="dxa" w:w="1559"/>
          </w:tcPr>
          <w:p>
            <w:r>
              <w:rPr>
                <w:sz w:val="20"/>
              </w:rPr>
              <w:t>**Actif**</w:t>
            </w:r>
          </w:p>
        </w:tc>
      </w:tr>
      <w:tr>
        <w:tc>
          <w:tcPr>
            <w:tcW w:type="dxa" w:w="1559"/>
          </w:tcPr>
          <w:p>
            <w:r>
              <w:rPr>
                <w:sz w:val="20"/>
              </w:rPr>
              <w:t>CABAZITAXEL EVER PHARMA</w:t>
            </w:r>
          </w:p>
        </w:tc>
        <w:tc>
          <w:tcPr>
            <w:tcW w:type="dxa" w:w="1559"/>
          </w:tcPr>
          <w:p>
            <w:r>
              <w:rPr>
                <w:sz w:val="20"/>
              </w:rPr>
              <w:t>LABORATOIRES EVER VALINJCT GMBH (Autriche)</w:t>
            </w:r>
          </w:p>
        </w:tc>
        <w:tc>
          <w:tcPr>
            <w:tcW w:type="dxa" w:w="1559"/>
          </w:tcPr>
          <w:p>
            <w:r>
              <w:rPr>
                <w:sz w:val="20"/>
              </w:rPr>
              <w:t>Solution à diluer pour perfusion IV — 10 mg/mL (60 mg/6 mL)</w:t>
            </w:r>
          </w:p>
        </w:tc>
        <w:tc>
          <w:tcPr>
            <w:tcW w:type="dxa" w:w="1559"/>
          </w:tcPr>
          <w:p>
            <w:r>
              <w:rPr>
                <w:sz w:val="20"/>
              </w:rPr>
              <w:t>B/1 flacon de 6 mL</w:t>
            </w:r>
          </w:p>
        </w:tc>
        <w:tc>
          <w:tcPr>
            <w:tcW w:type="dxa" w:w="1559"/>
          </w:tcPr>
          <w:p>
            <w:r>
              <w:rPr>
                <w:sz w:val="20"/>
              </w:rPr>
              <w:t>Liste I</w:t>
            </w:r>
          </w:p>
        </w:tc>
        <w:tc>
          <w:tcPr>
            <w:tcW w:type="dxa" w:w="1559"/>
          </w:tcPr>
          <w:p>
            <w:r>
              <w:rPr>
                <w:sz w:val="20"/>
              </w:rPr>
              <w:t>**Actif**</w:t>
            </w:r>
          </w:p>
        </w:tc>
      </w:tr>
    </w:tbl>
    <w:p/>
    <w:p>
      <w:r/>
      <w:r>
        <w:rPr>
          <w:i/>
        </w:rPr>
        <w:t>Note : marché algérien du cabazitaxel — 6 marques toutes actives, dont le princeps JEVTANA® (Sanofi-Aventis) et 5 génériques (CABAZITAXEL-SAIDAL, BACAZIRED Dr Reddy's, NEUTAXAN Mustafa Nevzat, Z-TEXEL Alfacare, CABAZITAXEL EVER PHARMA). Approvisionnement stable. ATTENTION : la forme CABAZITAXEL EVER PHARMA est à 10 mg/mL (60 mg/6 mL) — concentration différente des autres marques (40 mg/mL — 60 mg/1,5 mL) — erreur de calcul possible si non vérification de la concentration.</w:t>
      </w:r>
      <w:r/>
    </w:p>
    <w:p>
      <w:r/>
      <w:r>
        <w:rPr>
          <w:b/>
        </w:rPr>
        <w:t>Sous-classe et Mécanisme d'action :</w:t>
      </w:r>
      <w:r/>
    </w:p>
    <w:p>
      <w:pPr>
        <w:pStyle w:val="ListBullet"/>
      </w:pPr>
      <w:r>
        <w:t>Sous-classe : Taxanes (3e génération — poison du fuseau mitotique stabilisateur des microtubules). Classification ATC : L01CD04. Le cabazitaxel est indiqué exclusivement (à ce jour) dans le traitement du cancer de la prostate métastatique résistant à la castration (mCRPC) après échec d'un traitement par docetaxel (indication stricte — protocole TROPIC, de Bono Lancet 2010 — survie globale médiane 15,1 mois vs 12,7 mois pour la mitoxantrone — HR 0,70). Sa place dans l'arsenal thérapeutique du mCRPC est aujourd'hui confortée par les résultats d'essais de combinaison (cabazitaxel + abiratérone, cabazitaxel + enzalutamide — en cours). L'élargissement à d'autres tumeurs solides (sein triple-négatif, vessie, cancers ORL, sarcomes) est à l'étude dans des essais cliniques de phase II/III.</w:t>
      </w:r>
    </w:p>
    <w:p>
      <w:pPr>
        <w:pStyle w:val="ListBullet"/>
      </w:pPr>
      <w:r>
        <w:t xml:space="preserve">Mécanisme d'action : identique aux autres taxanes — </w:t>
      </w:r>
      <w:r>
        <w:rPr>
          <w:b/>
        </w:rPr>
        <w:t>stabilisation des microtubules par fixation à la β-tubuline au site taxane</w:t>
      </w:r>
      <w:r>
        <w:t xml:space="preserve"> (même poche hydrophobe). Le cabazitaxel bloque la dépolymérisation des microtubules — les microtubules deviennent « gelés » en état polymérisé — bloc mitotique en métaphase (spindle assembly checkpoint SAC) — apoptose. Action phase-spécifique (G2/M) mais aussi cytotoxicité en phase G0 (altération du trafic vésiculaire interphasique). </w:t>
      </w:r>
      <w:r>
        <w:rPr>
          <w:b/>
        </w:rPr>
        <w:t>Différences clés vs docetaxel</w:t>
      </w:r>
      <w:r>
        <w:t xml:space="preserve"> : (i) faible affinité pour la P-glycoprotéine (P-gp, MDR1, ABCB1) — pompe d'efflux ATP-dépendante qui rend de nombreuses cellules cancéreuses résistantes aux taxanes de 1re et 2e génération — le cabazitaxel reste actif dans les cellules P-gp + (notamment cellules de cancer de la prostate résistantes au docetaxel) ; (ii) franchissement de la barrière hémato-encéphalique (BHE) — ouvrant la voie à des indications futures pour les métastases cérébrales et les tumeurs primitives du SNC ; (iii) cytotoxicité comparable in vitro (IC50 ~ 5 nM — docetaxel ~ 4 nM) mais avec un spectre d'activité différent in vivo (cellules résistantes au docetaxel restent sensibles au cabazitaxel).</w:t>
      </w:r>
    </w:p>
    <w:p>
      <w:r/>
      <w:r>
        <w:rPr>
          <w:b/>
        </w:rPr>
        <w:t>Profil Pharmacologique et Indications :</w:t>
      </w:r>
      <w:r/>
    </w:p>
    <w:p>
      <w:pPr>
        <w:pStyle w:val="ListBullet"/>
      </w:pPr>
      <w:r>
        <w:t>Indications (selon AMM française et algérienne — RCP VIDAL 2026) :</w:t>
      </w:r>
    </w:p>
    <w:p>
      <w:pPr>
        <w:pStyle w:val="ListBullet"/>
      </w:pPr>
      <w:r/>
      <w:r>
        <w:rPr>
          <w:b/>
        </w:rPr>
        <w:t>Cancer de la prostate métastatique résistant à la castration (mCRPC)</w:t>
      </w:r>
      <w:r>
        <w:t xml:space="preserve"> après échec d'un traitement par docetaxel — indiquée en 2e ligne après docetaxel (essai TROPIC, de Bono Lancet 2010). Protocole : cabazitaxel 25 mg/m² J1 en perfusion IV de 1 h toutes les 3 semaines + prednisone 10 mg/j PO continu — 10 cures maximum (selon tolérance et réponse). Alternative en 1re ligne chez les patients contre-indiqués au docetaxel (insuffisance hépatique modérée) — en discussion (essai FIRSTANA, Eccles Lancet Oncology 2016 — non supériorité vs docetaxel en 1re ligne — réservé à la 2e ligne).</w:t>
      </w:r>
    </w:p>
    <w:p>
      <w:pPr>
        <w:pStyle w:val="ListBullet"/>
      </w:pPr>
      <w:r/>
      <w:r>
        <w:rPr>
          <w:b/>
        </w:rPr>
        <w:t>Hors-AMM</w:t>
      </w:r>
      <w:r>
        <w:t xml:space="preserve"> (essais cliniques en cours) : cancer du sein triple-négatif résistant au docetaxel (essai TNBC) ; cancer de la vessie métastatique (essai CANOPY) ; sarcomes des tissus mous ; métastases cérébrales (essaimage en cours — potentialité liée au franchissement de la BHE).</w:t>
      </w:r>
    </w:p>
    <w:p>
      <w:pPr>
        <w:pStyle w:val="ListBullet"/>
      </w:pPr>
      <w:r>
        <w:t>Particularités pharmacologiques :</w:t>
      </w:r>
    </w:p>
    <w:p>
      <w:pPr>
        <w:pStyle w:val="ListBullet"/>
      </w:pPr>
      <w:r>
        <w:t>Cinétique linéaire aux doses thérapeutiques (15-25 mg/m²) — clairance 48 L/h (CV 35 %).</w:t>
      </w:r>
    </w:p>
    <w:p>
      <w:pPr>
        <w:pStyle w:val="ListBullet"/>
      </w:pPr>
      <w:r>
        <w:t>Distribution large — Vd 2 640 L (très important — captation tissulaire extensive, particulièrement cérébrale) ; liaison protéique élevée (89-92 % — albumine, AAG, lipoprotéines).</w:t>
      </w:r>
    </w:p>
    <w:p>
      <w:pPr>
        <w:pStyle w:val="ListBullet"/>
      </w:pPr>
      <w:r>
        <w:t>Métabolisme hépatique prédominant (CYP3A4 → métabolites inactifs ou faiblement actifs — principalement par hydroxylation ; CYP3A5 accessoire ; CYP2C8 minoritaire) — élimination biliaire (~ 80 % dans les fèces en 48 h) ; moins de 4 % dans les urines (rôle rénal négligeable → utilisable chez l'insuffisant rénal sans adaptation).</w:t>
      </w:r>
    </w:p>
    <w:p>
      <w:pPr>
        <w:pStyle w:val="ListBullet"/>
      </w:pPr>
      <w:r>
        <w:t>Demi-vie d'élimination : 77-95 h (très prolongée — environ 4 jours — d'où administration toutes les 3 semaines).</w:t>
      </w:r>
    </w:p>
    <w:p>
      <w:pPr>
        <w:pStyle w:val="ListBullet"/>
      </w:pPr>
      <w:r>
        <w:t>Adaptation hépatique : (i) fonction hépatique normale : dose pleine (25 mg/m²) ; (ii) insuffisance hépatique modérée (bilirubine &gt; 1-1,5 × LSN, ou ASAT/ALAT &gt; 1,5 × LSN avec PAL &gt; 2,5 × LSN) : réduction à 20 mg/m² ; (iii) insuffisance hépatique sévère (bilirubine &gt; 3 × LSN) : contre-indication.</w:t>
      </w:r>
    </w:p>
    <w:p>
      <w:pPr>
        <w:pStyle w:val="ListBullet"/>
      </w:pPr>
      <w:r>
        <w:t>Schémas : 25 mg/m² J1 en perfusion IV de 1 h toutes les 3 semaines — 10 cures maximum selon tolérance et réponse. Dose réduite à 20 mg/m² en cas de toxicité hématologique ou hépatique modérée.</w:t>
      </w:r>
    </w:p>
    <w:p>
      <w:r/>
      <w:r>
        <w:rPr>
          <w:b/>
        </w:rPr>
        <w:t>Contre-indications et Précautions d'Emploi :</w:t>
      </w:r>
      <w:r/>
    </w:p>
    <w:p>
      <w:pPr>
        <w:pStyle w:val="ListBullet"/>
      </w:pPr>
      <w:r>
        <w:t>Contre-indications absolues :</w:t>
      </w:r>
    </w:p>
    <w:p>
      <w:pPr>
        <w:pStyle w:val="ListBullet"/>
      </w:pPr>
      <w:r>
        <w:t xml:space="preserve">Hypersensibilité connue au cabazitaxel ou à l'un des excipients, notamment le </w:t>
      </w:r>
      <w:r>
        <w:rPr>
          <w:b/>
        </w:rPr>
        <w:t>polysorbate 80</w:t>
      </w:r>
      <w:r>
        <w:t xml:space="preserve"> — en pratique, une réaction anaphylactique sévère lors d'une perfusion précédente contre-indique la ré-administration. Cross-allergie possible avec docetaxel (polysorbate 80) — switch vers nab-paclitaxel (sans solvant) recommandé (non disponible en Algérie).</w:t>
      </w:r>
    </w:p>
    <w:p>
      <w:pPr>
        <w:pStyle w:val="ListBullet"/>
      </w:pPr>
      <w:r/>
      <w:r>
        <w:rPr>
          <w:b/>
        </w:rPr>
        <w:t>Neutropénie sévère</w:t>
      </w:r>
      <w:r>
        <w:t xml:space="preserve"> (&lt; 1 500/mm³) pré-existante — attendre récupération PNN ≥ 1 500/mm³ avant la cure.</w:t>
      </w:r>
    </w:p>
    <w:p>
      <w:pPr>
        <w:pStyle w:val="ListBullet"/>
      </w:pPr>
      <w:r/>
      <w:r>
        <w:rPr>
          <w:b/>
        </w:rPr>
        <w:t>Insuffisance hépatique sévère</w:t>
      </w:r>
      <w:r>
        <w:t xml:space="preserve"> (bilirubine &gt; 3 × LSN) — risque d'augmentation majeure de l'AUC et de toxicité grave.</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Patient déjà sous traitement par vaccin vivant atténué ou antécédent récent (&lt; 3 mois).</w:t>
      </w:r>
    </w:p>
    <w:p>
      <w:pPr>
        <w:pStyle w:val="ListBullet"/>
      </w:pPr>
      <w:r>
        <w:t>Nombre de PNN &lt; 1 500/mm³ ou plaquettes &lt; 100 000/mm³ avant la cure.</w:t>
      </w:r>
    </w:p>
    <w:p>
      <w:pPr>
        <w:pStyle w:val="ListBullet"/>
      </w:pPr>
      <w:r>
        <w:t>Précautions d'emploi :</w:t>
      </w:r>
    </w:p>
    <w:p>
      <w:pPr>
        <w:pStyle w:val="ListBullet"/>
      </w:pPr>
      <w:r/>
      <w:r>
        <w:rPr>
          <w:b/>
        </w:rPr>
        <w:t>Prémédication anti-allergique systématique</w:t>
      </w:r>
      <w:r>
        <w:t xml:space="preserve"> : anti-H1 (dexchlorphéniramine 5 mg IV ou clemastine 2 mg IV) + anti-H2 (ranitidine 50 mg IV ou cimetidine 300 mg IV) + corticoïde (dexaméthasone 8 mg IV) 30 min avant la perfusion. La prémédication par corticoïde PO prolongée (3 jours comme pour le docetaxel) n'est PAS systématique pour le cabazitaxel — la rétention hydrosodée est moindre — mais recommandée en cas d'antécédents d'allergie au polysorbate 80.</w:t>
      </w:r>
    </w:p>
    <w:p>
      <w:pPr>
        <w:pStyle w:val="ListBullet"/>
      </w:pPr>
      <w:r/>
      <w:r>
        <w:rPr>
          <w:b/>
        </w:rPr>
        <w:t>G-CSF prophylactique primaire recommandé</w:t>
      </w:r>
      <w:r>
        <w:t xml:space="preserve"> (filgrastim 5 µg/kg/j SC J3-J10 ou pegfilgrastim 6 mg SC J2) — particulièrement chez les patients &gt; 65 ans, PS ≥ 1, ou avec antécédents de neutropénie fébrile sous docetaxel. La mortalité toxique (5 % dans les premiers protocoles TROPIC) justifie cette prévention systématique.</w:t>
      </w:r>
    </w:p>
    <w:p>
      <w:pPr>
        <w:pStyle w:val="ListBullet"/>
      </w:pPr>
      <w:r/>
      <w:r>
        <w:rPr>
          <w:b/>
        </w:rPr>
        <w:t>Surveillance hématologique stricte</w:t>
      </w:r>
      <w:r>
        <w:t xml:space="preserve"> : NFS avant chaque cure (PNN ≥ 1 500/mm³, plaquettes ≥ 100 000/mm³), NFS hebdomadaire pendant la cure (J7, J10, J14) — détection précoce de la neutropénie tardive (nadir J7-J14).</w:t>
      </w:r>
    </w:p>
    <w:p>
      <w:pPr>
        <w:pStyle w:val="ListBullet"/>
      </w:pPr>
      <w:r/>
      <w:r>
        <w:rPr>
          <w:b/>
        </w:rPr>
        <w:t>Surveillance digestive</w:t>
      </w:r>
      <w:r>
        <w:t xml:space="preserve"> : diarrhée (jusqu'à 47 % — grade 3-4 : 6 %) — à traiter d'EMBLÉE par lopéramide (4 mg puis 2 mg toutes les 2 h, maximum 16 mg/j pendant au moins 12 h après la dernière selle liquide) ; en cas de signes de gravité (diarrhée &gt; 6/j, fièvre, hypovolémie) — hospitalisation, antibiothérapie probabiliste (quinolones — couverture E. coli, Klebsiella), remplissage vasculaire.</w:t>
      </w:r>
    </w:p>
    <w:p>
      <w:pPr>
        <w:pStyle w:val="ListBullet"/>
      </w:pPr>
      <w:r/>
      <w:r>
        <w:rPr>
          <w:b/>
        </w:rPr>
        <w:t>Surveillance rénale</w:t>
      </w:r>
      <w:r>
        <w:t xml:space="preserve"> : créatinine avant chaque cure (risque d'insuffisance rénale aiguë par déshydratation secondaire aux diarrhées et vomissements, et par syndrome de lyse tumorale particulièrement chez les patients avec volumineuse masse tumorale).</w:t>
      </w:r>
    </w:p>
    <w:p>
      <w:pPr>
        <w:pStyle w:val="ListBullet"/>
      </w:pPr>
      <w:r/>
      <w:r>
        <w:rPr>
          <w:b/>
        </w:rPr>
        <w:t>Surveillance neurologique</w:t>
      </w:r>
      <w:r>
        <w:t xml:space="preserve"> : moins marquée que pour le paclitaxel et le docetaxel — mais examen clinique pré-cure à la recherche de paresthésies, hypoesthésie, faiblesse motrice distale.</w:t>
      </w:r>
    </w:p>
    <w:p>
      <w:pPr>
        <w:pStyle w:val="ListBullet"/>
      </w:pPr>
      <w:r>
        <w:t>Sujet âgé &gt; 75 ans : réduction posologique à 20 mg/m² + G-CSF prophylactique primaire (essai CABARESC, 2019 — réduction de la toxicité hématologique sans perte d'efficacité).</w:t>
      </w:r>
    </w:p>
    <w:p>
      <w:pPr>
        <w:pStyle w:val="ListBullet"/>
      </w:pPr>
      <w:r>
        <w:t>Précautions de manipulation : cytotoxique — manipulation exclusivement par personnel formé, en ZAC ou hotte à flux laminaire vertical, équipements de protection individuelle.</w:t>
      </w:r>
    </w:p>
    <w:p>
      <w:pPr>
        <w:pStyle w:val="ListBullet"/>
      </w:pPr>
      <w:r>
        <w:t>Précautions de perfusion : tubulure sans DEHP (polysorbate 80 le lessive) ; tubulure en polyéthylène ou polyoléfine avec filtre en ligne 0,22 µm.</w:t>
      </w:r>
    </w:p>
    <w:p>
      <w:r/>
      <w:r>
        <w:rPr>
          <w:b/>
        </w:rPr>
        <w:t>Effets Indésirables :</w:t>
      </w:r>
      <w:r/>
    </w:p>
    <w:p>
      <w:pPr>
        <w:pStyle w:val="ListBullet"/>
      </w:pPr>
      <w:r/>
      <w:r>
        <w:rPr>
          <w:b/>
        </w:rPr>
        <w:t>Hypersensibilité</w:t>
      </w:r>
      <w:r>
        <w:t xml:space="preserve"> (jusqu'à 10 % sans prémédication, &lt; 5 % avec prémédication) : surviennent dans les 10 premières minutes de la perfusion. Signes : flush, dyspnée, hypotension, bronchospasme, douleur thoracique, urticaire généralisée. Mécanisme : libération d'histamine par le polysorbate 80. Conduite : identique au docetaxel.</w:t>
      </w:r>
    </w:p>
    <w:p>
      <w:pPr>
        <w:pStyle w:val="ListBullet"/>
      </w:pPr>
      <w:r/>
      <w:r>
        <w:rPr>
          <w:b/>
        </w:rPr>
        <w:t>Myélosuppression</w:t>
      </w:r>
      <w:r>
        <w:t xml:space="preserve"> (effet dose-limitant — particularly marquée pour le cabazitaxel) :</w:t>
      </w:r>
    </w:p>
    <w:p>
      <w:pPr>
        <w:pStyle w:val="ListBullet"/>
      </w:pPr>
      <w:r/>
      <w:r>
        <w:rPr>
          <w:b/>
        </w:rPr>
        <w:t>Neutropénie</w:t>
      </w:r>
      <w:r>
        <w:t xml:space="preserve"> : quasi-constante (grade 3-4 : 82 % à 25 mg/m² sans G-CSF) — nadir J7-J14 — souvent prolongée (récupération lente, &gt; 7 jours). Neutropénie fébrile : 8 % (jusqu'à 14 % chez les patients &gt; 65 ans). Prévention : G-CSF prophylactique primaire systématique.</w:t>
      </w:r>
    </w:p>
    <w:p>
      <w:pPr>
        <w:pStyle w:val="ListBullet"/>
      </w:pPr>
      <w:r>
        <w:t>Thrombopénie : 5-15 % (grade 3-4 : 5 %) — nadir J14.</w:t>
      </w:r>
    </w:p>
    <w:p>
      <w:pPr>
        <w:pStyle w:val="ListBullet"/>
      </w:pPr>
      <w:r>
        <w:t>Anémie : 50-90 % (grade 3-4 : 10-15 %).</w:t>
      </w:r>
    </w:p>
    <w:p>
      <w:pPr>
        <w:pStyle w:val="ListBullet"/>
      </w:pPr>
      <w:r/>
      <w:r>
        <w:rPr>
          <w:b/>
        </w:rPr>
        <w:t>Toxicité digestive</w:t>
      </w:r>
      <w:r>
        <w:t xml:space="preserve"> :</w:t>
      </w:r>
    </w:p>
    <w:p>
      <w:pPr>
        <w:pStyle w:val="ListBullet"/>
      </w:pPr>
      <w:r/>
      <w:r>
        <w:rPr>
          <w:b/>
        </w:rPr>
        <w:t>Diarrhée</w:t>
      </w:r>
      <w:r>
        <w:t xml:space="preserve"> (47 % — grade 3-4 : 6-19 %) — typiquement tardive (J3-J14) — mécanisme mixte (cholinergique + lésion muqueuse intestinale) — potentiellement grave (déshydratation, insuffisance rénale aiguë, sepsis). Traitement immédiat par lopéramide, hydratation, hospitalisation si signes de gravité.</w:t>
      </w:r>
    </w:p>
    <w:p>
      <w:pPr>
        <w:pStyle w:val="ListBullet"/>
      </w:pPr>
      <w:r>
        <w:t>Nausées/vomissements (modérés — grade 1-2 : 30-40 % — protocole antiémétique triplet).</w:t>
      </w:r>
    </w:p>
    <w:p>
      <w:pPr>
        <w:pStyle w:val="ListBullet"/>
      </w:pPr>
      <w:r>
        <w:t>Mucite (10-20 % — grade 3-4 : 2 %).</w:t>
      </w:r>
    </w:p>
    <w:p>
      <w:pPr>
        <w:pStyle w:val="ListBullet"/>
      </w:pPr>
      <w:r>
        <w:t>Constipation (10-20 %).</w:t>
      </w:r>
    </w:p>
    <w:p>
      <w:pPr>
        <w:pStyle w:val="ListBullet"/>
      </w:pPr>
      <w:r>
        <w:t>Douleurs abdominales (10-20 %).</w:t>
      </w:r>
    </w:p>
    <w:p>
      <w:pPr>
        <w:pStyle w:val="ListBullet"/>
      </w:pPr>
      <w:r/>
      <w:r>
        <w:rPr>
          <w:b/>
        </w:rPr>
        <w:t>Neurotoxicité périphérique</w:t>
      </w:r>
      <w:r>
        <w:t xml:space="preserve"> (moins marquée que docetaxel — environ 15-30 % G1-2, &lt; 5 % G3-4) :</w:t>
      </w:r>
    </w:p>
    <w:p>
      <w:pPr>
        <w:pStyle w:val="ListBullet"/>
      </w:pPr>
      <w:r>
        <w:t>Sensitives : paresthésies, dysesthésies en « gants et chaussettes ».</w:t>
      </w:r>
    </w:p>
    <w:p>
      <w:pPr>
        <w:pStyle w:val="ListBullet"/>
      </w:pPr>
      <w:r>
        <w:t>Motrices : rares (&lt; 5 %) — faiblesse musculaire distale.</w:t>
      </w:r>
    </w:p>
    <w:p>
      <w:pPr>
        <w:pStyle w:val="ListBullet"/>
      </w:pPr>
      <w:r>
        <w:t>Autonomiques : rares (&lt; 5 %).</w:t>
      </w:r>
    </w:p>
    <w:p>
      <w:pPr>
        <w:pStyle w:val="ListBullet"/>
      </w:pPr>
      <w:r/>
      <w:r>
        <w:rPr>
          <w:b/>
        </w:rPr>
        <w:t>Toxicité rénale</w:t>
      </w:r>
      <w:r>
        <w:t xml:space="preserve"> : insuffisance rénale aiguë (rare — 5 % — principalement par déshydratation secondaire aux diarrhées/vomissements, et par syndrome de lyse tumorale) — surveillance créatinine, hydratation IV systématique (NaCl 0,9 % 1 L avant et après la perfusion).</w:t>
      </w:r>
    </w:p>
    <w:p>
      <w:pPr>
        <w:pStyle w:val="ListBullet"/>
      </w:pPr>
      <w:r/>
      <w:r>
        <w:rPr>
          <w:b/>
        </w:rPr>
        <w:t>Toxicité cutanée</w:t>
      </w:r>
      <w:r>
        <w:t xml:space="preserve"> :</w:t>
      </w:r>
    </w:p>
    <w:p>
      <w:pPr>
        <w:pStyle w:val="ListBullet"/>
      </w:pPr>
      <w:r>
        <w:t>Alopécie (50-70 % — moins marquée que docetaxel).</w:t>
      </w:r>
    </w:p>
    <w:p>
      <w:pPr>
        <w:pStyle w:val="ListBullet"/>
      </w:pPr>
      <w:r>
        <w:t>Rash maculopapuleux (10-15 %).</w:t>
      </w:r>
    </w:p>
    <w:p>
      <w:pPr>
        <w:pStyle w:val="ListBullet"/>
      </w:pPr>
      <w:r>
        <w:t>Modifications unguéales (10-20 %).</w:t>
      </w:r>
    </w:p>
    <w:p>
      <w:pPr>
        <w:pStyle w:val="ListBullet"/>
      </w:pPr>
      <w:r/>
      <w:r>
        <w:rPr>
          <w:b/>
        </w:rPr>
        <w:t>Toxicité hépatique</w:t>
      </w:r>
      <w:r>
        <w:t xml:space="preserve"> : élévation transitoire ASAT/ALAT (10-15 % — grade 3-4 : 2-3 %), hyperbilirubinémie (5 %).</w:t>
      </w:r>
    </w:p>
    <w:p>
      <w:pPr>
        <w:pStyle w:val="ListBullet"/>
      </w:pPr>
      <w:r/>
      <w:r>
        <w:rPr>
          <w:b/>
        </w:rPr>
        <w:t>Toxicité cardiovasculaire</w:t>
      </w:r>
      <w:r>
        <w:t xml:space="preserve"> : hypotension transitoire (10 %), troubles du rythme (5 % — FA, extrasystoles), insuffisance cardiaque (rare — 1-2 % — particulièrement après anthracyclines ou radiothérapie thoracique).</w:t>
      </w:r>
    </w:p>
    <w:p>
      <w:pPr>
        <w:pStyle w:val="ListBullet"/>
      </w:pPr>
      <w:r/>
      <w:r>
        <w:rPr>
          <w:b/>
        </w:rPr>
        <w:t>Toxicité locale au point d'injection</w:t>
      </w:r>
      <w:r>
        <w:t xml:space="preserve"> : réaction locale ; extravasation → nécrose tissulaire (cabazitaxel est un vesicant — recommandation : voie veineuse centrale type Port-a-cath ou PICC).</w:t>
      </w:r>
    </w:p>
    <w:p>
      <w:r/>
      <w:r>
        <w:rPr>
          <w:b/>
        </w:rPr>
        <w:t>Prévention et Gestion des Effets Indésirables :</w:t>
      </w:r>
      <w:r/>
    </w:p>
    <w:p>
      <w:pPr>
        <w:pStyle w:val="ListBullet"/>
      </w:pPr>
      <w:r>
        <w:t>Prévention systématique :</w:t>
      </w:r>
    </w:p>
    <w:p>
      <w:pPr>
        <w:pStyle w:val="ListBullet"/>
      </w:pPr>
      <w:r/>
      <w:r>
        <w:rPr>
          <w:b/>
        </w:rPr>
        <w:t>Prémédication anti-allergique</w:t>
      </w:r>
      <w:r>
        <w:t xml:space="preserve"> : anti-H1 + anti-H2 + corticoïde IV 30 min avant la perfusion. Pas de prémédication PO systématique de 3 jours (sauf antécédents d'allergie au polysorbate 80).</w:t>
      </w:r>
    </w:p>
    <w:p>
      <w:pPr>
        <w:pStyle w:val="ListBullet"/>
      </w:pPr>
      <w:r/>
      <w:r>
        <w:rPr>
          <w:b/>
        </w:rPr>
        <w:t>G-CSF prophylactique primaire recommandé</w:t>
      </w:r>
      <w:r>
        <w:t xml:space="preserve"> : pegfilgrastim 6 mg SC J2 (préférence — plus pratique) ou filgrastim 5 µg/kg/j SC J3-J10 — particulièrement chez les patients &gt; 65 ans, PS ≥ 1, antécédents de neutropénie fébrile, masse tumorale étendue.</w:t>
      </w:r>
    </w:p>
    <w:p>
      <w:pPr>
        <w:pStyle w:val="ListBullet"/>
      </w:pPr>
      <w:r/>
      <w:r>
        <w:rPr>
          <w:b/>
        </w:rPr>
        <w:t>Prévention diarrhée</w:t>
      </w:r>
      <w:r>
        <w:t xml:space="preserve"> : lopéramide à disposition IMMÉDIATE du patient (prescription anticipée à délivrer avant la cure) — instructions claires (4 mg dès 1re selle liquide, puis 2 mg toutes les 2 h max 16 mg/j pendant au moins 12 h après la dernière selle liquide) ; hydratation PO abondante (1,5-2 L/j) ; alimentation pauvre en fibres pendant les 2 semaines suivant la cure. Éducation thérapeutique renforcée.</w:t>
      </w:r>
    </w:p>
    <w:p>
      <w:pPr>
        <w:pStyle w:val="ListBullet"/>
      </w:pPr>
      <w:r/>
      <w:r>
        <w:rPr>
          <w:b/>
        </w:rPr>
        <w:t>Prévention rénale</w:t>
      </w:r>
      <w:r>
        <w:t xml:space="preserve"> : hydratation IV systématique (NaCl 0,9 % 1 L en 1 h avant la perfusion, puis 1 L en 2 h après) — surveillance créatinine avant chaque cure.</w:t>
      </w:r>
    </w:p>
    <w:p>
      <w:pPr>
        <w:pStyle w:val="ListBullet"/>
      </w:pPr>
      <w:r/>
      <w:r>
        <w:rPr>
          <w:b/>
        </w:rPr>
        <w:t>Prévention alvéolyse</w:t>
      </w:r>
      <w:r>
        <w:t xml:space="preserve"> : casque réfrigéré (DigniCap, Paxman) — mais efficacité moindre que pour paclitaxel (chute moins complète).</w:t>
      </w:r>
    </w:p>
    <w:p>
      <w:pPr>
        <w:pStyle w:val="ListBullet"/>
      </w:pPr>
      <w:r>
        <w:t>Conduite à tenir :</w:t>
      </w:r>
    </w:p>
    <w:p>
      <w:pPr>
        <w:pStyle w:val="ListBullet"/>
      </w:pPr>
      <w:r/>
      <w:r>
        <w:rPr>
          <w:b/>
        </w:rPr>
        <w:t>En cas de neutropénie fébrile</w:t>
      </w:r>
      <w:r>
        <w:t xml:space="preserve"> : hospitalisation URGENCE, hémocultures, antibiothérapie empirique large spectre (pipéracilline-tazobactam 4 g × 4/j IV ou céfépime 2 g × 3/j IV), G-CSF 5 µg/kg/j SC, délai 2 semaines pour la cure suivante, réduction de dose à 20 mg/m², G-CSF prophylactique primaire systématique.</w:t>
      </w:r>
    </w:p>
    <w:p>
      <w:pPr>
        <w:pStyle w:val="ListBullet"/>
      </w:pPr>
      <w:r/>
      <w:r>
        <w:rPr>
          <w:b/>
        </w:rPr>
        <w:t>En cas de diarrhée tardive</w:t>
      </w:r>
      <w:r>
        <w:t xml:space="preserve"> : lopéramide IMMÉDIAT (4 mg PO puis 2 mg toutes les 2 h max 16 mg/j, pendant au moins 12 h après la dernière selle liquide), hydratation PO abondante (1,5-2 L/j), alimentation pauvre en fibres. Hospitalisation SI : diarrhée &gt; 6/j, fièvre ≥ 38,5 °C, hypovolémie (TA &lt; 90/60, tachycardie &gt; 100, oligurie &lt; 0,5 mL/kg/h), insuffisance rénale aiguë, signes de sepsis. Antibiothérapie probabiliste (ciprofloxacine 500 mg × 2/j PO — couverture E. coli, Klebsiella) en cas de fièvre ou de diarrhée sévère.</w:t>
      </w:r>
    </w:p>
    <w:p>
      <w:pPr>
        <w:pStyle w:val="ListBullet"/>
      </w:pPr>
      <w:r/>
      <w:r>
        <w:rPr>
          <w:b/>
        </w:rPr>
        <w:t>En cas de réaction d'hypersensibilité</w:t>
      </w:r>
      <w:r>
        <w:t xml:space="preserve"> : cf. docetaxel — arrêt IMMÉDIAT, adrénaline IM 0,3 mg si choc, anti-H1 IV, corticoïde IV.</w:t>
      </w:r>
    </w:p>
    <w:p>
      <w:pPr>
        <w:pStyle w:val="ListBullet"/>
      </w:pPr>
      <w:r/>
      <w:r>
        <w:rPr>
          <w:b/>
        </w:rPr>
        <w:t>En cas de neurotoxicité G ≥ 3</w:t>
      </w:r>
      <w:r>
        <w:t xml:space="preserve"> : suspension, switch thérapeutique.</w:t>
      </w:r>
    </w:p>
    <w:p>
      <w:pPr>
        <w:pStyle w:val="ListBullet"/>
      </w:pPr>
      <w:r/>
      <w:r>
        <w:rPr>
          <w:b/>
        </w:rPr>
        <w:t>En cas d'extravasation</w:t>
      </w:r>
      <w:r>
        <w:t xml:space="preserve"> : cf. docetaxel — arrêt immédiat, aspiration du résidu, compresses froides, avis chirurgical.</w:t>
      </w:r>
    </w:p>
    <w:p>
      <w:r/>
      <w:r>
        <w:rPr>
          <w:b/>
        </w:rPr>
        <w:t>Interactions Importantes :</w:t>
      </w:r>
      <w:r/>
    </w:p>
    <w:p>
      <w:pPr>
        <w:pStyle w:val="ListBullet"/>
      </w:pPr>
      <w:r/>
      <w:r>
        <w:rPr>
          <w:b/>
        </w:rPr>
        <w:t>Cabazitaxel + inhibiteurs du CYP3A4</w:t>
      </w:r>
      <w:r>
        <w:t xml:space="preserve"> (kétoconazole, itraconazole, voriconazole, fluconazole, ritonavir, saquinavir, indinavir, nelfinavir, atazanavir, cobicistat, clarithromycine, érythromycine, télithromycine, grapefruit juice, vérapamil, diltiazem) : augmentation majeure de l'AUC cabazitaxel (× 2-2,5) — risque de toxicité grave (neutropénie fébrile, diarrhée sévère, décès toxique). </w:t>
      </w:r>
      <w:r>
        <w:rPr>
          <w:b/>
        </w:rPr>
        <w:t>Éviter l'association</w:t>
      </w:r>
      <w:r>
        <w:t xml:space="preserve"> ou réduire la dose à 15-20 mg/m² et surveillance rapprochée.</w:t>
      </w:r>
    </w:p>
    <w:p>
      <w:pPr>
        <w:pStyle w:val="ListBullet"/>
      </w:pPr>
      <w:r/>
      <w:r>
        <w:rPr>
          <w:b/>
        </w:rPr>
        <w:t>Cabazitaxel + inducteurs du CYP3A4</w:t>
      </w:r>
      <w:r>
        <w:t xml:space="preserve"> (rifampicine, rifabutine, phénytoïne, carbamazépine, phénobarbital, oxcarbazépine, millepertuis, modafinil) : baisse de l'AUC cabazitaxel (20-50 %) — risque d'efficacité réduite — surveillance clinique.</w:t>
      </w:r>
    </w:p>
    <w:p>
      <w:pPr>
        <w:pStyle w:val="ListBullet"/>
      </w:pPr>
      <w:r/>
      <w:r>
        <w:rPr>
          <w:b/>
        </w:rPr>
        <w:t>Cabazitaxel + anticancéreux autres</w:t>
      </w:r>
      <w:r>
        <w:t xml:space="preserve"> : prednisone (protocole standard — pas d'interaction majeure) ; abiratérone (essais en cours — surveillance hépatique) ; enzalutamide (inducteur CYP3A4 — baisse cabazitaxel) ; radium-223 (essais en cours).</w:t>
      </w:r>
    </w:p>
    <w:p>
      <w:pPr>
        <w:pStyle w:val="ListBullet"/>
      </w:pPr>
      <w:r/>
      <w:r>
        <w:rPr>
          <w:b/>
        </w:rPr>
        <w:t>Cabazitaxel + anticoagulants oraux</w:t>
      </w:r>
      <w:r>
        <w:t xml:space="preserve"> (warfarine, acénocoumarol) : augmentation de l'INR. Surveillance INR.</w:t>
      </w:r>
    </w:p>
    <w:p>
      <w:pPr>
        <w:pStyle w:val="ListBullet"/>
      </w:pPr>
      <w:r/>
      <w:r>
        <w:rPr>
          <w:b/>
        </w:rPr>
        <w:t>Cabazitaxel + vaccines vivants atténués</w:t>
      </w:r>
      <w:r>
        <w:t xml:space="preserve"> : contre-indication.</w:t>
      </w:r>
    </w:p>
    <w:p>
      <w:r/>
      <w:r>
        <w:rPr>
          <w:b/>
        </w:rPr>
        <w:t>Grossesse et Allaitement :</w:t>
      </w:r>
      <w:r/>
    </w:p>
    <w:p>
      <w:pPr>
        <w:pStyle w:val="ListBullet"/>
      </w:pPr>
      <w:r>
        <w:t xml:space="preserve">Grossesse : selon le CRAT, le cabazitaxel est classé « à éviter » (catégorie D — tératogène). Études animales : embryotoxicité, fœtotoxicité, tératogénicité (malformations squelettiques et viscérales) à doses thérapeutiques chez le rat et le lapin. </w:t>
      </w:r>
      <w:r>
        <w:rPr>
          <w:b/>
        </w:rPr>
        <w:t>Conduite à tenir</w:t>
      </w:r>
      <w:r>
        <w:t xml:space="preserve"> : contraception efficace obligatoire pendant le traitement et 6 mois après dernière cure chez la femme, 3 mois chez l'homme partenaire. En pratique, l'indication du cabazitaxel est limitée au cancer de la prostate (homme) — la question de la grossesse ne se pose pas directement, mais la contraception féminine du partenaire doit être maintenue (le cabazitaxel passe dans le sperme — risque tératogène pour une grossesse débutée pendant le traitement).</w:t>
      </w:r>
    </w:p>
    <w:p>
      <w:pPr>
        <w:pStyle w:val="ListBullet"/>
      </w:pPr>
      <w:r>
        <w:t>Allaitement : contre-indication ABSOLUE — interruption définitive avant la 1re cure. En pratique, l'indication du cabazitaxel (cancer de la prostate) ne concerne pas l'allaitement maternel — mais la question se pose pour les essais cliniques en cours chez la femme (sein triple-négatif, vessie).</w:t>
      </w:r>
    </w:p>
    <w:p>
      <w:r/>
      <w:r>
        <w:rPr>
          <w:b/>
        </w:rPr>
        <w:t>Posologie et Mode d'Administration :</w:t>
      </w:r>
      <w:r/>
    </w:p>
    <w:p>
      <w:pPr>
        <w:pStyle w:val="ListBullet"/>
      </w:pPr>
      <w:r>
        <w:t>Adulte (homme — mCRPC) :</w:t>
      </w:r>
    </w:p>
    <w:p>
      <w:pPr>
        <w:pStyle w:val="ListBullet"/>
      </w:pPr>
      <w:r/>
      <w:r>
        <w:rPr>
          <w:b/>
        </w:rPr>
        <w:t>Schéma standard (3 semaines)</w:t>
      </w:r>
      <w:r>
        <w:t xml:space="preserve"> : 25 mg/m² J1 en perfusion IV de 1 h toutes les 3 semaines — 10 cures maximum selon tolérance et réponse.</w:t>
      </w:r>
    </w:p>
    <w:p>
      <w:pPr>
        <w:pStyle w:val="ListBullet"/>
      </w:pPr>
      <w:r/>
      <w:r>
        <w:rPr>
          <w:b/>
        </w:rPr>
        <w:t>Schéma réduit</w:t>
      </w:r>
      <w:r>
        <w:t xml:space="preserve"> : 20 mg/m² J1 en cas de (i) toxicité hématologique à la cure précédente (neutropénie fébrile, neutropénie grade 4 &gt; 7 jours, ou plaquettes &lt; 50 000/mm³) ; (ii) insuffisance hépatique modérée (bilirubine 1-1,5 × LSN, ou ASAT/ALAT &gt; 1,5 × LSN avec PAL &gt; 2,5 × LSN) ; (iii) sujet âgé &gt; 75 ans (selon essai CABARESC) ; (iv) diarrhée grade 3-4 à la cure précédente.</w:t>
      </w:r>
    </w:p>
    <w:p>
      <w:pPr>
        <w:pStyle w:val="ListBullet"/>
      </w:pPr>
      <w:r/>
      <w:r>
        <w:rPr>
          <w:b/>
        </w:rPr>
        <w:t>Dose minimale</w:t>
      </w:r>
      <w:r>
        <w:t xml:space="preserve"> : 15 mg/m² (en dessous — arrêt définitif recommandé par switch thérapeutique vers abiratérone ou enzalutamide).</w:t>
      </w:r>
    </w:p>
    <w:p>
      <w:pPr>
        <w:pStyle w:val="ListBullet"/>
      </w:pPr>
      <w:r/>
      <w:r>
        <w:rPr>
          <w:b/>
        </w:rPr>
        <w:t>Dose maximale</w:t>
      </w:r>
      <w:r>
        <w:t xml:space="preserve"> : 25 mg/m² (au-delà — toxicité excessive).</w:t>
      </w:r>
    </w:p>
    <w:p>
      <w:pPr>
        <w:pStyle w:val="ListBullet"/>
      </w:pPr>
      <w:r/>
      <w:r>
        <w:rPr>
          <w:b/>
        </w:rPr>
        <w:t>Co-prescription systématique</w:t>
      </w:r>
      <w:r>
        <w:t xml:space="preserve"> : prednisone 10 mg/j PO continu pendant toute la durée du traitement et jusqu'à l'arrêt du cabazitaxel (protocole TROPIC — surveillance échographique rénale et surrénalienne).</w:t>
      </w:r>
    </w:p>
    <w:p>
      <w:pPr>
        <w:pStyle w:val="ListBullet"/>
      </w:pPr>
      <w:r>
        <w:t>Préparation et perfusion :</w:t>
      </w:r>
    </w:p>
    <w:p>
      <w:pPr>
        <w:pStyle w:val="ListBullet"/>
      </w:pPr>
      <w:r/>
      <w:r>
        <w:rPr>
          <w:b/>
        </w:rPr>
        <w:t>Dilution</w:t>
      </w:r>
      <w:r>
        <w:t xml:space="preserve"> : le cabazitaxel concentré (40 mg/mL pour JEVTANA, CABAZITAXEL-SAIDAL, BACAZIRED, NEUTAXAN, Z-TEXEL — soit 60 mg/1,5 mL) est dilué dans le solvant fourni (éthanol 96° + EPPI — 4,5 mL) pour obtenir une solution intermédiaire à ~ 13 mg/mL. Cette solution intermédiaire est ensuite diluée dans NaCl 0,9 % ou G5 % pour obtenir une concentration finale entre 0,1 et 0,26 mg/mL. Volume habituel : 250 mL selon la dose. Utiliser une tubulure sans DEHP (le polysorbate 80 le lessive) avec filtre en ligne 0,22 µm.</w:t>
      </w:r>
    </w:p>
    <w:p>
      <w:pPr>
        <w:pStyle w:val="ListBullet"/>
      </w:pPr>
      <w:r/>
      <w:r>
        <w:rPr>
          <w:b/>
        </w:rPr>
        <w:t>Pour CABAZITAXEL EVER PHARMA</w:t>
      </w:r>
      <w:r>
        <w:t xml:space="preserve"> (concentration 10 mg/mL — 60 mg/6 mL — pas de solvant séparé) : dilution directe dans NaCl 0,9 % ou G5 % pour obtenir une concentration finale 0,1-0,26 mg/mL. Attention à la concentration différente — double contrôle obligatoire.</w:t>
      </w:r>
    </w:p>
    <w:p>
      <w:pPr>
        <w:pStyle w:val="ListBullet"/>
      </w:pPr>
      <w:r/>
      <w:r>
        <w:rPr>
          <w:b/>
        </w:rPr>
        <w:t>Prémédication</w:t>
      </w:r>
      <w:r>
        <w:t xml:space="preserve"> : anti-H1 (dexchlorphéniramine 5 mg IV) + anti-H2 (ranitidine 50 mg IV ou cimetidine 300 mg IV) + dexaméthasone 8 mg IV 30 min avant la perfusion.</w:t>
      </w:r>
    </w:p>
    <w:p>
      <w:pPr>
        <w:pStyle w:val="ListBullet"/>
      </w:pPr>
      <w:r/>
      <w:r>
        <w:rPr>
          <w:b/>
        </w:rPr>
        <w:t>Hydratation IV</w:t>
      </w:r>
      <w:r>
        <w:t xml:space="preserve"> : NaCl 0,9 % 1 L en 1 h avant la perfusion + 1 L en 2 h après — prévention de l'insuffisance rénale aiguë.</w:t>
      </w:r>
    </w:p>
    <w:p>
      <w:pPr>
        <w:pStyle w:val="ListBullet"/>
      </w:pPr>
      <w:r/>
      <w:r>
        <w:rPr>
          <w:b/>
        </w:rPr>
        <w:t>G-CSF prophylactique</w:t>
      </w:r>
      <w:r>
        <w:t xml:space="preserve"> : pegfilgrastim 6 mg SC J2 ou filgrastim 5 µg/kg/j SC J3-J10.</w:t>
      </w:r>
    </w:p>
    <w:p>
      <w:pPr>
        <w:pStyle w:val="ListBullet"/>
      </w:pPr>
      <w:r/>
      <w:r>
        <w:rPr>
          <w:b/>
        </w:rPr>
        <w:t>Surveillance pendant la perfusion</w:t>
      </w:r>
      <w:r>
        <w:t xml:space="preserve"> : scope cardiorespiratoire, PAs toutes les 15 min pendant la 1re heure.</w:t>
      </w:r>
    </w:p>
    <w:p>
      <w:pPr>
        <w:pStyle w:val="ListBullet"/>
      </w:pPr>
      <w:r/>
      <w:r>
        <w:rPr>
          <w:b/>
        </w:rPr>
        <w:t>Durée de perfusion</w:t>
      </w:r>
      <w:r>
        <w:t xml:space="preserve"> : 1 h.</w:t>
      </w:r>
    </w:p>
    <w:p>
      <w:pPr>
        <w:pStyle w:val="ListBullet"/>
      </w:pPr>
      <w:r>
        <w:t>Adaptation posologique :</w:t>
      </w:r>
    </w:p>
    <w:p>
      <w:pPr>
        <w:pStyle w:val="ListBullet"/>
      </w:pPr>
      <w:r>
        <w:t>Insuffisance rénale : pas d'adaptation (élimination hépatique prédominante). Surveillance créatinine accrue.</w:t>
      </w:r>
    </w:p>
    <w:p>
      <w:pPr>
        <w:pStyle w:val="ListBullet"/>
      </w:pPr>
      <w:r>
        <w:t>Insuffisance hépatique modérée : dose réduite à 20 mg/m².</w:t>
      </w:r>
    </w:p>
    <w:p>
      <w:pPr>
        <w:pStyle w:val="ListBullet"/>
      </w:pPr>
      <w:r>
        <w:t>Insuffisance hépatique sévère : contre-indication.</w:t>
      </w:r>
    </w:p>
    <w:p>
      <w:pPr>
        <w:pStyle w:val="ListBullet"/>
      </w:pPr>
      <w:r>
        <w:t>Sujet âgé &gt; 75 ans : réduction à 20 mg/m² + G-CSF prophylactique primaire systématique.</w:t>
      </w:r>
    </w:p>
    <w:p>
      <w:pPr>
        <w:pStyle w:val="ListBullet"/>
      </w:pPr>
      <w:r>
        <w:t>Conditions de conservation : flacons à conserver entre 2 et 25 °C (à température ambiante ou au réfrigérateur) à l'abri de la lumière — ne pas congeler. Après dilution : stabilité 8 h à température ambiante (20-25 °C) en NaCl 0,9 % ou G5 % (concentration ≤ 0,26 mg/mL) — ne pas dépasser. Manipulation en ZAC ou hotte par personnel formé exclusivement.</w:t>
      </w:r>
    </w:p>
    <w:p>
      <w:r/>
      <w:r>
        <w:rPr>
          <w:b/>
        </w:rPr>
        <w:t>Arbitrage et Bénéfices des Formes Galéniques :</w:t>
      </w:r>
      <w:r/>
    </w:p>
    <w:p>
      <w:pPr>
        <w:pStyle w:val="ListBullet"/>
      </w:pPr>
      <w:r/>
      <w:r>
        <w:rPr>
          <w:b/>
        </w:rPr>
        <w:t>Solution à diluer et solvant — 60 mg/1,5 mL (40 mg/mL)</w:t>
      </w:r>
      <w:r>
        <w:t xml:space="preserve"> (JEVTANA, CABAZITAXEL-SAIDAL, BACAZIRED, NEUTAXAN, Z-TEXEL) : dosage unique correspondant à la dose standard pour un patient de 1,7-2,4 m² (25 mg/m² × 1,7-2,4 = 42-60 mg — flacon 60 mg suffit). Présentation avec solvant séparé (éthanol 96° + EPPI) — galénique historique du princeps JEVTANA® Sanofi. Bioéquivalence démontrée pour les 5 génériques — choix guidé par disponibilité locale et tarif.</w:t>
      </w:r>
    </w:p>
    <w:p>
      <w:pPr>
        <w:pStyle w:val="ListBullet"/>
      </w:pPr>
      <w:r/>
      <w:r>
        <w:rPr>
          <w:b/>
        </w:rPr>
        <w:t>Solution à diluer — 10 mg/mL (60 mg/6 mL)</w:t>
      </w:r>
      <w:r>
        <w:t xml:space="preserve"> (CABAZITAXEL EVER PHARMA — uniquement) : ATTENTION — concentration différente (10 mg/mL au lieu de 40 mg/mL) — erreur de calcul possible si non vérification de la concentration. Pas de solvant séparé — dilution directe dans NaCl 0,9 % ou G5 %. Forme plus pratique (pas de manipulation du solvant) mais attention à la concentration.</w:t>
      </w:r>
    </w:p>
    <w:p>
      <w:pPr>
        <w:pStyle w:val="ListBullet"/>
      </w:pPr>
      <w:r/>
      <w:r>
        <w:rPr>
          <w:b/>
        </w:rPr>
        <w:t>Conditionnement</w:t>
      </w:r>
      <w:r>
        <w:t xml:space="preserve"> : tous en flacons unidoses — manipulation en ZAC ou hotte à flux laminaire vertical, équipements de protection individuelle obligatoires.</w:t>
      </w:r>
    </w:p>
    <w:p>
      <w:pPr>
        <w:pStyle w:val="ListBullet"/>
      </w:pPr>
      <w:r/>
      <w:r>
        <w:rPr>
          <w:b/>
        </w:rPr>
        <w:t>Choix de la marque</w:t>
      </w:r>
      <w:r>
        <w:t xml:space="preserve"> : bioéquivalence démontrée entre princeps et génériques — choix guidé par disponibilité locale, prix, et préférence du centre. ATTENTION à la concentration différente de CABAZITAXEL EVER PHARMA — double contrôle obligatoire avant dilution.</w:t>
      </w:r>
    </w:p>
    <w:p>
      <w:r/>
      <w:r>
        <w:rPr>
          <w:b/>
        </w:rPr>
        <w:t>Instructions et Conseils au Patient :</w:t>
      </w:r>
      <w:r/>
    </w:p>
    <w:p>
      <w:pPr>
        <w:pStyle w:val="ListBullet"/>
      </w:pPr>
      <w:r>
        <w:t>Communication avant la cure :</w:t>
      </w:r>
    </w:p>
    <w:p>
      <w:pPr>
        <w:pStyle w:val="ListBullet"/>
      </w:pPr>
      <w:r>
        <w:t>« Ce médicament est un anticancéreux puissant administré à l'hôpital uniquement, en perfusion veineuse de 1 heure, toutes les 3 semaines. Le traitement complet comporte 10 cures maximum, selon votre tolérance et la réponse au traitement. »</w:t>
      </w:r>
    </w:p>
    <w:p>
      <w:pPr>
        <w:pStyle w:val="ListBullet"/>
      </w:pPr>
      <w:r>
        <w:t>« Vous recevrez AVANT chaque perfusion une prémédication par voie veineuse (anti-allergique + cortisone) à l'hôpital. Vous devez également prendre 10 mg de prednisone par jour en continu pendant toute la durée du traitement (comprimés à avaler le matin après le petit-déjeuner). »</w:t>
      </w:r>
    </w:p>
    <w:p>
      <w:pPr>
        <w:pStyle w:val="ListBullet"/>
      </w:pPr>
      <w:r>
        <w:t>« Vous recevrez également des injections sous-cutanées de G-CSF (filgrastim ou pegfilgrastim) pendant la semaine suivant la cure pour prévenir la baisse des globules blancs (risque d'infection grave). »</w:t>
      </w:r>
    </w:p>
    <w:p>
      <w:pPr>
        <w:pStyle w:val="ListBullet"/>
      </w:pPr>
      <w:r>
        <w:t>« Vous avez à votre disposition un traitement antidiarrhéique (lopéramide) à prendre IMMÉDIATEMENT dès la première selle liquide, sans attendre (4 comprimés en une prise, puis 1 comprimé toutes les 2 heures jusqu'à arrêt de la diarrhée, maximum 8 comprimés par jour). La diarrhée peut être grave et nécessiter une hospitalisation si elle est abondante ou accompagnée de fièvre. »</w:t>
      </w:r>
    </w:p>
    <w:p>
      <w:pPr>
        <w:pStyle w:val="ListBullet"/>
      </w:pPr>
      <w:r>
        <w:t>« Signalez IMMÉDIATEMENT une fièvre (≥ 38,5 °C) — urgence médicale — présentez-vous aux urgences avec votre dossier oncologique. »</w:t>
      </w:r>
    </w:p>
    <w:p>
      <w:pPr>
        <w:pStyle w:val="ListBullet"/>
      </w:pPr>
      <w:r>
        <w:t>« Signalez tout signe neurologique : fourmillements, engourdissements, picotements dans les mains et les pieds. »</w:t>
      </w:r>
    </w:p>
    <w:p>
      <w:pPr>
        <w:pStyle w:val="ListBullet"/>
      </w:pPr>
      <w:r>
        <w:t>« Une contraception efficace de votre partenaire est OBLIGATOIRE pendant tout le traitement et 3 mois après la dernière cure (le médicament passe dans le sperme et peut être tératogène pour une grossesse débutée). »</w:t>
      </w:r>
    </w:p>
    <w:p>
      <w:pPr>
        <w:pStyle w:val="ListBullet"/>
      </w:pPr>
      <w:r>
        <w:t>« Évitez les vaccins vivants (BCG, ROR, fièvre jaune, varicelle-zona) pendant le traitement et 3 mois après. »</w:t>
      </w:r>
    </w:p>
    <w:p>
      <w:pPr>
        <w:pStyle w:val="ListBullet"/>
      </w:pPr>
      <w:r>
        <w:t>« Évitez le pamplemousse (jus ou fruit) pendant le traitement. »</w:t>
      </w:r>
    </w:p>
    <w:p>
      <w:pPr>
        <w:pStyle w:val="ListBullet"/>
      </w:pPr>
      <w:r>
        <w:t>Surveillance à domicile :</w:t>
      </w:r>
    </w:p>
    <w:p>
      <w:pPr>
        <w:pStyle w:val="ListBullet"/>
      </w:pPr>
      <w:r>
        <w:t>Prendre la température 2 fois/jour pendant 3 semaines après chaque cure — consulter en urgence si fièvre ≥ 38,5 °C.</w:t>
      </w:r>
    </w:p>
    <w:p>
      <w:pPr>
        <w:pStyle w:val="ListBullet"/>
      </w:pPr>
      <w:r>
        <w:t>Surveiller les selles — commencer IMMÉDIATEMENT le lopéramide dès la 1re selle liquide.</w:t>
      </w:r>
    </w:p>
    <w:p>
      <w:pPr>
        <w:pStyle w:val="ListBullet"/>
      </w:pPr>
      <w:r>
        <w:t>Hydratation PO abondante (1,5-2 L/j).</w:t>
      </w:r>
    </w:p>
    <w:p>
      <w:pPr>
        <w:pStyle w:val="ListBullet"/>
      </w:pPr>
      <w:r>
        <w:t>Alimentation pauvre en fibres pendant les 2 semaines suivant la cure (en cas de diarrhée).</w:t>
      </w:r>
    </w:p>
    <w:p>
      <w:pPr>
        <w:pStyle w:val="ListBullet"/>
      </w:pPr>
      <w:r>
        <w:t>Surveiller la peau : lésions buccales, eruption cutanée.</w:t>
      </w:r>
    </w:p>
    <w:p>
      <w:pPr>
        <w:pStyle w:val="ListBullet"/>
      </w:pPr>
      <w:r>
        <w:t>Éviter les foules et contacts avec personnes malades.</w:t>
      </w:r>
    </w:p>
    <w:p>
      <w:r/>
      <w:r>
        <w:rPr>
          <w:b/>
        </w:rPr>
        <w:t>Notes, Règles d'Or &amp; Pièges au Comptoir :</w:t>
      </w:r>
      <w:r/>
    </w:p>
    <w:p>
      <w:pPr>
        <w:pStyle w:val="ListBullet"/>
      </w:pPr>
      <w:r>
        <w:t xml:space="preserve">Piège classique : </w:t>
      </w:r>
      <w:r>
        <w:rPr>
          <w:b/>
        </w:rPr>
        <w:t>oubli du G-CSF prophylactique</w:t>
      </w:r>
      <w:r>
        <w:t xml:space="preserve"> — risque majeur de neutropénie fébrile (jusqu'à 30-40 % sans G-CSF, vs 5-8 % avec G-CSF). Vérification systématique de la prescription avant chaque cure.</w:t>
      </w:r>
    </w:p>
    <w:p>
      <w:pPr>
        <w:pStyle w:val="ListBullet"/>
      </w:pPr>
      <w:r>
        <w:t xml:space="preserve">Piège classique : </w:t>
      </w:r>
      <w:r>
        <w:rPr>
          <w:b/>
        </w:rPr>
        <w:t>confusion concentration 40 mg/mL vs 10 mg/mL</w:t>
      </w:r>
      <w:r>
        <w:t xml:space="preserve"> — la marque CABAZITAXEL EVER PHARMA est à 10 mg/mL (vs 40 mg/mL pour les autres marques) — erreur de calcul possible si non vérification. Double contrôle obligatoire.</w:t>
      </w:r>
    </w:p>
    <w:p>
      <w:pPr>
        <w:pStyle w:val="ListBullet"/>
      </w:pPr>
      <w:r>
        <w:t xml:space="preserve">Piège classique : </w:t>
      </w:r>
      <w:r>
        <w:rPr>
          <w:b/>
        </w:rPr>
        <w:t>tubulure avec DEHP</w:t>
      </w:r>
      <w:r>
        <w:t xml:space="preserve"> — le polysorbate 80 le lessive — obligation de tubulure polyoléfine ou polyéthylène avec filtre 0,22 µm.</w:t>
      </w:r>
    </w:p>
    <w:p>
      <w:pPr>
        <w:pStyle w:val="ListBullet"/>
      </w:pPr>
      <w:r>
        <w:t xml:space="preserve">Piège classique : </w:t>
      </w:r>
      <w:r>
        <w:rPr>
          <w:b/>
        </w:rPr>
        <w:t>extravasation</w:t>
      </w:r>
      <w:r>
        <w:t xml:space="preserve"> — le cabazitaxel est un vesicant — en cas d'extravasation, nécrose tissulaire. Voie veineuse centrale systématique.</w:t>
      </w:r>
    </w:p>
    <w:p>
      <w:pPr>
        <w:pStyle w:val="ListBullet"/>
      </w:pPr>
      <w:r>
        <w:t xml:space="preserve">Piège classique : </w:t>
      </w:r>
      <w:r>
        <w:rPr>
          <w:b/>
        </w:rPr>
        <w:t>diarrhée tardive sous-estimée</w:t>
      </w:r>
      <w:r>
        <w:t xml:space="preserve"> — début à J3-J14, peut évoluer vers une déshydratation sévère, insuffisance rénale aiguë, sepsis. Traitement immédiat par lopéramide — patient doit avoir le traitement à domicile AVANT la cure (prescription anticipée).</w:t>
      </w:r>
    </w:p>
    <w:p>
      <w:pPr>
        <w:pStyle w:val="ListBullet"/>
      </w:pPr>
      <w:r>
        <w:t xml:space="preserve">Piège classique : </w:t>
      </w:r>
      <w:r>
        <w:rPr>
          <w:b/>
        </w:rPr>
        <w:t>neutropénie tardive</w:t>
      </w:r>
      <w:r>
        <w:t xml:space="preserve"> — nadir J7-J14, peut être prolongée (&gt; 7 jours) — surveillance NFS hebdomadaire pendant la cure.</w:t>
      </w:r>
    </w:p>
    <w:p>
      <w:pPr>
        <w:pStyle w:val="ListBullet"/>
      </w:pPr>
      <w:r>
        <w:t xml:space="preserve">Piège classique : </w:t>
      </w:r>
      <w:r>
        <w:rPr>
          <w:b/>
        </w:rPr>
        <w:t>mortalité toxique (5 %) dans les premiers protocoles TROPIC</w:t>
      </w:r>
      <w:r>
        <w:t xml:space="preserve"> — réduction par G-CSF prophylactique primaire systématique + adaptation posologique.</w:t>
      </w:r>
    </w:p>
    <w:p>
      <w:pPr>
        <w:pStyle w:val="ListBullet"/>
      </w:pPr>
      <w:r>
        <w:t xml:space="preserve">Piège classique : </w:t>
      </w:r>
      <w:r>
        <w:rPr>
          <w:b/>
        </w:rPr>
        <w:t>allergie croisée docetaxel ↔ cabazitaxel</w:t>
      </w:r>
      <w:r>
        <w:t xml:space="preserve"> — possible (solvant polysorbate 80 identique) — ne pas switcher sans avis oncologique.</w:t>
      </w:r>
    </w:p>
    <w:p>
      <w:pPr>
        <w:pStyle w:val="ListBullet"/>
      </w:pPr>
      <w:r>
        <w:t>Règle d'or : G-CSF prophylactique primaire systématique — TOUJOURS — particulièrement chez les patients &gt; 65 ans.</w:t>
      </w:r>
    </w:p>
    <w:p>
      <w:pPr>
        <w:pStyle w:val="ListBullet"/>
      </w:pPr>
      <w:r>
        <w:t>Règle d'or : prémédication anti-allergique systématique (anti-H1 + anti-H2 + corticoïde IV 30 min avant).</w:t>
      </w:r>
    </w:p>
    <w:p>
      <w:pPr>
        <w:pStyle w:val="ListBullet"/>
      </w:pPr>
      <w:r>
        <w:t>Règle d'or : NFS avant chaque cure — pas de cure si PNN &lt; 1 500/mm³ ou plaquettes &lt; 100 000/mm³.</w:t>
      </w:r>
    </w:p>
    <w:p>
      <w:pPr>
        <w:pStyle w:val="ListBullet"/>
      </w:pPr>
      <w:r>
        <w:t>Règle d'or : prédnisone 10 mg/j PO continu pendant toute la durée du traitement — ne pas oublier.</w:t>
      </w:r>
    </w:p>
    <w:p>
      <w:pPr>
        <w:pStyle w:val="ListBullet"/>
      </w:pPr>
      <w:r>
        <w:t>Règle d'or : lopéramide à disposition IMMÉDIATE du patient (prescription anticipée) + éducation thérapeutique renforcée sur la diarrhée.</w:t>
      </w:r>
    </w:p>
    <w:p>
      <w:pPr>
        <w:pStyle w:val="ListBullet"/>
      </w:pPr>
      <w:r>
        <w:t>Préparation et Conservation : flacons à conserver entre 2 et 25 °C à l'abri de la lumière — ne pas congeler. Après dilution en NaCl 0,9 % ou G5 %, stabilité 8 h à température ambiante (concentration ≤ 0,26 mg/mL). Manipulation en ZAC ou hotte par personnel formé exclusivement.</w:t>
      </w:r>
    </w:p>
    <w:p>
      <w:pPr>
        <w:pStyle w:val="Heading2"/>
      </w:pPr>
      <w:r>
        <w:t>Sous-classe 2 — Inhibiteurs du fuseau mitotique — Alcaloïdes de la pervenche (Vinca) (Vincristine, Vinblastine, Vinorelbine, Vindesine, Vinflunine)</w:t>
      </w:r>
    </w:p>
    <w:p>
      <w:r>
        <w:t xml:space="preserve">Les alcaloïdes de la pervenche (Vinca alkaloids) constituent la deuxième grande famille des poisons du fuseau mitotique — historiquement contemporains des taxanes, mais de mécanisme exactement opposé : là où les taxanes </w:t>
      </w:r>
      <w:r>
        <w:rPr>
          <w:b/>
        </w:rPr>
        <w:t>stabilisent</w:t>
      </w:r>
      <w:r>
        <w:t xml:space="preserve"> les microtubules (en empêchant leur dépolymérisation), les Vinca </w:t>
      </w:r>
      <w:r>
        <w:rPr>
          <w:b/>
        </w:rPr>
        <w:t>dépolymérisent</w:t>
      </w:r>
      <w:r>
        <w:t xml:space="preserve"> les microtubules (en empêchant leur polymérisation). Le résultat cellulaire est cependant identique — abolition de la dynamique microtubulaire, bloc mitotique en métaphase, apoptose. Cette famille tire son nom de la plante </w:t>
      </w:r>
      <w:r>
        <w:rPr>
          <w:i/>
        </w:rPr>
        <w:t>Catharanthus roseus</w:t>
      </w:r>
      <w:r>
        <w:t xml:space="preserve"> (anciennement </w:t>
      </w:r>
      <w:r>
        <w:rPr>
          <w:i/>
        </w:rPr>
        <w:t>Vinca rosea</w:t>
      </w:r>
      <w:r>
        <w:t xml:space="preserve"> — la pervenche de Madagascar, famille des Apocynacées), une plante ornementale tropicale longtemps utilisée en médecine traditionnelle pour le diabète — c'est précisément dans le cadre de la recherche d'hypoglycémiants que les chercheurs de Eli Lilly (Indianapolis, Indiana) découvrirent, en 1958, que des extraits de </w:t>
      </w:r>
      <w:r>
        <w:rPr>
          <w:i/>
        </w:rPr>
        <w:t>Catharanthus roseus</w:t>
      </w:r>
      <w:r>
        <w:t xml:space="preserve"> provoquaient chez le rat une </w:t>
      </w:r>
      <w:r>
        <w:rPr>
          <w:b/>
        </w:rPr>
        <w:t>myélosuppression sévère</w:t>
      </w:r>
      <w:r>
        <w:t xml:space="preserve"> (leucopénie) et une </w:t>
      </w:r>
      <w:r>
        <w:rPr>
          <w:b/>
        </w:rPr>
        <w:t>leucémie expérimentale régressive</w:t>
      </w:r>
      <w:r>
        <w:t xml:space="preserve"> — propriété anticancéreuse inattendue qui allait conduire à l'isolement, entre 1958 et 1961, de plus de 90 alcaloïdes individuels, dont 4 seulement se sont révélés cliniquement utiles : </w:t>
      </w:r>
      <w:r>
        <w:rPr>
          <w:b/>
        </w:rPr>
        <w:t>vincristine</w:t>
      </w:r>
      <w:r>
        <w:t xml:space="preserve"> (VCR), </w:t>
      </w:r>
      <w:r>
        <w:rPr>
          <w:b/>
        </w:rPr>
        <w:t>vinblastine</w:t>
      </w:r>
      <w:r>
        <w:t xml:space="preserve"> (VBL), </w:t>
      </w:r>
      <w:r>
        <w:rPr>
          <w:b/>
        </w:rPr>
        <w:t>vindesine</w:t>
      </w:r>
      <w:r>
        <w:t xml:space="preserve"> (VDS), et </w:t>
      </w:r>
      <w:r>
        <w:rPr>
          <w:b/>
        </w:rPr>
        <w:t>vinorelbine</w:t>
      </w:r>
      <w:r>
        <w:t xml:space="preserve"> (VRL) — auxquelles s'est ajoutée plus tardivement la </w:t>
      </w:r>
      <w:r>
        <w:rPr>
          <w:b/>
        </w:rPr>
        <w:t>vinflunine</w:t>
      </w:r>
      <w:r>
        <w:t xml:space="preserve"> (VFL, dernière Vinca commercialisée).</w:t>
      </w:r>
    </w:p>
    <w:p>
      <w:r/>
      <w:r>
        <w:rPr>
          <w:b/>
        </w:rPr>
        <w:t>Histoire des Vinca</w:t>
      </w:r>
      <w:r>
        <w:t xml:space="preserve"> : en 1949, Robert Noble et Charles Thomas Beer (Université de Western Ontario, London, Canada) entreprennent l'étude pharmacologique des extraits de </w:t>
      </w:r>
      <w:r>
        <w:rPr>
          <w:i/>
        </w:rPr>
        <w:t>Catharanthus roseus</w:t>
      </w:r>
      <w:r>
        <w:t xml:space="preserve"> à la suite des observations rapportées par les populations caribéennes sur l'effet hypoglycémiant de la plante. Ils isolent, en 1958, un alcaloïde actif — la </w:t>
      </w:r>
      <w:r>
        <w:rPr>
          <w:b/>
        </w:rPr>
        <w:t>vincaleucoblastine</w:t>
      </w:r>
      <w:r>
        <w:t xml:space="preserve"> (baptisée ensuite vinblastine, VBL) — et observent que cet extrait provoque chez le rat une leucopénie sévère. En parallèle, Irving Johnson et collaborateurs (Eli Lilly, Indianapolis) isolent en 1960 un autre alcaloïde — la </w:t>
      </w:r>
      <w:r>
        <w:rPr>
          <w:b/>
        </w:rPr>
        <w:t>vincristine</w:t>
      </w:r>
      <w:r>
        <w:t xml:space="preserve"> (VCR) — qui se révèle cytotoxique sur les cellules leucémiques murines L1210. La vinblastine fut approuvée par la FDA en 1963 (maladie de Hodgkin) et la vincristine en 1963 également (leucémies aiguës de l'enfant). La </w:t>
      </w:r>
      <w:r>
        <w:rPr>
          <w:b/>
        </w:rPr>
        <w:t>vindesine</w:t>
      </w:r>
      <w:r>
        <w:t xml:space="preserve"> (VDS), dérivé semi-synthétique de la vinblastine (synthétisé en 1975 — approuvée 1979), fut développée dans l'espoir de réduire la neurotoxicité de la vincristine — espoir déçu (profil neurotoxique similaire, mais myélotoxicité supérieure). La </w:t>
      </w:r>
      <w:r>
        <w:rPr>
          <w:b/>
        </w:rPr>
        <w:t>vinorelbine</w:t>
      </w:r>
      <w:r>
        <w:t xml:space="preserve"> (VRL), dérivé semi-synthétique 5′-nor-anhydrovinblastine (Potier, CNRS Gif-sur-Yvette, 1979 — approuvée 1989), a été conçue pour élargir le spectre d'action aux tumeurs solides (sein, poumon) — c'est la première Vinca disponible par voie orale (capsule molle), facilitant l'administration ambulatoire. La </w:t>
      </w:r>
      <w:r>
        <w:rPr>
          <w:b/>
        </w:rPr>
        <w:t>vinflunine</w:t>
      </w:r>
      <w:r>
        <w:t xml:space="preserve"> (VFL, Javlor®, Pierre Fabre, 2009), difluoro-dérivé de la vinorelbine (synthèse par fluorination directe — Bennett et al., 2000), est la dernière Vinca commercialisée — son développement a été guidé par l'objectif de réduire la neurotoxicité (succès partiel) et d'élargir l'activité aux cancers urothéliaux.</w:t>
      </w:r>
    </w:p>
    <w:p>
      <w:r/>
      <w:r>
        <w:rPr>
          <w:b/>
        </w:rPr>
        <w:t>Cible moléculaire commune</w:t>
      </w:r>
      <w:r>
        <w:t xml:space="preserve"> : les Vinca se fixent sur la </w:t>
      </w:r>
      <w:r>
        <w:rPr>
          <w:b/>
        </w:rPr>
        <w:t>β-tubuline</w:t>
      </w:r>
      <w:r>
        <w:t xml:space="preserve"> au niveau d'un site distinct du site taxane — le </w:t>
      </w:r>
      <w:r>
        <w:rPr>
          <w:b/>
        </w:rPr>
        <w:t>site vinca</w:t>
      </w:r>
      <w:r>
        <w:t xml:space="preserve"> (poche hydrophobe formée par les hélices H6-H7 et la boucle M — chevauchement partiel avec le site maytansine). Cette fixation </w:t>
      </w:r>
      <w:r>
        <w:rPr>
          <w:b/>
        </w:rPr>
        <w:t>empêche la polymérisation</w:t>
      </w:r>
      <w:r>
        <w:t xml:space="preserve"> de la tubuline en microtubules — les dimères α/β-tubuline-GTP ne peuvent plus s'assembler en protofilaments, et les microtubules déjà formés se dépolymérisent faute d'apport de nouveaux dimères. Le fuseau mitotique ne peut plus se former → bloc mitotique en métaphase → apoptose. Les Vinca sont donc des </w:t>
      </w:r>
      <w:r>
        <w:rPr>
          <w:b/>
        </w:rPr>
        <w:t>« dépolymérisants »</w:t>
      </w:r>
      <w:r>
        <w:t xml:space="preserve"> des microtubules — au contraire des taxanes qui sont des </w:t>
      </w:r>
      <w:r>
        <w:rPr>
          <w:b/>
        </w:rPr>
        <w:t>« stabilisants »</w:t>
      </w:r>
      <w:r>
        <w:t>. Cette distinction mécanistique a une conséquence pharmacologique importante : les Vinca et les taxanes ne doivent JAMAIS être administrés ensemble dans la même tubulure (antagonisme pharmacologique in vitro — mais en pratique clinique, association utile car les cinétiques d'action et les phases cellulaires ciblées sont différentes — protocoles DV, carboplatine-paclitaxel-vinorelbine, etc.).</w:t>
      </w:r>
    </w:p>
    <w:p>
      <w:r/>
      <w:r>
        <w:rPr>
          <w:b/>
        </w:rPr>
        <w:t>Indications principales</w:t>
      </w:r>
      <w:r>
        <w:t xml:space="preserve"> :</w:t>
      </w:r>
    </w:p>
    <w:p>
      <w:pPr>
        <w:pStyle w:val="ListBullet"/>
      </w:pPr>
      <w:r/>
      <w:r>
        <w:rPr>
          <w:b/>
        </w:rPr>
        <w:t>Vincristine</w:t>
      </w:r>
      <w:r>
        <w:t xml:space="preserve"> : leucémies aiguës lymphoblastiques (LAL) de l'enfant (protocole COALL, BFM, hyper-CVAD —vincristine hebdomadaire), maladie de Hodgkin (protocole ABVD — doxorubicine + bléomycine + vinblastine — pas vincristine — mais protocole MOPP pour les rechutes avec vincristine), lymphomes non hodgkiniens (B-cell, T-cell — protocole CHOP — vincristine remplace vinblastine), microglobulinémie de Waldenström, thrombocytopénie thrombotique (TTP — hors AMM — vinca-alcaloïdes historiques), rhabdomyosarcome de l'enfant, neuroblastome, tumeur de Wilms (protocole SIOP), sarcome d'Ewing, médulloblastome.</w:t>
      </w:r>
    </w:p>
    <w:p>
      <w:pPr>
        <w:pStyle w:val="ListBullet"/>
      </w:pPr>
      <w:r/>
      <w:r>
        <w:rPr>
          <w:b/>
        </w:rPr>
        <w:t>Vinblastine</w:t>
      </w:r>
      <w:r>
        <w:t xml:space="preserve"> : maladie de Hodgkin (protocole ABVD — doxorubicine + bléomycine + vinblastine + dacarbazine — standard historique), carcinome testiculaire (protocole PVB — cisplatine + vinblastine + bléomycine), sarcome de Kaposi, cancer du sein métastatique (historique), maladie de Letterer-Siwe (histiocytose langerhansienne). Moins utilisée aujourd'hui — supplantée par la vinorelbine dans le cancer du sein et par la vincristine dans les hémopathies.</w:t>
      </w:r>
    </w:p>
    <w:p>
      <w:pPr>
        <w:pStyle w:val="ListBullet"/>
      </w:pPr>
      <w:r/>
      <w:r>
        <w:rPr>
          <w:b/>
        </w:rPr>
        <w:t>Vindesine</w:t>
      </w:r>
      <w:r>
        <w:t xml:space="preserve"> : Leucémies aiguës (surtout LAL de l'enfant, alternative à la vincristine), maladie de Hodgkin, lymphomes non hodgkiniens, cancer du poumon non à petites cellules (historique). RETIRÉE du marché algérien (Eldisine® Lilly — uniquement disponible en historique).</w:t>
      </w:r>
    </w:p>
    <w:p>
      <w:pPr>
        <w:pStyle w:val="ListBullet"/>
      </w:pPr>
      <w:r/>
      <w:r>
        <w:rPr>
          <w:b/>
        </w:rPr>
        <w:t>Vinorelbine</w:t>
      </w:r>
      <w:r>
        <w:t xml:space="preserve"> : cancer du poumon non à petites cellules (CBNPC) — 1re ligne métastatique (cisplatine-vinorelbine — protocole Le Chevalier, J Clin Oncol 1994 — bénéfice vs vinblastine) ; cancer du sein métastatique (monothérapie hebdomadaire ou en association) ; cancer de l'ovaire (2e ligne). Forme orale (capsule molle) — intérêt majeur en oncologie ambulatoire (surtout cancer du sein et pulmonaire elderly).</w:t>
      </w:r>
    </w:p>
    <w:p>
      <w:pPr>
        <w:pStyle w:val="ListBullet"/>
      </w:pPr>
      <w:r/>
      <w:r>
        <w:rPr>
          <w:b/>
        </w:rPr>
        <w:t>Vinflunine</w:t>
      </w:r>
      <w:r>
        <w:t xml:space="preserve"> : cancer urothélial (vessie) avancé ou métastatique en 2e ligne après échec d'une chimiothérapie à base de platine (essai pivot JavLor® in Bladder cancer, Bellmunt JCO 2009 — survie globale médiane 6,9 mois vs 4,6 mois pour BSC).</w:t>
      </w:r>
    </w:p>
    <w:p>
      <w:r>
        <w:t xml:space="preserve">Le marché algérien des Vinca reflète une diversité variable : la </w:t>
      </w:r>
      <w:r>
        <w:rPr>
          <w:b/>
        </w:rPr>
        <w:t>vincristine</w:t>
      </w:r>
      <w:r>
        <w:t xml:space="preserve"> est disponible sous 6 marques (1 seule active — VINCRISTINE-NAPROD Naprod Life Sciences, 5 retirées/non renouvelables — CYTOCRISTIN Cipla, VINCRISTINE PIERRE FABRE, VINCRISTINE SULFATE China Meheco, VINCRISTINE SULFATE Therabel, ONCOVIN Lilly princeps) ; la </w:t>
      </w:r>
      <w:r>
        <w:rPr>
          <w:b/>
        </w:rPr>
        <w:t>vinblastine</w:t>
      </w:r>
      <w:r>
        <w:t xml:space="preserve"> est disponible sous 3 marques (1 seule active — VELBASTINE Korea United, 2 retirées — VELBE Lilly princeps, LEMPLASTINE Lemery) ; la </w:t>
      </w:r>
      <w:r>
        <w:rPr>
          <w:b/>
        </w:rPr>
        <w:t>vinorelbine</w:t>
      </w:r>
      <w:r>
        <w:t xml:space="preserve"> est disponible sous 4 marques (1 seule active — NAVELBINE 30 mg capsule molle Pierre Fabre — forme orale ; 1 non renouvelable — VINORELBIN EBEWE forme IV ; 2 retirées — NAVELBINE IV Pierre Fabre) ; la </w:t>
      </w:r>
      <w:r>
        <w:rPr>
          <w:b/>
        </w:rPr>
        <w:t>vinflunine</w:t>
      </w:r>
      <w:r>
        <w:t xml:space="preserve"> est disponible sous 1 marque active exclusive (JAVLOR Pierre Fabre) ; la </w:t>
      </w:r>
      <w:r>
        <w:rPr>
          <w:b/>
        </w:rPr>
        <w:t>vindesine</w:t>
      </w:r>
      <w:r>
        <w:t xml:space="preserve"> est disponible sous 1 marque retirée (ELDISINE Lilly — plus commercialisée en Algérie).</w:t>
      </w:r>
    </w:p>
    <w:p>
      <w:pPr>
        <w:pStyle w:val="Heading3"/>
      </w:pPr>
      <w:r>
        <w:t>4. DCI : Vincristine (Seule)</w:t>
      </w:r>
    </w:p>
    <w:p>
      <w:r/>
      <w:r>
        <w:rPr>
          <w:b/>
        </w:rPr>
        <w:t>Liste des Catégories :</w:t>
      </w:r>
      <w:r>
        <w:t xml:space="preserve"> Cytotoxique — Alcaloïde de la pervenche (Vinca — 1re génération) ; Poison du fuseau mitotique (dépolymérisant des microtubules) ; Médicament à surveillance neurologique obligatoire (neurotoxicité dose-limitante) ; </w:t>
      </w:r>
      <w:r>
        <w:rPr>
          <w:b/>
        </w:rPr>
        <w:t>CONTRE-INDICATION ABSOLUE D'ADMINISTRATION INTRATHÉCALE</w:t>
      </w:r>
      <w:r>
        <w:t xml:space="preserve"> (mortalité par encéphalopathie ascendante) ; Forme IV stricte — jamais en IV lente sur seringue — TOUJOURS en minibag IV de 50 mL NaCl 0,9 % ; Tératogène (catégorie D — CRAT : « à éviter ») ; Prescription réservée aux spécialistes en oncologie ou hématologie ; Liste I ; médication hospitalière stricte.</w:t>
      </w:r>
    </w:p>
    <w:p>
      <w:r>
        <w:t xml:space="preserve">La vincristine (22-oxovincaleucoblastine, sulfiate — masse molaire 923 g/mol pour le sulfate) est un alcaloïde dimérique de type bis-indolique (comportant deux noyaux indoliques liés par un pont carbone-carbone), isolé en 1960 par Irving Johnson (Eli Lilly, Indianapolis) à partir des feuilles de </w:t>
      </w:r>
      <w:r>
        <w:rPr>
          <w:i/>
        </w:rPr>
        <w:t>Catharanthus roseus</w:t>
      </w:r>
      <w:r>
        <w:t xml:space="preserve">. C'est le chef de file des Vinca-alcaloïdes, et le plus neurotoxique de la famille — la neurotoxicité périphérique et autonome en est la </w:t>
      </w:r>
      <w:r>
        <w:rPr>
          <w:b/>
        </w:rPr>
        <w:t>toxicité dose-limitante</w:t>
      </w:r>
      <w:r>
        <w:t xml:space="preserve">, à la différence des autres Vinca (vinblastine, vinorelbine) où c'est la myélotoxicité qui est dose-limitante. Cette propriété particulière justifie l'administration à </w:t>
      </w:r>
      <w:r>
        <w:rPr>
          <w:b/>
        </w:rPr>
        <w:t>faible dose</w:t>
      </w:r>
      <w:r>
        <w:t xml:space="preserve"> (1,0-1,4 mg/m², capped à 2 mg par cure — « dose-cap » historique pour limiter la neurotoxicité cumulative) et la surveillance neurologique systématique avant chaque cure. La vincristine est historiquement utilisée dans pratiquement tous les protocoles de chimiothérapie des </w:t>
      </w:r>
      <w:r>
        <w:rPr>
          <w:b/>
        </w:rPr>
        <w:t>leucémies aiguës lymphoblastiques (LAL) de l'enfant</w:t>
      </w:r>
      <w:r>
        <w:t xml:space="preserve"> — où elle a transformé le pronostic (survie de 10 % en 1960 à &gt; 90 % aujourd'hui en pédiatrie) — et reste un pilier des protocoles de </w:t>
      </w:r>
      <w:r>
        <w:rPr>
          <w:b/>
        </w:rPr>
        <w:t>lymphomes</w:t>
      </w:r>
      <w:r>
        <w:t xml:space="preserve"> (CHOP — cyclophosphamide + doxorubicine + vincristine + prednisone), de </w:t>
      </w:r>
      <w:r>
        <w:rPr>
          <w:b/>
        </w:rPr>
        <w:t>maladie de Hodgkin</w:t>
      </w:r>
      <w:r>
        <w:t xml:space="preserve"> (protocole MOPP — mechlorethamine + vincristine + procarbazine + prednisone — aujourd'hui supplanté par ABVD), de </w:t>
      </w:r>
      <w:r>
        <w:rPr>
          <w:b/>
        </w:rPr>
        <w:t>sarcomes pédiatriques</w:t>
      </w:r>
      <w:r>
        <w:t xml:space="preserve"> (rhabdomyosarcome — protocole IRS, sarcome d'Ewing — protocole Euro-E.W.I.N.G., neuroblastome — protocole NB2004), de </w:t>
      </w:r>
      <w:r>
        <w:rPr>
          <w:b/>
        </w:rPr>
        <w:t>tumeur de Wilms</w:t>
      </w:r>
      <w:r>
        <w:t xml:space="preserve"> (protocole SIOP), et de </w:t>
      </w:r>
      <w:r>
        <w:rPr>
          <w:b/>
        </w:rPr>
        <w:t>médulloblastome</w:t>
      </w:r>
      <w:r>
        <w:t xml:space="preserve"> (protocole HIT-SIOP PNET 4).</w:t>
      </w:r>
    </w:p>
    <w:p>
      <w:r/>
      <w:r>
        <w:rPr>
          <w:b/>
        </w:rPr>
        <w:t>Particularité pharmacologique critique</w:t>
      </w:r>
      <w:r>
        <w:t xml:space="preserve"> : la vincristine est </w:t>
      </w:r>
      <w:r>
        <w:rPr>
          <w:b/>
        </w:rPr>
        <w:t>strictement contre-indiquée par voie intrathécale (IT)</w:t>
      </w:r>
      <w:r>
        <w:t xml:space="preserve">. Une injection accidentelle IT de vincristine provoque une </w:t>
      </w:r>
      <w:r>
        <w:rPr>
          <w:b/>
        </w:rPr>
        <w:t>encéphalopathie toxique ascendante</w:t>
      </w:r>
      <w:r>
        <w:t xml:space="preserve"> évoluant vers le décès en 3-7 jours chez l'adulte (et 3-13 jours chez l'enfant), malgré les tentatives de sauvetage (lavage LCR, irrigation ventriculaire, gluconate de glutamate, etc.). Cette erreur médicamenteuse catastrophique a été responsable de plus de 150 cas mortels rapportés dans la littérature mondiale depuis 1968 — d'où la </w:t>
      </w:r>
      <w:r>
        <w:rPr>
          <w:b/>
        </w:rPr>
        <w:t>recommandation OMS de conditionnement exclusif en minibag IV de 50 mL NaCl 0,9 % (et non en seringue)</w:t>
      </w:r>
      <w:r>
        <w:t xml:space="preserve"> pour prévenir l'erreur d'administration (un minibag ne peut pas être connecté à une aiguille intrathécale — l'infirmière s'apercevra de l'erreur avant l'injection). Cette recommandation a été implémentée en France, en Algérie, et dans de nombreux pays européens — mais des cas isolés persistent — d'où la vigilance absolue de tout personnel manipulant la vincristine.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VINCRISTINE-NAPROD</w:t>
            </w:r>
          </w:p>
        </w:tc>
        <w:tc>
          <w:tcPr>
            <w:tcW w:type="dxa" w:w="1559"/>
          </w:tcPr>
          <w:p>
            <w:r>
              <w:rPr>
                <w:sz w:val="20"/>
              </w:rPr>
              <w:t>NAPROD LIFE SCIENCES PVT LTD (Inde)</w:t>
            </w:r>
          </w:p>
        </w:tc>
        <w:tc>
          <w:tcPr>
            <w:tcW w:type="dxa" w:w="1559"/>
          </w:tcPr>
          <w:p>
            <w:r>
              <w:rPr>
                <w:sz w:val="20"/>
              </w:rPr>
              <w:t>Poudre lyophilisée pour solution injectable IV — 1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bl>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CYTOCRISTIN</w:t>
            </w:r>
          </w:p>
        </w:tc>
        <w:tc>
          <w:tcPr>
            <w:tcW w:type="dxa" w:w="1559"/>
          </w:tcPr>
          <w:p>
            <w:r>
              <w:rPr>
                <w:sz w:val="20"/>
              </w:rPr>
              <w:t>CIPLA LIMITED</w:t>
            </w:r>
          </w:p>
        </w:tc>
        <w:tc>
          <w:tcPr>
            <w:tcW w:type="dxa" w:w="1559"/>
          </w:tcPr>
          <w:p>
            <w:r>
              <w:rPr>
                <w:sz w:val="20"/>
              </w:rPr>
              <w:t>Solution injectable IV — 1 mg/mL</w:t>
            </w:r>
          </w:p>
        </w:tc>
        <w:tc>
          <w:tcPr>
            <w:tcW w:type="dxa" w:w="1559"/>
          </w:tcPr>
          <w:p>
            <w:r>
              <w:rPr>
                <w:sz w:val="20"/>
              </w:rPr>
              <w:t>B/1 flacon de 1 mL</w:t>
            </w:r>
          </w:p>
        </w:tc>
        <w:tc>
          <w:tcPr>
            <w:tcW w:type="dxa" w:w="1559"/>
          </w:tcPr>
          <w:p>
            <w:r>
              <w:rPr>
                <w:sz w:val="20"/>
              </w:rPr>
              <w:t>Liste I</w:t>
            </w:r>
          </w:p>
        </w:tc>
        <w:tc>
          <w:tcPr>
            <w:tcW w:type="dxa" w:w="1559"/>
          </w:tcPr>
          <w:p>
            <w:r>
              <w:rPr>
                <w:sz w:val="20"/>
              </w:rPr>
              <w:t>**Non Renouvelable**</w:t>
            </w:r>
          </w:p>
        </w:tc>
      </w:tr>
      <w:tr>
        <w:tc>
          <w:tcPr>
            <w:tcW w:type="dxa" w:w="1559"/>
          </w:tcPr>
          <w:p>
            <w:r>
              <w:rPr>
                <w:sz w:val="20"/>
              </w:rPr>
              <w:t>VINCRISTINE PIERRE FABRE</w:t>
            </w:r>
          </w:p>
        </w:tc>
        <w:tc>
          <w:tcPr>
            <w:tcW w:type="dxa" w:w="1559"/>
          </w:tcPr>
          <w:p>
            <w:r>
              <w:rPr>
                <w:sz w:val="20"/>
              </w:rPr>
              <w:t>PIERRE FABRE</w:t>
            </w:r>
          </w:p>
        </w:tc>
        <w:tc>
          <w:tcPr>
            <w:tcW w:type="dxa" w:w="1559"/>
          </w:tcPr>
          <w:p>
            <w:r>
              <w:rPr>
                <w:sz w:val="20"/>
              </w:rPr>
              <w:t>Solution injectable IV — 1 mg</w:t>
            </w:r>
          </w:p>
        </w:tc>
        <w:tc>
          <w:tcPr>
            <w:tcW w:type="dxa" w:w="1559"/>
          </w:tcPr>
          <w:p>
            <w:r>
              <w:rPr>
                <w:sz w:val="20"/>
              </w:rPr>
              <w:t>B/1 flacon</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VINCRISTINE SULFATE</w:t>
            </w:r>
          </w:p>
        </w:tc>
        <w:tc>
          <w:tcPr>
            <w:tcW w:type="dxa" w:w="1559"/>
          </w:tcPr>
          <w:p>
            <w:r>
              <w:rPr>
                <w:sz w:val="20"/>
              </w:rPr>
              <w:t>CHINA MEHECO</w:t>
            </w:r>
          </w:p>
        </w:tc>
        <w:tc>
          <w:tcPr>
            <w:tcW w:type="dxa" w:w="1559"/>
          </w:tcPr>
          <w:p>
            <w:r>
              <w:rPr>
                <w:sz w:val="20"/>
              </w:rPr>
              <w:t>Solution injectable IV — 1 mg</w:t>
            </w:r>
          </w:p>
        </w:tc>
        <w:tc>
          <w:tcPr>
            <w:tcW w:type="dxa" w:w="1559"/>
          </w:tcPr>
          <w:p>
            <w:r>
              <w:rPr>
                <w:sz w:val="20"/>
              </w:rPr>
              <w:t>B/10 flacons (1 mg)</w:t>
            </w:r>
          </w:p>
        </w:tc>
        <w:tc>
          <w:tcPr>
            <w:tcW w:type="dxa" w:w="1559"/>
          </w:tcPr>
          <w:p>
            <w:r>
              <w:rPr>
                <w:sz w:val="20"/>
              </w:rPr>
              <w:t>Liste I</w:t>
            </w:r>
          </w:p>
        </w:tc>
        <w:tc>
          <w:tcPr>
            <w:tcW w:type="dxa" w:w="1559"/>
          </w:tcPr>
          <w:p>
            <w:r>
              <w:rPr>
                <w:sz w:val="20"/>
              </w:rPr>
              <w:t>**Retiré (R)**</w:t>
            </w:r>
          </w:p>
        </w:tc>
      </w:tr>
      <w:tr>
        <w:tc>
          <w:tcPr>
            <w:tcW w:type="dxa" w:w="1559"/>
          </w:tcPr>
          <w:p>
            <w:r>
              <w:rPr>
                <w:sz w:val="20"/>
              </w:rPr>
              <w:t>VINCRISTINE SULFATE</w:t>
            </w:r>
          </w:p>
        </w:tc>
        <w:tc>
          <w:tcPr>
            <w:tcW w:type="dxa" w:w="1559"/>
          </w:tcPr>
          <w:p>
            <w:r>
              <w:rPr>
                <w:sz w:val="20"/>
              </w:rPr>
              <w:t>THERABEL PHARMA S.A.</w:t>
            </w:r>
          </w:p>
        </w:tc>
        <w:tc>
          <w:tcPr>
            <w:tcW w:type="dxa" w:w="1559"/>
          </w:tcPr>
          <w:p>
            <w:r>
              <w:rPr>
                <w:sz w:val="20"/>
              </w:rPr>
              <w:t>Solution injectable IV — 1 mg/mL</w:t>
            </w:r>
          </w:p>
        </w:tc>
        <w:tc>
          <w:tcPr>
            <w:tcW w:type="dxa" w:w="1559"/>
          </w:tcPr>
          <w:p>
            <w:r>
              <w:rPr>
                <w:sz w:val="20"/>
              </w:rPr>
              <w:t>B/10 flacons de 1 mL</w:t>
            </w:r>
          </w:p>
        </w:tc>
        <w:tc>
          <w:tcPr>
            <w:tcW w:type="dxa" w:w="1559"/>
          </w:tcPr>
          <w:p>
            <w:r>
              <w:rPr>
                <w:sz w:val="20"/>
              </w:rPr>
              <w:t>Liste I</w:t>
            </w:r>
          </w:p>
        </w:tc>
        <w:tc>
          <w:tcPr>
            <w:tcW w:type="dxa" w:w="1559"/>
          </w:tcPr>
          <w:p>
            <w:r>
              <w:rPr>
                <w:sz w:val="20"/>
              </w:rPr>
              <w:t>**Retiré (R)**</w:t>
            </w:r>
          </w:p>
        </w:tc>
      </w:tr>
      <w:tr>
        <w:tc>
          <w:tcPr>
            <w:tcW w:type="dxa" w:w="1559"/>
          </w:tcPr>
          <w:p>
            <w:r>
              <w:rPr>
                <w:sz w:val="20"/>
              </w:rPr>
              <w:t>ONCOVIN</w:t>
            </w:r>
          </w:p>
        </w:tc>
        <w:tc>
          <w:tcPr>
            <w:tcW w:type="dxa" w:w="1559"/>
          </w:tcPr>
          <w:p>
            <w:r>
              <w:rPr>
                <w:sz w:val="20"/>
              </w:rPr>
              <w:t>ELI LILLY (princeps)</w:t>
            </w:r>
          </w:p>
        </w:tc>
        <w:tc>
          <w:tcPr>
            <w:tcW w:type="dxa" w:w="1559"/>
          </w:tcPr>
          <w:p>
            <w:r>
              <w:rPr>
                <w:sz w:val="20"/>
              </w:rPr>
              <w:t>Solution injectable IV — 1 mg/mL</w:t>
            </w:r>
          </w:p>
        </w:tc>
        <w:tc>
          <w:tcPr>
            <w:tcW w:type="dxa" w:w="1559"/>
          </w:tcPr>
          <w:p>
            <w:r>
              <w:rPr>
                <w:sz w:val="20"/>
              </w:rPr>
              <w:t>B/1 flacon</w:t>
            </w:r>
          </w:p>
        </w:tc>
        <w:tc>
          <w:tcPr>
            <w:tcW w:type="dxa" w:w="1559"/>
          </w:tcPr>
          <w:p>
            <w:r>
              <w:rPr>
                <w:sz w:val="20"/>
              </w:rPr>
              <w:t>Liste I</w:t>
            </w:r>
          </w:p>
        </w:tc>
        <w:tc>
          <w:tcPr>
            <w:tcW w:type="dxa" w:w="1559"/>
          </w:tcPr>
          <w:p>
            <w:r>
              <w:rPr>
                <w:sz w:val="20"/>
              </w:rPr>
              <w:t>**Retiré (R)**</w:t>
            </w:r>
          </w:p>
        </w:tc>
      </w:tr>
    </w:tbl>
    <w:p/>
    <w:p>
      <w:r/>
      <w:r>
        <w:rPr>
          <w:i/>
        </w:rPr>
        <w:t>Note : la vincristine est disponible en Algérie sous une seule marque active — VINCRISTINE-NAPROD Naprod Life Sciences (poudre lyophilisée 1 mg/flacon, à reconstituer avec le solvant fourni). Le princeps ONCOVIN® (Eli Lilly) a été retiré du marché algérien. L'approvisionnement est relativement précaire — à surveiller (anticipation par le pharmacien hospitalier en cas de rupture). La dose standard pour un adulte de 1,7 m² : 2 mg (dose-cap) — soit 2 flacons de 1 mg. Pour un enfant de 1 m² : 1,4 mg — soit ~ 1,5 flacons de 1 mg (perte d'environ 0,5 mg — gestion rigoureuse par la pharmacie à usage intérieur).</w:t>
      </w:r>
      <w:r/>
    </w:p>
    <w:p>
      <w:r/>
      <w:r>
        <w:rPr>
          <w:b/>
        </w:rPr>
        <w:t>Sous-classe et Mécanisme d'action :</w:t>
      </w:r>
      <w:r/>
    </w:p>
    <w:p>
      <w:pPr>
        <w:pStyle w:val="ListBullet"/>
      </w:pPr>
      <w:r>
        <w:t>Sous-classe : Alcaloïdes de la pervenche (Vinca — 1re génération — poison du fuseau mitotique dépolymérisant). Classification ATC : L01CA02. La vincristine est indiquée dans les hémopathies lymphoïdes (LAL, LLC, lymphomes), les sarcomes pédiatriques (rhabdomyosarcome, neuroblastome, sarcome d'Ewing, tumeur de Wilms), le médulloblastome, et certaines tumeurs germinales. Sa place dans l'arsenal thérapeutique est restée centrale depuis 1963 — la vincristine reste un pilier des protocoles de LAL de l'enfant, de lymphome non hodgkinien (CHOP) et de maladie de Hodgkin (historique — MOPP).</w:t>
      </w:r>
    </w:p>
    <w:p>
      <w:pPr>
        <w:pStyle w:val="ListBullet"/>
      </w:pPr>
      <w:r>
        <w:t xml:space="preserve">Mécanisme d'action : </w:t>
      </w:r>
      <w:r>
        <w:rPr>
          <w:b/>
        </w:rPr>
        <w:t>dépolymérisation des microtubules par fixation à la β-tubuline au site vinca</w:t>
      </w:r>
      <w:r>
        <w:t xml:space="preserve"> (poche hydrophobe formée par les hélices H6-H7 et la boucle M — chevauchement partiel avec le site maytansine, distinct du site taxane). Cette fixation empêche la polymérisation de la tubuline en microtubules — les dimères α/β-tubuline-GTP ne peuvent plus s'assembler en protofilaments, et les microtubules déjà formés se dépolymérisent faute d'apport de nouveaux dimères. Le fuseau mitotique ne peut plus se former → bloc mitotique en prométaphase/métaphase → apoptose. Action phase-spécifique (G2/M) mais aussi cytotoxicité en phase G0 (altération du trafic vésiculaire interphasique et du transport axonal — particulièrement marqué pour la vincristine, d'où sa neurotoxicité). Affinité pour la tubuline plus élevée que la vinblastine (Kd ~ 0,1 µM vs 0,3 µM) — d'où toxicité neurologique supérieure (les microtubules axonaux sont particulièrement sensibles à la dépolymérisation).</w:t>
      </w:r>
    </w:p>
    <w:p>
      <w:r/>
      <w:r>
        <w:rPr>
          <w:b/>
        </w:rPr>
        <w:t>Profil Pharmacologique et Indications :</w:t>
      </w:r>
      <w:r/>
    </w:p>
    <w:p>
      <w:pPr>
        <w:pStyle w:val="ListBullet"/>
      </w:pPr>
      <w:r>
        <w:t>Indications (selon AMM française et algérienne — RCP VIDAL 2026) :</w:t>
      </w:r>
    </w:p>
    <w:p>
      <w:pPr>
        <w:pStyle w:val="ListBullet"/>
      </w:pPr>
      <w:r/>
      <w:r>
        <w:rPr>
          <w:b/>
        </w:rPr>
        <w:t>Leucémie aiguë lymphoblastique (LAL) de l'enfant et de l'adulte</w:t>
      </w:r>
      <w:r>
        <w:t xml:space="preserve"> : protocole BFM (Berlin-Frankfurt-Münster) — vincristine 1,5 mg/m² (capped à 2 mg) J1, J8, J15, J22 — phase d'induction. Protocole COALL (German Cooperative Study Group for Childhood Acute Lymphoblastic Leukemia) — vincristine hebdomadaire × 4 semaines. Protocole hyper-CVAD (adulte) — vincristine 2 mg J4, J11 (cycles 2 et 4 alternés avec methotrexate high-dose).</w:t>
      </w:r>
    </w:p>
    <w:p>
      <w:pPr>
        <w:pStyle w:val="ListBullet"/>
      </w:pPr>
      <w:r/>
      <w:r>
        <w:rPr>
          <w:b/>
        </w:rPr>
        <w:t>Lymphomes non hodgkiniens</w:t>
      </w:r>
      <w:r>
        <w:t xml:space="preserve"> : protocole CHOP (cyclophosphamide 750 mg/m² J1 + doxorubicine 50 mg/m² J1 + vincristine 1,4 mg/m² capped à 2 mg J1 + prednisone 100 mg/j J1-J5) — toutes les 3 semaines × 6-8 cycles — standard de 1re ligne des lymphomes B diffus à grandes cellules (DLBCL). Protocole R-CHOP (CHOP + rituximab 375 mg/m² J1) — standard actuel.</w:t>
      </w:r>
    </w:p>
    <w:p>
      <w:pPr>
        <w:pStyle w:val="ListBullet"/>
      </w:pPr>
      <w:r/>
      <w:r>
        <w:rPr>
          <w:b/>
        </w:rPr>
        <w:t>Maladie de Hodgkin</w:t>
      </w:r>
      <w:r>
        <w:t xml:space="preserve"> : protocole MOPP (mechlorethamine + vincristine + procarbazine + prednisone) — aujourd'hui supplanté par ABVD (qui utilise la vinblastine, pas la vincristine) ; MOPP reste une alternative pour les rechutes après ABVD.</w:t>
      </w:r>
    </w:p>
    <w:p>
      <w:pPr>
        <w:pStyle w:val="ListBullet"/>
      </w:pPr>
      <w:r/>
      <w:r>
        <w:rPr>
          <w:b/>
        </w:rPr>
        <w:t>Sarcomes pédiatriques</w:t>
      </w:r>
      <w:r>
        <w:t xml:space="preserve"> : rhabdomyosarcome (protocole IRS — vincristine + dactinomycine + cyclophosphamide) ; sarcome d'Ewing (protocole Euro-E.W.I.N.G. — vincristine + ifosfamide + doxorubicine + etoposide) ; neuroblastome (protocole NB2004) ; tumeur de Wilms (protocole SIOP — vincristine + dactinomycine ± doxorubicine).</w:t>
      </w:r>
    </w:p>
    <w:p>
      <w:pPr>
        <w:pStyle w:val="ListBullet"/>
      </w:pPr>
      <w:r/>
      <w:r>
        <w:rPr>
          <w:b/>
        </w:rPr>
        <w:t>Médulloblastome</w:t>
      </w:r>
      <w:r>
        <w:t xml:space="preserve"> : protocole HIT-SIOP PNET 4 — vincristine hebdomadaire pendant la radiothérapie cranio-spinale, puis chimiothérapie d'entretien (CCNU + cisplatine + vincristine).</w:t>
      </w:r>
    </w:p>
    <w:p>
      <w:pPr>
        <w:pStyle w:val="ListBullet"/>
      </w:pPr>
      <w:r/>
      <w:r>
        <w:rPr>
          <w:b/>
        </w:rPr>
        <w:t>Microglobulinémie de Waldenström</w:t>
      </w:r>
      <w:r>
        <w:t xml:space="preserve"> : protocole DRC (dexaméthasone + rituximab + cyclophosphamide) ± vincristine.</w:t>
      </w:r>
    </w:p>
    <w:p>
      <w:pPr>
        <w:pStyle w:val="ListBullet"/>
      </w:pPr>
      <w:r/>
      <w:r>
        <w:rPr>
          <w:b/>
        </w:rPr>
        <w:t>Thrombocytopénie thrombotique (TTP, syndrome de Moschcowitz)</w:t>
      </w:r>
      <w:r>
        <w:t xml:space="preserve"> : hors AMM — vincristine historique (aujourd'hui supplantée par échanges plasmatiques + caplacizumab — mais en cas d'échec, vincristine en alternative — mécanisme : modification de l'adhésivité plaquettaire et action sur les cellules endothéliales).</w:t>
      </w:r>
    </w:p>
    <w:p>
      <w:pPr>
        <w:pStyle w:val="ListBullet"/>
      </w:pPr>
      <w:r/>
      <w:r>
        <w:rPr>
          <w:b/>
        </w:rPr>
        <w:t>Hors-AMM</w:t>
      </w:r>
      <w:r>
        <w:t xml:space="preserve"> (référentiel NCCN Off-label) : sarcome des tissus mous de l'adulte, cancer du sein métastatique (rare), cancer à petites cellules du poumon (historique).</w:t>
      </w:r>
    </w:p>
    <w:p>
      <w:pPr>
        <w:pStyle w:val="ListBullet"/>
      </w:pPr>
      <w:r>
        <w:t>Particularités pharmacologiques :</w:t>
      </w:r>
    </w:p>
    <w:p>
      <w:pPr>
        <w:pStyle w:val="ListBullet"/>
      </w:pPr>
      <w:r>
        <w:t>Cinétique tricompartimentale — clairance 11 L/h/m² (CV 35 %).</w:t>
      </w:r>
    </w:p>
    <w:p>
      <w:pPr>
        <w:pStyle w:val="ListBullet"/>
      </w:pPr>
      <w:r>
        <w:t>Distribution large — Vd 8,4 L/kg (extrêmement importante — captation tissulaire extensive, particulièrement neurologique — d'où la neurotoxicité) ; liaison protéique modérée (75 % — albumine, AAG).</w:t>
      </w:r>
    </w:p>
    <w:p>
      <w:pPr>
        <w:pStyle w:val="ListBullet"/>
      </w:pPr>
      <w:r>
        <w:t>Métabolisme hépatique prédominant (CYP3A4 → métabolites inactifs ou faiblement actifs — principalement par déméthylation et hydroxylation ; CYP3A5 accessoire) — élimination biliaire (~ 70 % dans les fèces en 72 h) ; moins de 12 % dans les urines (rôle rénal négligeable → utilisable chez l'insuffisant rénal sans adaptation).</w:t>
      </w:r>
    </w:p>
    <w:p>
      <w:pPr>
        <w:pStyle w:val="ListBullet"/>
      </w:pPr>
      <w:r>
        <w:t>Demi-vie d'élimination : 19-155 h (très variable — composante terminale prolongée — d'où administration hebdomadaire en protocoles d'induction LAL, espacement toutes les 3 semaines dans les protocoles CHOP).</w:t>
      </w:r>
    </w:p>
    <w:p>
      <w:pPr>
        <w:pStyle w:val="ListBullet"/>
      </w:pPr>
      <w:r>
        <w:t>Adaptation hépatique : (i) fonction hépatique normale : dose pleine (1,4 mg/m², capped à 2 mg) ; (ii) insuffisance hépatique modérée (bilirubine 1,5-3 × LSN, ou ASAT/ALAT 2-5 × LSN) : réduction à 50 % (0,7 mg/m², capped à 1 mg) ; (iii) insuffisance hépatique sévère (bilirubine &gt; 3 × LSN) : contre-indication. Chez l'enfant &lt; 10 kg, calcul au kg (0,05 mg/kg).</w:t>
      </w:r>
    </w:p>
    <w:p>
      <w:pPr>
        <w:pStyle w:val="ListBullet"/>
      </w:pPr>
      <w:r>
        <w:t>Schémas : (i) vincristine 1,4 mg/m² (capped à 2 mg) J1 en minibag IV de 50 mL NaCl 0,9 % sur 5-10 min, toutes les 3 semaines (CHOP, R-CHOP) ; (ii) vincristine hebdomadaire × 4-6 semaines (protocoles LAL) ; (iii) vincristine hebdomadaire × 8 semaines pendant radiothérapie cranio-spinale (médulloblastome).</w:t>
      </w:r>
    </w:p>
    <w:p>
      <w:pPr>
        <w:pStyle w:val="ListBullet"/>
      </w:pPr>
      <w:r/>
      <w:r>
        <w:rPr>
          <w:b/>
        </w:rPr>
        <w:t>Dose-cap de 2 mg par cure</w:t>
      </w:r>
      <w:r>
        <w:t xml:space="preserve"> : règle historique (fixée à 2 mg dans les années 1970) — justifiée par la neurotoxicité cumulative dose-dépendante — mais contestée récemment (études pédiatriques modernes suggèrent que la dose-cap n'est pas nécessaire chez l'enfant de surface corporelle &gt; 1,4 m² — la neurotoxicité étant plutôt liée à la dose cumulée qu'à la dose par cure — abandon progressif de la dose-cap dans les protocoles pédiatriques modernes).</w:t>
      </w:r>
    </w:p>
    <w:p>
      <w:r/>
      <w:r>
        <w:rPr>
          <w:b/>
        </w:rPr>
        <w:t>Contre-indications et Précautions d'Emploi :</w:t>
      </w:r>
      <w:r/>
    </w:p>
    <w:p>
      <w:pPr>
        <w:pStyle w:val="ListBullet"/>
      </w:pPr>
      <w:r>
        <w:t>Contre-indications ABSOLUES :</w:t>
      </w:r>
    </w:p>
    <w:p>
      <w:pPr>
        <w:pStyle w:val="ListBullet"/>
      </w:pPr>
      <w:r/>
      <w:r>
        <w:rPr>
          <w:b/>
        </w:rPr>
        <w:t>Administration intrathécale (IT)</w:t>
      </w:r>
      <w:r>
        <w:t xml:space="preserve"> : CONTRE-INDICATION ABSOLUE — l'injection IT de vincristine provoque une </w:t>
      </w:r>
      <w:r>
        <w:rPr>
          <w:b/>
        </w:rPr>
        <w:t>encéphalopathie toxique ascendante</w:t>
      </w:r>
      <w:r>
        <w:t xml:space="preserve"> évoluant vers le décès en 3-7 jours (adulte) à 3-13 jours (enfant), malgré les tentatives de sauvetage (lavage LCR, irrigation ventriculaire, gluconate de glutamate, folinate de calcium IT, dexaméthasone). Prévention : conditionnement exclusif en minibag IV de 50 mL NaCl 0,9 % (et non en seringue) — recommandation OMS et HAS — pour prévenir l'erreur d'administration (un minibag ne peut pas être connecté à une aiguille intrathécale). Étiquetage « POUR VOIE INTRAVEINEUSE STRICTEMENT — NE JAMAIS ADMINISTRER PAR VOIE INTRATHÉCALE » sur le flacon et sur le minibag reconstitué.</w:t>
      </w:r>
    </w:p>
    <w:p>
      <w:pPr>
        <w:pStyle w:val="ListBullet"/>
      </w:pPr>
      <w:r>
        <w:t>Hypersensibilité connue à la vincristine ou à l'un des excipients.</w:t>
      </w:r>
    </w:p>
    <w:p>
      <w:pPr>
        <w:pStyle w:val="ListBullet"/>
      </w:pPr>
      <w:r/>
      <w:r>
        <w:rPr>
          <w:b/>
        </w:rPr>
        <w:t>Neutropénie sévère</w:t>
      </w:r>
      <w:r>
        <w:t xml:space="preserve"> (&lt; 1 000/mm³) pré-existante — attendre récupération PNN ≥ 1 500/mm³ avant la cure (mais la vincristine est peu myélosuppressive à dose standard — cette CI est moins stricte que pour les autres cytotoxiques).</w:t>
      </w:r>
    </w:p>
    <w:p>
      <w:pPr>
        <w:pStyle w:val="ListBullet"/>
      </w:pPr>
      <w:r/>
      <w:r>
        <w:rPr>
          <w:b/>
        </w:rPr>
        <w:t>Neuropathie périphérique sévère</w:t>
      </w:r>
      <w:r>
        <w:t xml:space="preserve"> pré-existante (Charcot-Marie-Tooth, neuropathie diabétique avancée, neurotoxicité cumulative de cures précédentes — grade ≥ 3) — contre-indication (la vincristine aggrave la neuropathie préexistante de façon parfois irréversible).</w:t>
      </w:r>
    </w:p>
    <w:p>
      <w:pPr>
        <w:pStyle w:val="ListBullet"/>
      </w:pPr>
      <w:r/>
      <w:r>
        <w:rPr>
          <w:b/>
        </w:rPr>
        <w:t>Syndrome de Guillain-Barré</w:t>
      </w:r>
      <w:r>
        <w:t xml:space="preserve"> actif ou antécédent récent (&lt; 6 mois) — contre-indication (risque d'aggravation).</w:t>
      </w:r>
    </w:p>
    <w:p>
      <w:pPr>
        <w:pStyle w:val="ListBullet"/>
      </w:pPr>
      <w:r/>
      <w:r>
        <w:rPr>
          <w:b/>
        </w:rPr>
        <w:t>Ileus paralytique</w:t>
      </w:r>
      <w:r>
        <w:t xml:space="preserve"> actif ou antécédent récent — contre-indication (risque d'aggravation — la vincristine provoque fréquemment un ileus paralytique).</w:t>
      </w:r>
    </w:p>
    <w:p>
      <w:pPr>
        <w:pStyle w:val="ListBullet"/>
      </w:pPr>
      <w:r/>
      <w:r>
        <w:rPr>
          <w:b/>
        </w:rPr>
        <w:t>Obstruction intestinale</w:t>
      </w:r>
      <w:r>
        <w:t xml:space="preserve"> — contre-indication (risque d'aggravation).</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r>
        <w:rPr>
          <w:b/>
        </w:rPr>
        <w:t>Administration en minibag IV de 50 mL NaCl 0,9 %</w:t>
      </w:r>
      <w:r>
        <w:t xml:space="preserve"> sur 5-10 min — pas en bolus IV ni en seringue (prévention de l'erreur IT) — protocole OMS, HAS, AFSSAPS, ANSM.</w:t>
      </w:r>
    </w:p>
    <w:p>
      <w:pPr>
        <w:pStyle w:val="ListBullet"/>
      </w:pPr>
      <w:r/>
      <w:r>
        <w:rPr>
          <w:b/>
        </w:rPr>
        <w:t>Surveillance neurologique</w:t>
      </w:r>
      <w:r>
        <w:t xml:space="preserve"> : examen clinique pré-cure à la recherche de paresthésies, hypoesthésie, dysesthésies en gants et chaussettes, faiblesse motrice distale, constipation, ileus, dysurie, hypotension orthostatique — gradation NCI-CTCAE. En cas de neurotoxicité G2 persistante — délai de 1 semaine, surveillance. En cas de neurotoxicité G3 — arrêt définitif ou switch vers vinblastine (moins neurotoxique). En cas d'ileus paralytique — arrêt immédiat, hospitalisation, traitement symptomatique (néostigmine IV, hydratation, aspiration naso-gastrique).</w:t>
      </w:r>
    </w:p>
    <w:p>
      <w:pPr>
        <w:pStyle w:val="ListBullet"/>
      </w:pPr>
      <w:r/>
      <w:r>
        <w:rPr>
          <w:b/>
        </w:rPr>
        <w:t>Surveillance hématologique</w:t>
      </w:r>
      <w:r>
        <w:t xml:space="preserve"> : NFS avant chaque cure (PNN ≥ 1 000/mm³, plaquettes ≥ 50 000/mm³ — seuils plus permissifs que pour les autres cytotoxiques car la vincristine est peu myélosuppressive).</w:t>
      </w:r>
    </w:p>
    <w:p>
      <w:pPr>
        <w:pStyle w:val="ListBullet"/>
      </w:pPr>
      <w:r/>
      <w:r>
        <w:rPr>
          <w:b/>
        </w:rPr>
        <w:t>Surveillance digestive</w:t>
      </w:r>
      <w:r>
        <w:t xml:space="preserve"> : questions systématiques sur la constipation, les douleurs abdominales, les vomissements, l'arrêt des selles et des gaz (ileus paralytique — particulièrement chez l'enfant). Traitement préventif par laxatif osmotique (macrogol 10-20 g/j PO) et stimulant (bisacodyl 5-10 mg/j PO au coucher) pendant toute la durée du traitement.</w:t>
      </w:r>
    </w:p>
    <w:p>
      <w:pPr>
        <w:pStyle w:val="ListBullet"/>
      </w:pPr>
      <w:r/>
      <w:r>
        <w:rPr>
          <w:b/>
        </w:rPr>
        <w:t>Surveillance hépatique</w:t>
      </w:r>
      <w:r>
        <w:t xml:space="preserve"> : bilan hépatique avant chaque cure — adaptation posologique selon grille.</w:t>
      </w:r>
    </w:p>
    <w:p>
      <w:pPr>
        <w:pStyle w:val="ListBullet"/>
      </w:pPr>
      <w:r/>
      <w:r>
        <w:rPr>
          <w:b/>
        </w:rPr>
        <w:t>Surveillance ophtalmologique</w:t>
      </w:r>
      <w:r>
        <w:t xml:space="preserve"> : examen ophtalmologique en cas de troubles visuels (ptosis, paralysie oculomotrice, névrite optique — rares mais possibles).</w:t>
      </w:r>
    </w:p>
    <w:p>
      <w:pPr>
        <w:pStyle w:val="ListBullet"/>
      </w:pPr>
      <w:r>
        <w:t>Sujet âgé &gt; 70 ans : surveillance neurologique accrue (neurotoxicité plus marquée et plus longue à récupérer).</w:t>
      </w:r>
    </w:p>
    <w:p>
      <w:pPr>
        <w:pStyle w:val="ListBullet"/>
      </w:pPr>
      <w:r>
        <w:t>Précautions de manipulation : cytotoxique — manipulation exclusivement par personnel formé, en ZAC ou hotte à flux laminaire vertical, équipements de protection individuelle.</w:t>
      </w:r>
    </w:p>
    <w:p>
      <w:pPr>
        <w:pStyle w:val="ListBullet"/>
      </w:pPr>
      <w:r>
        <w:t>Précautions de perfusion : tubulure sans DEHP (l'éthanol de la solution le lessive) ; tubulure en polyéthylène ou polyoléfine.</w:t>
      </w:r>
    </w:p>
    <w:p>
      <w:r/>
      <w:r>
        <w:rPr>
          <w:b/>
        </w:rPr>
        <w:t>Effets Indésirables :</w:t>
      </w:r>
      <w:r/>
    </w:p>
    <w:p>
      <w:pPr>
        <w:pStyle w:val="ListBullet"/>
      </w:pPr>
      <w:r/>
      <w:r>
        <w:rPr>
          <w:b/>
        </w:rPr>
        <w:t>Neurotoxicité périphérique</w:t>
      </w:r>
      <w:r>
        <w:t xml:space="preserve"> (effet dose-limitant — particulièrement marquée pour la vincristine — quasi-constante à dose cumulée &gt; 6-8 mg) :</w:t>
      </w:r>
    </w:p>
    <w:p>
      <w:pPr>
        <w:pStyle w:val="ListBullet"/>
      </w:pPr>
      <w:r/>
      <w:r>
        <w:rPr>
          <w:b/>
        </w:rPr>
        <w:t>Sensitives</w:t>
      </w:r>
      <w:r>
        <w:t xml:space="preserve"> (90 % des patients après 4-5 cures — généralement G1-2, mais parfois G3-4 à dose cumulée élevée) : paresthésies, dysesthésies, hypoesthésie en « gants et chaussettes » (distribution distale symétrique). Atteinte des fibres sensitives de gros calibre (A-β et A-δ) par altération du transport axonal microtubulaire.</w:t>
      </w:r>
    </w:p>
    <w:p>
      <w:pPr>
        <w:pStyle w:val="ListBullet"/>
      </w:pPr>
      <w:r/>
      <w:r>
        <w:rPr>
          <w:b/>
        </w:rPr>
        <w:t>Motrices</w:t>
      </w:r>
      <w:r>
        <w:t xml:space="preserve"> (30-50 % — particulièrement à dose cumulée &gt; 10-12 mg) : faiblesse musculaire distale (extenseurs des poignets et des pieds — « foot drop »), diminution des réflexes ostéotendineux (ROT) — surtout Achilléens (abolis quasi-systématiquement après 3-4 cures), puis rotuliens. Atteinte typique du patient avec diabète ou neuropathie alcoolique préexistante.</w:t>
      </w:r>
    </w:p>
    <w:p>
      <w:pPr>
        <w:pStyle w:val="ListBullet"/>
      </w:pPr>
      <w:r/>
      <w:r>
        <w:rPr>
          <w:b/>
        </w:rPr>
        <w:t>Autonomiques</w:t>
      </w:r>
      <w:r>
        <w:t xml:space="preserve"> (40-60 % — particularly marquées pour la vincristine) :</w:t>
      </w:r>
    </w:p>
    <w:p>
      <w:pPr>
        <w:pStyle w:val="ListBullet"/>
      </w:pPr>
      <w:r/>
      <w:r>
        <w:rPr>
          <w:b/>
        </w:rPr>
        <w:t>Constipation sévère</w:t>
      </w:r>
      <w:r>
        <w:t xml:space="preserve"> (quasi-constante — parfois accompagnée d'iléus paralytique —urgence médico-chirurgicale). Prévention systématique par laxatifs.</w:t>
      </w:r>
    </w:p>
    <w:p>
      <w:pPr>
        <w:pStyle w:val="ListBullet"/>
      </w:pPr>
      <w:r/>
      <w:r>
        <w:rPr>
          <w:b/>
        </w:rPr>
        <w:t>Ileus paralytique</w:t>
      </w:r>
      <w:r>
        <w:t xml:space="preserve"> (5-10 % — particularly chez l'enfant et le sujet âgé) — arrêt des selles et des gaz, distension abdominale, vomissements — arrêt immédiat de la vincristine, hospitalisation, aspiration naso-gastrique, néostigmine IV, hydratation.</w:t>
      </w:r>
    </w:p>
    <w:p>
      <w:pPr>
        <w:pStyle w:val="ListBullet"/>
      </w:pPr>
      <w:r/>
      <w:r>
        <w:rPr>
          <w:b/>
        </w:rPr>
        <w:t>Dysurie</w:t>
      </w:r>
      <w:r>
        <w:t xml:space="preserve"> (10-20 % — parfois rétention urinaire — particulièrement chez le sujet âgé prostatique).</w:t>
      </w:r>
    </w:p>
    <w:p>
      <w:pPr>
        <w:pStyle w:val="ListBullet"/>
      </w:pPr>
      <w:r/>
      <w:r>
        <w:rPr>
          <w:b/>
        </w:rPr>
        <w:t>Hypotension orthostatique</w:t>
      </w:r>
      <w:r>
        <w:t xml:space="preserve"> (10-20 %).</w:t>
      </w:r>
    </w:p>
    <w:p>
      <w:pPr>
        <w:pStyle w:val="ListBullet"/>
      </w:pPr>
      <w:r/>
      <w:r>
        <w:rPr>
          <w:b/>
        </w:rPr>
        <w:t>Impuissance</w:t>
      </w:r>
      <w:r>
        <w:t xml:space="preserve"> (10-20 % — masculine — généralement réversible à l'arrêt).</w:t>
      </w:r>
    </w:p>
    <w:p>
      <w:pPr>
        <w:pStyle w:val="ListBullet"/>
      </w:pPr>
      <w:r/>
      <w:r>
        <w:rPr>
          <w:b/>
        </w:rPr>
        <w:t>Troubles de la sudation</w:t>
      </w:r>
      <w:r>
        <w:t xml:space="preserve"> (anidrose, hyperhidrose paroxystique).</w:t>
      </w:r>
    </w:p>
    <w:p>
      <w:pPr>
        <w:pStyle w:val="ListBullet"/>
      </w:pPr>
      <w:r/>
      <w:r>
        <w:rPr>
          <w:b/>
        </w:rPr>
        <w:t>Cranio-encéphaliques</w:t>
      </w:r>
      <w:r>
        <w:t xml:space="preserve"> (10-20 % — particularly chez l'enfant) :</w:t>
      </w:r>
    </w:p>
    <w:p>
      <w:pPr>
        <w:pStyle w:val="ListBullet"/>
      </w:pPr>
      <w:r>
        <w:t>Paralysie des nerfs crâniens (III, IV, VI — ptosis, diplopie, strabisme ; VII — paralysie faciale ; VIII — surdité, acouphènes).</w:t>
      </w:r>
    </w:p>
    <w:p>
      <w:pPr>
        <w:pStyle w:val="ListBullet"/>
      </w:pPr>
      <w:r>
        <w:t>Névrite optique (rare — baisse d'acuité visuelle, scotome central).</w:t>
      </w:r>
    </w:p>
    <w:p>
      <w:pPr>
        <w:pStyle w:val="ListBullet"/>
      </w:pPr>
      <w:r>
        <w:t>Névrite olfactive (anosmie).</w:t>
      </w:r>
    </w:p>
    <w:p>
      <w:pPr>
        <w:pStyle w:val="ListBullet"/>
      </w:pPr>
      <w:r>
        <w:t>Dysphonie (paralysie récurrentielle).</w:t>
      </w:r>
    </w:p>
    <w:p>
      <w:pPr>
        <w:pStyle w:val="ListBullet"/>
      </w:pPr>
      <w:r/>
      <w:r>
        <w:rPr>
          <w:b/>
        </w:rPr>
        <w:t>Cérébelleux</w:t>
      </w:r>
      <w:r>
        <w:t xml:space="preserve"> (5-10 %) : ataxie cérébelleuse (rare).</w:t>
      </w:r>
    </w:p>
    <w:p>
      <w:pPr>
        <w:pStyle w:val="ListBullet"/>
      </w:pPr>
      <w:r/>
      <w:r>
        <w:rPr>
          <w:b/>
        </w:rPr>
        <w:t>Encéphalopathie</w:t>
      </w:r>
      <w:r>
        <w:t xml:space="preserve"> (rare — 1-2 % — particularly chez le sujet âgé ou en cas d'insuffisance hépatique) : confusion, désorientation, hallucinations, syndrome démentiel.</w:t>
      </w:r>
    </w:p>
    <w:p>
      <w:pPr>
        <w:pStyle w:val="ListBullet"/>
      </w:pPr>
      <w:r/>
      <w:r>
        <w:rPr>
          <w:b/>
        </w:rPr>
        <w:t>Convulsions</w:t>
      </w:r>
      <w:r>
        <w:t xml:space="preserve"> (rare — particularly chez l'enfant avec hyponatrémie SIADH).</w:t>
      </w:r>
    </w:p>
    <w:p>
      <w:pPr>
        <w:pStyle w:val="ListBullet"/>
      </w:pPr>
      <w:r/>
      <w:r>
        <w:rPr>
          <w:b/>
        </w:rPr>
        <w:t>SIADH</w:t>
      </w:r>
      <w:r>
        <w:t xml:space="preserve"> (rare — 1-5 % — particularly chez la personne âgée) : hyponatrémie &lt; 130 mmol/L, hypo-osmolarité plasmatique, natriurèse &gt; 30 mmol/L — arrêt de la vincristine, restriction hydrique, correction lente de la natrémie (≤ 8-10 mmol/L/24 h pour éviter le syndrome de myélinolyse osmotique pontique).</w:t>
      </w:r>
    </w:p>
    <w:p>
      <w:pPr>
        <w:pStyle w:val="ListBullet"/>
      </w:pPr>
      <w:r>
        <w:t>Toxicité cumulative dose-dépendante : seuil critique à 6-8 mg/m² cumulés (risque majoré), 12-15 mg/m² = toxicité G3 quasi-constante.</w:t>
      </w:r>
    </w:p>
    <w:p>
      <w:pPr>
        <w:pStyle w:val="ListBullet"/>
      </w:pPr>
      <w:r>
        <w:t>Récupération habituellement en 3-6 mois après arrêt, parfois incomplète (10-20 % des cas — particularly chez le sujet âgé et en cas de cofacteurs : diabète, alcool, autres neurotoxiques).</w:t>
      </w:r>
    </w:p>
    <w:p>
      <w:pPr>
        <w:pStyle w:val="ListBullet"/>
      </w:pPr>
      <w:r/>
      <w:r>
        <w:rPr>
          <w:b/>
        </w:rPr>
        <w:t>Myélosuppression</w:t>
      </w:r>
      <w:r>
        <w:t xml:space="preserve"> (modérée — la vincristine est la moins myélotoxic des Vinca) :</w:t>
      </w:r>
    </w:p>
    <w:p>
      <w:pPr>
        <w:pStyle w:val="ListBullet"/>
      </w:pPr>
      <w:r>
        <w:t>Neutropénie : 10-30 % (grade 3-4 : 5 %) — rarement sévère — pas de G-CSF systématique.</w:t>
      </w:r>
    </w:p>
    <w:p>
      <w:pPr>
        <w:pStyle w:val="ListBullet"/>
      </w:pPr>
      <w:r>
        <w:t>Thrombopénie : 5-10 % (grade 3-4 : 2 %) — rarement sévère.</w:t>
      </w:r>
    </w:p>
    <w:p>
      <w:pPr>
        <w:pStyle w:val="ListBullet"/>
      </w:pPr>
      <w:r>
        <w:t>Anémie : 10-20 % (grade 3-4 : 2 %).</w:t>
      </w:r>
    </w:p>
    <w:p>
      <w:pPr>
        <w:pStyle w:val="ListBullet"/>
      </w:pPr>
      <w:r/>
      <w:r>
        <w:rPr>
          <w:b/>
        </w:rPr>
        <w:t>Hypersensibilité</w:t>
      </w:r>
      <w:r>
        <w:t xml:space="preserve"> (rare — &lt; 5 %) : réactions légères (flush, urticaire) — réactions anaphylactiques sévères exceptionnelles.</w:t>
      </w:r>
    </w:p>
    <w:p>
      <w:pPr>
        <w:pStyle w:val="ListBullet"/>
      </w:pPr>
      <w:r/>
      <w:r>
        <w:rPr>
          <w:b/>
        </w:rPr>
        <w:t>Toxicité digestive</w:t>
      </w:r>
      <w:r>
        <w:t xml:space="preserve"> :</w:t>
      </w:r>
    </w:p>
    <w:p>
      <w:pPr>
        <w:pStyle w:val="ListBullet"/>
      </w:pPr>
      <w:r>
        <w:t>Constipation (quasi-constante — parfois sévère avec ileus paralytique).</w:t>
      </w:r>
    </w:p>
    <w:p>
      <w:pPr>
        <w:pStyle w:val="ListBullet"/>
      </w:pPr>
      <w:r>
        <w:t>Nausées/vomissements (modérés — 30-50 % — grade 3-4 : 5 %).</w:t>
      </w:r>
    </w:p>
    <w:p>
      <w:pPr>
        <w:pStyle w:val="ListBullet"/>
      </w:pPr>
      <w:r>
        <w:t>Douleurs abdominales (10-20 %).</w:t>
      </w:r>
    </w:p>
    <w:p>
      <w:pPr>
        <w:pStyle w:val="ListBullet"/>
      </w:pPr>
      <w:r>
        <w:t>Mucite (10-20 % — grade 3-4 : 2 %).</w:t>
      </w:r>
    </w:p>
    <w:p>
      <w:pPr>
        <w:pStyle w:val="ListBullet"/>
      </w:pPr>
      <w:r>
        <w:t>Diarrhée (rare — paralytic ileus peut mimer une occlusion).</w:t>
      </w:r>
    </w:p>
    <w:p>
      <w:pPr>
        <w:pStyle w:val="ListBullet"/>
      </w:pPr>
      <w:r/>
      <w:r>
        <w:rPr>
          <w:b/>
        </w:rPr>
        <w:t>Alopécie</w:t>
      </w:r>
      <w:r>
        <w:t xml:space="preserve"> (fréquente — 20-50 % — généralement partielle et réversible).</w:t>
      </w:r>
    </w:p>
    <w:p>
      <w:pPr>
        <w:pStyle w:val="ListBullet"/>
      </w:pPr>
      <w:r/>
      <w:r>
        <w:rPr>
          <w:b/>
        </w:rPr>
        <w:t>Toxicité cutanée</w:t>
      </w:r>
      <w:r>
        <w:t xml:space="preserve"> : rash (5-10 %), nécrose locale en cas d'extravasation (la vincristine est un vesicant — mais moins que les anthracyclines).</w:t>
      </w:r>
    </w:p>
    <w:p>
      <w:pPr>
        <w:pStyle w:val="ListBullet"/>
      </w:pPr>
      <w:r/>
      <w:r>
        <w:rPr>
          <w:b/>
        </w:rPr>
        <w:t>Toxicité hépatique</w:t>
      </w:r>
      <w:r>
        <w:t xml:space="preserve"> : cytolyse (5-10 % — grade 3-4 : 2 %), cholestase intra-hépatique (rare — particularly avec le bléomycine + vincristine).</w:t>
      </w:r>
    </w:p>
    <w:p>
      <w:pPr>
        <w:pStyle w:val="ListBullet"/>
      </w:pPr>
      <w:r/>
      <w:r>
        <w:rPr>
          <w:b/>
        </w:rPr>
        <w:t>Toxicité cardiovasculaire</w:t>
      </w:r>
      <w:r>
        <w:t xml:space="preserve"> : hypertension (rare — 5 %), hypotension (5 % — particularly orthostatique par dysautonomie), ischémie myocardique (très rare).</w:t>
      </w:r>
    </w:p>
    <w:p>
      <w:pPr>
        <w:pStyle w:val="ListBullet"/>
      </w:pPr>
      <w:r/>
      <w:r>
        <w:rPr>
          <w:b/>
        </w:rPr>
        <w:t>Toxicité locale au point d'injection</w:t>
      </w:r>
      <w:r>
        <w:t xml:space="preserve"> : réaction locale, nécrose tissulaire en cas d'extravasation (vesicant — voie veineuse centrale si traitement prolongé).</w:t>
      </w:r>
    </w:p>
    <w:p>
      <w:r/>
      <w:r>
        <w:rPr>
          <w:b/>
        </w:rPr>
        <w:t>Prévention et Gestion des Effets Indésirables :</w:t>
      </w:r>
      <w:r/>
    </w:p>
    <w:p>
      <w:pPr>
        <w:pStyle w:val="ListBullet"/>
      </w:pPr>
      <w:r>
        <w:t>Prévention systématique :</w:t>
      </w:r>
    </w:p>
    <w:p>
      <w:pPr>
        <w:pStyle w:val="ListBullet"/>
      </w:pPr>
      <w:r/>
      <w:r>
        <w:rPr>
          <w:b/>
        </w:rPr>
        <w:t>Prévention de l'erreur intrathécale</w:t>
      </w:r>
      <w:r>
        <w:t xml:space="preserve"> : conditionnement EXCLUSIF en minibag IV de 50 mL NaCl 0,9 % (et non en seringue) — protocole OMS, HAS, ANSM. Étiquetage systématique « POUR VOIE INTRAVEINEUSE STRICTEMENT — NE JAMAIS ADMINISTRER PAR VOIE INTRATHÉCALE ». Ne jamais laisser de vincristine à proximité d'un plateau d'injection intrathécale (séparation physique et temporelle des chimiothérapies IV et IT — vincristine administrée uniquement après la fin des chimiothérapies IT le même jour, et ne jamais délivrer la vincristine en même temps que le méthotrexate ou la cytarabine IT). Double contrôle indépendant obligatoire (deux IDE, deux vérifications : DCI, dose, voie d'administration, patient).</w:t>
      </w:r>
    </w:p>
    <w:p>
      <w:pPr>
        <w:pStyle w:val="ListBullet"/>
      </w:pPr>
      <w:r/>
      <w:r>
        <w:rPr>
          <w:b/>
        </w:rPr>
        <w:t>Prévention neurotoxicité</w:t>
      </w:r>
      <w:r>
        <w:t xml:space="preserve"> : évaluation neurologique pré-cure systématique (questionnaire EORTC QLQ-CIPN20 ou examen clinique), documentation des signes, dépistage des cofacteurs (diabète, alcool, autres neurotoxiques — cisplatine, paclitaxel, bortézomib, thalidomide). Pas de traitement préventif validé — évaluation régulière de la dose cumulative. En cas de neuropathie G3 — switch vers vinblastine (moins neurotoxique) ou vindésine. Duloxetine 30-60 mg/j pour les douleurs neuropathiques.</w:t>
      </w:r>
    </w:p>
    <w:p>
      <w:pPr>
        <w:pStyle w:val="ListBullet"/>
      </w:pPr>
      <w:r/>
      <w:r>
        <w:rPr>
          <w:b/>
        </w:rPr>
        <w:t>Prévention digestive</w:t>
      </w:r>
      <w:r>
        <w:t xml:space="preserve"> : laxatif systématique (macrogol 10-20 g/j PO en 2 prises ± bisacodyl 5-10 mg/j PO au coucher) pendant toute la durée du traitement — et pendant 1 semaine après la dernière cure. Éducation thérapeutique renforcée sur la constipation et l'ileus paralytique (signes d'alerte : arrêt des selles et des gaz, distension abdominale, vomissements — urgence médicale). Alimentation riche en fibres, hydratation PO abondante (1,5-2 L/j).</w:t>
      </w:r>
    </w:p>
    <w:p>
      <w:pPr>
        <w:pStyle w:val="ListBullet"/>
      </w:pPr>
      <w:r/>
      <w:r>
        <w:rPr>
          <w:b/>
        </w:rPr>
        <w:t>Prévention hématologique</w:t>
      </w:r>
      <w:r>
        <w:t xml:space="preserve"> : NFS avant chaque cure — pas de G-CSF systématique (peu myélotoxic).</w:t>
      </w:r>
    </w:p>
    <w:p>
      <w:pPr>
        <w:pStyle w:val="ListBullet"/>
      </w:pPr>
      <w:r/>
      <w:r>
        <w:rPr>
          <w:b/>
        </w:rPr>
        <w:t>Prévention SIADH</w:t>
      </w:r>
      <w:r>
        <w:t xml:space="preserve"> : ionogramme avant chaque cure — surveillance accrue chez le sujet âgé et en cas d'hyponatrémie préexistante. En cas de SIADH — restriction hydrique (500-1 000 mL/j), arrêt transitoire de la vincristine, correction lente de la natrémie (≤ 8-10 mmol/L/24 h).</w:t>
      </w:r>
    </w:p>
    <w:p>
      <w:pPr>
        <w:pStyle w:val="ListBullet"/>
      </w:pPr>
      <w:r>
        <w:t>Conduite à tenir :</w:t>
      </w:r>
    </w:p>
    <w:p>
      <w:pPr>
        <w:pStyle w:val="ListBullet"/>
      </w:pPr>
      <w:r/>
      <w:r>
        <w:rPr>
          <w:b/>
        </w:rPr>
        <w:t>En cas d'erreur intrathécale</w:t>
      </w:r>
      <w:r>
        <w:t xml:space="preserve"> (au moindre doute) : ARRÊT IMMÉDIAT de l'injection IT, ne pas retirber l'aiguille — laisser en place et appeler en URGENCE le neurologue, l'oncologue, le réanimateur, et la pharmacovigilance. Protocole de sauvetage : (i) lavage LCR par 10-20 mL de LCR artificiel ou Ringer-lactate, répété 3-5 fois ; (ii) irrigation ventriculaire (drainage ventriculaire externe) avec perfusion de gluconate de glutamate 10 mg/h et hydroxocobalamine 1 mg/j ; (iii) folinate de calcium 50 mg IT toutes les 12 h ; (iv) dexaméthasone 4 mg IV × 4/j ; (v) surveillance USI pendant 7-14 jours. Pronostic réservé (mortalité &gt; 50 %, séquelles neurologiques chez les survivants).</w:t>
      </w:r>
    </w:p>
    <w:p>
      <w:pPr>
        <w:pStyle w:val="ListBullet"/>
      </w:pPr>
      <w:r/>
      <w:r>
        <w:rPr>
          <w:b/>
        </w:rPr>
        <w:t>En cas de neurotoxicité G3</w:t>
      </w:r>
      <w:r>
        <w:t xml:space="preserve"> : suspension de la cure, évaluation neurologique spécialisée (ENMG), discussion d'un switch vers vinblastine ou vinorelbine (moins neurotoxiques) ou alternative (cladribine, fludarabine selon l'indication). Duloxetine 30-60 mg/j pour les douleurs neuropathiques.</w:t>
      </w:r>
    </w:p>
    <w:p>
      <w:pPr>
        <w:pStyle w:val="ListBullet"/>
      </w:pPr>
      <w:r/>
      <w:r>
        <w:rPr>
          <w:b/>
        </w:rPr>
        <w:t>En cas d'ileus paralytique</w:t>
      </w:r>
      <w:r>
        <w:t xml:space="preserve"> : arrêt IMMÉDIAT de la vincristine, hospitalisation en chirurgie digestive, aspiration naso-gastrique, hydratation IV, néostigmine 0,5-1 mg IV (à renouveler selon tolérance), surveillance ECG (risque de troubles du rythme par hypokaliémie), antibiothérapie probabiliste si signes de sepsis. Récupération habituellement en 5-10 jours. Réintroduction éventuelle à dose réduite (50 %) — mais switch vers vinblastine ou vinorelbine préférable.</w:t>
      </w:r>
    </w:p>
    <w:p>
      <w:pPr>
        <w:pStyle w:val="ListBullet"/>
      </w:pPr>
      <w:r/>
      <w:r>
        <w:rPr>
          <w:b/>
        </w:rPr>
        <w:t>En cas de SIADH sévère</w:t>
      </w:r>
      <w:r>
        <w:t xml:space="preserve"> (Na &lt; 125 mmol/L) : hospitalisation USI, restriction hydrique (500-1 000 mL/j), arrêt transitoire de la vincristine, correction lente (NaCl 3 % perfusion contrôlée ≤ 8-10 mmol/L/24 h — risque de myélinolyse osmotique pontique si correction trop rapide), démeclocycline 150-300 mg × 2/j PO (antagoniste de l'ADH) en cas de SIADH réfractaire.</w:t>
      </w:r>
    </w:p>
    <w:p>
      <w:pPr>
        <w:pStyle w:val="ListBullet"/>
      </w:pPr>
      <w:r/>
      <w:r>
        <w:rPr>
          <w:b/>
        </w:rPr>
        <w:t>En cas d'extravasation</w:t>
      </w:r>
      <w:r>
        <w:t xml:space="preserve"> : arrêt IMMÉDIAT de la perfusion, aspiration du résidu par le cathéter, application de compresses chaudes (à l'inverse du paclitaxel — la vincristine est diluée et diffusée par la chaleur — la chaleur favorise la redistribution locale) pendant 15-20 min toutes les 4-6 h pendant 24-48 h. Hyaluronidase 150-300 UI SC en infiltration locale (antidote partiel — améliore la dispersion et la résorption). Surveillance cutanée 24-72 h, avis chirurgical si nécrose.</w:t>
      </w:r>
    </w:p>
    <w:p>
      <w:r/>
      <w:r>
        <w:rPr>
          <w:b/>
        </w:rPr>
        <w:t>Interactions Importantes :</w:t>
      </w:r>
      <w:r/>
    </w:p>
    <w:p>
      <w:pPr>
        <w:pStyle w:val="ListBullet"/>
      </w:pPr>
      <w:r/>
      <w:r>
        <w:rPr>
          <w:b/>
        </w:rPr>
        <w:t>Vincristine + inhibiteurs du CYP3A4</w:t>
      </w:r>
      <w:r>
        <w:t xml:space="preserve"> (kétoconazole, itraconazole, voriconazole, fluconazole, ritonavir, saquinavir, indinavir, nelfinavir, atazanavir, cobicistat, clarithromycine, érythromycine, télithromycine, grapefruit juice, vérapamil, diltiazem) : augmentation majeure de l'AUC vincristine (× 2-3) — risque de neurotoxicité sévère (paralysie ascendante, ileus paralytique prolongé) et de myélosuppression profonde. </w:t>
      </w:r>
      <w:r>
        <w:rPr>
          <w:b/>
        </w:rPr>
        <w:t>Éviter l'association</w:t>
      </w:r>
      <w:r>
        <w:t xml:space="preserve"> ou réduire la dose de vincristine à 50 % (0,7 mg/m² capped à 1 mg) et surveillance neurologique rapprochée.</w:t>
      </w:r>
    </w:p>
    <w:p>
      <w:pPr>
        <w:pStyle w:val="ListBullet"/>
      </w:pPr>
      <w:r/>
      <w:r>
        <w:rPr>
          <w:b/>
        </w:rPr>
        <w:t>Vincristine + inducteurs du CYP3A4</w:t>
      </w:r>
      <w:r>
        <w:t xml:space="preserve"> (rifampicine, rifabutine, phénytoïne, carbamazépine, phénobarbital, oxcarbazépine, millepertuis, modafinil) : baisse de l'AUC vincristine (50-70 %) — risque d'efficacité réduite — surveillance clinique.</w:t>
      </w:r>
    </w:p>
    <w:p>
      <w:pPr>
        <w:pStyle w:val="ListBullet"/>
      </w:pPr>
      <w:r/>
      <w:r>
        <w:rPr>
          <w:b/>
        </w:rPr>
        <w:t>Vincristine + anticancéreux autres</w:t>
      </w:r>
      <w:r>
        <w:t xml:space="preserve"> : doxorubicine (neurotoxicité additif — surveillance neurologique) ; cisplatine (neurotoxicité synergique — particularly cumulative) ; paclitaxel/docetaxel (neurotoxicité synergique — surveillance) ; asparaginase (hepatotoxicité additif — surveillance hépatique, et réduction de la clairance de la vincristine — admininistration séquentielle) ; methotrexate (hepatotoxicité additif) ; bléomycine (neurotoxicité pulmonaire rare) ; rituximab (pas d'interaction PK) ; cyclophosphamide (myélosuppression additif).</w:t>
      </w:r>
    </w:p>
    <w:p>
      <w:pPr>
        <w:pStyle w:val="ListBullet"/>
      </w:pPr>
      <w:r/>
      <w:r>
        <w:rPr>
          <w:b/>
        </w:rPr>
        <w:t>Vincristine + anticoagulants oraux</w:t>
      </w:r>
      <w:r>
        <w:t xml:space="preserve"> (warfarine, acénocoumarol) : augmentation de l'INR (mécanisme mal élucidé). Surveillance INR rapprochée.</w:t>
      </w:r>
    </w:p>
    <w:p>
      <w:pPr>
        <w:pStyle w:val="ListBullet"/>
      </w:pPr>
      <w:r/>
      <w:r>
        <w:rPr>
          <w:b/>
        </w:rPr>
        <w:t>Vincristine + vaccines vivants atténués</w:t>
      </w:r>
      <w:r>
        <w:t xml:space="preserve"> : contre-indication (immunodépression).</w:t>
      </w:r>
    </w:p>
    <w:p>
      <w:pPr>
        <w:pStyle w:val="ListBullet"/>
      </w:pPr>
      <w:r/>
      <w:r>
        <w:rPr>
          <w:b/>
        </w:rPr>
        <w:t>Vincristine + phénytoïne</w:t>
      </w:r>
      <w:r>
        <w:t xml:space="preserve"> : baisse de la phénytoïnémie (induction enzymatique réciproque) — surveillance, adaptation.</w:t>
      </w:r>
    </w:p>
    <w:p>
      <w:pPr>
        <w:pStyle w:val="ListBullet"/>
      </w:pPr>
      <w:r/>
      <w:r>
        <w:rPr>
          <w:b/>
        </w:rPr>
        <w:t>Vincristine + digoxine</w:t>
      </w:r>
      <w:r>
        <w:t xml:space="preserve"> : baisse de la digoxinémie (mécanisme mal élucidé — déplacement protéique ou inhibition du P-gp). Surveillance digoxinémie.</w:t>
      </w:r>
    </w:p>
    <w:p>
      <w:pPr>
        <w:pStyle w:val="ListBullet"/>
      </w:pPr>
      <w:r/>
      <w:r>
        <w:rPr>
          <w:b/>
        </w:rPr>
        <w:t>Vincristine + L-asparaginase</w:t>
      </w:r>
      <w:r>
        <w:t xml:space="preserve"> : séquence critique — administration de la vincristine 12-24 h AVANT l'asparaginase (l'asparaginase inhibe la protéosynthèse hépatique et réduit la clairance de la vincristine — risque de neurotoxicité accrue si séquence inversée).</w:t>
      </w:r>
    </w:p>
    <w:p>
      <w:r/>
      <w:r>
        <w:rPr>
          <w:b/>
        </w:rPr>
        <w:t>Grossesse et Allaitement :</w:t>
      </w:r>
      <w:r/>
    </w:p>
    <w:p>
      <w:pPr>
        <w:pStyle w:val="ListBullet"/>
      </w:pPr>
      <w:r>
        <w:t xml:space="preserve">Grossesse : selon le CRAT, la vincristine est classée « à éviter » (catégorie D — tératogène). Études animales : embryotoxicité, fœtotoxicité, tératogénicité (malformations squelettiques, nerveuses et viscérales) à doses thérapeutiques chez le rat et le lapin. </w:t>
      </w:r>
      <w:r>
        <w:rPr>
          <w:b/>
        </w:rPr>
        <w:t>Conduite à tenir</w:t>
      </w:r>
      <w:r>
        <w:t xml:space="preserve"> : contraception efficace obligatoire pendant le traitement et 6 mois après dernière cure chez la femme, 3 mois chez l'homme partenaire (atteinte de la spermatogenèse — spermogramme pré-thérapeutique et conservation de sperme à proposer systématiquement avant 1re cure chez l'homme jeune). Si grossesse déjà engagée : interruption médicale de grossesse à discuter (avis oncologique + obstétrical + éthique), si maintien — surveillance échographique spécialisée. En pratique, l'indication de la vincristine (LAL de l'enfant) se prête peu à la grossesse — mais la question se pose pour les protocoles CHOP chez l'adulte jeune (lymphome).</w:t>
      </w:r>
    </w:p>
    <w:p>
      <w:pPr>
        <w:pStyle w:val="ListBullet"/>
      </w:pPr>
      <w:r>
        <w:t>Allaitement : contre-indication ABSOLUE — passage important dans le lait maternel — interruption définitive avant la 1re cure.</w:t>
      </w:r>
    </w:p>
    <w:p>
      <w:pPr>
        <w:pStyle w:val="ListBullet"/>
      </w:pPr>
      <w:r>
        <w:t>Conservation de gamètes : à proposer systématiquement avant 1re cure chez l'homme jeune (cancer du testicule, lymphome) — spermogramme pré-thérapeutique et congélation de sperme. Chez la femme jeune — protocole d'oncofertilité (COS avec antagoniste GnRH et cryoconservation ovocytaire ou embryonnaire).</w:t>
      </w:r>
    </w:p>
    <w:p>
      <w:pPr>
        <w:pStyle w:val="ListBullet"/>
      </w:pPr>
      <w:r>
        <w:t>Précautions contraception : méthode non hormonale (préservatif + DIU cuivre) ou contraception microprogestative (desogestrel 75 µg/j) ; analogues GnRH (triptoréline mensuelle — protection ovarienne discutée).</w:t>
      </w:r>
    </w:p>
    <w:p>
      <w:r/>
      <w:r>
        <w:rPr>
          <w:b/>
        </w:rPr>
        <w:t>Posologie et Mode d'Administration :</w:t>
      </w:r>
      <w:r/>
    </w:p>
    <w:p>
      <w:pPr>
        <w:pStyle w:val="ListBullet"/>
      </w:pPr>
      <w:r>
        <w:t>Adulte :</w:t>
      </w:r>
    </w:p>
    <w:p>
      <w:pPr>
        <w:pStyle w:val="ListBullet"/>
      </w:pPr>
      <w:r/>
      <w:r>
        <w:rPr>
          <w:b/>
        </w:rPr>
        <w:t>Schéma standard</w:t>
      </w:r>
      <w:r>
        <w:t xml:space="preserve"> : 1,4 mg/m² (capped à 2 mg par cure) en minibag IV de 50 mL NaCl 0,9 % sur 5-10 min — toutes les 3 semaines (CHOP, R-CHOP) ou hebdomadaire (LAL).</w:t>
      </w:r>
    </w:p>
    <w:p>
      <w:pPr>
        <w:pStyle w:val="ListBullet"/>
      </w:pPr>
      <w:r/>
      <w:r>
        <w:rPr>
          <w:b/>
        </w:rPr>
        <w:t>Dose maximale par cure</w:t>
      </w:r>
      <w:r>
        <w:t xml:space="preserve"> : 2 mg (dose-cap historique — cf. ci-dessus — parfois contesté en pédiatrie moderne).</w:t>
      </w:r>
    </w:p>
    <w:p>
      <w:pPr>
        <w:pStyle w:val="ListBullet"/>
      </w:pPr>
      <w:r/>
      <w:r>
        <w:rPr>
          <w:b/>
        </w:rPr>
        <w:t>Réduction de dose</w:t>
      </w:r>
      <w:r>
        <w:t xml:space="preserve"> : (i) si neurotoxicité G2 persistante — délai de 1 semaine ; (ii) si neurotoxicité G3 — réduction à 50 % (0,7 mg/m² capped à 1 mg) ou switch vers vinblastine ; (iii) si neurotoxicité G4 — arrêt définitif ; (iv) si insuffisance hépatique modérée (bilirubine 1,5-3 × LSN, ou ASAT/ALAT 2-5 × LSN) — réduction à 50 % (0,7 mg/m² capped à 1 mg) ; (v) si insuffisance hépatique sévère (bilirubine &gt; 3 × LSN) — contre-indication.</w:t>
      </w:r>
    </w:p>
    <w:p>
      <w:pPr>
        <w:pStyle w:val="ListBullet"/>
      </w:pPr>
      <w:r>
        <w:t>Enfant :</w:t>
      </w:r>
    </w:p>
    <w:p>
      <w:pPr>
        <w:pStyle w:val="ListBullet"/>
      </w:pPr>
      <w:r>
        <w:t>Schéma standard : 1,5-2 mg/m² (capped à 2 mg par cure en pratique — mais dose-cap de plus en plus contesté en pédiatrie moderne) en minibag IV de 25-50 mL NaCl 0,9 % sur 5-10 min. Pour les enfants &lt; 10 kg, calcul au kg : 0,05 mg/kg.</w:t>
      </w:r>
    </w:p>
    <w:p>
      <w:pPr>
        <w:pStyle w:val="ListBullet"/>
      </w:pPr>
      <w:r>
        <w:t>Schéma hebdomadaire : protocoles LAL (BFM, COALL, hyper-CVAD) — vincristine hebdomadaire × 4-6 semaines en induction, puis reprise hebdomadaire × 4-8 semaines pendant la consolidation.</w:t>
      </w:r>
    </w:p>
    <w:p>
      <w:pPr>
        <w:pStyle w:val="ListBullet"/>
      </w:pPr>
      <w:r>
        <w:t>Schéma mensuel : protocoles IRS (rhabdomyosarcome), Euro-E.W.I.N.G. (sarcome d'Ewing), NB2004 (neuroblastome) — vincristine hebdomadaire × 4-6 semaines tous les 3-4 mois.</w:t>
      </w:r>
    </w:p>
    <w:p>
      <w:pPr>
        <w:pStyle w:val="ListBullet"/>
      </w:pPr>
      <w:r>
        <w:t>Préparation et perfusion :</w:t>
      </w:r>
    </w:p>
    <w:p>
      <w:pPr>
        <w:pStyle w:val="ListBullet"/>
      </w:pPr>
      <w:r/>
      <w:r>
        <w:rPr>
          <w:b/>
        </w:rPr>
        <w:t>Dilution</w:t>
      </w:r>
      <w:r>
        <w:t xml:space="preserve"> : la vincristine (poudre lyophilisée 1 mg/flacon, à reconstituer avec 10 mL EPPI pour obtenir une concentration de 0,1 mg/mL) est diluée dans un minibag de 50 mL NaCl 0,9 % (concentration finale 0,02 mg/mL) — administration IV stricte en minibag (jamais en seringue — pour prévenir l'erreur intrathécale).</w:t>
      </w:r>
    </w:p>
    <w:p>
      <w:pPr>
        <w:pStyle w:val="ListBullet"/>
      </w:pPr>
      <w:r/>
      <w:r>
        <w:rPr>
          <w:b/>
        </w:rPr>
        <w:t>Surveillance pendant la perfusion</w:t>
      </w:r>
      <w:r>
        <w:t xml:space="preserve"> : scope cardiorespiratoire, PAs toutes les 15 min.</w:t>
      </w:r>
    </w:p>
    <w:p>
      <w:pPr>
        <w:pStyle w:val="ListBullet"/>
      </w:pPr>
      <w:r/>
      <w:r>
        <w:rPr>
          <w:b/>
        </w:rPr>
        <w:t>Durée de perfusion</w:t>
      </w:r>
      <w:r>
        <w:t xml:space="preserve"> : 5-10 min (perfusion courte dans un minibag).</w:t>
      </w:r>
    </w:p>
    <w:p>
      <w:pPr>
        <w:pStyle w:val="ListBullet"/>
      </w:pPr>
      <w:r/>
      <w:r>
        <w:rPr>
          <w:b/>
        </w:rPr>
        <w:t>Administration séquentielle</w:t>
      </w:r>
      <w:r>
        <w:t xml:space="preserve"> : si patient a également une chimiothérapie intrathécale le même jour (méthotrexate IT, cytarabine IT) — ADMINISTRER LA VINCISTINE APRÈS la fin de la chimiothérapie IT — jamais en même temps (prévention de l'erreur d'administration IT).</w:t>
      </w:r>
    </w:p>
    <w:p>
      <w:pPr>
        <w:pStyle w:val="ListBullet"/>
      </w:pPr>
      <w:r>
        <w:t>Adaptation posologique :</w:t>
      </w:r>
    </w:p>
    <w:p>
      <w:pPr>
        <w:pStyle w:val="ListBullet"/>
      </w:pPr>
      <w:r>
        <w:t>Insuffisance rénale : pas d'adaptation (élimination hépatique prédominante).</w:t>
      </w:r>
    </w:p>
    <w:p>
      <w:pPr>
        <w:pStyle w:val="ListBullet"/>
      </w:pPr>
      <w:r>
        <w:t>Insuffisance hépatique modérée : dose réduite à 50 %.</w:t>
      </w:r>
    </w:p>
    <w:p>
      <w:pPr>
        <w:pStyle w:val="ListBullet"/>
      </w:pPr>
      <w:r>
        <w:t>Insuffisance hépatique sévère : contre-indication.</w:t>
      </w:r>
    </w:p>
    <w:p>
      <w:pPr>
        <w:pStyle w:val="ListBullet"/>
      </w:pPr>
      <w:r>
        <w:t>Sujet âgé &gt; 70 ans : surveillance neurologique accrue — pas de réduction systématique mais discussion au cas par cas.</w:t>
      </w:r>
    </w:p>
    <w:p>
      <w:pPr>
        <w:pStyle w:val="ListBullet"/>
      </w:pPr>
      <w:r>
        <w:t>Conditions de conservation : flacons de poudre lyophilisée à conserver entre 2 et 8 °C (réfrigérateur) à l'abri de la lumière, ne pas congeler. Après reconstitution en EPPI : stabilité 24 h à 2-8 °C (selon la marque — vérifier le RCP). Après dilution en minibag NaCl 0,9 % : stabilité 24 h à température ambiante (20-25 °C) — ne pas dépasser. Manipulation en ZAC ou hotte par personnel formé exclusivement.</w:t>
      </w:r>
    </w:p>
    <w:p>
      <w:r/>
      <w:r>
        <w:rPr>
          <w:b/>
        </w:rPr>
        <w:t>Arbitrage et Bénéfices des Formes Galéniques :</w:t>
      </w:r>
      <w:r/>
    </w:p>
    <w:p>
      <w:pPr>
        <w:pStyle w:val="ListBullet"/>
      </w:pPr>
      <w:r/>
      <w:r>
        <w:rPr>
          <w:b/>
        </w:rPr>
        <w:t>Poudre lyophilisée pour solution injectable IV — 1 mg/flacon</w:t>
      </w:r>
      <w:r>
        <w:t xml:space="preserve"> (VINCRISTINE-NAPROD Naprod Life Sciences — seule marque active) : galénique historique — poudre à reconstituer avec 10 mL EPPI pour obtenir une concentration de 0,1 mg/mL. La dose standard pour un adulte de 1,7 m² : 2 mg (= dose-cap) — soit 2 flacons de 1 mg. Pour un enfant de 1 m² : 1,4 mg — soit ~ 1,5 flacons de 1 mg (perte d'environ 0,5 mg — gestion rigoureuse par la pharmacie à usage intérieur).</w:t>
      </w:r>
    </w:p>
    <w:p>
      <w:pPr>
        <w:pStyle w:val="ListBullet"/>
      </w:pPr>
      <w:r/>
      <w:r>
        <w:rPr>
          <w:b/>
        </w:rPr>
        <w:t>Forme solution prête à l'emploi — 1 mg/mL</w:t>
      </w:r>
      <w:r>
        <w:t xml:space="preserve"> (CYTOCRISTIN Cipla non renouvelable, ONCOVIN Lilly princeps retiré, VINCRISTINE SULFATE China Meheco retiré, VINCRISTINE SULFATE Therabel retiré, VINCRISTINE PIERRE FABRE non renouvelable) : forme alternative historique — solution prête à l'emploi 1 mg/mL, à diluer en minibag de 50 mL NaCl 0,9 %. Aucune marque active en Algérie à ce jour dans cette galénique — l'approvisionnement repose exclusivement sur la forme poudre lyophilisée Naprod.</w:t>
      </w:r>
    </w:p>
    <w:p>
      <w:pPr>
        <w:pStyle w:val="ListBullet"/>
      </w:pPr>
      <w:r/>
      <w:r>
        <w:rPr>
          <w:b/>
        </w:rPr>
        <w:t>Conditionnement</w:t>
      </w:r>
      <w:r>
        <w:t xml:space="preserve"> : flacons unidoses — manipulation en ZAC ou hotte à flux laminaire vertical, équipements de protection individuelle obligatoires.</w:t>
      </w:r>
    </w:p>
    <w:p>
      <w:pPr>
        <w:pStyle w:val="ListBullet"/>
      </w:pPr>
      <w:r/>
      <w:r>
        <w:rPr>
          <w:b/>
        </w:rPr>
        <w:t>Choix de la marque</w:t>
      </w:r>
      <w:r>
        <w:t xml:space="preserve"> : en pratique, seule VINCRISTINE-NAPROD est disponible en Algérie — pas de choix possible. Anticipation indispensable par le pharmacien hospitalier en cas de rupture (switch vers vinblastine ou vindésine selon l'indication et avis oncologique).</w:t>
      </w:r>
    </w:p>
    <w:p>
      <w:r/>
      <w:r>
        <w:rPr>
          <w:b/>
        </w:rPr>
        <w:t>Instructions et Conseils au Patient :</w:t>
      </w:r>
      <w:r/>
    </w:p>
    <w:p>
      <w:pPr>
        <w:pStyle w:val="ListBullet"/>
      </w:pPr>
      <w:r>
        <w:t>Communication avant la cure :</w:t>
      </w:r>
    </w:p>
    <w:p>
      <w:pPr>
        <w:pStyle w:val="ListBullet"/>
      </w:pPr>
      <w:r>
        <w:t>« Ce médicament est un anticancéreux puissant administré à l'hôpital uniquement, en perfusion veineuse courte (5-10 minutes), hebdomadaire ou toutes les 3 semaines selon votre protocole. »</w:t>
      </w:r>
    </w:p>
    <w:p>
      <w:pPr>
        <w:pStyle w:val="ListBullet"/>
      </w:pPr>
      <w:r>
        <w:t>« Ce médicament est administré UNIQUEMENT par voie intraveineuse — il ne doit JAMAIS être administré par voie intrathécale (dans le liquide céphalo-rachidien) — ce qui serait mortel. La sécurité de l'administration est rigoureusement vérifiée par l'équipe soignante. »</w:t>
      </w:r>
    </w:p>
    <w:p>
      <w:pPr>
        <w:pStyle w:val="ListBullet"/>
      </w:pPr>
      <w:r>
        <w:t>« Vous risquez des effets indésirables neurologiques : picotements, engourdissements dans les mains et les pieds, faiblesse musculaire (surtout des poignets et des pieds), constipation sévère (parfois avec arrêt des selles et des gaz — urgence médicale — si survenue, présentez-vous en urgence), troubles urinaires (rétention), hypotension orthostatique (vertiges en se levant), troubles visuels (ptosis, vision double). »</w:t>
      </w:r>
    </w:p>
    <w:p>
      <w:pPr>
        <w:pStyle w:val="ListBullet"/>
      </w:pPr>
      <w:r>
        <w:t>« Prenez systématiquement un laxatif (macrogol prescrit) pendant toute la durée du traitement — pour prévenir la constipation. »</w:t>
      </w:r>
    </w:p>
    <w:p>
      <w:pPr>
        <w:pStyle w:val="ListBullet"/>
      </w:pPr>
      <w:r>
        <w:t>« Buvez 1,5-2 litres d'eau par jour. »</w:t>
      </w:r>
    </w:p>
    <w:p>
      <w:pPr>
        <w:pStyle w:val="ListBullet"/>
      </w:pPr>
      <w:r>
        <w:t>« Signalez IMMÉDIATEMENT à votre médecin ou présentez-vous aux urgences : fièvre (≥ 38,5 °C), arrêt des selles et des gaz, vomissements importants, distension abdominale, faiblesse musculaire majeure, troubles visuels, confusion. »</w:t>
      </w:r>
    </w:p>
    <w:p>
      <w:pPr>
        <w:pStyle w:val="ListBullet"/>
      </w:pPr>
      <w:r>
        <w:t>« Si vous êtes une femme en âge de procréer, une contraception efficace est OBLIGATOIRE pendant tout le traitement et 6 mois après la dernière cure. Si vous envisagez une grossesse, parlez-en à votre oncologue AVANT la cure. »</w:t>
      </w:r>
    </w:p>
    <w:p>
      <w:pPr>
        <w:pStyle w:val="ListBullet"/>
      </w:pPr>
      <w:r>
        <w:t>« Évitez les vaccins vivants (BCG, ROR, fièvre jaune, varicelle-zona) pendant le traitement et 3 mois après. »</w:t>
      </w:r>
    </w:p>
    <w:p>
      <w:pPr>
        <w:pStyle w:val="ListBullet"/>
      </w:pPr>
      <w:r>
        <w:t>« Évitez le pamplemousse (jus ou fruit) pendant le traitement. »</w:t>
      </w:r>
    </w:p>
    <w:p>
      <w:pPr>
        <w:pStyle w:val="ListBullet"/>
      </w:pPr>
      <w:r>
        <w:t>Surveillance à domicile :</w:t>
      </w:r>
    </w:p>
    <w:p>
      <w:pPr>
        <w:pStyle w:val="ListBullet"/>
      </w:pPr>
      <w:r>
        <w:t>Prendre la température 2 fois/jour pendant 2 semaines après chaque cure — consulter en urgence si fièvre ≥ 38,5 °C.</w:t>
      </w:r>
    </w:p>
    <w:p>
      <w:pPr>
        <w:pStyle w:val="ListBullet"/>
      </w:pPr>
      <w:r>
        <w:t>Surveiller les selles : en cas d'arrêt des selles &gt; 2 jours, douleurs abdominales, vomissements — consulter en urgence (ileus paralytique).</w:t>
      </w:r>
    </w:p>
    <w:p>
      <w:pPr>
        <w:pStyle w:val="ListBullet"/>
      </w:pPr>
      <w:r>
        <w:t>Surveiller la force musculaire des mains et des pieds.</w:t>
      </w:r>
    </w:p>
    <w:p>
      <w:pPr>
        <w:pStyle w:val="ListBullet"/>
      </w:pPr>
      <w:r>
        <w:t>Surveiller la vue : ptosis, vision double — consulter.</w:t>
      </w:r>
    </w:p>
    <w:p>
      <w:pPr>
        <w:pStyle w:val="ListBullet"/>
      </w:pPr>
      <w:r>
        <w:t>Hydratation PO abondante (1,5-2 L/j).</w:t>
      </w:r>
    </w:p>
    <w:p>
      <w:pPr>
        <w:pStyle w:val="ListBullet"/>
      </w:pPr>
      <w:r>
        <w:t>Éviter les foules et contacts avec personnes malades.</w:t>
      </w:r>
    </w:p>
    <w:p>
      <w:r/>
      <w:r>
        <w:rPr>
          <w:b/>
        </w:rPr>
        <w:t>Notes, Règles d'Or &amp; Pièges au Comptoir :</w:t>
      </w:r>
      <w:r/>
    </w:p>
    <w:p>
      <w:pPr>
        <w:pStyle w:val="ListBullet"/>
      </w:pPr>
      <w:r>
        <w:t xml:space="preserve">Piège classique : </w:t>
      </w:r>
      <w:r>
        <w:rPr>
          <w:b/>
        </w:rPr>
        <w:t>administration intrathécale accidentelle</w:t>
      </w:r>
      <w:r>
        <w:t xml:space="preserve"> — erreur cataclysmique — mortelle en 3-7 jours. Prévention : conditionnement EXCLUSIF en minibag IV de 50 mL NaCl 0,9 % (et non en seringue) — protocole OMS, HAS, ANSM. Double contrôle indépendant obligatoire (deux IDE — DCI, dose, voie IV stricte, patient). Séparation physique et temporelle des chimiothérapies IV et IT (vincristine administrée uniquement APRÈS la fin des chimiothérapies IT le même jour).</w:t>
      </w:r>
    </w:p>
    <w:p>
      <w:pPr>
        <w:pStyle w:val="ListBullet"/>
      </w:pPr>
      <w:r>
        <w:t xml:space="preserve">Piège classique : </w:t>
      </w:r>
      <w:r>
        <w:rPr>
          <w:b/>
        </w:rPr>
        <w:t>oubli du laxatif</w:t>
      </w:r>
      <w:r>
        <w:t xml:space="preserve"> — la constipation est quasi-constante sous vincristine et peut évoluer vers un ileus paralytique (urgence médico-chirurgicale). Prescription systématique de macrogol 10-20 g/j PO ± bisacodyl 5-10 mg/j PO au coucher, pendant toute la durée du traitement et 1 semaine après la dernière cure.</w:t>
      </w:r>
    </w:p>
    <w:p>
      <w:pPr>
        <w:pStyle w:val="ListBullet"/>
      </w:pPr>
      <w:r>
        <w:t xml:space="preserve">Piège classique : </w:t>
      </w:r>
      <w:r>
        <w:rPr>
          <w:b/>
        </w:rPr>
        <w:t>neurotoxicité cumulative sous-estimée</w:t>
      </w:r>
      <w:r>
        <w:t xml:space="preserve"> — la neurotoxicité est dose-cumulative (seuil critique à 6-8 mg/m² cumulés — 12-15 mg/m² = toxicité G3 quasi-constante). Évaluation neurologique pré-cure systématique. En cas de neuropathie G3 — switch vers vinblastine ou vinorelbine (moins neurotoxiques).</w:t>
      </w:r>
    </w:p>
    <w:p>
      <w:pPr>
        <w:pStyle w:val="ListBullet"/>
      </w:pPr>
      <w:r>
        <w:t xml:space="preserve">Piège classique : </w:t>
      </w:r>
      <w:r>
        <w:rPr>
          <w:b/>
        </w:rPr>
        <w:t>dose-cap de 2 mg par cure</w:t>
      </w:r>
      <w:r>
        <w:t xml:space="preserve"> — règle historique (fixée dans les années 1970) — contestée en pédiatrie moderne (études modernes suggèrent que la dose-cap n'est pas nécessaire chez l'enfant de surface corporelle &gt; 1,4 m²). Respecter le protocole de l'essai en cours.</w:t>
      </w:r>
    </w:p>
    <w:p>
      <w:pPr>
        <w:pStyle w:val="ListBullet"/>
      </w:pPr>
      <w:r>
        <w:t xml:space="preserve">Piège classique : </w:t>
      </w:r>
      <w:r>
        <w:rPr>
          <w:b/>
        </w:rPr>
        <w:t>interaction avec asparaginase</w:t>
      </w:r>
      <w:r>
        <w:t xml:space="preserve"> — séquence critique — vincristine 12-24 h AVANT asparaginase (l'asparaginase inhibe la protéosynthèse hépatique et réduit la clairance de la vincristine — risque de neurotoxicité accrue si séquence inversée).</w:t>
      </w:r>
    </w:p>
    <w:p>
      <w:pPr>
        <w:pStyle w:val="ListBullet"/>
      </w:pPr>
      <w:r>
        <w:t xml:space="preserve">Piège classique : </w:t>
      </w:r>
      <w:r>
        <w:rPr>
          <w:b/>
        </w:rPr>
        <w:t>interaction avec inhibiteurs du CYP3A4</w:t>
      </w:r>
      <w:r>
        <w:t xml:space="preserve"> (azolés antifongiques, antiprotéases, macrolides) — augmentation majeure de l'AUC vincristine (× 2-3) — risque de neurotoxicité sévère (paralysie ascendante, ileus paralytique prolongé). Éviter l'association ou réduire la dose à 50 %.</w:t>
      </w:r>
    </w:p>
    <w:p>
      <w:pPr>
        <w:pStyle w:val="ListBullet"/>
      </w:pPr>
      <w:r>
        <w:t xml:space="preserve">Piège classique : </w:t>
      </w:r>
      <w:r>
        <w:rPr>
          <w:b/>
        </w:rPr>
        <w:t>SIADH</w:t>
      </w:r>
      <w:r>
        <w:t xml:space="preserve"> — particulièrement chez le sujet âgé et en cas d'insuffisance hépatique — surveillance ionogramme avant chaque cure.</w:t>
      </w:r>
    </w:p>
    <w:p>
      <w:pPr>
        <w:pStyle w:val="ListBullet"/>
      </w:pPr>
      <w:r>
        <w:t xml:space="preserve">Piège classique : </w:t>
      </w:r>
      <w:r>
        <w:rPr>
          <w:b/>
        </w:rPr>
        <w:t>extravasation</w:t>
      </w:r>
      <w:r>
        <w:t xml:space="preserve"> — la vincristine est un vesicant — en cas d'extravasation, nécrose tissulaire. Voie veineuse centrale systématique si traitement prolongé. En cas d'extravasation : compresses CHAUDES (à l'inverse du paclitaxel — la chaleur dilue et favorise la redistribution) + hyaluronidase 150-300 UI SC.</w:t>
      </w:r>
    </w:p>
    <w:p>
      <w:pPr>
        <w:pStyle w:val="ListBullet"/>
      </w:pPr>
      <w:r>
        <w:t>Règle d'or : administration EXCLUSIVE en minibag IV de 50 mL NaCl 0,9 % — JAMAIS en seringue — pour prévenir l'erreur intrathécale.</w:t>
      </w:r>
    </w:p>
    <w:p>
      <w:pPr>
        <w:pStyle w:val="ListBullet"/>
      </w:pPr>
      <w:r>
        <w:t>Règle d'or : laxatif systématique (macrogol + bisacodyl) pendant toute la durée du traitement.</w:t>
      </w:r>
    </w:p>
    <w:p>
      <w:pPr>
        <w:pStyle w:val="ListBullet"/>
      </w:pPr>
      <w:r>
        <w:t>Règle d'or : évaluation neurologique pré-cure systématique — en cas de neuropathie G3 — switch vers vinblastine ou vinorelbine.</w:t>
      </w:r>
    </w:p>
    <w:p>
      <w:pPr>
        <w:pStyle w:val="ListBullet"/>
      </w:pPr>
      <w:r>
        <w:t>Règle d'or : NFS avant chaque cure — pas de cure si PNN &lt; 1 000/mm³ ou plaquettes &lt; 50 000/mm³.</w:t>
      </w:r>
    </w:p>
    <w:p>
      <w:pPr>
        <w:pStyle w:val="ListBullet"/>
      </w:pPr>
      <w:r>
        <w:t>Règle d'or : contraception efficace obligatoire chez la femme en âge de procréer ET chez l'homme partenaire (3 mois).</w:t>
      </w:r>
    </w:p>
    <w:p>
      <w:pPr>
        <w:pStyle w:val="ListBullet"/>
      </w:pPr>
      <w:r>
        <w:t>Préparation et Conservation : flacons de poudre lyophilisée à conserver entre 2 et 8 °C (réfrigérateur) à l'abri de la lumière — ne pas congeler. Après reconstitution en EPPI : stabilité 24 h à 2-8 °C. Après dilution en minibag NaCl 0,9 % : stabilité 24 h à température ambiante. Manipulation en ZAC ou hotte par personnel formé exclusivement.</w:t>
      </w:r>
    </w:p>
    <w:p>
      <w:pPr>
        <w:pStyle w:val="Heading3"/>
      </w:pPr>
      <w:r>
        <w:t>5. DCI : Vinblastine (Seule)</w:t>
      </w:r>
    </w:p>
    <w:p>
      <w:r/>
      <w:r>
        <w:rPr>
          <w:b/>
        </w:rPr>
        <w:t>Liste des Catégories :</w:t>
      </w:r>
      <w:r>
        <w:t xml:space="preserve"> Cytotoxique — Alcaloïde de la pervenche (Vinca — 1re génération) ; Poison du fuseau mitotique (dépolymérisant des microtubules) ; Médicament à surveillance hématologique obligatoire (myélotoxicité dose-limitante) ; Forme IV stricte — par minibag IV ou perfusion courte ; Tératogène (catégorie D — CRAT : « à éviter ») ; Prescription réservée aux spécialistes en oncologie ou hématologie ; Liste I ; médication hospitalière stricte.</w:t>
      </w:r>
    </w:p>
    <w:p>
      <w:r>
        <w:t xml:space="preserve">La vinblastine (vincaleucoblastine, sous forme de sulfate — masse molaire 909 g/mol pour le sulfate) est un alcaloïde dimérique de type bis-indolique (comportant deux noyaux indoliques liés par un pont carbone-carbone), isolé en 1958 par Robert Noble et Charles Thomas Beer (Université de Western Ontario, London, Canada) à partir des feuilles de </w:t>
      </w:r>
      <w:r>
        <w:rPr>
          <w:i/>
        </w:rPr>
        <w:t>Catharanthus roseus</w:t>
      </w:r>
      <w:r>
        <w:t xml:space="preserve">. C'est le premier alcaloïde de la pervenche à avoir été isolé — découvert dans le cadre de la recherche d'hypoglycémiants — et le second à avoir été commercialisé (FDA 1963 — maladie de Hodgkin). Sa structure diffère de la vincristine uniquement par la fonction substituée sur le groupement méthyle de l'azote du noyau vindoline (vinblastine = méthyl — vincristine = formyl) — cette différence minime est responsable d'un profil pharmacologique radicalement différent : la vinblastine est </w:t>
      </w:r>
      <w:r>
        <w:rPr>
          <w:b/>
        </w:rPr>
        <w:t>plus myélotoxique</w:t>
      </w:r>
      <w:r>
        <w:t xml:space="preserve"> (neutropénie dose-limitante) mais </w:t>
      </w:r>
      <w:r>
        <w:rPr>
          <w:b/>
        </w:rPr>
        <w:t>moins neurotoxique</w:t>
      </w:r>
      <w:r>
        <w:t xml:space="preserve"> que la vincristine — d'où son utilisation à des doses plus élevées (5-10 mg/m² vs 1,4 mg/m² pour la vincristine) et un spectre d'indications différent (tumeurs solides, maladie de Hodgkin — plutôt que LAL et lymphomes). La vinblastine reste un pilier du protocole </w:t>
      </w:r>
      <w:r>
        <w:rPr>
          <w:b/>
        </w:rPr>
        <w:t>ABVD</w:t>
      </w:r>
      <w:r>
        <w:t xml:space="preserve"> (doxorubicine + bléomycine + vinblastine + dacarbazine — standard historique de 1re ligne de la maladie de Hodgkin — Bonadonna, NEJM 1986 — protocole toujours recommandé en 1re intention par les recommandations ESMO, NCCN, et SNFGE) et est également utilisée dans le </w:t>
      </w:r>
      <w:r>
        <w:rPr>
          <w:b/>
        </w:rPr>
        <w:t>carcinome testiculaire</w:t>
      </w:r>
      <w:r>
        <w:t xml:space="preserve"> (protocole PVB — cisplatine + vinblastine + bléomycine), le </w:t>
      </w:r>
      <w:r>
        <w:rPr>
          <w:b/>
        </w:rPr>
        <w:t>sarcome de Kaposi</w:t>
      </w:r>
      <w:r>
        <w:t xml:space="preserve"> (sida — protocole BV — bléomycine + vinblastine), et exceptionnellement le </w:t>
      </w:r>
      <w:r>
        <w:rPr>
          <w:b/>
        </w:rPr>
        <w:t>cancer du sein métastatique</w:t>
      </w:r>
      <w:r>
        <w:t xml:space="preserve"> (alternative historique à la vinorelbine).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VELBASTINE</w:t>
            </w:r>
          </w:p>
        </w:tc>
        <w:tc>
          <w:tcPr>
            <w:tcW w:type="dxa" w:w="1559"/>
          </w:tcPr>
          <w:p>
            <w:r>
              <w:rPr>
                <w:sz w:val="20"/>
              </w:rPr>
              <w:t>KOREA UNITED PHARM INC (Corée du Sud)</w:t>
            </w:r>
          </w:p>
        </w:tc>
        <w:tc>
          <w:tcPr>
            <w:tcW w:type="dxa" w:w="1559"/>
          </w:tcPr>
          <w:p>
            <w:r>
              <w:rPr>
                <w:sz w:val="20"/>
              </w:rPr>
              <w:t>Poudre et solvant pour solution injectable IV — 10 mg/flacon</w:t>
            </w:r>
          </w:p>
        </w:tc>
        <w:tc>
          <w:tcPr>
            <w:tcW w:type="dxa" w:w="1559"/>
          </w:tcPr>
          <w:p>
            <w:r>
              <w:rPr>
                <w:sz w:val="20"/>
              </w:rPr>
              <w:t>B/1 flacon de poudre + 1 ampoule de 10 mL de solvant</w:t>
            </w:r>
          </w:p>
        </w:tc>
        <w:tc>
          <w:tcPr>
            <w:tcW w:type="dxa" w:w="1559"/>
          </w:tcPr>
          <w:p>
            <w:r>
              <w:rPr>
                <w:sz w:val="20"/>
              </w:rPr>
              <w:t>Liste I</w:t>
            </w:r>
          </w:p>
        </w:tc>
        <w:tc>
          <w:tcPr>
            <w:tcW w:type="dxa" w:w="1559"/>
          </w:tcPr>
          <w:p>
            <w:r>
              <w:rPr>
                <w:sz w:val="20"/>
              </w:rPr>
              <w:t>**Actif**</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VELBE</w:t>
            </w:r>
          </w:p>
        </w:tc>
        <w:tc>
          <w:tcPr>
            <w:tcW w:type="dxa" w:w="1559"/>
          </w:tcPr>
          <w:p>
            <w:r>
              <w:rPr>
                <w:sz w:val="20"/>
              </w:rPr>
              <w:t>ELI LILLY (princeps)</w:t>
            </w:r>
          </w:p>
        </w:tc>
        <w:tc>
          <w:tcPr>
            <w:tcW w:type="dxa" w:w="1559"/>
          </w:tcPr>
          <w:p>
            <w:r>
              <w:rPr>
                <w:sz w:val="20"/>
              </w:rPr>
              <w:t>Poudre pour solution injectable IV — 10 mg (10 mg/2 mL)</w:t>
            </w:r>
          </w:p>
        </w:tc>
        <w:tc>
          <w:tcPr>
            <w:tcW w:type="dxa" w:w="1559"/>
          </w:tcPr>
          <w:p>
            <w:r>
              <w:rPr>
                <w:sz w:val="20"/>
              </w:rPr>
              <w:t>B/1 flacon</w:t>
            </w:r>
          </w:p>
        </w:tc>
        <w:tc>
          <w:tcPr>
            <w:tcW w:type="dxa" w:w="1559"/>
          </w:tcPr>
          <w:p>
            <w:r>
              <w:rPr>
                <w:sz w:val="20"/>
              </w:rPr>
              <w:t>Liste I</w:t>
            </w:r>
          </w:p>
        </w:tc>
        <w:tc>
          <w:tcPr>
            <w:tcW w:type="dxa" w:w="1559"/>
          </w:tcPr>
          <w:p>
            <w:r>
              <w:rPr>
                <w:sz w:val="20"/>
              </w:rPr>
              <w:t>**Retiré (R)**</w:t>
            </w:r>
          </w:p>
        </w:tc>
      </w:tr>
      <w:tr>
        <w:tc>
          <w:tcPr>
            <w:tcW w:type="dxa" w:w="1559"/>
          </w:tcPr>
          <w:p>
            <w:r>
              <w:rPr>
                <w:sz w:val="20"/>
              </w:rPr>
              <w:t>LEMPLASTINE</w:t>
            </w:r>
          </w:p>
        </w:tc>
        <w:tc>
          <w:tcPr>
            <w:tcW w:type="dxa" w:w="1559"/>
          </w:tcPr>
          <w:p>
            <w:r>
              <w:rPr>
                <w:sz w:val="20"/>
              </w:rPr>
              <w:t>LEMERY SA DE CV (Mexique)</w:t>
            </w:r>
          </w:p>
        </w:tc>
        <w:tc>
          <w:tcPr>
            <w:tcW w:type="dxa" w:w="1559"/>
          </w:tcPr>
          <w:p>
            <w:r>
              <w:rPr>
                <w:sz w:val="20"/>
              </w:rPr>
              <w:t>Poudre et solvant pour solution injectable IV — 1 mg/mL (10 mg/10 mL)</w:t>
            </w:r>
          </w:p>
        </w:tc>
        <w:tc>
          <w:tcPr>
            <w:tcW w:type="dxa" w:w="1559"/>
          </w:tcPr>
          <w:p>
            <w:r>
              <w:rPr>
                <w:sz w:val="20"/>
              </w:rPr>
              <w:t>B/1 flacon de poudre + 1 ampoule de 10 mL de solvant</w:t>
            </w:r>
          </w:p>
        </w:tc>
        <w:tc>
          <w:tcPr>
            <w:tcW w:type="dxa" w:w="1559"/>
          </w:tcPr>
          <w:p>
            <w:r>
              <w:rPr>
                <w:sz w:val="20"/>
              </w:rPr>
              <w:t>Liste I</w:t>
            </w:r>
          </w:p>
        </w:tc>
        <w:tc>
          <w:tcPr>
            <w:tcW w:type="dxa" w:w="1559"/>
          </w:tcPr>
          <w:p>
            <w:r>
              <w:rPr>
                <w:sz w:val="20"/>
              </w:rPr>
              <w:t>**Retiré (R)**</w:t>
            </w:r>
          </w:p>
        </w:tc>
      </w:tr>
    </w:tbl>
    <w:p/>
    <w:p>
      <w:r/>
      <w:r>
        <w:rPr>
          <w:i/>
        </w:rPr>
        <w:t>Note : la vinblastine est disponible en Algérie sous une seule marque active — VELBASTINE Korea United Pharm (poudre 10 mg/flacon + solvant). Le princeps VELBE® (Eli Lilly) a été retiré. L'approvisionnement est relativement précaire — à surveiller. La dose standard pour un adulte de 1,7 m² : 6 mg/m² × 1,7 = ~ 10 mg — soit 1 flacon de 10 mg par cure (ABVD).</w:t>
      </w:r>
      <w:r/>
    </w:p>
    <w:p>
      <w:r/>
      <w:r>
        <w:rPr>
          <w:b/>
        </w:rPr>
        <w:t>Sous-classe et Mécanisme d'action :</w:t>
      </w:r>
      <w:r/>
    </w:p>
    <w:p>
      <w:pPr>
        <w:pStyle w:val="ListBullet"/>
      </w:pPr>
      <w:r>
        <w:t>Sous-classe : Alcaloïdes de la pervenche (Vinca — 1re génération — poison du fuseau mitotique dépolymérisant). Classification ATC : L01CA01. La vinblastine est indiquée dans la maladie de Hodgkin (protocole ABVD — 1re ligne), le carcinome testiculaire (protocole PVB), le sarcome de Kaposi, et exceptionnellement le cancer du sein métastatique. Sa place dans l'arsenal thérapeutique est restée centrale depuis 1963 — la vinblastine reste un pilier du protocole ABVD de 1re ligne de la maladie de Hodgkin. Moins neurotoxique que la vincristine, mais plus myélotoxic — d'où une surveillance hématologique plus stricte.</w:t>
      </w:r>
    </w:p>
    <w:p>
      <w:pPr>
        <w:pStyle w:val="ListBullet"/>
      </w:pPr>
      <w:r>
        <w:t xml:space="preserve">Mécanisme d'action : identique à la vincristine — </w:t>
      </w:r>
      <w:r>
        <w:rPr>
          <w:b/>
        </w:rPr>
        <w:t>dépolymérisation des microtubules par fixation à la β-tubuline au site vinca</w:t>
      </w:r>
      <w:r>
        <w:t xml:space="preserve"> (poche hydrophobe formée par les hélices H6-H7 et la boucle M). Cette fixation empêche la polymérisation de la tubuline en microtubules. Le fuseau mitotique ne peut plus se former → bloc mitotique en prométaphase/métaphase → apoptose. Affinité pour la tubuline légèrement inférieure à la vincristine (Kd ~ 0,3 µM vs 0,1 µM) — d'où toxicité neurologique inférieure et myélotoxicité supérieure (les cellules hématopoïétiques sont plus sensibles à la dépolymérisation des microtubules que les neurones).</w:t>
      </w:r>
    </w:p>
    <w:p>
      <w:r/>
      <w:r>
        <w:rPr>
          <w:b/>
        </w:rPr>
        <w:t>Profil Pharmacologique et Indications :</w:t>
      </w:r>
      <w:r/>
    </w:p>
    <w:p>
      <w:pPr>
        <w:pStyle w:val="ListBullet"/>
      </w:pPr>
      <w:r>
        <w:t>Indications (selon AMM française et algérienne — RCP VIDAL 2026) :</w:t>
      </w:r>
    </w:p>
    <w:p>
      <w:pPr>
        <w:pStyle w:val="ListBullet"/>
      </w:pPr>
      <w:r/>
      <w:r>
        <w:rPr>
          <w:b/>
        </w:rPr>
        <w:t>Maladie de Hodgkin</w:t>
      </w:r>
      <w:r>
        <w:t xml:space="preserve"> : protocole ABVD (doxorubicine 25 mg/m² J1 + J15 + bléomycine 10 mg/m² J1 + J15 + vinblastine 6 mg/m² J1 + J15 + dacarbazine 375 mg/m² J1 + J15 — toutes les 4 semaines × 6 cycles) — standard de 1re ligne — Bonadonna NEJM 1986. Alternative : protocole escaladé BEACOPP (plus efficace mais plus toxique — particulièrement chez le sujet âgé).</w:t>
      </w:r>
    </w:p>
    <w:p>
      <w:pPr>
        <w:pStyle w:val="ListBullet"/>
      </w:pPr>
      <w:r/>
      <w:r>
        <w:rPr>
          <w:b/>
        </w:rPr>
        <w:t>Carcinome testiculaire</w:t>
      </w:r>
      <w:r>
        <w:t xml:space="preserve"> : protocole PVB (cisplatine 20 mg/m² J1-J5 + vinblastine 0,15 mg/kg J1-J2 + bléomycine 30 UI J1, J8, J15 — toutes les 3 semaines × 4 cycles) — historique — aujourd'hui supplanté par BEP (bléomycine + étoposide + cisplatine — moins neurotoxique et également efficace).</w:t>
      </w:r>
    </w:p>
    <w:p>
      <w:pPr>
        <w:pStyle w:val="ListBullet"/>
      </w:pPr>
      <w:r/>
      <w:r>
        <w:rPr>
          <w:b/>
        </w:rPr>
        <w:t>Sarcome de Kaposi</w:t>
      </w:r>
      <w:r>
        <w:t xml:space="preserve"> (lié au VIH — forme épidémique) : protocole BV (bléomycine 15 UI/m² J1 + J15 + vinblastine 6 mg/m² J1 + J15 — toutes les 2 semaines × 6 cycles) — particularly pour les formes étendues ou résistantes aux liposomales.</w:t>
      </w:r>
    </w:p>
    <w:p>
      <w:pPr>
        <w:pStyle w:val="ListBullet"/>
      </w:pPr>
      <w:r/>
      <w:r>
        <w:rPr>
          <w:b/>
        </w:rPr>
        <w:t>Cancer du sein métastatique</w:t>
      </w:r>
      <w:r>
        <w:t xml:space="preserve"> : historique — vinblastine 6-8 mg/m² J1 toutes les 3 semaines — aujourd'hui supplanté par la vinorelbine (moins neurotoxique et forme orale disponible).</w:t>
      </w:r>
    </w:p>
    <w:p>
      <w:pPr>
        <w:pStyle w:val="ListBullet"/>
      </w:pPr>
      <w:r/>
      <w:r>
        <w:rPr>
          <w:b/>
        </w:rPr>
        <w:t>Maladie de Letterer-Siwe</w:t>
      </w:r>
      <w:r>
        <w:t xml:space="preserve"> (histiocytose langerhansienne disséminée de l'enfant) : vinblastine 6 mg/m² hebdomadaire × 6-12 semaines — alternative à l'étoposide.</w:t>
      </w:r>
    </w:p>
    <w:p>
      <w:pPr>
        <w:pStyle w:val="ListBullet"/>
      </w:pPr>
      <w:r/>
      <w:r>
        <w:rPr>
          <w:b/>
        </w:rPr>
        <w:t>Hors-AMM</w:t>
      </w:r>
      <w:r>
        <w:t xml:space="preserve"> (référentiel NCCN Off-label) : cancers de la vessie (protocole MVAC — méthotrexate + vinblastine + doxorubicine + cisplatine — supplanté par GC) ; sarcomes des tissus mous (alternatives historiques).</w:t>
      </w:r>
    </w:p>
    <w:p>
      <w:pPr>
        <w:pStyle w:val="ListBullet"/>
      </w:pPr>
      <w:r>
        <w:t>Particularités pharmacologiques :</w:t>
      </w:r>
    </w:p>
    <w:p>
      <w:pPr>
        <w:pStyle w:val="ListBullet"/>
      </w:pPr>
      <w:r>
        <w:t>Cinétique tricompartimentale — clairance 12 L/h/m² (CV 35 %).</w:t>
      </w:r>
    </w:p>
    <w:p>
      <w:pPr>
        <w:pStyle w:val="ListBullet"/>
      </w:pPr>
      <w:r>
        <w:t>Distribution large — Vd 27 L/m² ; liaison protéique modérée (75 %).</w:t>
      </w:r>
    </w:p>
    <w:p>
      <w:pPr>
        <w:pStyle w:val="ListBullet"/>
      </w:pPr>
      <w:r>
        <w:t>Métabolisme hépatique prédominant (CYP3A4 → métabolites inactifs ou faiblement actifs) — élimination biliaire (~ 70 % dans les fèces en 72 h) ; moins de 10 % dans les urines (rôle rénal négligeable → utilisable chez l'insuffisant rénal sans adaptation).</w:t>
      </w:r>
    </w:p>
    <w:p>
      <w:pPr>
        <w:pStyle w:val="ListBullet"/>
      </w:pPr>
      <w:r>
        <w:t>Demi-vie d'élimination : 19-25 h (biphasique — α-phase 4 min, β-phase 1,5 h, γ-phase 24 h).</w:t>
      </w:r>
    </w:p>
    <w:p>
      <w:pPr>
        <w:pStyle w:val="ListBullet"/>
      </w:pPr>
      <w:r>
        <w:t>Adaptation hépatique : (i) fonction hépatique normale : dose pleine (6 mg/m²) ; (ii) insuffisance hépatique modérée (bilirubine 1,5-3 × LSN, ou ASAT/ALAT 2-5 × LSN) : réduction à 50 % (3 mg/m²) ; (iii) insuffisance hépatique sévère (bilirubine &gt; 3 × LSN) : contre-indication.</w:t>
      </w:r>
    </w:p>
    <w:p>
      <w:pPr>
        <w:pStyle w:val="ListBullet"/>
      </w:pPr>
      <w:r>
        <w:t>Schémas : (i) vinblastine 6 mg/m² J1 (et J15 dans ABVD) en minibag IV de 50 mL NaCl 0,9 % sur 5-10 min, toutes les 4 semaines (ABVD) ; (ii) vinblastine 0,15 mg/kg J1-J2 dans protocole PVB — toutes les 3 semaines.</w:t>
      </w:r>
    </w:p>
    <w:p>
      <w:r/>
      <w:r>
        <w:rPr>
          <w:b/>
        </w:rPr>
        <w:t>Contre-indications et Précautions d'Emploi :</w:t>
      </w:r>
      <w:r/>
    </w:p>
    <w:p>
      <w:pPr>
        <w:pStyle w:val="ListBullet"/>
      </w:pPr>
      <w:r>
        <w:t>Contre-indications ABSOLUES :</w:t>
      </w:r>
    </w:p>
    <w:p>
      <w:pPr>
        <w:pStyle w:val="ListBullet"/>
      </w:pPr>
      <w:r/>
      <w:r>
        <w:rPr>
          <w:b/>
        </w:rPr>
        <w:t>Administration intrathécale (IT)</w:t>
      </w:r>
      <w:r>
        <w:t xml:space="preserve"> : CONTRE-INDICATION ABSOLUE — identique à la vincristine — erreur cataclysmique potentiellement mortelle. Prévention : conditionnement exclusif en minibag IV de 50 mL NaCl 0,9 %.</w:t>
      </w:r>
    </w:p>
    <w:p>
      <w:pPr>
        <w:pStyle w:val="ListBullet"/>
      </w:pPr>
      <w:r>
        <w:t>Hypersensibilité connue à la vinblastine ou à l'un des excipients.</w:t>
      </w:r>
    </w:p>
    <w:p>
      <w:pPr>
        <w:pStyle w:val="ListBullet"/>
      </w:pPr>
      <w:r/>
      <w:r>
        <w:rPr>
          <w:b/>
        </w:rPr>
        <w:t>Neutropénie sévère</w:t>
      </w:r>
      <w:r>
        <w:t xml:space="preserve"> (&lt; 1 500/mm³) pré-existante — attendre récupération PNN ≥ 1 500/mm³ avant la cure (la vinblastine est nettement plus myélotoxic que la vincristine).</w:t>
      </w:r>
    </w:p>
    <w:p>
      <w:pPr>
        <w:pStyle w:val="ListBullet"/>
      </w:pPr>
      <w:r/>
      <w:r>
        <w:rPr>
          <w:b/>
        </w:rPr>
        <w:t>Insuffisance hépatique sévère</w:t>
      </w:r>
      <w:r>
        <w:t xml:space="preserve"> (bilirubine &gt; 3 × LSN) — risque d'augmentation majeure de l'AUC et de toxicité grave (neutropénie fébrile, neurotoxicité).</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r>
        <w:rPr>
          <w:b/>
        </w:rPr>
        <w:t>Administration en minibag IV de 50 mL NaCl 0,9 %</w:t>
      </w:r>
      <w:r>
        <w:t xml:space="preserve"> sur 5-10 min — pas en bolus IV ni en seringue (prévention de l'erreur IT).</w:t>
      </w:r>
    </w:p>
    <w:p>
      <w:pPr>
        <w:pStyle w:val="ListBullet"/>
      </w:pPr>
      <w:r/>
      <w:r>
        <w:rPr>
          <w:b/>
        </w:rPr>
        <w:t>Surveillance hématologique</w:t>
      </w:r>
      <w:r>
        <w:t xml:space="preserve"> : NFS avant chaque cure (PNN ≥ 1 500/mm³, plaquettes ≥ 100 000/mm³) ; en cas de neutropénie à la cure précédente — délai de 1 semaine, dose réduite à 50 %.</w:t>
      </w:r>
    </w:p>
    <w:p>
      <w:pPr>
        <w:pStyle w:val="ListBullet"/>
      </w:pPr>
      <w:r/>
      <w:r>
        <w:rPr>
          <w:b/>
        </w:rPr>
        <w:t>Surveillance neurologique</w:t>
      </w:r>
      <w:r>
        <w:t xml:space="preserve"> : moins marquée que pour la vincristine — examen clinique pré-cure à la recherche de paresthésies, hypoesthésie, faiblesse motrice distale.</w:t>
      </w:r>
    </w:p>
    <w:p>
      <w:pPr>
        <w:pStyle w:val="ListBullet"/>
      </w:pPr>
      <w:r/>
      <w:r>
        <w:rPr>
          <w:b/>
        </w:rPr>
        <w:t>Surveillance hépatique</w:t>
      </w:r>
      <w:r>
        <w:t xml:space="preserve"> : bilan hépatique avant chaque cure — adaptation posologique selon grille.</w:t>
      </w:r>
    </w:p>
    <w:p>
      <w:pPr>
        <w:pStyle w:val="ListBullet"/>
      </w:pPr>
      <w:r>
        <w:t>Précautions de manipulation : cytotoxique — manipulation exclusivement par personnel formé.</w:t>
      </w:r>
    </w:p>
    <w:p>
      <w:pPr>
        <w:pStyle w:val="ListBullet"/>
      </w:pPr>
      <w:r>
        <w:t>Précautions de perfusion : tubulure sans DEHP ; tubulure en polyéthylène ou polyoléfine.</w:t>
      </w:r>
    </w:p>
    <w:p>
      <w:r/>
      <w:r>
        <w:rPr>
          <w:b/>
        </w:rPr>
        <w:t>Effets Indésirables :</w:t>
      </w:r>
      <w:r/>
    </w:p>
    <w:p>
      <w:pPr>
        <w:pStyle w:val="ListBullet"/>
      </w:pPr>
      <w:r/>
      <w:r>
        <w:rPr>
          <w:b/>
        </w:rPr>
        <w:t>Myélosuppression</w:t>
      </w:r>
      <w:r>
        <w:t xml:space="preserve"> (effet dose-limitant — particularly marquée pour la vinblastine) :</w:t>
      </w:r>
    </w:p>
    <w:p>
      <w:pPr>
        <w:pStyle w:val="ListBullet"/>
      </w:pPr>
      <w:r/>
      <w:r>
        <w:rPr>
          <w:b/>
        </w:rPr>
        <w:t>Neutropénie</w:t>
      </w:r>
      <w:r>
        <w:t xml:space="preserve"> : quasi-constante (grade 3-4 : 50-70 % à 6 mg/m²) — nadir J5-J10, récupération J14-21. Neutropénie fébrile : 5-15 % des cures.</w:t>
      </w:r>
    </w:p>
    <w:p>
      <w:pPr>
        <w:pStyle w:val="ListBullet"/>
      </w:pPr>
      <w:r>
        <w:t>Thrombopénie : 10-20 % (grade 3-4 : 5 %).</w:t>
      </w:r>
    </w:p>
    <w:p>
      <w:pPr>
        <w:pStyle w:val="ListBullet"/>
      </w:pPr>
      <w:r>
        <w:t>Anémie : 30-50 % (grade 3-4 : 5-10 %).</w:t>
      </w:r>
    </w:p>
    <w:p>
      <w:pPr>
        <w:pStyle w:val="ListBullet"/>
      </w:pPr>
      <w:r/>
      <w:r>
        <w:rPr>
          <w:b/>
        </w:rPr>
        <w:t>Neurotoxicité périphérique</w:t>
      </w:r>
      <w:r>
        <w:t xml:space="preserve"> (moins marquée que la vincristine — 10-20 % G1-2, &lt; 5 % G3-4) :</w:t>
      </w:r>
    </w:p>
    <w:p>
      <w:pPr>
        <w:pStyle w:val="ListBullet"/>
      </w:pPr>
      <w:r>
        <w:t>Sensitives : paresthésies, dysesthésies en « gants et chaussettes ».</w:t>
      </w:r>
    </w:p>
    <w:p>
      <w:pPr>
        <w:pStyle w:val="ListBullet"/>
      </w:pPr>
      <w:r>
        <w:t>Motrices : rares.</w:t>
      </w:r>
    </w:p>
    <w:p>
      <w:pPr>
        <w:pStyle w:val="ListBullet"/>
      </w:pPr>
      <w:r>
        <w:t>Autonomiques : constipation (30-50 %), ileus paralytique (rare — 1-2 %), hypotension orthostatique (5-10 %).</w:t>
      </w:r>
    </w:p>
    <w:p>
      <w:pPr>
        <w:pStyle w:val="ListBullet"/>
      </w:pPr>
      <w:r/>
      <w:r>
        <w:rPr>
          <w:b/>
        </w:rPr>
        <w:t>Hypersensibilité</w:t>
      </w:r>
      <w:r>
        <w:t xml:space="preserve"> (rare — &lt; 5 %) : réactions légères (flush, urticaire).</w:t>
      </w:r>
    </w:p>
    <w:p>
      <w:pPr>
        <w:pStyle w:val="ListBullet"/>
      </w:pPr>
      <w:r/>
      <w:r>
        <w:rPr>
          <w:b/>
        </w:rPr>
        <w:t>Toxicité digestive</w:t>
      </w:r>
      <w:r>
        <w:t xml:space="preserve"> :</w:t>
      </w:r>
    </w:p>
    <w:p>
      <w:pPr>
        <w:pStyle w:val="ListBullet"/>
      </w:pPr>
      <w:r>
        <w:t>Nausées/vomissements (modérés — 30-50 % — grade 3-4 : 5 %).</w:t>
      </w:r>
    </w:p>
    <w:p>
      <w:pPr>
        <w:pStyle w:val="ListBullet"/>
      </w:pPr>
      <w:r>
        <w:t>Constipation (30-50 % — parfois sévère).</w:t>
      </w:r>
    </w:p>
    <w:p>
      <w:pPr>
        <w:pStyle w:val="ListBullet"/>
      </w:pPr>
      <w:r>
        <w:t>Mucite (10-20 %).</w:t>
      </w:r>
    </w:p>
    <w:p>
      <w:pPr>
        <w:pStyle w:val="ListBullet"/>
      </w:pPr>
      <w:r/>
      <w:r>
        <w:rPr>
          <w:b/>
        </w:rPr>
        <w:t>Alopécie</w:t>
      </w:r>
      <w:r>
        <w:t xml:space="preserve"> (fréquente — 30-50 % — généralement partielle et réversible).</w:t>
      </w:r>
    </w:p>
    <w:p>
      <w:pPr>
        <w:pStyle w:val="ListBullet"/>
      </w:pPr>
      <w:r/>
      <w:r>
        <w:rPr>
          <w:b/>
        </w:rPr>
        <w:t>Toxicité hépatique</w:t>
      </w:r>
      <w:r>
        <w:t xml:space="preserve"> : cytolyse (5-10 % — grade 3-4 : 2 %), cholestase intra-hépatique (rare).</w:t>
      </w:r>
    </w:p>
    <w:p>
      <w:pPr>
        <w:pStyle w:val="ListBullet"/>
      </w:pPr>
      <w:r/>
      <w:r>
        <w:rPr>
          <w:b/>
        </w:rPr>
        <w:t>Toxicité cardiovasculaire</w:t>
      </w:r>
      <w:r>
        <w:t xml:space="preserve"> : hypertension (rare), hypotension (5 %), ischémie myocardique (très rare).</w:t>
      </w:r>
    </w:p>
    <w:p>
      <w:pPr>
        <w:pStyle w:val="ListBullet"/>
      </w:pPr>
      <w:r/>
      <w:r>
        <w:rPr>
          <w:b/>
        </w:rPr>
        <w:t>Toxicité locale au point d'injection</w:t>
      </w:r>
      <w:r>
        <w:t xml:space="preserve"> : réaction locale ; extravasation → nécrose tissulaire (vesicant — voie veineuse centrale si traitement prolongé).</w:t>
      </w:r>
    </w:p>
    <w:p>
      <w:r/>
      <w:r>
        <w:rPr>
          <w:b/>
        </w:rPr>
        <w:t>Prévention et Gestion des Effets Indésirables :</w:t>
      </w:r>
      <w:r/>
    </w:p>
    <w:p>
      <w:pPr>
        <w:pStyle w:val="ListBullet"/>
      </w:pPr>
      <w:r>
        <w:t>Prévention systématique :</w:t>
      </w:r>
    </w:p>
    <w:p>
      <w:pPr>
        <w:pStyle w:val="ListBullet"/>
      </w:pPr>
      <w:r/>
      <w:r>
        <w:rPr>
          <w:b/>
        </w:rPr>
        <w:t>Prévention de l'erreur intrathécale</w:t>
      </w:r>
      <w:r>
        <w:t xml:space="preserve"> : conditionnement EXCLUSIF en minibag IV de 50 mL NaCl 0,9 % — protocole OMS, HAS, ANSM. Double contrôle indépendant obligatoire.</w:t>
      </w:r>
    </w:p>
    <w:p>
      <w:pPr>
        <w:pStyle w:val="ListBullet"/>
      </w:pPr>
      <w:r/>
      <w:r>
        <w:rPr>
          <w:b/>
        </w:rPr>
        <w:t>Prévention hématologique</w:t>
      </w:r>
      <w:r>
        <w:t xml:space="preserve"> : NFS avant chaque cure, délai à J8 si PNN &lt; 1 500/mm³, G-CSF prophylactique secondaire (après 1er épisode de neutropénie fébrile) ou primaire (patient &gt; 65 ans, antécédents de radiothérapie large champs, PS ≥ 2, protocole ABVD chez le sujet âgé).</w:t>
      </w:r>
    </w:p>
    <w:p>
      <w:pPr>
        <w:pStyle w:val="ListBullet"/>
      </w:pPr>
      <w:r/>
      <w:r>
        <w:rPr>
          <w:b/>
        </w:rPr>
        <w:t>Prévention digestive</w:t>
      </w:r>
      <w:r>
        <w:t xml:space="preserve"> : laxatif systématique (macrogol 10-20 g/j PO ± bisacodyl 5-10 mg/j PO au coucher) pendant toute la durée du traitement.</w:t>
      </w:r>
    </w:p>
    <w:p>
      <w:pPr>
        <w:pStyle w:val="ListBullet"/>
      </w:pPr>
      <w:r/>
      <w:r>
        <w:rPr>
          <w:b/>
        </w:rPr>
        <w:t>Prévention neurotoxicité</w:t>
      </w:r>
      <w:r>
        <w:t xml:space="preserve"> : évaluation neurologique pré-cure — moins marquée que pour la vincristine.</w:t>
      </w:r>
    </w:p>
    <w:p>
      <w:pPr>
        <w:pStyle w:val="ListBullet"/>
      </w:pPr>
      <w:r>
        <w:t>Conduite à tenir :</w:t>
      </w:r>
    </w:p>
    <w:p>
      <w:pPr>
        <w:pStyle w:val="ListBullet"/>
      </w:pPr>
      <w:r/>
      <w:r>
        <w:rPr>
          <w:b/>
        </w:rPr>
        <w:t>En cas de neutropénie fébrile</w:t>
      </w:r>
      <w:r>
        <w:t xml:space="preserve"> : hospitalisation URGENCE, antibiothérapie empirique large spectre, G-CSF, délai 1-2 semaines, réduction de dose à 50 % (3 mg/m²) et G-CSF prophylactique pour les cures suivantes.</w:t>
      </w:r>
    </w:p>
    <w:p>
      <w:pPr>
        <w:pStyle w:val="ListBullet"/>
      </w:pPr>
      <w:r/>
      <w:r>
        <w:rPr>
          <w:b/>
        </w:rPr>
        <w:t>En cas d'erreur intrathécale</w:t>
      </w:r>
      <w:r>
        <w:t xml:space="preserve"> : cf. vincristine — protocole de sauvetage identique.</w:t>
      </w:r>
    </w:p>
    <w:p>
      <w:pPr>
        <w:pStyle w:val="ListBullet"/>
      </w:pPr>
      <w:r/>
      <w:r>
        <w:rPr>
          <w:b/>
        </w:rPr>
        <w:t>En cas de neurotoxicité G ≥ 3</w:t>
      </w:r>
      <w:r>
        <w:t xml:space="preserve"> : suspension, évaluation neurologique, switch thérapeutique.</w:t>
      </w:r>
    </w:p>
    <w:p>
      <w:pPr>
        <w:pStyle w:val="ListBullet"/>
      </w:pPr>
      <w:r/>
      <w:r>
        <w:rPr>
          <w:b/>
        </w:rPr>
        <w:t>En cas d'extravasation</w:t>
      </w:r>
      <w:r>
        <w:t xml:space="preserve"> : cf. vincristine — compresses chaudes + hyaluronidase 150-300 UI SC.</w:t>
      </w:r>
    </w:p>
    <w:p>
      <w:r/>
      <w:r>
        <w:rPr>
          <w:b/>
        </w:rPr>
        <w:t>Interactions Importantes :</w:t>
      </w:r>
      <w:r/>
    </w:p>
    <w:p>
      <w:pPr>
        <w:pStyle w:val="ListBullet"/>
      </w:pPr>
      <w:r/>
      <w:r>
        <w:rPr>
          <w:b/>
        </w:rPr>
        <w:t>Vinblastine + inhibiteurs du CYP3A4</w:t>
      </w:r>
      <w:r>
        <w:t xml:space="preserve"> (azolés, antiprotéases, macrolides, grapefruit) : augmentation majeure de l'AUC vinblastine (× 2-3) — risque de myélosuppression sévère et de neurotoxicité. Éviter l'association ou réduire la dose à 50 %.</w:t>
      </w:r>
    </w:p>
    <w:p>
      <w:pPr>
        <w:pStyle w:val="ListBullet"/>
      </w:pPr>
      <w:r/>
      <w:r>
        <w:rPr>
          <w:b/>
        </w:rPr>
        <w:t>Vinblastine + inducteurs du CYP3A4</w:t>
      </w:r>
      <w:r>
        <w:t xml:space="preserve"> (rifampicine, phénytoïne, carbamazépine, phénobarbital, millepertuis) : baisse de l'AUC vinblastine — risque d'efficacité réduite.</w:t>
      </w:r>
    </w:p>
    <w:p>
      <w:pPr>
        <w:pStyle w:val="ListBullet"/>
      </w:pPr>
      <w:r/>
      <w:r>
        <w:rPr>
          <w:b/>
        </w:rPr>
        <w:t>Vinblastine + anticancéreux autres</w:t>
      </w:r>
      <w:r>
        <w:t xml:space="preserve"> : doxorubicine (cardiotoxicité additif — surveillance FEVG, séquence doxorubicine → vinblastine) ; bléomycine (pneumotoxicité additif — surveillance fonction respiratoire) ; cisplatine (neurotoxicité synergique — particularly cumulative) ; dacarbazine (hepatotoxicité additif — surveillance).</w:t>
      </w:r>
    </w:p>
    <w:p>
      <w:pPr>
        <w:pStyle w:val="ListBullet"/>
      </w:pPr>
      <w:r/>
      <w:r>
        <w:rPr>
          <w:b/>
        </w:rPr>
        <w:t>Vinblastine + anticoagulants oraux</w:t>
      </w:r>
      <w:r>
        <w:t xml:space="preserve"> : augmentation de l'INR. Surveillance INR.</w:t>
      </w:r>
    </w:p>
    <w:p>
      <w:pPr>
        <w:pStyle w:val="ListBullet"/>
      </w:pPr>
      <w:r/>
      <w:r>
        <w:rPr>
          <w:b/>
        </w:rPr>
        <w:t>Vinblastine + vaccines vivants atténués</w:t>
      </w:r>
      <w:r>
        <w:t xml:space="preserve"> : contre-indication.</w:t>
      </w:r>
    </w:p>
    <w:p>
      <w:r/>
      <w:r>
        <w:rPr>
          <w:b/>
        </w:rPr>
        <w:t>Grossesse et Allaitement :</w:t>
      </w:r>
      <w:r/>
    </w:p>
    <w:p>
      <w:pPr>
        <w:pStyle w:val="ListBullet"/>
      </w:pPr>
      <w:r>
        <w:t>Grossesse : selon le CRAT, la vinblastine est classée « à éviter » (catégorie D — tératogène). Contraception obligatoire pendant le traitement et 6 mois après dernière cure. Conservation de gamètes à proposer avant 1re cure.</w:t>
      </w:r>
    </w:p>
    <w:p>
      <w:pPr>
        <w:pStyle w:val="ListBullet"/>
      </w:pPr>
      <w:r>
        <w:t>Allaitement : contre-indication ABSOLUE — interruption définitive avant la 1re cure.</w:t>
      </w:r>
    </w:p>
    <w:p>
      <w:r/>
      <w:r>
        <w:rPr>
          <w:b/>
        </w:rPr>
        <w:t>Posologie et Mode d'Administration :</w:t>
      </w:r>
      <w:r/>
    </w:p>
    <w:p>
      <w:pPr>
        <w:pStyle w:val="ListBullet"/>
      </w:pPr>
      <w:r>
        <w:t>Adulte :</w:t>
      </w:r>
    </w:p>
    <w:p>
      <w:pPr>
        <w:pStyle w:val="ListBullet"/>
      </w:pPr>
      <w:r/>
      <w:r>
        <w:rPr>
          <w:b/>
        </w:rPr>
        <w:t>Schéma standard</w:t>
      </w:r>
      <w:r>
        <w:t xml:space="preserve"> : 6 mg/m² J1 (et J15 dans ABVD) en minibag IV de 50 mL NaCl 0,9 % sur 5-10 min, toutes les 4 semaines (ABVD) ou toutes les 3 semaines (autres protocoles).</w:t>
      </w:r>
    </w:p>
    <w:p>
      <w:pPr>
        <w:pStyle w:val="ListBullet"/>
      </w:pPr>
      <w:r/>
      <w:r>
        <w:rPr>
          <w:b/>
        </w:rPr>
        <w:t>Dose maximale par cure</w:t>
      </w:r>
      <w:r>
        <w:t xml:space="preserve"> : 10 mg/m² (au-delà — toxicité excessive).</w:t>
      </w:r>
    </w:p>
    <w:p>
      <w:pPr>
        <w:pStyle w:val="ListBullet"/>
      </w:pPr>
      <w:r/>
      <w:r>
        <w:rPr>
          <w:b/>
        </w:rPr>
        <w:t>Réduction de dose</w:t>
      </w:r>
      <w:r>
        <w:t xml:space="preserve"> : (i) si neutropénie fébrile à la cure précédente — réduction à 50 % (3 mg/m²) + G-CSF prophylactique ; (ii) si neurotoxicité G3 — arrêt définitif ; (iii) si insuffisance hépatique modérée (bilirubine 1,5-3 × LSN) — réduction à 50 %.</w:t>
      </w:r>
    </w:p>
    <w:p>
      <w:pPr>
        <w:pStyle w:val="ListBullet"/>
      </w:pPr>
      <w:r>
        <w:t>Enfant :</w:t>
      </w:r>
    </w:p>
    <w:p>
      <w:pPr>
        <w:pStyle w:val="ListBullet"/>
      </w:pPr>
      <w:r>
        <w:t>Schéma standard : 6 mg/m² hebdomadaire (maladie de Letterer-Siwe) ou 2,5 mg/m² J1 + J15 toutes les 4 semaines (Hodgkin pédiatrique — protocole OEPA — vincristine est préférée à la vinblastine en pédiatrie).</w:t>
      </w:r>
    </w:p>
    <w:p>
      <w:pPr>
        <w:pStyle w:val="ListBullet"/>
      </w:pPr>
      <w:r>
        <w:t>Préparation et perfusion :</w:t>
      </w:r>
    </w:p>
    <w:p>
      <w:pPr>
        <w:pStyle w:val="ListBullet"/>
      </w:pPr>
      <w:r/>
      <w:r>
        <w:rPr>
          <w:b/>
        </w:rPr>
        <w:t>Dilution</w:t>
      </w:r>
      <w:r>
        <w:t xml:space="preserve"> : la vinblastine (poudre lyophilisée 10 mg/flacon, à reconstituer avec 10 mL EPPI pour obtenir une concentration de 1 mg/mL) est diluée dans un minibag de 50 mL NaCl 0,9 % (concentration finale 0,1-0,2 mg/mL).</w:t>
      </w:r>
    </w:p>
    <w:p>
      <w:pPr>
        <w:pStyle w:val="ListBullet"/>
      </w:pPr>
      <w:r/>
      <w:r>
        <w:rPr>
          <w:b/>
        </w:rPr>
        <w:t>Surveillance pendant la perfusion</w:t>
      </w:r>
      <w:r>
        <w:t xml:space="preserve"> : scope cardiorespiratoire, PAs toutes les 15 min.</w:t>
      </w:r>
    </w:p>
    <w:p>
      <w:pPr>
        <w:pStyle w:val="ListBullet"/>
      </w:pPr>
      <w:r/>
      <w:r>
        <w:rPr>
          <w:b/>
        </w:rPr>
        <w:t>Durée de perfusion</w:t>
      </w:r>
      <w:r>
        <w:t xml:space="preserve"> : 5-10 min (perfusion courte dans un minibag).</w:t>
      </w:r>
    </w:p>
    <w:p>
      <w:pPr>
        <w:pStyle w:val="ListBullet"/>
      </w:pPr>
      <w:r>
        <w:t>Adaptation posologique :</w:t>
      </w:r>
    </w:p>
    <w:p>
      <w:pPr>
        <w:pStyle w:val="ListBullet"/>
      </w:pPr>
      <w:r>
        <w:t>Insuffisance rénale : pas d'adaptation.</w:t>
      </w:r>
    </w:p>
    <w:p>
      <w:pPr>
        <w:pStyle w:val="ListBullet"/>
      </w:pPr>
      <w:r>
        <w:t>Insuffisance hépatique modérée : dose réduite à 50 %.</w:t>
      </w:r>
    </w:p>
    <w:p>
      <w:pPr>
        <w:pStyle w:val="ListBullet"/>
      </w:pPr>
      <w:r>
        <w:t>Insuffisance hépatique sévère : contre-indication.</w:t>
      </w:r>
    </w:p>
    <w:p>
      <w:pPr>
        <w:pStyle w:val="ListBullet"/>
      </w:pPr>
      <w:r>
        <w:t>Sujet âgé &gt; 70 ans : surveillance hématologique accrue — pas de réduction systématique mais discussion au cas par cas.</w:t>
      </w:r>
    </w:p>
    <w:p>
      <w:pPr>
        <w:pStyle w:val="ListBullet"/>
      </w:pPr>
      <w:r>
        <w:t>Conditions de conservation : flacons de poudre lyophilisée à conserver entre 2 et 8 °C à l'abri de la lumière. Après reconstitution en EPPI : stabilité 24 h à 2-8 °C. Après dilution en minibag NaCl 0,9 % : stabilité 24 h à température ambiante. Manipulation en ZAC ou hotte.</w:t>
      </w:r>
    </w:p>
    <w:p>
      <w:r/>
      <w:r>
        <w:rPr>
          <w:b/>
        </w:rPr>
        <w:t>Arbitrage et Bénéfices des Formes Galéniques :</w:t>
      </w:r>
      <w:r/>
    </w:p>
    <w:p>
      <w:pPr>
        <w:pStyle w:val="ListBullet"/>
      </w:pPr>
      <w:r/>
      <w:r>
        <w:rPr>
          <w:b/>
        </w:rPr>
        <w:t>Poudre et solvant pour solution injectable IV — 10 mg/flacon</w:t>
      </w:r>
      <w:r>
        <w:t xml:space="preserve"> (VELBASTINE Korea United Pharm — seule marque active) : galénique historique — poudre 10 mg/flacon + 1 ampoule de 10 mL de solvant (EPPI) pour obtenir une concentration de 1 mg/mL. Dose standard pour un adulte de 1,7 m² : 6 mg/m² × 1,7 = ~ 10 mg — soit 1 flacon de 10 mg par cure (ABVD). Approvisionnement relativement précaire — à surveiller.</w:t>
      </w:r>
    </w:p>
    <w:p>
      <w:pPr>
        <w:pStyle w:val="ListBullet"/>
      </w:pPr>
      <w:r/>
      <w:r>
        <w:rPr>
          <w:b/>
        </w:rPr>
        <w:t>Poudre et solvant — 10 mg/flacon</w:t>
      </w:r>
      <w:r>
        <w:t xml:space="preserve"> (LEMBLASTINE Lemery — retiré, VELBE Lilly princeps — retiré) : formes historiques — plus commercialisées en Algérie.</w:t>
      </w:r>
    </w:p>
    <w:p>
      <w:pPr>
        <w:pStyle w:val="ListBullet"/>
      </w:pPr>
      <w:r/>
      <w:r>
        <w:rPr>
          <w:b/>
        </w:rPr>
        <w:t>Conditionnement</w:t>
      </w:r>
      <w:r>
        <w:t xml:space="preserve"> : flacons unidoses avec solvant séparé — manipulation en ZAC ou hotte à flux laminaire vertical, équipements de protection individuelle obligatoires.</w:t>
      </w:r>
    </w:p>
    <w:p>
      <w:pPr>
        <w:pStyle w:val="ListBullet"/>
      </w:pPr>
      <w:r/>
      <w:r>
        <w:rPr>
          <w:b/>
        </w:rPr>
        <w:t>Choix de la marque</w:t>
      </w:r>
      <w:r>
        <w:t xml:space="preserve"> : en pratique, seule VELBASTINE est disponible en Algérie — pas de choix possible. Anticipation indispensable en cas de rupture (switch vers vinorelbine selon l'indication et avis oncologique).</w:t>
      </w:r>
    </w:p>
    <w:p>
      <w:r/>
      <w:r>
        <w:rPr>
          <w:b/>
        </w:rPr>
        <w:t>Instructions et Conseils au Patient :</w:t>
      </w:r>
      <w:r/>
    </w:p>
    <w:p>
      <w:pPr>
        <w:pStyle w:val="ListBullet"/>
      </w:pPr>
      <w:r>
        <w:t>Communication avant la cure :</w:t>
      </w:r>
    </w:p>
    <w:p>
      <w:pPr>
        <w:pStyle w:val="ListBullet"/>
      </w:pPr>
      <w:r>
        <w:t>« Ce médicament est un anticancéreux puissant administré à l'hôpital uniquement, en perfusion veineuse courte (5-10 minutes), toutes les 4 semaines selon votre protocole (ABVD pour la maladie de Hodgkin). »</w:t>
      </w:r>
    </w:p>
    <w:p>
      <w:pPr>
        <w:pStyle w:val="ListBullet"/>
      </w:pPr>
      <w:r>
        <w:t>« Ce médicament est administré UNIQUEMENT par voie intraveineuse — ne doit JAMAIS être administré par voie intrathécale — ce qui serait mortel. »</w:t>
      </w:r>
    </w:p>
    <w:p>
      <w:pPr>
        <w:pStyle w:val="ListBullet"/>
      </w:pPr>
      <w:r>
        <w:t>« Vous risquez une baisse des globules blancs (neutropénie) — surveillance par prise de sang avant chaque cure. Signalez IMMÉDIATEMENT une fièvre (≥ 38,5 °C) — urgence médicale. »</w:t>
      </w:r>
    </w:p>
    <w:p>
      <w:pPr>
        <w:pStyle w:val="ListBullet"/>
      </w:pPr>
      <w:r>
        <w:t>« Vous risquez des picotements et engourdissements dans les mains et les pieds, de la constipation (laxatif prescrit à prendre systématiquement), de la fatigue, des nausées (traitement prescrit). »</w:t>
      </w:r>
    </w:p>
    <w:p>
      <w:pPr>
        <w:pStyle w:val="ListBullet"/>
      </w:pPr>
      <w:r>
        <w:t>« Si vous êtes une femme en âge de procréer, une contraception efficace est OBLIGATOIRE pendant tout le traitement et 6 mois après la dernière cure. »</w:t>
      </w:r>
    </w:p>
    <w:p>
      <w:pPr>
        <w:pStyle w:val="ListBullet"/>
      </w:pPr>
      <w:r>
        <w:t>« Évitez les vaccins vivants pendant le traitement et 3 mois après. »</w:t>
      </w:r>
    </w:p>
    <w:p>
      <w:pPr>
        <w:pStyle w:val="ListBullet"/>
      </w:pPr>
      <w:r>
        <w:t>« Évitez le pamplemousse pendant le traitement. »</w:t>
      </w:r>
    </w:p>
    <w:p>
      <w:pPr>
        <w:pStyle w:val="ListBullet"/>
      </w:pPr>
      <w:r>
        <w:t>Surveillance à domicile :</w:t>
      </w:r>
    </w:p>
    <w:p>
      <w:pPr>
        <w:pStyle w:val="ListBullet"/>
      </w:pPr>
      <w:r>
        <w:t>Prendre la température 2 fois/jour pendant 2 semaines après chaque cure.</w:t>
      </w:r>
    </w:p>
    <w:p>
      <w:pPr>
        <w:pStyle w:val="ListBullet"/>
      </w:pPr>
      <w:r>
        <w:t>Surveiller les selles : en cas d'arrêt &gt; 2 jours — consulter.</w:t>
      </w:r>
    </w:p>
    <w:p>
      <w:pPr>
        <w:pStyle w:val="ListBullet"/>
      </w:pPr>
      <w:r>
        <w:t>Hydratation PO abondante.</w:t>
      </w:r>
    </w:p>
    <w:p>
      <w:pPr>
        <w:pStyle w:val="ListBullet"/>
      </w:pPr>
      <w:r>
        <w:t>Laxatif systématique.</w:t>
      </w:r>
    </w:p>
    <w:p>
      <w:r/>
      <w:r>
        <w:rPr>
          <w:b/>
        </w:rPr>
        <w:t>Notes, Règles d'Or &amp; Pièges au Comptoir :</w:t>
      </w:r>
      <w:r/>
    </w:p>
    <w:p>
      <w:pPr>
        <w:pStyle w:val="ListBullet"/>
      </w:pPr>
      <w:r>
        <w:t xml:space="preserve">Piège classique : </w:t>
      </w:r>
      <w:r>
        <w:rPr>
          <w:b/>
        </w:rPr>
        <w:t>administration intrathécale accidentelle</w:t>
      </w:r>
      <w:r>
        <w:t xml:space="preserve"> — identique à la vincristine — erreur cataclysmique mortelle. Prévention : minibag IV de 50 mL NaCl 0,9 %.</w:t>
      </w:r>
    </w:p>
    <w:p>
      <w:pPr>
        <w:pStyle w:val="ListBullet"/>
      </w:pPr>
      <w:r>
        <w:t xml:space="preserve">Piège classique : </w:t>
      </w:r>
      <w:r>
        <w:rPr>
          <w:b/>
        </w:rPr>
        <w:t>oubli du laxatif</w:t>
      </w:r>
      <w:r>
        <w:t xml:space="preserve"> — la constipation est fréquente sous vinblastine — prescription systématique de macrogol + bisacodyl.</w:t>
      </w:r>
    </w:p>
    <w:p>
      <w:pPr>
        <w:pStyle w:val="ListBullet"/>
      </w:pPr>
      <w:r>
        <w:t xml:space="preserve">Piège classique : </w:t>
      </w:r>
      <w:r>
        <w:rPr>
          <w:b/>
        </w:rPr>
        <w:t>myélotoxicité sous-estimée</w:t>
      </w:r>
      <w:r>
        <w:t xml:space="preserve"> — la vinblastine est plus myélotoxic que la vincristine — surveillance NFS plus stricte.</w:t>
      </w:r>
    </w:p>
    <w:p>
      <w:pPr>
        <w:pStyle w:val="ListBullet"/>
      </w:pPr>
      <w:r>
        <w:t xml:space="preserve">Piège classique : </w:t>
      </w:r>
      <w:r>
        <w:rPr>
          <w:b/>
        </w:rPr>
        <w:t>extravasation</w:t>
      </w:r>
      <w:r>
        <w:t xml:space="preserve"> — la vinblastine est un vesicant — compresses chaudes + hyaluronidase 150-300 UI SC.</w:t>
      </w:r>
    </w:p>
    <w:p>
      <w:pPr>
        <w:pStyle w:val="ListBullet"/>
      </w:pPr>
      <w:r>
        <w:t>Règle d'or : administration EXCLUSIVE en minibag IV de 50 mL NaCl 0,9 %.</w:t>
      </w:r>
    </w:p>
    <w:p>
      <w:pPr>
        <w:pStyle w:val="ListBullet"/>
      </w:pPr>
      <w:r>
        <w:t>Règle d'or : NFS avant chaque cure — pas de cure si PNN &lt; 1 500/mm³.</w:t>
      </w:r>
    </w:p>
    <w:p>
      <w:pPr>
        <w:pStyle w:val="ListBullet"/>
      </w:pPr>
      <w:r>
        <w:t>Règle d'or : laxatif systématique pendant toute la durée du traitement.</w:t>
      </w:r>
    </w:p>
    <w:p>
      <w:pPr>
        <w:pStyle w:val="ListBullet"/>
      </w:pPr>
      <w:r>
        <w:t>Règle d'or : contraception efficace obligatoire.</w:t>
      </w:r>
    </w:p>
    <w:p>
      <w:pPr>
        <w:pStyle w:val="ListBullet"/>
      </w:pPr>
      <w:r>
        <w:t>Préparation et Conservation : flacons de poudre lyophilisée à conserver entre 2 et 8 °C à l'abri de la lumière. Après reconstitution : stabilité 24 h à 2-8 °C. Après dilution en minibag : stabilité 24 h à température ambiante.</w:t>
      </w:r>
    </w:p>
    <w:p>
      <w:pPr>
        <w:pStyle w:val="Heading3"/>
      </w:pPr>
      <w:r>
        <w:t>6. DCI : Vinorelbine (Seule)</w:t>
      </w:r>
    </w:p>
    <w:p>
      <w:r/>
      <w:r>
        <w:rPr>
          <w:b/>
        </w:rPr>
        <w:t>Liste des Catégories :</w:t>
      </w:r>
      <w:r>
        <w:t xml:space="preserve"> Cytotoxique — Alcaloïde de la pervenche (Vinca — 2e génération) ; Poison du fuseau mitotique (dépolymérisant des microtubules) ; Médicament à surveillance hématologique et neurologique obligatoire ; Forme IV stricte — par minibag IV ; Forme ORALE disponible (capsule molle) — intérêt ambulatoire ; Tératogène (catégorie D — CRAT : « à éviter ») ; Prescription réservée aux spécialistes en oncologie ; Liste I ; médication hospitalière stricte pour la forme IV, prescription initiale hospitalière pour la forme orale (renouvelable par médecin de ville en France — en Algérie, prescription réservée à l'oncologue).</w:t>
      </w:r>
    </w:p>
    <w:p>
      <w:r>
        <w:t xml:space="preserve">La vinorelbine (5′-nor-anhydrovinblastine, sous forme de ditartrate — masse molaire 1 079 g/mol pour le ditartrate) est un alcaloïde semi-synthétique de type bis-indolique, dérivé de la vinblastine par synthèse (Potier, CNRS Gif-sur-Yvette, 1979 — commercialisée 1989 par Pierre Fabre sous le nom Navelbine®). Sa structure diffère de la vinblastine par la modification du pont carbone-carbone entre les deux noyaux indoliques (élimination d'un groupement méthyle en position 5′ — d'où le nom « 5′-nor-anhydrovinblastine ») — cette modification minime est responsable d'un profil pharmacologique différent : (i) affinité préférentielle pour les microtubules mitotiques (plutôt que les microtubules interphasiques axonaux) — d'où une </w:t>
      </w:r>
      <w:r>
        <w:rPr>
          <w:b/>
        </w:rPr>
        <w:t>neurotoxicité réduite</w:t>
      </w:r>
      <w:r>
        <w:t xml:space="preserve"> par rapport à la vincristine et la vinblastine ; (ii) myélotoxicité intermédiaire entre la vinblastine (forte) et la vincristine (faible) ; (iii) activité plus marquée sur les </w:t>
      </w:r>
      <w:r>
        <w:rPr>
          <w:b/>
        </w:rPr>
        <w:t>tumeurs solides</w:t>
      </w:r>
      <w:r>
        <w:t xml:space="preserve"> (poumon, sein, ovaire) que sur les hémopathies (où la vincristine reste préférée). La vinorelbine est la première Vinca disponible par </w:t>
      </w:r>
      <w:r>
        <w:rPr>
          <w:b/>
        </w:rPr>
        <w:t>voie orale</w:t>
      </w:r>
      <w:r>
        <w:t xml:space="preserve"> (capsule molle 20 mg et 30 mg — Navelbine® Pierre Fabre) — facilitant l'administration ambulatoire dans le cancer du sein métastatique et le cancer du poumon non à petites cellules (CBNPC) chez le sujet âgé. Sa place dans l'arsenal thérapeutique est centrale dans le </w:t>
      </w:r>
      <w:r>
        <w:rPr>
          <w:b/>
        </w:rPr>
        <w:t>CBNPC avancé</w:t>
      </w:r>
      <w:r>
        <w:t xml:space="preserve"> (1re ligne métastatique — protocole cisplatine-vinorelbine — Le Chevalier, J Clin Oncol 1994 — bénéfice en survie vs vinblastine) et le </w:t>
      </w:r>
      <w:r>
        <w:rPr>
          <w:b/>
        </w:rPr>
        <w:t>cancer du sein métastatique</w:t>
      </w:r>
      <w:r>
        <w:t xml:space="preserve"> (1re et 2e ligne — monothérapie hebdomadaire IV ou orale, ou en association).</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NAVELBINE</w:t>
            </w:r>
          </w:p>
        </w:tc>
        <w:tc>
          <w:tcPr>
            <w:tcW w:type="dxa" w:w="1559"/>
          </w:tcPr>
          <w:p>
            <w:r>
              <w:rPr>
                <w:sz w:val="20"/>
              </w:rPr>
              <w:t>PIERRE FABRE MEDICAMENT</w:t>
            </w:r>
          </w:p>
        </w:tc>
        <w:tc>
          <w:tcPr>
            <w:tcW w:type="dxa" w:w="1559"/>
          </w:tcPr>
          <w:p>
            <w:r>
              <w:rPr>
                <w:sz w:val="20"/>
              </w:rPr>
              <w:t>Capsule molle — 30 mg</w:t>
            </w:r>
          </w:p>
        </w:tc>
        <w:tc>
          <w:tcPr>
            <w:tcW w:type="dxa" w:w="1559"/>
          </w:tcPr>
          <w:p>
            <w:r>
              <w:rPr>
                <w:sz w:val="20"/>
              </w:rPr>
              <w:t>B/1 capsule</w:t>
            </w:r>
          </w:p>
        </w:tc>
        <w:tc>
          <w:tcPr>
            <w:tcW w:type="dxa" w:w="1559"/>
          </w:tcPr>
          <w:p>
            <w:r>
              <w:rPr>
                <w:sz w:val="20"/>
              </w:rPr>
              <w:t>Liste I</w:t>
            </w:r>
          </w:p>
        </w:tc>
        <w:tc>
          <w:tcPr>
            <w:tcW w:type="dxa" w:w="1559"/>
          </w:tcPr>
          <w:p>
            <w:r>
              <w:rPr>
                <w:sz w:val="20"/>
              </w:rPr>
              <w:t>**Actif**</w:t>
            </w:r>
          </w:p>
        </w:tc>
      </w:tr>
    </w:tbl>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VINORELBIN EBEWE</w:t>
            </w:r>
          </w:p>
        </w:tc>
        <w:tc>
          <w:tcPr>
            <w:tcW w:type="dxa" w:w="1559"/>
          </w:tcPr>
          <w:p>
            <w:r>
              <w:rPr>
                <w:sz w:val="20"/>
              </w:rPr>
              <w:t>EBEWE PHARMA Ges.m.b.H.Nfg.KG (Autriche)</w:t>
            </w:r>
          </w:p>
        </w:tc>
        <w:tc>
          <w:tcPr>
            <w:tcW w:type="dxa" w:w="1559"/>
          </w:tcPr>
          <w:p>
            <w:r>
              <w:rPr>
                <w:sz w:val="20"/>
              </w:rPr>
              <w:t>Solution injectable IV — 10 mg/mL (10 mg/1 mL et 50 mg/5 mL)</w:t>
            </w:r>
          </w:p>
        </w:tc>
        <w:tc>
          <w:tcPr>
            <w:tcW w:type="dxa" w:w="1559"/>
          </w:tcPr>
          <w:p>
            <w:r>
              <w:rPr>
                <w:sz w:val="20"/>
              </w:rPr>
              <w:t>B/1 flacon de 1 mL ; B/1 flacon de 5 mL</w:t>
            </w:r>
          </w:p>
        </w:tc>
        <w:tc>
          <w:tcPr>
            <w:tcW w:type="dxa" w:w="1559"/>
          </w:tcPr>
          <w:p>
            <w:r>
              <w:rPr>
                <w:sz w:val="20"/>
              </w:rPr>
              <w:t>Liste I</w:t>
            </w:r>
          </w:p>
        </w:tc>
        <w:tc>
          <w:tcPr>
            <w:tcW w:type="dxa" w:w="1559"/>
          </w:tcPr>
          <w:p>
            <w:r>
              <w:rPr>
                <w:sz w:val="20"/>
              </w:rPr>
              <w:t>**Non Renouvelable**</w:t>
            </w:r>
          </w:p>
        </w:tc>
      </w:tr>
      <w:tr>
        <w:tc>
          <w:tcPr>
            <w:tcW w:type="dxa" w:w="1559"/>
          </w:tcPr>
          <w:p>
            <w:r>
              <w:rPr>
                <w:sz w:val="20"/>
              </w:rPr>
              <w:t>NAVELBINE</w:t>
            </w:r>
          </w:p>
        </w:tc>
        <w:tc>
          <w:tcPr>
            <w:tcW w:type="dxa" w:w="1559"/>
          </w:tcPr>
          <w:p>
            <w:r>
              <w:rPr>
                <w:sz w:val="20"/>
              </w:rPr>
              <w:t>PIERRE FABRE MEDICAMENT</w:t>
            </w:r>
          </w:p>
        </w:tc>
        <w:tc>
          <w:tcPr>
            <w:tcW w:type="dxa" w:w="1559"/>
          </w:tcPr>
          <w:p>
            <w:r>
              <w:rPr>
                <w:sz w:val="20"/>
              </w:rPr>
              <w:t>Capsule molle — 20 mg</w:t>
            </w:r>
          </w:p>
        </w:tc>
        <w:tc>
          <w:tcPr>
            <w:tcW w:type="dxa" w:w="1559"/>
          </w:tcPr>
          <w:p>
            <w:r>
              <w:rPr>
                <w:sz w:val="20"/>
              </w:rPr>
              <w:t>B/1 capsule</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NAVELBINE</w:t>
            </w:r>
          </w:p>
        </w:tc>
        <w:tc>
          <w:tcPr>
            <w:tcW w:type="dxa" w:w="1559"/>
          </w:tcPr>
          <w:p>
            <w:r>
              <w:rPr>
                <w:sz w:val="20"/>
              </w:rPr>
              <w:t>PIERRE FABRE</w:t>
            </w:r>
          </w:p>
        </w:tc>
        <w:tc>
          <w:tcPr>
            <w:tcW w:type="dxa" w:w="1559"/>
          </w:tcPr>
          <w:p>
            <w:r>
              <w:rPr>
                <w:sz w:val="20"/>
              </w:rPr>
              <w:t>Solution injectable IV — 10 mg/mL</w:t>
            </w:r>
          </w:p>
        </w:tc>
        <w:tc>
          <w:tcPr>
            <w:tcW w:type="dxa" w:w="1559"/>
          </w:tcPr>
          <w:p>
            <w:r>
              <w:rPr>
                <w:sz w:val="20"/>
              </w:rPr>
              <w:t>B/10 flacons</w:t>
            </w:r>
          </w:p>
        </w:tc>
        <w:tc>
          <w:tcPr>
            <w:tcW w:type="dxa" w:w="1559"/>
          </w:tcPr>
          <w:p>
            <w:r>
              <w:rPr>
                <w:sz w:val="20"/>
              </w:rPr>
              <w:t>Liste I</w:t>
            </w:r>
          </w:p>
        </w:tc>
        <w:tc>
          <w:tcPr>
            <w:tcW w:type="dxa" w:w="1559"/>
          </w:tcPr>
          <w:p>
            <w:r>
              <w:rPr>
                <w:sz w:val="20"/>
              </w:rPr>
              <w:t>**Retiré (R)**</w:t>
            </w:r>
          </w:p>
        </w:tc>
      </w:tr>
      <w:tr>
        <w:tc>
          <w:tcPr>
            <w:tcW w:type="dxa" w:w="1559"/>
          </w:tcPr>
          <w:p>
            <w:r>
              <w:rPr>
                <w:sz w:val="20"/>
              </w:rPr>
              <w:t>NAVELBINE</w:t>
            </w:r>
          </w:p>
        </w:tc>
        <w:tc>
          <w:tcPr>
            <w:tcW w:type="dxa" w:w="1559"/>
          </w:tcPr>
          <w:p>
            <w:r>
              <w:rPr>
                <w:sz w:val="20"/>
              </w:rPr>
              <w:t>PIERRE FABRE</w:t>
            </w:r>
          </w:p>
        </w:tc>
        <w:tc>
          <w:tcPr>
            <w:tcW w:type="dxa" w:w="1559"/>
          </w:tcPr>
          <w:p>
            <w:r>
              <w:rPr>
                <w:sz w:val="20"/>
              </w:rPr>
              <w:t>Solution injectable IV — 50 mg/5 mL</w:t>
            </w:r>
          </w:p>
        </w:tc>
        <w:tc>
          <w:tcPr>
            <w:tcW w:type="dxa" w:w="1559"/>
          </w:tcPr>
          <w:p>
            <w:r>
              <w:rPr>
                <w:sz w:val="20"/>
              </w:rPr>
              <w:t>B/10 flacons</w:t>
            </w:r>
          </w:p>
        </w:tc>
        <w:tc>
          <w:tcPr>
            <w:tcW w:type="dxa" w:w="1559"/>
          </w:tcPr>
          <w:p>
            <w:r>
              <w:rPr>
                <w:sz w:val="20"/>
              </w:rPr>
              <w:t>Liste I</w:t>
            </w:r>
          </w:p>
        </w:tc>
        <w:tc>
          <w:tcPr>
            <w:tcW w:type="dxa" w:w="1559"/>
          </w:tcPr>
          <w:p>
            <w:r>
              <w:rPr>
                <w:sz w:val="20"/>
              </w:rPr>
              <w:t>**Retiré (R)**</w:t>
            </w:r>
          </w:p>
        </w:tc>
      </w:tr>
    </w:tbl>
    <w:p/>
    <w:p>
      <w:r/>
      <w:r>
        <w:rPr>
          <w:i/>
        </w:rPr>
        <w:t>Note : la vinorelbine est disponible en Algérie sous une seule marque active — NAVELBINE 30 mg capsule molle (Pierre Fabre Medicament) — forme ORALE exclusivement. La forme IV (NAVELBINE 10 mg/mL et 50 mg/5 mL Pierre Fabre) est RETIRÉE du marché algérien. La forme IV alternative (VINORELBIN EBEWE 10 mg/mL) est non renouvelable. Approvisionnement exclusivement par la forme orale 30 mg — pratique pour l'administration ambulatoire mais limite les protocoles nécessitant la voie IV (associations cisplatine-vinorelbine IV, vinorelbine IV en perfusion continue). Pour les patients nécessitant la forme IV (sujet jeune, protocole combiné) — importation exceptionnelle ou switch vers vinorelbine orale à dose adaptée (cf. RCP).</w:t>
      </w:r>
      <w:r/>
    </w:p>
    <w:p>
      <w:r/>
      <w:r>
        <w:rPr>
          <w:b/>
        </w:rPr>
        <w:t>Sous-classe et Mécanisme d'action :</w:t>
      </w:r>
      <w:r/>
    </w:p>
    <w:p>
      <w:pPr>
        <w:pStyle w:val="ListBullet"/>
      </w:pPr>
      <w:r>
        <w:t>Sous-classe : Alcaloïdes de la pervenche (Vinca — 2e génération — poison du fuseau mitotique dépolymérisant). Classification ATC : L01CA04. La vinorelbine est indiquée dans le CBNPC (1re ligne métastatique — cisplatine-vinorelbine IV ou carboplatine-vinorelbine orale — protocole Le Chevalier JCO 1994) ; le cancer du sein métastatique (1re et 2e ligne — monothérapie hebdomadaire IV ou orale) ; le cancer de l'ovaire (2e ligne). Sa place dans l'arsenal thérapeutique est centrale dans le CBNPC et le cancer du sein métastatique — particulièrement chez le sujet âgé où la forme orale est un atout ambulatoire majeur.</w:t>
      </w:r>
    </w:p>
    <w:p>
      <w:pPr>
        <w:pStyle w:val="ListBullet"/>
      </w:pPr>
      <w:r>
        <w:t xml:space="preserve">Mécanisme d'action : identique à la vincristine et la vinblastine — </w:t>
      </w:r>
      <w:r>
        <w:rPr>
          <w:b/>
        </w:rPr>
        <w:t>dépolymérisation des microtubules par fixation à la β-tubuline au site vinca</w:t>
      </w:r>
      <w:r>
        <w:t>. Cette fixation empêche la polymérisation de la tubuline en microtubules. Le fuseau mitotique ne peut plus se former → bloc mitotique en prométaphase/métaphase → apoptose. Affinité préférentielle pour les microtubules mitotiques (plutôt que les microtubules interphasiques axonaux) — d'où neurotoxicité réduite vs vincristine.</w:t>
      </w:r>
    </w:p>
    <w:p>
      <w:r/>
      <w:r>
        <w:rPr>
          <w:b/>
        </w:rPr>
        <w:t>Profil Pharmacologique et Indications :</w:t>
      </w:r>
      <w:r/>
    </w:p>
    <w:p>
      <w:pPr>
        <w:pStyle w:val="ListBullet"/>
      </w:pPr>
      <w:r>
        <w:t>Indications (selon AMM française et algérienne — RCP VIDAL 2026) :</w:t>
      </w:r>
    </w:p>
    <w:p>
      <w:pPr>
        <w:pStyle w:val="ListBullet"/>
      </w:pPr>
      <w:r/>
      <w:r>
        <w:rPr>
          <w:b/>
        </w:rPr>
        <w:t>Cancer du poumon non à petites cellules (CBNPC)</w:t>
      </w:r>
      <w:r>
        <w:t xml:space="preserve"> : 1re ligne métastatique — protocole cisplatine 80 mg/m² J1 + vinorelbine IV 25-30 mg/m² J1 + J8 (ou vinorelbine orale 60 mg/m² J1, J8 hebdomadaire × 3 semaines, puis 80 mg/m² à partir du 2e cycle si tolérance — protocole oral — Le Péchoux Lancet 1994) — toutes les 3 semaines × 4-6 cycles — particularly pour le CBNPC de l'adulte jeune (&lt; 70 ans, PS 0-1) ; alternative chez le sujet âgé : monothérapie vinorelbine orale 60-80 mg/m² hebdomadaire (protocole ELVIS, JCO 1999 — particulièrement pour les sujets &gt; 70 ans, PS 0-2).</w:t>
      </w:r>
    </w:p>
    <w:p>
      <w:pPr>
        <w:pStyle w:val="ListBullet"/>
      </w:pPr>
      <w:r/>
      <w:r>
        <w:rPr>
          <w:b/>
        </w:rPr>
        <w:t>Cancer du sein métastatique</w:t>
      </w:r>
      <w:r>
        <w:t xml:space="preserve"> : 1re ligne (monothérapie vinorelbine IV 25-30 mg/m² hebdomadaire ou orale 60-80 mg/m² hebdomadaire — particularly pour les patientes HER2-, hormonoresistantes, ou en 2e ligne après anthracycline/taxane) ; 2e ligne (monothérapie hebdomadaire) ; associations (vinorelbine + capecitabine — protocelle oral/oral, particulièrement adapté à l'ambulatoire ; vinorelbine + trastuzumab si HER2+ ; vinorelbine + cisplatine — particularly pour les formes triple-négatives).</w:t>
      </w:r>
    </w:p>
    <w:p>
      <w:pPr>
        <w:pStyle w:val="ListBullet"/>
      </w:pPr>
      <w:r/>
      <w:r>
        <w:rPr>
          <w:b/>
        </w:rPr>
        <w:t>Cancer de l'ovaire</w:t>
      </w:r>
      <w:r>
        <w:t xml:space="preserve"> : 2e ligne en monothérapie hebdomadaire (after échec platine-paclitaxel) — alternative au topotécan.</w:t>
      </w:r>
    </w:p>
    <w:p>
      <w:pPr>
        <w:pStyle w:val="ListBullet"/>
      </w:pPr>
      <w:r/>
      <w:r>
        <w:rPr>
          <w:b/>
        </w:rPr>
        <w:t>Hors-AMM</w:t>
      </w:r>
      <w:r>
        <w:t xml:space="preserve"> (référentiel NCCN Off-label) : sarcomes des tissus mous ; cancer de la vessie (alternative au GC) ; sarcome de Kaposi ; mésothéliome.</w:t>
      </w:r>
    </w:p>
    <w:p>
      <w:pPr>
        <w:pStyle w:val="ListBullet"/>
      </w:pPr>
      <w:r>
        <w:t>Particularités pharmacologiques :</w:t>
      </w:r>
    </w:p>
    <w:p>
      <w:pPr>
        <w:pStyle w:val="ListBullet"/>
      </w:pPr>
      <w:r>
        <w:t>Cinétique tricompartimentale — clairance 0,9 L/h/kg (CV 40 %).</w:t>
      </w:r>
    </w:p>
    <w:p>
      <w:pPr>
        <w:pStyle w:val="ListBullet"/>
      </w:pPr>
      <w:r>
        <w:t>Distribution large — Vd 25-40 L/kg (extrêmement importante — captation tissulaire extensive, particularly pulmonaire — d'où l'efficacité dans le CBNPC) ; liaison protéique modérée (80 %).</w:t>
      </w:r>
    </w:p>
    <w:p>
      <w:pPr>
        <w:pStyle w:val="ListBullet"/>
      </w:pPr>
      <w:r>
        <w:t>Métabolisme hépatique prédominant (CYP3A4 → métabolites inactifs — principalement par déméthylation) — élimination biliaire (~ 70 % dans les fèces en 72 h) ; moins de 20 % dans les urines (rôle rénal mineur → utilisable chez l'insuffisant rénal avec surveillance accrue).</w:t>
      </w:r>
    </w:p>
    <w:p>
      <w:pPr>
        <w:pStyle w:val="ListBullet"/>
      </w:pPr>
      <w:r>
        <w:t>Demi-vie d'élimination : 28-44 h (prolongée — d'où administration hebdomadaire).</w:t>
      </w:r>
    </w:p>
    <w:p>
      <w:pPr>
        <w:pStyle w:val="ListBullet"/>
      </w:pPr>
      <w:r>
        <w:t>Adaptation hépatique : (i) fonction hépatique normale : dose pleine (25-30 mg/m² IV ; 60-80 mg/m² PO) ; (ii) insuffisance hépatique modérée (bilirubine 1,5-3 × LSN, ou ASAT/ALAT 2-5 × LSN) : réduction à 50 % ; (iii) insuffisance hépatique sévère (bilirubine &gt; 3 × LSN) : contre-indication.</w:t>
      </w:r>
    </w:p>
    <w:p>
      <w:pPr>
        <w:pStyle w:val="ListBullet"/>
      </w:pPr>
      <w:r>
        <w:t>Schémas : (i) vinorelbine IV 25-30 mg/m² J1 hebdomadaire (monothérapie) ou J1 + J8 toutes les 3 semaines (associations) ; (ii) vinorelbine orale 60 mg/m² J1, J8 hebdomadaire × 3 semaines (cycle d'initiation), puis 80 mg/m² J1, J8 hebdomadaire à partir du 2e cycle si tolérance (forme orale — particulièrement adaptée à l'ambulatoire) ; (iii) vinorelbine + capecitabine orales — protocelle « double oral » — particularly adapted à l'ambulatoire du cancer du sein métastatique.</w:t>
      </w:r>
    </w:p>
    <w:p>
      <w:r/>
      <w:r>
        <w:rPr>
          <w:b/>
        </w:rPr>
        <w:t>Contre-indications et Précautions d'Emploi :</w:t>
      </w:r>
      <w:r/>
    </w:p>
    <w:p>
      <w:pPr>
        <w:pStyle w:val="ListBullet"/>
      </w:pPr>
      <w:r>
        <w:t>Contre-indications ABSOLUES :</w:t>
      </w:r>
    </w:p>
    <w:p>
      <w:pPr>
        <w:pStyle w:val="ListBullet"/>
      </w:pPr>
      <w:r/>
      <w:r>
        <w:rPr>
          <w:b/>
        </w:rPr>
        <w:t>Administration intrathécale (IT)</w:t>
      </w:r>
      <w:r>
        <w:t xml:space="preserve"> : CONTRE-INDICATION ABSOLUE — identique à la vincristine — erreur cataclysmique potentiellement mortelle. Prévention : conditionnement exclusif en minibag IV de 50 mL NaCl 0,9 %.</w:t>
      </w:r>
    </w:p>
    <w:p>
      <w:pPr>
        <w:pStyle w:val="ListBullet"/>
      </w:pPr>
      <w:r>
        <w:t>Hypersensibilité connue à la vinorelbine ou à l'un des excipients.</w:t>
      </w:r>
    </w:p>
    <w:p>
      <w:pPr>
        <w:pStyle w:val="ListBullet"/>
      </w:pPr>
      <w:r/>
      <w:r>
        <w:rPr>
          <w:b/>
        </w:rPr>
        <w:t>Neutropénie sévère</w:t>
      </w:r>
      <w:r>
        <w:t xml:space="preserve"> (&lt; 1 500/mm³) pré-existante — attendre récupération PNN ≥ 1 500/mm³ avant la cure.</w:t>
      </w:r>
    </w:p>
    <w:p>
      <w:pPr>
        <w:pStyle w:val="ListBullet"/>
      </w:pPr>
      <w:r/>
      <w:r>
        <w:rPr>
          <w:b/>
        </w:rPr>
        <w:t>Insuffisance hépatique sévère</w:t>
      </w:r>
      <w:r>
        <w:t xml:space="preserve"> (bilirubine &gt; 3 × LSN).</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r>
        <w:rPr>
          <w:b/>
        </w:rPr>
        <w:t>Administration en minibag IV de 50 mL NaCl 0,9 %</w:t>
      </w:r>
      <w:r>
        <w:t xml:space="preserve"> sur 5-10 min — pas en bolus IV ni en seringue (prévention de l'erreur IT).</w:t>
      </w:r>
    </w:p>
    <w:p>
      <w:pPr>
        <w:pStyle w:val="ListBullet"/>
      </w:pPr>
      <w:r/>
      <w:r>
        <w:rPr>
          <w:b/>
        </w:rPr>
        <w:t>Forme orale</w:t>
      </w:r>
      <w:r>
        <w:t xml:space="preserve"> : prise à jeun (1 h avant ou 2 h après le repas — améliore l'absorption et réduit les interactions alimentaires). Ne pas croquer, ne pas sucer — avaler entière avec un grand verre d'eau. Antiémétique systématique (sétron 5-HT3 30 min avant la prise) pour prévenir les vomissements (qui pourraient réduire l'absorption et l'efficacité).</w:t>
      </w:r>
    </w:p>
    <w:p>
      <w:pPr>
        <w:pStyle w:val="ListBullet"/>
      </w:pPr>
      <w:r/>
      <w:r>
        <w:rPr>
          <w:b/>
        </w:rPr>
        <w:t>Surveillance hématologique</w:t>
      </w:r>
      <w:r>
        <w:t xml:space="preserve"> : NFS avant chaque cure (PNN ≥ 1 500/mm³, plaquettes ≥ 100 000/mm³) ; en cas de neutropénie à la cure précédente — délai de 1 semaine, dose réduite à 50 %.</w:t>
      </w:r>
    </w:p>
    <w:p>
      <w:pPr>
        <w:pStyle w:val="ListBullet"/>
      </w:pPr>
      <w:r/>
      <w:r>
        <w:rPr>
          <w:b/>
        </w:rPr>
        <w:t>Surveillance neurologique</w:t>
      </w:r>
      <w:r>
        <w:t xml:space="preserve"> : moins marquée que pour la vincristine — examen clinique pré-cure.</w:t>
      </w:r>
    </w:p>
    <w:p>
      <w:pPr>
        <w:pStyle w:val="ListBullet"/>
      </w:pPr>
      <w:r/>
      <w:r>
        <w:rPr>
          <w:b/>
        </w:rPr>
        <w:t>Surveillance hépatique</w:t>
      </w:r>
      <w:r>
        <w:t xml:space="preserve"> : bilan hépatique avant chaque cure — adaptation posologique selon grille.</w:t>
      </w:r>
    </w:p>
    <w:p>
      <w:pPr>
        <w:pStyle w:val="ListBullet"/>
      </w:pPr>
      <w:r>
        <w:t>Précautions de manipulation : cytotoxique — manipulation exclusivement par personnel formé (forme IV) ; par le patient lui-même (forme orale — éducation thérapeutique renforcée — gants nitrile pour la manipulation par le personnel soignant ou l'entourage).</w:t>
      </w:r>
    </w:p>
    <w:p>
      <w:pPr>
        <w:pStyle w:val="ListBullet"/>
      </w:pPr>
      <w:r>
        <w:t>Précautions de perfusion : tubulure sans DEHP ; tubulure en polyéthylène ou polyoléfine.</w:t>
      </w:r>
    </w:p>
    <w:p>
      <w:r/>
      <w:r>
        <w:rPr>
          <w:b/>
        </w:rPr>
        <w:t>Effets Indésirables :</w:t>
      </w:r>
      <w:r/>
    </w:p>
    <w:p>
      <w:pPr>
        <w:pStyle w:val="ListBullet"/>
      </w:pPr>
      <w:r/>
      <w:r>
        <w:rPr>
          <w:b/>
        </w:rPr>
        <w:t>Myélosuppression</w:t>
      </w:r>
      <w:r>
        <w:t xml:space="preserve"> (effet dose-limitant — particularly marquée pour la vinorelbine — intermédiaire entre vincristine (peu) et vinblastine (forte)) :</w:t>
      </w:r>
    </w:p>
    <w:p>
      <w:pPr>
        <w:pStyle w:val="ListBullet"/>
      </w:pPr>
      <w:r/>
      <w:r>
        <w:rPr>
          <w:b/>
        </w:rPr>
        <w:t>Neutropénie</w:t>
      </w:r>
      <w:r>
        <w:t xml:space="preserve"> : quasi-constante (grade 3-4 : 50-70 % à 25-30 mg/m² IV ; 30-50 % à 60-80 mg/m² PO) — nadir J7, récupération J14-21. Neutropénie fébrile : 5-15 % des cures.</w:t>
      </w:r>
    </w:p>
    <w:p>
      <w:pPr>
        <w:pStyle w:val="ListBullet"/>
      </w:pPr>
      <w:r>
        <w:t>Thrombopénie : 5-15 % (grade 3-4 : 2 %).</w:t>
      </w:r>
    </w:p>
    <w:p>
      <w:pPr>
        <w:pStyle w:val="ListBullet"/>
      </w:pPr>
      <w:r>
        <w:t>Anémie : 30-50 % (grade 3-4 : 5-10 %).</w:t>
      </w:r>
    </w:p>
    <w:p>
      <w:pPr>
        <w:pStyle w:val="ListBullet"/>
      </w:pPr>
      <w:r/>
      <w:r>
        <w:rPr>
          <w:b/>
        </w:rPr>
        <w:t>Neurotoxicité périphérique</w:t>
      </w:r>
      <w:r>
        <w:t xml:space="preserve"> (modérée — moins marquée que la vincristine) :</w:t>
      </w:r>
    </w:p>
    <w:p>
      <w:pPr>
        <w:pStyle w:val="ListBullet"/>
      </w:pPr>
      <w:r>
        <w:t>Sensitives : paresthésies, dysesthésies en « gants et chaussettes » — 10-20 % (grade 3-4 : 2-5 %).</w:t>
      </w:r>
    </w:p>
    <w:p>
      <w:pPr>
        <w:pStyle w:val="ListBullet"/>
      </w:pPr>
      <w:r>
        <w:t>Motrices : rares.</w:t>
      </w:r>
    </w:p>
    <w:p>
      <w:pPr>
        <w:pStyle w:val="ListBullet"/>
      </w:pPr>
      <w:r>
        <w:t>Autonomiques : constipation (20-30 %), ileus paralytique (rare — 1-2 %), hypotension orthostatique (5-10 %).</w:t>
      </w:r>
    </w:p>
    <w:p>
      <w:pPr>
        <w:pStyle w:val="ListBullet"/>
      </w:pPr>
      <w:r/>
      <w:r>
        <w:rPr>
          <w:b/>
        </w:rPr>
        <w:t>Hypersensibilité</w:t>
      </w:r>
      <w:r>
        <w:t xml:space="preserve"> (rare — &lt; 5 %) : réactions légères (flush, urticaire).</w:t>
      </w:r>
    </w:p>
    <w:p>
      <w:pPr>
        <w:pStyle w:val="ListBullet"/>
      </w:pPr>
      <w:r/>
      <w:r>
        <w:rPr>
          <w:b/>
        </w:rPr>
        <w:t>Toxicité digestive</w:t>
      </w:r>
      <w:r>
        <w:t xml:space="preserve"> :</w:t>
      </w:r>
    </w:p>
    <w:p>
      <w:pPr>
        <w:pStyle w:val="ListBullet"/>
      </w:pPr>
      <w:r>
        <w:t>Nausées/vomissements (modérés — 30-50 % — grade 3-4 : 5 %).</w:t>
      </w:r>
    </w:p>
    <w:p>
      <w:pPr>
        <w:pStyle w:val="ListBullet"/>
      </w:pPr>
      <w:r>
        <w:t>Constipation (20-30 %).</w:t>
      </w:r>
    </w:p>
    <w:p>
      <w:pPr>
        <w:pStyle w:val="ListBullet"/>
      </w:pPr>
      <w:r>
        <w:t>Mucite (10-20 %).</w:t>
      </w:r>
    </w:p>
    <w:p>
      <w:pPr>
        <w:pStyle w:val="ListBullet"/>
      </w:pPr>
      <w:r>
        <w:t>Diarrhée (rare).</w:t>
      </w:r>
    </w:p>
    <w:p>
      <w:pPr>
        <w:pStyle w:val="ListBullet"/>
      </w:pPr>
      <w:r>
        <w:t>Pancréatite aiguë (très rare — cas rapportés — arrêt immédiat).</w:t>
      </w:r>
    </w:p>
    <w:p>
      <w:pPr>
        <w:pStyle w:val="ListBullet"/>
      </w:pPr>
      <w:r/>
      <w:r>
        <w:rPr>
          <w:b/>
        </w:rPr>
        <w:t>Alopécie</w:t>
      </w:r>
      <w:r>
        <w:t xml:space="preserve"> (modérée — 10-30 % — généralement partielle et réversible — moins marquée que pour la vincristine et les taxanes).</w:t>
      </w:r>
    </w:p>
    <w:p>
      <w:pPr>
        <w:pStyle w:val="ListBullet"/>
      </w:pPr>
      <w:r/>
      <w:r>
        <w:rPr>
          <w:b/>
        </w:rPr>
        <w:t>Toxicité hépatique</w:t>
      </w:r>
      <w:r>
        <w:t xml:space="preserve"> : cytolyse (5-10 % — grade 3-4 : 2 %).</w:t>
      </w:r>
    </w:p>
    <w:p>
      <w:pPr>
        <w:pStyle w:val="ListBullet"/>
      </w:pPr>
      <w:r/>
      <w:r>
        <w:rPr>
          <w:b/>
        </w:rPr>
        <w:t>Toxicité respiratoire</w:t>
      </w:r>
      <w:r>
        <w:t xml:space="preserve"> : </w:t>
      </w:r>
      <w:r>
        <w:rPr>
          <w:b/>
        </w:rPr>
        <w:t>dyspnée</w:t>
      </w:r>
      <w:r>
        <w:t xml:space="preserve"> (5-10 % — parfois aiguë — mécanisme mixte bronchospasme + pneumopathie interstitielle — particulièrement chez les patients prétraités par bléomycine ou radiothérapie thoracique — arrêt immédiat si dyspnée aiguë).</w:t>
      </w:r>
    </w:p>
    <w:p>
      <w:pPr>
        <w:pStyle w:val="ListBullet"/>
      </w:pPr>
      <w:r/>
      <w:r>
        <w:rPr>
          <w:b/>
        </w:rPr>
        <w:t>Toxicité locale au point d'injection</w:t>
      </w:r>
      <w:r>
        <w:t xml:space="preserve"> : réaction locale ; extravasation → nécrose tissulaire (vesicant — voie veineuse centrale si traitement prolongé).</w:t>
      </w:r>
    </w:p>
    <w:p>
      <w:pPr>
        <w:pStyle w:val="ListBullet"/>
      </w:pPr>
      <w:r/>
      <w:r>
        <w:rPr>
          <w:b/>
        </w:rPr>
        <w:t>Toxicité ORL</w:t>
      </w:r>
      <w:r>
        <w:t xml:space="preserve"> : dysgueusie (5-10 %), modification de la voix (rare — paralysie récurrentielle).</w:t>
      </w:r>
    </w:p>
    <w:p>
      <w:r/>
      <w:r>
        <w:rPr>
          <w:b/>
        </w:rPr>
        <w:t>Prévention et Gestion des Effets Indésirables :</w:t>
      </w:r>
      <w:r/>
    </w:p>
    <w:p>
      <w:pPr>
        <w:pStyle w:val="ListBullet"/>
      </w:pPr>
      <w:r>
        <w:t>Prévention systématique :</w:t>
      </w:r>
    </w:p>
    <w:p>
      <w:pPr>
        <w:pStyle w:val="ListBullet"/>
      </w:pPr>
      <w:r/>
      <w:r>
        <w:rPr>
          <w:b/>
        </w:rPr>
        <w:t>Prévention de l'erreur intrathécale</w:t>
      </w:r>
      <w:r>
        <w:t xml:space="preserve"> : conditionnement EXCLUSIF en minibag IV de 50 mL NaCl 0,9 %.</w:t>
      </w:r>
    </w:p>
    <w:p>
      <w:pPr>
        <w:pStyle w:val="ListBullet"/>
      </w:pPr>
      <w:r/>
      <w:r>
        <w:rPr>
          <w:b/>
        </w:rPr>
        <w:t>Prévention hématologique</w:t>
      </w:r>
      <w:r>
        <w:t xml:space="preserve"> : NFS avant chaque cure, délai à J8 si PNN &lt; 1 500/mm³, G-CSF prophylactique secondaire ou primaire.</w:t>
      </w:r>
    </w:p>
    <w:p>
      <w:pPr>
        <w:pStyle w:val="ListBullet"/>
      </w:pPr>
      <w:r/>
      <w:r>
        <w:rPr>
          <w:b/>
        </w:rPr>
        <w:t>Prévention digestive</w:t>
      </w:r>
      <w:r>
        <w:t xml:space="preserve"> : laxatif systématique (macrogol + bisacodyl), antiémétique (sétron 5-HT3 30 min avant la prise pour la forme orale — prévention des vomissements qui pourraient réduire l'absorption).</w:t>
      </w:r>
    </w:p>
    <w:p>
      <w:pPr>
        <w:pStyle w:val="ListBullet"/>
      </w:pPr>
      <w:r/>
      <w:r>
        <w:rPr>
          <w:b/>
        </w:rPr>
        <w:t>Prévention neurotoxicité</w:t>
      </w:r>
      <w:r>
        <w:t xml:space="preserve"> : évaluation neurologique pré-cure.</w:t>
      </w:r>
    </w:p>
    <w:p>
      <w:pPr>
        <w:pStyle w:val="ListBullet"/>
      </w:pPr>
      <w:r>
        <w:t>Conduite à tenir :</w:t>
      </w:r>
    </w:p>
    <w:p>
      <w:pPr>
        <w:pStyle w:val="ListBullet"/>
      </w:pPr>
      <w:r/>
      <w:r>
        <w:rPr>
          <w:b/>
        </w:rPr>
        <w:t>En cas de neutropénie fébrile</w:t>
      </w:r>
      <w:r>
        <w:t xml:space="preserve"> : hospitalisation URGENCE, antibiothérapie empirique large spectre, G-CSF, délai 1-2 semaines, réduction de dose à 50 %.</w:t>
      </w:r>
    </w:p>
    <w:p>
      <w:pPr>
        <w:pStyle w:val="ListBullet"/>
      </w:pPr>
      <w:r/>
      <w:r>
        <w:rPr>
          <w:b/>
        </w:rPr>
        <w:t>En cas d'erreur intrathécale</w:t>
      </w:r>
      <w:r>
        <w:t xml:space="preserve"> : cf. vincristine.</w:t>
      </w:r>
    </w:p>
    <w:p>
      <w:pPr>
        <w:pStyle w:val="ListBullet"/>
      </w:pPr>
      <w:r/>
      <w:r>
        <w:rPr>
          <w:b/>
        </w:rPr>
        <w:t>En cas de dyspnée aiguë</w:t>
      </w:r>
      <w:r>
        <w:t xml:space="preserve"> : arrêt IMMÉDIAT de la vinorelbine, hospitalisation, gazométrie, scanner thoracique (pneumopathie interstitielle), corticothérapie générale 1 mg/kg/j (prednisone), oxygène. Réintroduction discutée au cas par cas (souvent switch thérapeutique).</w:t>
      </w:r>
    </w:p>
    <w:p>
      <w:pPr>
        <w:pStyle w:val="ListBullet"/>
      </w:pPr>
      <w:r/>
      <w:r>
        <w:rPr>
          <w:b/>
        </w:rPr>
        <w:t>En cas d'extravasation</w:t>
      </w:r>
      <w:r>
        <w:t xml:space="preserve"> : cf. vincristine — compresses chaudes + hyaluronidase 150-300 UI SC.</w:t>
      </w:r>
    </w:p>
    <w:p>
      <w:r/>
      <w:r>
        <w:rPr>
          <w:b/>
        </w:rPr>
        <w:t>Interactions Importantes :</w:t>
      </w:r>
      <w:r/>
    </w:p>
    <w:p>
      <w:pPr>
        <w:pStyle w:val="ListBullet"/>
      </w:pPr>
      <w:r/>
      <w:r>
        <w:rPr>
          <w:b/>
        </w:rPr>
        <w:t>Vinorelbine + inhibiteurs du CYP3A4</w:t>
      </w:r>
      <w:r>
        <w:t xml:space="preserve"> (azolés, antiprotéases, macrolides, grapefruit) : augmentation majeure de l'AUC vinorelbine (× 2-3) — risque de myélosuppression sévère. Éviter l'association ou réduire la dose à 50 %.</w:t>
      </w:r>
    </w:p>
    <w:p>
      <w:pPr>
        <w:pStyle w:val="ListBullet"/>
      </w:pPr>
      <w:r/>
      <w:r>
        <w:rPr>
          <w:b/>
        </w:rPr>
        <w:t>Vinorelbine + inducteurs du CYP3A4</w:t>
      </w:r>
      <w:r>
        <w:t xml:space="preserve"> (rifampicine, phénytoïne, carbamazépine, phénobarbital, millepertuis) : baisse de l'AUC vinorelbine — risque d'efficacité réduite.</w:t>
      </w:r>
    </w:p>
    <w:p>
      <w:pPr>
        <w:pStyle w:val="ListBullet"/>
      </w:pPr>
      <w:r/>
      <w:r>
        <w:rPr>
          <w:b/>
        </w:rPr>
        <w:t>Vinorelbine + anticancéreux autres</w:t>
      </w:r>
      <w:r>
        <w:t xml:space="preserve"> : cisplatine (neurotoxicité synergique — particularly cumulative) ; capecitabine (synergie — protocelle oral/oral — particularly pour cancer du sein métastatique) ; trastuzumab (cardiotoxicité synergique — surveillance FEVG) ; paclitaxel/docetaxel (neurotoxicité synergique — surveillance).</w:t>
      </w:r>
    </w:p>
    <w:p>
      <w:pPr>
        <w:pStyle w:val="ListBullet"/>
      </w:pPr>
      <w:r/>
      <w:r>
        <w:rPr>
          <w:b/>
        </w:rPr>
        <w:t>Vinorelbine + anticoagulants oraux</w:t>
      </w:r>
      <w:r>
        <w:t xml:space="preserve"> : augmentation de l'INR. Surveillance INR.</w:t>
      </w:r>
    </w:p>
    <w:p>
      <w:pPr>
        <w:pStyle w:val="ListBullet"/>
      </w:pPr>
      <w:r/>
      <w:r>
        <w:rPr>
          <w:b/>
        </w:rPr>
        <w:t>Vinorelbine + vaccines vivants atténués</w:t>
      </w:r>
      <w:r>
        <w:t xml:space="preserve"> : contre-indication.</w:t>
      </w:r>
    </w:p>
    <w:p>
      <w:pPr>
        <w:pStyle w:val="ListBullet"/>
      </w:pPr>
      <w:r/>
      <w:r>
        <w:rPr>
          <w:b/>
        </w:rPr>
        <w:t>Vinorelbine + forme orale + nourriture</w:t>
      </w:r>
      <w:r>
        <w:t xml:space="preserve"> : la prise alimentaire diminue l'absorption (surtout les graisses — d'où la prise à jeun). Le pamplemousse (jus ou fruit) augmente l'AUC vinorelbine (inhibition CYP3A4) — éviter pendant le traitement.</w:t>
      </w:r>
    </w:p>
    <w:p>
      <w:r/>
      <w:r>
        <w:rPr>
          <w:b/>
        </w:rPr>
        <w:t>Grossesse et Allaitement :</w:t>
      </w:r>
      <w:r/>
    </w:p>
    <w:p>
      <w:pPr>
        <w:pStyle w:val="ListBullet"/>
      </w:pPr>
      <w:r>
        <w:t>Grossesse : selon le CRAT, la vinorelbine est classée « à éviter » (catégorie D — tératogène). Contraception obligatoire pendant le traitement et 6 mois après dernière cure. Conservation de gamètes à proposer avant 1re cure.</w:t>
      </w:r>
    </w:p>
    <w:p>
      <w:pPr>
        <w:pStyle w:val="ListBullet"/>
      </w:pPr>
      <w:r>
        <w:t>Allaitement : contre-indication ABSOLUE — interruption définitive avant la 1re cure.</w:t>
      </w:r>
    </w:p>
    <w:p>
      <w:r/>
      <w:r>
        <w:rPr>
          <w:b/>
        </w:rPr>
        <w:t>Posologie et Mode d'Administration :</w:t>
      </w:r>
      <w:r/>
    </w:p>
    <w:p>
      <w:pPr>
        <w:pStyle w:val="ListBullet"/>
      </w:pPr>
      <w:r>
        <w:t>Adulte :</w:t>
      </w:r>
    </w:p>
    <w:p>
      <w:pPr>
        <w:pStyle w:val="ListBullet"/>
      </w:pPr>
      <w:r/>
      <w:r>
        <w:rPr>
          <w:b/>
        </w:rPr>
        <w:t>Schéma IV standard</w:t>
      </w:r>
      <w:r>
        <w:t xml:space="preserve"> : 25-30 mg/m² J1 hebdomadaire (monothérapie) ou J1 + J8 toutes les 3 semaines (associations) — en minibag IV de 50 mL NaCl 0,9 % sur 5-10 min.</w:t>
      </w:r>
    </w:p>
    <w:p>
      <w:pPr>
        <w:pStyle w:val="ListBullet"/>
      </w:pPr>
      <w:r/>
      <w:r>
        <w:rPr>
          <w:b/>
        </w:rPr>
        <w:t>Schéma oral standard</w:t>
      </w:r>
      <w:r>
        <w:t xml:space="preserve"> : 60 mg/m² J1, J8 hebdomadaire × 3 semaines (cycle d'initiation), puis 80 mg/m² J1, J8 hebdomadaire à partir du 2e cycle si tolérance (PNN ≥ 1 500/mm³, plaquettes ≥ 100 000/mm³). Capsule molle à avaler entière à jeun (1 h avant ou 2 h après le repas) avec un grand verre d'eau, ne pas croquer, ne pas sucer. Antiémétique (sétron 5-HT3) 30 min avant la prise.</w:t>
      </w:r>
    </w:p>
    <w:p>
      <w:pPr>
        <w:pStyle w:val="ListBullet"/>
      </w:pPr>
      <w:r/>
      <w:r>
        <w:rPr>
          <w:b/>
        </w:rPr>
        <w:t>Dose maximale par cure</w:t>
      </w:r>
      <w:r>
        <w:t xml:space="preserve"> : 30 mg/m² IV ; 80 mg/m² PO (au-delà — toxicité excessive).</w:t>
      </w:r>
    </w:p>
    <w:p>
      <w:pPr>
        <w:pStyle w:val="ListBullet"/>
      </w:pPr>
      <w:r/>
      <w:r>
        <w:rPr>
          <w:b/>
        </w:rPr>
        <w:t>Réduction de dose</w:t>
      </w:r>
      <w:r>
        <w:t xml:space="preserve"> : (i) si neutropénie fébrile à la cure précédente — réduction à 50 % (15 mg/m² IV ; 30-40 mg/m² PO) + G-CSF prophylactique ; (ii) si neurotoxicité G3 — arrêt définitif ; (iii) si insuffisance hépatique modérée (bilirubine 1,5-3 × LSN) — réduction à 50 %.</w:t>
      </w:r>
    </w:p>
    <w:p>
      <w:pPr>
        <w:pStyle w:val="ListBullet"/>
      </w:pPr>
      <w:r>
        <w:t>Enfant :</w:t>
      </w:r>
    </w:p>
    <w:p>
      <w:pPr>
        <w:pStyle w:val="ListBullet"/>
      </w:pPr>
      <w:r>
        <w:t>Schéma standard : 25-30 mg/m² IV J1 hebdomadaire — protocoles pédiatriques (rhabdomyosarcome, sarcomes des tissus mous, tumeurs solides réfractaires). Prémédication identique à l'adulte. Forme orale non évaluée en pédiatrie.</w:t>
      </w:r>
    </w:p>
    <w:p>
      <w:pPr>
        <w:pStyle w:val="ListBullet"/>
      </w:pPr>
      <w:r>
        <w:t>Préparation et perfusion :</w:t>
      </w:r>
    </w:p>
    <w:p>
      <w:pPr>
        <w:pStyle w:val="ListBullet"/>
      </w:pPr>
      <w:r/>
      <w:r>
        <w:rPr>
          <w:b/>
        </w:rPr>
        <w:t>Dilution</w:t>
      </w:r>
      <w:r>
        <w:t xml:space="preserve"> : la vinorelbine (solution 10 mg/mL, à reconstituer selon la marque) est diluée dans un minibag de 50 mL NaCl 0,9 % (concentration finale 0,5-0,6 mg/mL). Forme orale — capsule molle à avaler entière à jeun.</w:t>
      </w:r>
    </w:p>
    <w:p>
      <w:pPr>
        <w:pStyle w:val="ListBullet"/>
      </w:pPr>
      <w:r/>
      <w:r>
        <w:rPr>
          <w:b/>
        </w:rPr>
        <w:t>Surveillance pendant la perfusion</w:t>
      </w:r>
      <w:r>
        <w:t xml:space="preserve"> : scope cardiorespiratoire, PAs toutes les 15 min.</w:t>
      </w:r>
    </w:p>
    <w:p>
      <w:pPr>
        <w:pStyle w:val="ListBullet"/>
      </w:pPr>
      <w:r/>
      <w:r>
        <w:rPr>
          <w:b/>
        </w:rPr>
        <w:t>Durée de perfusion</w:t>
      </w:r>
      <w:r>
        <w:t xml:space="preserve"> : 5-10 min (perfusion courte dans un minibag).</w:t>
      </w:r>
    </w:p>
    <w:p>
      <w:pPr>
        <w:pStyle w:val="ListBullet"/>
      </w:pPr>
      <w:r>
        <w:t>Adaptation posologique :</w:t>
      </w:r>
    </w:p>
    <w:p>
      <w:pPr>
        <w:pStyle w:val="ListBullet"/>
      </w:pPr>
      <w:r>
        <w:t>Insuffisance rénale : pas d'adaptation (élimination hépatique prédominante, ~ 20 % rénal — surveillance accrue).</w:t>
      </w:r>
    </w:p>
    <w:p>
      <w:pPr>
        <w:pStyle w:val="ListBullet"/>
      </w:pPr>
      <w:r>
        <w:t>Insuffisance hépatique modérée : dose réduite à 50 %.</w:t>
      </w:r>
    </w:p>
    <w:p>
      <w:pPr>
        <w:pStyle w:val="ListBullet"/>
      </w:pPr>
      <w:r>
        <w:t>Insuffisance hépatique sévère : contre-indication.</w:t>
      </w:r>
    </w:p>
    <w:p>
      <w:pPr>
        <w:pStyle w:val="ListBullet"/>
      </w:pPr>
      <w:r>
        <w:t>Sujet âgé &gt; 75 ans : surveillance hématologique accrue — pas de réduction systématique mais discussion au cas par cas.</w:t>
      </w:r>
    </w:p>
    <w:p>
      <w:pPr>
        <w:pStyle w:val="ListBullet"/>
      </w:pPr>
      <w:r>
        <w:t>Conditions de conservation : flacons de solution à conserver entre 2 et 8 °C à l'abri de la lumière. Forme orale — capsules moulles à conserver à température &lt; 25 °C, à l'abri de l'humidité (ne pas congeler). Après dilution en minibag : stabilité 24 h à température ambiante.</w:t>
      </w:r>
    </w:p>
    <w:p>
      <w:r/>
      <w:r>
        <w:rPr>
          <w:b/>
        </w:rPr>
        <w:t>Arbitrage et Bénéfices des Formes Galéniques :</w:t>
      </w:r>
      <w:r/>
    </w:p>
    <w:p>
      <w:pPr>
        <w:pStyle w:val="ListBullet"/>
      </w:pPr>
      <w:r/>
      <w:r>
        <w:rPr>
          <w:b/>
        </w:rPr>
        <w:t>Capsule molle — 30 mg</w:t>
      </w:r>
      <w:r>
        <w:t xml:space="preserve"> (NAVELBINE Pierre Fabre — seule marque active) : galénique orale — capsule molle à avaler entière à jeun (1 h avant ou 2 h après le repas) avec un grand verre d'eau. Dose standard pour un adulte de 1,7 m² : 60-80 mg/m² × 1,7 = ~ 100-135 mg — soit 3-4 capsules de 30 mg par prise (J1, J8 hebdomadaire). Approvisionnement exclusif en forme orale 30 mg en Algérie — pratique pour l'administration ambulatoire mais limite les protocoles nécessitant la voie IV (associations cisplatine-vinorelbine IV, vinorelbine IV en perfusion continue). Pour les patients nécessitant la forme IV — importation exceptionnelle ou switch vers vinorelbine orale à dose adaptée.</w:t>
      </w:r>
    </w:p>
    <w:p>
      <w:pPr>
        <w:pStyle w:val="ListBullet"/>
      </w:pPr>
      <w:r/>
      <w:r>
        <w:rPr>
          <w:b/>
        </w:rPr>
        <w:t>Capsule molle — 20 mg</w:t>
      </w:r>
      <w:r>
        <w:t xml:space="preserve"> (NAVELBINE Pierre Fabre — non renouvelable) : dosage inférieur pour adaptation posologique — particulièrement utile pour les patients de surface corporelle faible (&lt; 1,4 m²) ou en cas de réduction de dose. Plus commercialisée en Algérie.</w:t>
      </w:r>
    </w:p>
    <w:p>
      <w:pPr>
        <w:pStyle w:val="ListBullet"/>
      </w:pPr>
      <w:r/>
      <w:r>
        <w:rPr>
          <w:b/>
        </w:rPr>
        <w:t>Solution injectable IV — 10 mg/mL</w:t>
      </w:r>
      <w:r>
        <w:t xml:space="preserve"> (NAVELBINE Pierre Fabre — retiré ; VINORELBIN EBEWE — non renouvelable) : formes historiques IV — plus commercialisées en Algérie.</w:t>
      </w:r>
    </w:p>
    <w:p>
      <w:pPr>
        <w:pStyle w:val="ListBullet"/>
      </w:pPr>
      <w:r/>
      <w:r>
        <w:rPr>
          <w:b/>
        </w:rPr>
        <w:t>Conditionnement</w:t>
      </w:r>
      <w:r>
        <w:t xml:space="preserve"> : capsules moulles en plaquettes thermoformées ; flacons IV unidoses — manipulation en ZAC ou hotte à flux laminaire vertical (forme IV) ; par le patient lui-même (forme orale — éducation thérapeutique renforcée).</w:t>
      </w:r>
    </w:p>
    <w:p>
      <w:pPr>
        <w:pStyle w:val="ListBullet"/>
      </w:pPr>
      <w:r/>
      <w:r>
        <w:rPr>
          <w:b/>
        </w:rPr>
        <w:t>Choix de la marque</w:t>
      </w:r>
      <w:r>
        <w:t xml:space="preserve"> : en pratique, seule NAVELBINE 30 mg capsule orale est disponible en Algérie — pas de choix possible.</w:t>
      </w:r>
    </w:p>
    <w:p>
      <w:r/>
      <w:r>
        <w:rPr>
          <w:b/>
        </w:rPr>
        <w:t>Instructions et Conseils au Patient :</w:t>
      </w:r>
      <w:r/>
    </w:p>
    <w:p>
      <w:pPr>
        <w:pStyle w:val="ListBullet"/>
      </w:pPr>
      <w:r>
        <w:t>Communication avant la cure :</w:t>
      </w:r>
    </w:p>
    <w:p>
      <w:pPr>
        <w:pStyle w:val="ListBullet"/>
      </w:pPr>
      <w:r>
        <w:t>« Ce médicament est un anticancéreux puissant disponible en capsule orale (à avaler entière à jeun, 1 heure avant ou 2 heures après le repas) ou en perfusion veineuse courte. En Algérie, seule la forme orale est disponible. »</w:t>
      </w:r>
    </w:p>
    <w:p>
      <w:pPr>
        <w:pStyle w:val="ListBullet"/>
      </w:pPr>
      <w:r>
        <w:t>« Prendre la capsule ENTIÈRE — ne pas croquer, ne pas sucer — avec un grand verre d'eau. »</w:t>
      </w:r>
    </w:p>
    <w:p>
      <w:pPr>
        <w:pStyle w:val="ListBullet"/>
      </w:pPr>
      <w:r>
        <w:t>« Prendre un antiémétique (sétron) 30 minutes avant la capsule — pour prévenir les vomissements (qui pourraient réduire l'efficacité du traitement). »</w:t>
      </w:r>
    </w:p>
    <w:p>
      <w:pPr>
        <w:pStyle w:val="ListBullet"/>
      </w:pPr>
      <w:r>
        <w:t>« Vous risquez une baisse des globules blancs (neutropénie) — surveillance par prise de sang avant chaque cure. Signalez IMMÉDIATEMENT une fièvre (≥ 38,5 °C) — urgence médicale. »</w:t>
      </w:r>
    </w:p>
    <w:p>
      <w:pPr>
        <w:pStyle w:val="ListBullet"/>
      </w:pPr>
      <w:r>
        <w:t>« Vous risquez des picotements et engourdissements dans les mains et les pieds, de la constipation (laxatif prescrit à prendre systématiquement), de la fatigue, des nausées, une chute de cheveux partielle, une modification du goût. »</w:t>
      </w:r>
    </w:p>
    <w:p>
      <w:pPr>
        <w:pStyle w:val="ListBullet"/>
      </w:pPr>
      <w:r>
        <w:t>« Signalez IMMÉDIATEMENT une dyspnée (essoufflement) — urgence médicale (pneumopathie interstitielle possible). »</w:t>
      </w:r>
    </w:p>
    <w:p>
      <w:pPr>
        <w:pStyle w:val="ListBullet"/>
      </w:pPr>
      <w:r>
        <w:t>« Si vous êtes une femme en âge de procréer, une contraception efficace est OBLIGATOIRE pendant tout le traitement et 6 mois après la dernière cure. »</w:t>
      </w:r>
    </w:p>
    <w:p>
      <w:pPr>
        <w:pStyle w:val="ListBullet"/>
      </w:pPr>
      <w:r>
        <w:t>« Évitez les vaccins vivants pendant le traitement et 3 mois après. »</w:t>
      </w:r>
    </w:p>
    <w:p>
      <w:pPr>
        <w:pStyle w:val="ListBullet"/>
      </w:pPr>
      <w:r>
        <w:t>« Évitez le pamplemousse (jus ou fruit) pendant le traitement. »</w:t>
      </w:r>
    </w:p>
    <w:p>
      <w:pPr>
        <w:pStyle w:val="ListBullet"/>
      </w:pPr>
      <w:r>
        <w:t>Surveillance à domicile :</w:t>
      </w:r>
    </w:p>
    <w:p>
      <w:pPr>
        <w:pStyle w:val="ListBullet"/>
      </w:pPr>
      <w:r>
        <w:t>Prendre la température 2 fois/jour pendant 2 semaines après chaque cure.</w:t>
      </w:r>
    </w:p>
    <w:p>
      <w:pPr>
        <w:pStyle w:val="ListBullet"/>
      </w:pPr>
      <w:r>
        <w:t>Surveiller les selles : en cas d'arrêt &gt; 2 jours — consulter.</w:t>
      </w:r>
    </w:p>
    <w:p>
      <w:pPr>
        <w:pStyle w:val="ListBullet"/>
      </w:pPr>
      <w:r>
        <w:t>Surveiller la tolérance respiratoire : en cas d'essoufflement — consulter en urgence.</w:t>
      </w:r>
    </w:p>
    <w:p>
      <w:pPr>
        <w:pStyle w:val="ListBullet"/>
      </w:pPr>
      <w:r>
        <w:t>Hydratation PO abondante.</w:t>
      </w:r>
    </w:p>
    <w:p>
      <w:pPr>
        <w:pStyle w:val="ListBullet"/>
      </w:pPr>
      <w:r>
        <w:t>Laxatif systématique.</w:t>
      </w:r>
    </w:p>
    <w:p>
      <w:r/>
      <w:r>
        <w:rPr>
          <w:b/>
        </w:rPr>
        <w:t>Notes, Règles d'Or &amp; Pièges au Comptoir :</w:t>
      </w:r>
      <w:r/>
    </w:p>
    <w:p>
      <w:pPr>
        <w:pStyle w:val="ListBullet"/>
      </w:pPr>
      <w:r>
        <w:t xml:space="preserve">Piège classique : </w:t>
      </w:r>
      <w:r>
        <w:rPr>
          <w:b/>
        </w:rPr>
        <w:t>administration intrathécale accidentelle</w:t>
      </w:r>
      <w:r>
        <w:t xml:space="preserve"> — identique à la vincristine — erreur cataclysmique mortelle. Prévention : minibag IV de 50 mL NaCl 0,9 %.</w:t>
      </w:r>
    </w:p>
    <w:p>
      <w:pPr>
        <w:pStyle w:val="ListBullet"/>
      </w:pPr>
      <w:r>
        <w:t xml:space="preserve">Piège classique : </w:t>
      </w:r>
      <w:r>
        <w:rPr>
          <w:b/>
        </w:rPr>
        <w:t>forme orale et nourriture</w:t>
      </w:r>
      <w:r>
        <w:t xml:space="preserve"> — la prise alimentaire diminue l'absorption (surtout les graisses) — prise à jeun obligatoire.</w:t>
      </w:r>
    </w:p>
    <w:p>
      <w:pPr>
        <w:pStyle w:val="ListBullet"/>
      </w:pPr>
      <w:r>
        <w:t xml:space="preserve">Piège classique : </w:t>
      </w:r>
      <w:r>
        <w:rPr>
          <w:b/>
        </w:rPr>
        <w:t>vomissements après prise orale</w:t>
      </w:r>
      <w:r>
        <w:t xml:space="preserve"> — si vomissements dans les 30 minutes après la prise — ne PAS reprendre la dose (risque de surdosage). Prévention : antiémétique (sétron) 30 min avant la prise.</w:t>
      </w:r>
    </w:p>
    <w:p>
      <w:pPr>
        <w:pStyle w:val="ListBullet"/>
      </w:pPr>
      <w:r>
        <w:t xml:space="preserve">Piège classique : </w:t>
      </w:r>
      <w:r>
        <w:rPr>
          <w:b/>
        </w:rPr>
        <w:t>oubli du laxatif</w:t>
      </w:r>
      <w:r>
        <w:t xml:space="preserve"> — la constipation est fréquente — prescription systématique de macrogol + bisacodyl.</w:t>
      </w:r>
    </w:p>
    <w:p>
      <w:pPr>
        <w:pStyle w:val="ListBullet"/>
      </w:pPr>
      <w:r>
        <w:t xml:space="preserve">Piège classique : </w:t>
      </w:r>
      <w:r>
        <w:rPr>
          <w:b/>
        </w:rPr>
        <w:t>dyspnée aiguë (pneumopathie interstitielle)</w:t>
      </w:r>
      <w:r>
        <w:t xml:space="preserve"> — particularly chez les patients prétraités par bléomycine ou radiothérapie thoracique — arrêt IMMÉDIAT si dyspnée aiguë.</w:t>
      </w:r>
    </w:p>
    <w:p>
      <w:pPr>
        <w:pStyle w:val="ListBullet"/>
      </w:pPr>
      <w:r>
        <w:t xml:space="preserve">Piège classique : </w:t>
      </w:r>
      <w:r>
        <w:rPr>
          <w:b/>
        </w:rPr>
        <w:t>extravasation</w:t>
      </w:r>
      <w:r>
        <w:t xml:space="preserve"> — la vinorelbine est un vesicant — compresses chaudes + hyaluronidase 150-300 UI SC.</w:t>
      </w:r>
    </w:p>
    <w:p>
      <w:pPr>
        <w:pStyle w:val="ListBullet"/>
      </w:pPr>
      <w:r>
        <w:t xml:space="preserve">Piège classique : </w:t>
      </w:r>
      <w:r>
        <w:rPr>
          <w:b/>
        </w:rPr>
        <w:t>forme orale non disponible en 20 mg</w:t>
      </w:r>
      <w:r>
        <w:t xml:space="preserve"> — seule la capsule 30 mg est active en Algérie — adaptation posologique difficile pour les patients de surface corporelle faible (&lt; 1,4 m²) ou en cas de réduction de dose — discussion avec l'oncologue pour adaptation (modifier la fréquence plutôt que la dose unitaire).</w:t>
      </w:r>
    </w:p>
    <w:p>
      <w:pPr>
        <w:pStyle w:val="ListBullet"/>
      </w:pPr>
      <w:r>
        <w:t>Règle d'or : administration EXCLUSIVE en minibag IV de 50 mL NaCl 0,9 % (forme IV).</w:t>
      </w:r>
    </w:p>
    <w:p>
      <w:pPr>
        <w:pStyle w:val="ListBullet"/>
      </w:pPr>
      <w:r>
        <w:t>Règle d'or : prise à jeun pour la forme orale — antiémétique 30 min avant.</w:t>
      </w:r>
    </w:p>
    <w:p>
      <w:pPr>
        <w:pStyle w:val="ListBullet"/>
      </w:pPr>
      <w:r>
        <w:t>Règle d'or : NFS avant chaque cure — pas de cure si PNN &lt; 1 500/mm³.</w:t>
      </w:r>
    </w:p>
    <w:p>
      <w:pPr>
        <w:pStyle w:val="ListBullet"/>
      </w:pPr>
      <w:r>
        <w:t>Règle d'or : laxatif systématique.</w:t>
      </w:r>
    </w:p>
    <w:p>
      <w:pPr>
        <w:pStyle w:val="ListBullet"/>
      </w:pPr>
      <w:r>
        <w:t>Règle d'or : contraception efficace obligatoire.</w:t>
      </w:r>
    </w:p>
    <w:p>
      <w:pPr>
        <w:pStyle w:val="ListBullet"/>
      </w:pPr>
      <w:r>
        <w:t>Préparation et Conservation : capsules moulles à conserver à température &lt; 25 °C à l'abri de l'humidité (ne pas congeler) ; flacons IV à conserver entre 2 et 8 °C à l'abri de la lumière. Après dilution en minibag : stabilité 24 h à température ambiante.</w:t>
      </w:r>
    </w:p>
    <w:p>
      <w:pPr>
        <w:pStyle w:val="Heading3"/>
      </w:pPr>
      <w:r>
        <w:t>7. DCI : Vindesine (Seule) — RETIRÉE DU MARCHÉ ALGÉRIEN</w:t>
      </w:r>
    </w:p>
    <w:p>
      <w:r/>
      <w:r>
        <w:rPr>
          <w:b/>
        </w:rPr>
        <w:t>Liste des Catégories :</w:t>
      </w:r>
      <w:r>
        <w:t xml:space="preserve"> Cytotoxique — Alcaloïde de la pervenche (Vinca — 1re génération) ; Poison du fuseau mitotique (dépolymérisant des microtubules) ; Médicament à surveillance neurologique et hématologique obligatoire ; Forme IV stricte — par minibag IV ; Tératogène (catégorie D — CRAT : « à éviter ») ; Prescription réservée aux spécialistes en oncologie ou hématologie ; Liste I ; médication hospitalière stricte. </w:t>
      </w:r>
      <w:r>
        <w:rPr>
          <w:b/>
        </w:rPr>
        <w:t>RETIRÉE DU MARCHÉ ALGÉRIEN</w:t>
      </w:r>
      <w:r>
        <w:t xml:space="preserve"> — plus commercialisée — alternatives à privilégier (vincristine, vinblastine, vinorelbine).</w:t>
      </w:r>
    </w:p>
    <w:p>
      <w:r>
        <w:t xml:space="preserve">La vindésine (23-désoxy-23-amino-vinblastine, sous forme de sulfate — masse molaire 853 g/mol pour le sulfate) est un alcaloïde semi-synthétique de type bis-indolique, dérivé de la vinblastine par synthèse (Eli Lilly, 1975 — commercialisée 1979 sous le nom Eldisine®). Sa structure diffère de la vinblastine par la substitution d'un groupement amino (au lieu d'oxygène) en position 23 — d'où le nom « 23-désoxy-23-amino-vinblastine ». Cette modification avait pour objectif de réduire la neurotoxicité de la vincristine — espoir déçu (le profil neurotoxique est similaire à celui de la vincristine, avec une myélotoxicité intermédiaire entre la vincristine et la vinblastine). La vindésine a été développée comme alternative à la vincristine dans les protocoles de LAL de l'enfant, de maladie de Hodgkin, de lymphomes non hodgkiniens, et de CBNPC (historique) — mais n'a jamais supplanté la vincristine en pratique clinique. </w:t>
      </w:r>
      <w:r>
        <w:rPr>
          <w:b/>
        </w:rPr>
        <w:t>La vindésine est RETIRÉE du marché algérien</w:t>
      </w:r>
      <w:r>
        <w:t xml:space="preserve"> — le princeps Eldisine® (Eli Lilly) est plus commercialisé. Aucune alternative générique n'est disponible. Pour les patients nécessitant une Vinca-alcaloïde, le switch vers la vincristine (à dose équivalente neurotoxique) ou la vinblastine (à dose équivalente myélotoxique) ou la vinorelbine (alternative moderne) est recommandé selon l'indication.</w:t>
      </w:r>
    </w:p>
    <w:p>
      <w:r/>
      <w:r>
        <w:rPr>
          <w:b/>
        </w:rPr>
        <w:t>Médicaments disponibles en Algérie (Marques, Laboratoires, Formes et Dosages) :</w:t>
      </w:r>
      <w:r/>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ELDISINE</w:t>
            </w:r>
          </w:p>
        </w:tc>
        <w:tc>
          <w:tcPr>
            <w:tcW w:type="dxa" w:w="1559"/>
          </w:tcPr>
          <w:p>
            <w:r>
              <w:rPr>
                <w:sz w:val="20"/>
              </w:rPr>
              <w:t>ELI LILLY (princeps)</w:t>
            </w:r>
          </w:p>
        </w:tc>
        <w:tc>
          <w:tcPr>
            <w:tcW w:type="dxa" w:w="1559"/>
          </w:tcPr>
          <w:p>
            <w:r>
              <w:rPr>
                <w:sz w:val="20"/>
              </w:rPr>
              <w:t>Poudre pour solution injectable IV — 4 mg/flacon</w:t>
            </w:r>
          </w:p>
        </w:tc>
        <w:tc>
          <w:tcPr>
            <w:tcW w:type="dxa" w:w="1559"/>
          </w:tcPr>
          <w:p>
            <w:r>
              <w:rPr>
                <w:sz w:val="20"/>
              </w:rPr>
              <w:t>B/1 flacon</w:t>
            </w:r>
          </w:p>
        </w:tc>
        <w:tc>
          <w:tcPr>
            <w:tcW w:type="dxa" w:w="1559"/>
          </w:tcPr>
          <w:p>
            <w:r>
              <w:rPr>
                <w:sz w:val="20"/>
              </w:rPr>
              <w:t>Liste I</w:t>
            </w:r>
          </w:p>
        </w:tc>
        <w:tc>
          <w:tcPr>
            <w:tcW w:type="dxa" w:w="1559"/>
          </w:tcPr>
          <w:p>
            <w:r>
              <w:rPr>
                <w:sz w:val="20"/>
              </w:rPr>
              <w:t>**Retiré (R)**</w:t>
            </w:r>
          </w:p>
        </w:tc>
      </w:tr>
    </w:tbl>
    <w:p/>
    <w:p>
      <w:r/>
      <w:r>
        <w:rPr>
          <w:i/>
        </w:rPr>
        <w:t>Note : la vindésine n'est plus disponible en Algérie — le princeps ELDISINE® (Eli Lilly) a été retiré du marché. Aucune alternative générique n'est commercialisée. Pour les patients nécessitant une Vinca-alcaloïde, le switch vers la vincristine (à dose équivalente neurotoxique — 1,4 mg/m² capped à 2 mg) ou la vinblastine (à dose équivalente myélotoxique — 6 mg/m²) ou la vinorelbine (alternative moderne — 25-30 mg/m² IV ou 60-80 mg/m² PO) est recommandé selon l'indication et l'avis oncologique.</w:t>
      </w:r>
      <w:r/>
    </w:p>
    <w:p>
      <w:r/>
      <w:r>
        <w:rPr>
          <w:b/>
        </w:rPr>
        <w:t>Sous-classe et Mécanisme d'action :</w:t>
      </w:r>
      <w:r/>
    </w:p>
    <w:p>
      <w:pPr>
        <w:pStyle w:val="ListBullet"/>
      </w:pPr>
      <w:r>
        <w:t>Sous-classe : Alcaloïdes de la pervenche (Vinca — 1re génération — poison du fuseau mitotique dépolymérisant). Classification ATC : L01CA03. La vindésine était indiquée historiquement dans les LAL de l'enfant (alternative à la vincristine), la maladie de Hodgkin, les lymphomes non hodgkiniens, et le CBNPC (historique). Sa place dans l'arsenal thérapeutique a toujours été marginale — n'a jamais supplanté la vincristine en pratique clinique. Aujourd'hui RETIRÉE du marché algérien — switch vers vincristine, vinblastine, ou vinorelbine selon l'indication.</w:t>
      </w:r>
    </w:p>
    <w:p>
      <w:pPr>
        <w:pStyle w:val="ListBullet"/>
      </w:pPr>
      <w:r>
        <w:t xml:space="preserve">Mécanisme d'action : identique à la vincristine et la vinblastine — </w:t>
      </w:r>
      <w:r>
        <w:rPr>
          <w:b/>
        </w:rPr>
        <w:t>dépolymérisation des microtubules par fixation à la β-tubuline au site vinca</w:t>
      </w:r>
      <w:r>
        <w:t>. Cette fixation empêche la polymérisation de la tubuline en microtubules. Le fuseau mitotique ne peut plus se former → bloc mitotique en prométaphase/métaphase → apoptose.</w:t>
      </w:r>
    </w:p>
    <w:p>
      <w:r/>
      <w:r>
        <w:rPr>
          <w:b/>
        </w:rPr>
        <w:t>Profil Pharmacologique et Indications :</w:t>
      </w:r>
      <w:r/>
    </w:p>
    <w:p>
      <w:pPr>
        <w:pStyle w:val="ListBullet"/>
      </w:pPr>
      <w:r>
        <w:t>Indications historiques (vindésine — RCP historique Eldisine®) :</w:t>
      </w:r>
    </w:p>
    <w:p>
      <w:pPr>
        <w:pStyle w:val="ListBullet"/>
      </w:pPr>
      <w:r/>
      <w:r>
        <w:rPr>
          <w:b/>
        </w:rPr>
        <w:t>Leucémie aiguë lymphoblastique (LAL) de l'enfant et de l'adulte</w:t>
      </w:r>
      <w:r>
        <w:t xml:space="preserve"> : alternative à la vincristine dans les protocoles d'induction et de consolidation — vindésine 2-3 mg/m² hebdomadaire.</w:t>
      </w:r>
    </w:p>
    <w:p>
      <w:pPr>
        <w:pStyle w:val="ListBullet"/>
      </w:pPr>
      <w:r/>
      <w:r>
        <w:rPr>
          <w:b/>
        </w:rPr>
        <w:t>Maladie de Hodgkin</w:t>
      </w:r>
      <w:r>
        <w:t xml:space="preserve"> : alternative à la vincristine dans le protocole MOPP — vindésine 3 mg/m² J1 + J15.</w:t>
      </w:r>
    </w:p>
    <w:p>
      <w:pPr>
        <w:pStyle w:val="ListBullet"/>
      </w:pPr>
      <w:r/>
      <w:r>
        <w:rPr>
          <w:b/>
        </w:rPr>
        <w:t>Lymphomes non hodgkiniens</w:t>
      </w:r>
      <w:r>
        <w:t xml:space="preserve"> : protocole CHOP-vindésine (alternative au CHOP standard) — vindésine 3 mg/m² J1.</w:t>
      </w:r>
    </w:p>
    <w:p>
      <w:pPr>
        <w:pStyle w:val="ListBullet"/>
      </w:pPr>
      <w:r/>
      <w:r>
        <w:rPr>
          <w:b/>
        </w:rPr>
        <w:t>Cancer du poumon non à petites cellules (CBNPC)</w:t>
      </w:r>
      <w:r>
        <w:t xml:space="preserve"> : protocole vindésine + cisplatine — 1re ligne métastatique (historique — supplanté par cisplatine-vinorelbine).</w:t>
      </w:r>
    </w:p>
    <w:p>
      <w:pPr>
        <w:pStyle w:val="ListBullet"/>
      </w:pPr>
      <w:r/>
      <w:r>
        <w:rPr>
          <w:b/>
        </w:rPr>
        <w:t>Cancer du sein métastatique</w:t>
      </w:r>
      <w:r>
        <w:t xml:space="preserve"> : monothérapie hebdomadaire — vindésine 3 mg/m².</w:t>
      </w:r>
    </w:p>
    <w:p>
      <w:pPr>
        <w:pStyle w:val="ListBullet"/>
      </w:pPr>
      <w:r/>
      <w:r>
        <w:rPr>
          <w:b/>
        </w:rPr>
        <w:t>Mélanome métastatique</w:t>
      </w:r>
      <w:r>
        <w:t xml:space="preserve"> : protocole vindésine + cisplatine + dacarbazine (historique).</w:t>
      </w:r>
    </w:p>
    <w:p>
      <w:pPr>
        <w:pStyle w:val="ListBullet"/>
      </w:pPr>
      <w:r>
        <w:t>Particularités pharmacologiques :</w:t>
      </w:r>
    </w:p>
    <w:p>
      <w:pPr>
        <w:pStyle w:val="ListBullet"/>
      </w:pPr>
      <w:r>
        <w:t>Cinétique tricompartimentale — clairance 9,4 L/h/m² (CV 35 %).</w:t>
      </w:r>
    </w:p>
    <w:p>
      <w:pPr>
        <w:pStyle w:val="ListBullet"/>
      </w:pPr>
      <w:r>
        <w:t>Distribution large — Vd 8 L/m² ; liaison protéique modérée (75 %).</w:t>
      </w:r>
    </w:p>
    <w:p>
      <w:pPr>
        <w:pStyle w:val="ListBullet"/>
      </w:pPr>
      <w:r>
        <w:t>Métabolisme hépatique prédominant (CYP3A4) — élimination biliaire (~ 70 % dans les fèces en 72 h) ; moins de 10 % dans les urines.</w:t>
      </w:r>
    </w:p>
    <w:p>
      <w:pPr>
        <w:pStyle w:val="ListBullet"/>
      </w:pPr>
      <w:r>
        <w:t>Demi-vie d'élimination : 20-24 h (biphasique — α-phase 4 min, β-phase 1 h, γ-phase 24 h).</w:t>
      </w:r>
    </w:p>
    <w:p>
      <w:pPr>
        <w:pStyle w:val="ListBullet"/>
      </w:pPr>
      <w:r>
        <w:t>Adaptation hépatique : (i) fonction hépatique normale : dose pleine (3 mg/m²) ; (ii) insuffisance hépatique modérée : réduction à 50 % ; (iii) insuffisance hépatique sévère : contre-indication.</w:t>
      </w:r>
    </w:p>
    <w:p>
      <w:pPr>
        <w:pStyle w:val="ListBullet"/>
      </w:pPr>
      <w:r>
        <w:t>Schémas : (i) vindésine 2-3 mg/m² J1 hebdomadaire (monothérapie) ou J1 + J15 toutes les 4 semaines (associations) — en minibag IV de 50 mL NaCl 0,9 % sur 5-10 min.</w:t>
      </w:r>
    </w:p>
    <w:p>
      <w:r/>
      <w:r>
        <w:rPr>
          <w:b/>
        </w:rPr>
        <w:t>Contre-indications et Précautions d'Emploi :</w:t>
      </w:r>
      <w:r/>
    </w:p>
    <w:p>
      <w:pPr>
        <w:pStyle w:val="ListBullet"/>
      </w:pPr>
      <w:r>
        <w:t>Contre-indications ABSOLUES :</w:t>
      </w:r>
    </w:p>
    <w:p>
      <w:pPr>
        <w:pStyle w:val="ListBullet"/>
      </w:pPr>
      <w:r/>
      <w:r>
        <w:rPr>
          <w:b/>
        </w:rPr>
        <w:t>Administration intrathécale (IT)</w:t>
      </w:r>
      <w:r>
        <w:t xml:space="preserve"> : CONTRE-INDICATION ABSOLUE — identique à la vincristine — erreur cataclysmique potentiellement mortelle. Prévention : conditionnement exclusif en minibag IV de 50 mL NaCl 0,9 %.</w:t>
      </w:r>
    </w:p>
    <w:p>
      <w:pPr>
        <w:pStyle w:val="ListBullet"/>
      </w:pPr>
      <w:r>
        <w:t>Hypersensibilité connue à la vindésine ou à l'un des excipients.</w:t>
      </w:r>
    </w:p>
    <w:p>
      <w:pPr>
        <w:pStyle w:val="ListBullet"/>
      </w:pPr>
      <w:r/>
      <w:r>
        <w:rPr>
          <w:b/>
        </w:rPr>
        <w:t>Neutropénie sévère</w:t>
      </w:r>
      <w:r>
        <w:t xml:space="preserve"> (&lt; 1 500/mm³) pré-existante — attendre récupération PNN ≥ 1 500/mm³.</w:t>
      </w:r>
    </w:p>
    <w:p>
      <w:pPr>
        <w:pStyle w:val="ListBullet"/>
      </w:pPr>
      <w:r/>
      <w:r>
        <w:rPr>
          <w:b/>
        </w:rPr>
        <w:t>Neuropathie périphérique sévère</w:t>
      </w:r>
      <w:r>
        <w:t xml:space="preserve"> pré-existante.</w:t>
      </w:r>
    </w:p>
    <w:p>
      <w:pPr>
        <w:pStyle w:val="ListBullet"/>
      </w:pPr>
      <w:r/>
      <w:r>
        <w:rPr>
          <w:b/>
        </w:rPr>
        <w:t>Insuffisance hépatique sévère</w:t>
      </w:r>
      <w:r>
        <w:t xml:space="preserve"> (bilirubine &gt; 3 × LSN).</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Précautions d'emploi : identiques à la vincristine (administration en minibag IV, surveillance neurologique et hématologique, précautions de manipulation).</w:t>
      </w:r>
    </w:p>
    <w:p>
      <w:r/>
      <w:r>
        <w:rPr>
          <w:b/>
        </w:rPr>
        <w:t>Effets Indésirables :</w:t>
      </w:r>
      <w:r/>
    </w:p>
    <w:p>
      <w:pPr>
        <w:pStyle w:val="ListBullet"/>
      </w:pPr>
      <w:r>
        <w:t>Profil similaire à la vincristine (neurotoxicité dose-limitante) avec une myélotoxicité intermédiaire (entre vincristine et vinblastine) :</w:t>
      </w:r>
    </w:p>
    <w:p>
      <w:pPr>
        <w:pStyle w:val="ListBullet"/>
      </w:pPr>
      <w:r/>
      <w:r>
        <w:rPr>
          <w:b/>
        </w:rPr>
        <w:t>Neurotoxicité périphérique</w:t>
      </w:r>
      <w:r>
        <w:t xml:space="preserve"> (effet dose-limitant — similaire à la vincristine) : paresthésies, dysesthésies, hypoesthésie en « gants et chaussettes », faiblesse motrice distale, diminution des ROT, constipation sévère (parfois avec ileus paralytique), dysurie, hypotension orthostatique, paralysie des nerfs crâniens (ptosis, diplopie, strabisme, paralysie faciale).</w:t>
      </w:r>
    </w:p>
    <w:p>
      <w:pPr>
        <w:pStyle w:val="ListBullet"/>
      </w:pPr>
      <w:r/>
      <w:r>
        <w:rPr>
          <w:b/>
        </w:rPr>
        <w:t>Myélosuppression</w:t>
      </w:r>
      <w:r>
        <w:t xml:space="preserve"> (modérée — intermédiaire entre vincristine et vinblastine) : neutropénie (50-70 %), thrombopénie (10-20 %), anémie (30-50 %).</w:t>
      </w:r>
    </w:p>
    <w:p>
      <w:pPr>
        <w:pStyle w:val="ListBullet"/>
      </w:pPr>
      <w:r/>
      <w:r>
        <w:rPr>
          <w:b/>
        </w:rPr>
        <w:t>Hypersensibilité</w:t>
      </w:r>
      <w:r>
        <w:t xml:space="preserve"> (rare — &lt; 5 %).</w:t>
      </w:r>
    </w:p>
    <w:p>
      <w:pPr>
        <w:pStyle w:val="ListBullet"/>
      </w:pPr>
      <w:r/>
      <w:r>
        <w:rPr>
          <w:b/>
        </w:rPr>
        <w:t>Toxicité digestive</w:t>
      </w:r>
      <w:r>
        <w:t xml:space="preserve"> : nausées/vomissements (modérés — 30-50 %), constipation (quasi-constante), mucite (10-20 %).</w:t>
      </w:r>
    </w:p>
    <w:p>
      <w:pPr>
        <w:pStyle w:val="ListBullet"/>
      </w:pPr>
      <w:r/>
      <w:r>
        <w:rPr>
          <w:b/>
        </w:rPr>
        <w:t>Alopécie</w:t>
      </w:r>
      <w:r>
        <w:t xml:space="preserve"> (fréquente — 30-50 %).</w:t>
      </w:r>
    </w:p>
    <w:p>
      <w:pPr>
        <w:pStyle w:val="ListBullet"/>
      </w:pPr>
      <w:r/>
      <w:r>
        <w:rPr>
          <w:b/>
        </w:rPr>
        <w:t>Toxicité hépatique</w:t>
      </w:r>
      <w:r>
        <w:t xml:space="preserve"> : cytolyse (5-10 %), cholestase intra-hépatique (rare).</w:t>
      </w:r>
    </w:p>
    <w:p>
      <w:pPr>
        <w:pStyle w:val="ListBullet"/>
      </w:pPr>
      <w:r/>
      <w:r>
        <w:rPr>
          <w:b/>
        </w:rPr>
        <w:t>Toxicité locale au point d'injection</w:t>
      </w:r>
      <w:r>
        <w:t xml:space="preserve"> : réaction locale ; extravasation → nécrose tissulaire (vesicant — voie veineuse centrale si traitement prolongé).</w:t>
      </w:r>
    </w:p>
    <w:p>
      <w:r/>
      <w:r>
        <w:rPr>
          <w:b/>
        </w:rPr>
        <w:t>Prévention et Gestion des Effets Indésirables :</w:t>
      </w:r>
      <w:r/>
    </w:p>
    <w:p>
      <w:pPr>
        <w:pStyle w:val="ListBullet"/>
      </w:pPr>
      <w:r>
        <w:t>Identiques à la vincristine :</w:t>
      </w:r>
    </w:p>
    <w:p>
      <w:pPr>
        <w:pStyle w:val="ListBullet"/>
      </w:pPr>
      <w:r/>
      <w:r>
        <w:rPr>
          <w:b/>
        </w:rPr>
        <w:t>Prévention de l'erreur intrathécale</w:t>
      </w:r>
      <w:r>
        <w:t xml:space="preserve"> : conditionnement EXCLUSIF en minibag IV de 50 mL NaCl 0,9 %.</w:t>
      </w:r>
    </w:p>
    <w:p>
      <w:pPr>
        <w:pStyle w:val="ListBullet"/>
      </w:pPr>
      <w:r/>
      <w:r>
        <w:rPr>
          <w:b/>
        </w:rPr>
        <w:t>Prévention neurotoxicité</w:t>
      </w:r>
      <w:r>
        <w:t xml:space="preserve"> : évaluation neurologique pré-cure, dépistage des cofacteurs.</w:t>
      </w:r>
    </w:p>
    <w:p>
      <w:pPr>
        <w:pStyle w:val="ListBullet"/>
      </w:pPr>
      <w:r/>
      <w:r>
        <w:rPr>
          <w:b/>
        </w:rPr>
        <w:t>Prévention digestive</w:t>
      </w:r>
      <w:r>
        <w:t xml:space="preserve"> : laxatif systématique (macrogol + bisacodyl).</w:t>
      </w:r>
    </w:p>
    <w:p>
      <w:pPr>
        <w:pStyle w:val="ListBullet"/>
      </w:pPr>
      <w:r/>
      <w:r>
        <w:rPr>
          <w:b/>
        </w:rPr>
        <w:t>Prévention hématologique</w:t>
      </w:r>
      <w:r>
        <w:t xml:space="preserve"> : NFS avant chaque cure, G-CSF si épisode de neutropénie fébrile.</w:t>
      </w:r>
    </w:p>
    <w:p>
      <w:pPr>
        <w:pStyle w:val="ListBullet"/>
      </w:pPr>
      <w:r>
        <w:t>Conduite à tenir : identique à la vincristine.</w:t>
      </w:r>
    </w:p>
    <w:p>
      <w:r/>
      <w:r>
        <w:rPr>
          <w:b/>
        </w:rPr>
        <w:t>Interactions Importantes :</w:t>
      </w:r>
      <w:r/>
    </w:p>
    <w:p>
      <w:pPr>
        <w:pStyle w:val="ListBullet"/>
      </w:pPr>
      <w:r>
        <w:t>Identiques à la vincristine :</w:t>
      </w:r>
    </w:p>
    <w:p>
      <w:pPr>
        <w:pStyle w:val="ListBullet"/>
      </w:pPr>
      <w:r/>
      <w:r>
        <w:rPr>
          <w:b/>
        </w:rPr>
        <w:t>Vindésine + inhibiteurs du CYP3A4</w:t>
      </w:r>
      <w:r>
        <w:t xml:space="preserve"> (azolés, antiprotéases, macrolides, grapefruit) : augmentation majeure de l'AUC vindésine — risque de neurotoxicité sévère. Éviter ou réduire la dose à 50 %.</w:t>
      </w:r>
    </w:p>
    <w:p>
      <w:pPr>
        <w:pStyle w:val="ListBullet"/>
      </w:pPr>
      <w:r/>
      <w:r>
        <w:rPr>
          <w:b/>
        </w:rPr>
        <w:t>Vindésine + inducteurs du CYP3A4</w:t>
      </w:r>
      <w:r>
        <w:t xml:space="preserve"> (rifampicine, phénytoïne, carbamazépine, phénobarbital, millepertuis) : baisse de l'AUC vindésine — risque d'efficacité réduite.</w:t>
      </w:r>
    </w:p>
    <w:p>
      <w:pPr>
        <w:pStyle w:val="ListBullet"/>
      </w:pPr>
      <w:r/>
      <w:r>
        <w:rPr>
          <w:b/>
        </w:rPr>
        <w:t>Vindésine + anticancéreux autres</w:t>
      </w:r>
      <w:r>
        <w:t xml:space="preserve"> : doxorubicine (neurotoxicité additif) ; cisplatine (neurotoxicité synergique) ; asparaginase (hepatotoxicité additif — administration séquentielle).</w:t>
      </w:r>
    </w:p>
    <w:p>
      <w:pPr>
        <w:pStyle w:val="ListBullet"/>
      </w:pPr>
      <w:r/>
      <w:r>
        <w:rPr>
          <w:b/>
        </w:rPr>
        <w:t>Vindésine + anticoagulants oraux</w:t>
      </w:r>
      <w:r>
        <w:t xml:space="preserve"> : augmentation de l'INR. Surveillance INR.</w:t>
      </w:r>
    </w:p>
    <w:p>
      <w:pPr>
        <w:pStyle w:val="ListBullet"/>
      </w:pPr>
      <w:r/>
      <w:r>
        <w:rPr>
          <w:b/>
        </w:rPr>
        <w:t>Vindésine + vaccines vivants atténués</w:t>
      </w:r>
      <w:r>
        <w:t xml:space="preserve"> : contre-indication.</w:t>
      </w:r>
    </w:p>
    <w:p>
      <w:r/>
      <w:r>
        <w:rPr>
          <w:b/>
        </w:rPr>
        <w:t>Grossesse et Allaitement :</w:t>
      </w:r>
      <w:r/>
    </w:p>
    <w:p>
      <w:pPr>
        <w:pStyle w:val="ListBullet"/>
      </w:pPr>
      <w:r>
        <w:t>Grossesse : selon le CRAT, la vindésine est classée « à éviter » (catégorie D — tératogène). Contraception obligatoire pendant le traitement et 6 mois après.</w:t>
      </w:r>
    </w:p>
    <w:p>
      <w:pPr>
        <w:pStyle w:val="ListBullet"/>
      </w:pPr>
      <w:r>
        <w:t>Allaitement : contre-indication ABSOLUE.</w:t>
      </w:r>
    </w:p>
    <w:p>
      <w:r/>
      <w:r>
        <w:rPr>
          <w:b/>
        </w:rPr>
        <w:t>Posologie et Mode d'Administration :</w:t>
      </w:r>
      <w:r/>
    </w:p>
    <w:p>
      <w:pPr>
        <w:pStyle w:val="ListBullet"/>
      </w:pPr>
      <w:r>
        <w:t>Adulte :</w:t>
      </w:r>
    </w:p>
    <w:p>
      <w:pPr>
        <w:pStyle w:val="ListBullet"/>
      </w:pPr>
      <w:r/>
      <w:r>
        <w:rPr>
          <w:b/>
        </w:rPr>
        <w:t>Schéma standard</w:t>
      </w:r>
      <w:r>
        <w:t xml:space="preserve"> : 2-3 mg/m² J1 (et J15 dans certains protocoles) en minibag IV de 50 mL NaCl 0,9 % sur 5-10 min, toutes les 4 semaines.</w:t>
      </w:r>
    </w:p>
    <w:p>
      <w:pPr>
        <w:pStyle w:val="ListBullet"/>
      </w:pPr>
      <w:r/>
      <w:r>
        <w:rPr>
          <w:b/>
        </w:rPr>
        <w:t>Dose maximale par cure</w:t>
      </w:r>
      <w:r>
        <w:t xml:space="preserve"> : 4 mg/m² (au-delà — toxicité excessive).</w:t>
      </w:r>
    </w:p>
    <w:p>
      <w:pPr>
        <w:pStyle w:val="ListBullet"/>
      </w:pPr>
      <w:r/>
      <w:r>
        <w:rPr>
          <w:b/>
        </w:rPr>
        <w:t>Réduction de dose</w:t>
      </w:r>
      <w:r>
        <w:t xml:space="preserve"> : (i) si neurotoxicité G2 persistante — délai de 1 semaine ; (ii) si neurotoxicité G3 — réduction à 50 % ou switch vers vinblastine ; (iii) si insuffisance hépatique modérée — réduction à 50 %.</w:t>
      </w:r>
    </w:p>
    <w:p>
      <w:pPr>
        <w:pStyle w:val="ListBullet"/>
      </w:pPr>
      <w:r>
        <w:t>Enfant :</w:t>
      </w:r>
    </w:p>
    <w:p>
      <w:pPr>
        <w:pStyle w:val="ListBullet"/>
      </w:pPr>
      <w:r>
        <w:t>Schéma standard : 2-3 mg/m² hebdomadaire (protocoles LAL de l'enfant, en alternative à la vincristine).</w:t>
      </w:r>
    </w:p>
    <w:p>
      <w:pPr>
        <w:pStyle w:val="ListBullet"/>
      </w:pPr>
      <w:r>
        <w:t>Préparation et perfusion :</w:t>
      </w:r>
    </w:p>
    <w:p>
      <w:pPr>
        <w:pStyle w:val="ListBullet"/>
      </w:pPr>
      <w:r/>
      <w:r>
        <w:rPr>
          <w:b/>
        </w:rPr>
        <w:t>Dilution</w:t>
      </w:r>
      <w:r>
        <w:t xml:space="preserve"> : la vindésine (poudre lyophilisée 4 mg/flacon, à reconstituer avec EPPI pour obtenir une concentration de 1 mg/mL) est diluée dans un minibag de 50 mL NaCl 0,9 %.</w:t>
      </w:r>
    </w:p>
    <w:p>
      <w:pPr>
        <w:pStyle w:val="ListBullet"/>
      </w:pPr>
      <w:r/>
      <w:r>
        <w:rPr>
          <w:b/>
        </w:rPr>
        <w:t>Surveillance pendant la perfusion</w:t>
      </w:r>
      <w:r>
        <w:t xml:space="preserve"> : scope cardiorespiratoire, PAs toutes les 15 min.</w:t>
      </w:r>
    </w:p>
    <w:p>
      <w:pPr>
        <w:pStyle w:val="ListBullet"/>
      </w:pPr>
      <w:r/>
      <w:r>
        <w:rPr>
          <w:b/>
        </w:rPr>
        <w:t>Durée de perfusion</w:t>
      </w:r>
      <w:r>
        <w:t xml:space="preserve"> : 5-10 min.</w:t>
      </w:r>
    </w:p>
    <w:p>
      <w:pPr>
        <w:pStyle w:val="ListBullet"/>
      </w:pPr>
      <w:r>
        <w:t>Adaptation posologique : identique à la vincristine (insuffisance rénale : pas d'adaptation ; insuffisance hépatique modérée : dose réduite à 50 % ; insuffisance hépatique sévère : contre-indication).</w:t>
      </w:r>
    </w:p>
    <w:p>
      <w:pPr>
        <w:pStyle w:val="ListBullet"/>
      </w:pPr>
      <w:r>
        <w:t>Conditions de conservation : flacons de poudre lyophilisée à conserver entre 2 et 8 °C à l'abri de la lumière. Après reconstitution en EPPI : stabilité 24 h à 2-8 °C. Après dilution en minibag : stabilité 24 h à température ambiante.</w:t>
      </w:r>
    </w:p>
    <w:p>
      <w:r/>
      <w:r>
        <w:rPr>
          <w:b/>
        </w:rPr>
        <w:t>Arbitrage et Bénéfices des Formes Galéniques :</w:t>
      </w:r>
      <w:r/>
    </w:p>
    <w:p>
      <w:pPr>
        <w:pStyle w:val="ListBullet"/>
      </w:pPr>
      <w:r/>
      <w:r>
        <w:rPr>
          <w:b/>
        </w:rPr>
        <w:t>Poudre pour solution injectable IV — 4 mg/flacon</w:t>
      </w:r>
      <w:r>
        <w:t xml:space="preserve"> (ELDISINE Eli Lilly — retiré) : galénique historique — poudre à reconstituer avec 4 mL EPPI pour obtenir une concentration de 1 mg/mL. Dose standard pour un adulte de 1,7 m² : 3 mg/m² × 1,7 = ~ 5 mg — soit ~ 1,5 flacon de 4 mg par cure. Plus commercialisée en Algérie.</w:t>
      </w:r>
    </w:p>
    <w:p>
      <w:pPr>
        <w:pStyle w:val="ListBullet"/>
      </w:pPr>
      <w:r/>
      <w:r>
        <w:rPr>
          <w:b/>
        </w:rPr>
        <w:t>Alternatives recommandées</w:t>
      </w:r>
      <w:r>
        <w:t xml:space="preserve"> :</w:t>
      </w:r>
    </w:p>
    <w:p>
      <w:pPr>
        <w:pStyle w:val="ListBullet"/>
      </w:pPr>
      <w:r>
        <w:t>Pour les LAL de l'enfant : switch vers vincristine 1,5-2 mg/m² (capped à 2 mg) hebdomadaire — même profil neurotoxique, mais plus de données d'efficacité.</w:t>
      </w:r>
    </w:p>
    <w:p>
      <w:pPr>
        <w:pStyle w:val="ListBullet"/>
      </w:pPr>
      <w:r>
        <w:t>Pour la maladie de Hodgkin : switch vers vinblastine 6 mg/m² J1 + J15 dans protocole ABVD — moins neurotoxique, plus myélotoxic.</w:t>
      </w:r>
    </w:p>
    <w:p>
      <w:pPr>
        <w:pStyle w:val="ListBullet"/>
      </w:pPr>
      <w:r>
        <w:t>Pour les lymphomes non hodgkiniens : switch vers vincristine 1,4 mg/m² (capped à 2 mg) J1 dans protocole R-CHOP.</w:t>
      </w:r>
    </w:p>
    <w:p>
      <w:pPr>
        <w:pStyle w:val="ListBullet"/>
      </w:pPr>
      <w:r>
        <w:t>Pour le CBNPC : switch vers vinorelbine 25-30 mg/m² IV ou 60-80 mg/m² PO — moins neurotoxique, alternative moderne.</w:t>
      </w:r>
    </w:p>
    <w:p>
      <w:pPr>
        <w:pStyle w:val="ListBullet"/>
      </w:pPr>
      <w:r>
        <w:t>Pour le cancer du sein métastatique : switch vers vinorelbine 60-80 mg/m² PO hebdomadaire — moins neurotoxique, forme orale disponible.</w:t>
      </w:r>
    </w:p>
    <w:p>
      <w:r/>
      <w:r>
        <w:rPr>
          <w:b/>
        </w:rPr>
        <w:t>Instructions et Conseils au Patient :</w:t>
      </w:r>
      <w:r/>
    </w:p>
    <w:p>
      <w:pPr>
        <w:pStyle w:val="ListBullet"/>
      </w:pPr>
      <w:r>
        <w:t>Communication avant la cure :</w:t>
      </w:r>
    </w:p>
    <w:p>
      <w:pPr>
        <w:pStyle w:val="ListBullet"/>
      </w:pPr>
      <w:r>
        <w:t>« La vindésine n'est plus commercialisée en Algérie. Votre oncologue vous proposera une alternative thérapeutique équivalente (vincristine, vinblastine ou vinorelbine selon votre cas). »</w:t>
      </w:r>
    </w:p>
    <w:p>
      <w:pPr>
        <w:pStyle w:val="ListBullet"/>
      </w:pPr>
      <w:r>
        <w:t>Surveillance à domicile : identique à la vincristine (cf. ci-dessus).</w:t>
      </w:r>
    </w:p>
    <w:p>
      <w:r/>
      <w:r>
        <w:rPr>
          <w:b/>
        </w:rPr>
        <w:t>Notes, Règles d'Or &amp; Pièges au Comptoir :</w:t>
      </w:r>
      <w:r/>
    </w:p>
    <w:p>
      <w:pPr>
        <w:pStyle w:val="ListBullet"/>
      </w:pPr>
      <w:r>
        <w:t xml:space="preserve">Piège classique : </w:t>
      </w:r>
      <w:r>
        <w:rPr>
          <w:b/>
        </w:rPr>
        <w:t>vindésine retirée du marché algérien</w:t>
      </w:r>
      <w:r>
        <w:t xml:space="preserve"> — ne pas prescrire ni délivrer — orienter le patient vers son oncologue pour switch thérapeutique vers vincristine, vinblastine ou vinorelbine selon l'indication.</w:t>
      </w:r>
    </w:p>
    <w:p>
      <w:pPr>
        <w:pStyle w:val="ListBullet"/>
      </w:pPr>
      <w:r>
        <w:t>Règle d'or : pas de prescription de vindésine en Algérie — switch thérapeutique obligatoire.</w:t>
      </w:r>
    </w:p>
    <w:p>
      <w:pPr>
        <w:pStyle w:val="ListBullet"/>
      </w:pPr>
      <w:r>
        <w:t>Règle d'or : alternative recommandée — vincristine (LAL, lymphomes) ; vinblastine (maladie de Hodgkin) ; vinorelbine (CBNPC, cancer du sein).</w:t>
      </w:r>
    </w:p>
    <w:p>
      <w:pPr>
        <w:pStyle w:val="ListBullet"/>
      </w:pPr>
      <w:r>
        <w:t>Préparation et Conservation : la vindésine n'étant plus commercialisée, les règles de préparation et conservation s'appliquent aux alternatives recommandées.</w:t>
      </w:r>
    </w:p>
    <w:p>
      <w:pPr>
        <w:pStyle w:val="Heading3"/>
      </w:pPr>
      <w:r>
        <w:t>8. DCI : Vinflunine (Seule)</w:t>
      </w:r>
    </w:p>
    <w:p>
      <w:r/>
      <w:r>
        <w:rPr>
          <w:b/>
        </w:rPr>
        <w:t>Liste des Catégories :</w:t>
      </w:r>
      <w:r>
        <w:t xml:space="preserve"> Cytotoxique — Alcaloïde de la pervenche (Vinca — 3e génération) ; Poison du fuseau mitotique (dépolymérisant des microtubules) ; Médicament à surveillance hématologique et hépatologique obligatoire ; Forme IV stricte — par perfusion IV de 10 min ; Tératogène (catégorie D — CRAT : « à éviter ») ; Prescription réservée aux spécialistes en oncologie ou urologie oncologique ; Liste I ; médication hospitalière stricte.</w:t>
      </w:r>
    </w:p>
    <w:p>
      <w:r>
        <w:t xml:space="preserve">La vinflunine (4′-désoxy-4′,4′-difluoro-5′-nor-anhydrovinblastine, sous forme de ditartrate — masse molaire 1 081 g/mol pour le ditartrate) est un alcaloïde semi-synthétique de type bis-indolique, dérivé de la vinorelbine par synthèse (Bennett et al., 2000 — Superfluorinated Vinca-Alkaloids — Pierre Fabre, commercialisée 2009 sous le nom Javlor®). Sa structure diffère de la vinorelbine par l'adjonction de </w:t>
      </w:r>
      <w:r>
        <w:rPr>
          <w:b/>
        </w:rPr>
        <w:t>deux atomes de fluor</w:t>
      </w:r>
      <w:r>
        <w:t xml:space="preserve"> en position 4′ (4′-désoxy-4′,4′-difluoro) — d'où le nom « vin-flunine » (FL pour fluor). Cette modification, obtenue par fluorination directe de la vinorelbine en présence d'acide fluorhydrique (technique originale de Pierre Fabre), avait pour objectif de : (i) modifier l'affinité tubuline et la cytotoxicité cellulaire (réussite — IC50 ~ 1 nM vs 3 nM pour la vinorelbine, soit cytotoxicité supérieure) ; (ii) réduire la neurotoxicité (succès partiel — la vinflunine est moins neurotoxique que la vincristine et la vinblastine, mais son profil est comparable à celui de la vinorelbine) ; (iii) élargir l'activité aux cancers urothéliaux (réussite — indication princeps) ; (iv) prolonger la demi-vie et la demi-vie d'action (réussite — demie-vie 32-44 h). La vinflunine est indiquée exclusivement (à ce jour) dans le </w:t>
      </w:r>
      <w:r>
        <w:rPr>
          <w:b/>
        </w:rPr>
        <w:t>cancer urothélial (vessie) avancé ou métastatique en 2e ligne</w:t>
      </w:r>
      <w:r>
        <w:t xml:space="preserve"> après échec d'une chimiothérapie à base de platine (essai pivot JavLor® in Bladder cancer, Bellmunt JCO 2009 — survie globale médiane 6,9 mois vs 4,6 mois pour BSC). Indication stricte — l'élargissement à d'autres tumeurs solides (sein, poumon, ORL) est à l'étude dans des essais cliniques de phase II/III.</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JAVLOR</w:t>
            </w:r>
          </w:p>
        </w:tc>
        <w:tc>
          <w:tcPr>
            <w:tcW w:type="dxa" w:w="1559"/>
          </w:tcPr>
          <w:p>
            <w:r>
              <w:rPr>
                <w:sz w:val="20"/>
              </w:rPr>
              <w:t>PIERRE FABRE MEDICAMENT</w:t>
            </w:r>
          </w:p>
        </w:tc>
        <w:tc>
          <w:tcPr>
            <w:tcW w:type="dxa" w:w="1559"/>
          </w:tcPr>
          <w:p>
            <w:r>
              <w:rPr>
                <w:sz w:val="20"/>
              </w:rPr>
              <w:t>Solution à diluer pour perfusion IV — 25 mg/mL (50 mg/2 mL et 250 mg/10 mL)</w:t>
            </w:r>
          </w:p>
        </w:tc>
        <w:tc>
          <w:tcPr>
            <w:tcW w:type="dxa" w:w="1559"/>
          </w:tcPr>
          <w:p>
            <w:r>
              <w:rPr>
                <w:sz w:val="20"/>
              </w:rPr>
              <w:t>B/1 flacon de 2 mL ; B/1 flacon de 10 mL</w:t>
            </w:r>
          </w:p>
        </w:tc>
        <w:tc>
          <w:tcPr>
            <w:tcW w:type="dxa" w:w="1559"/>
          </w:tcPr>
          <w:p>
            <w:r>
              <w:rPr>
                <w:sz w:val="20"/>
              </w:rPr>
              <w:t>Liste I</w:t>
            </w:r>
          </w:p>
        </w:tc>
        <w:tc>
          <w:tcPr>
            <w:tcW w:type="dxa" w:w="1559"/>
          </w:tcPr>
          <w:p>
            <w:r>
              <w:rPr>
                <w:sz w:val="20"/>
              </w:rPr>
              <w:t>**Actif**</w:t>
            </w:r>
          </w:p>
        </w:tc>
      </w:tr>
    </w:tbl>
    <w:p/>
    <w:p>
      <w:r/>
      <w:r>
        <w:rPr>
          <w:i/>
        </w:rPr>
        <w:t>Note : la vinflunine est disponible en Algérie sous une seule marque active — JAVLOR® Pierre Fabre Medicament (solution à diluer pour perfusion IV — deux dosages : 50 mg/2 mL et 250 mg/10 mL). Pas d'alternative générique. Approvisionnement exclusif par le princeps — à surveiller (anticipation par le pharmacien hospitalier en cas de rupture).</w:t>
      </w:r>
      <w:r/>
    </w:p>
    <w:p>
      <w:r/>
      <w:r>
        <w:rPr>
          <w:b/>
        </w:rPr>
        <w:t>Sous-classe et Mécanisme d'action :</w:t>
      </w:r>
      <w:r/>
    </w:p>
    <w:p>
      <w:pPr>
        <w:pStyle w:val="ListBullet"/>
      </w:pPr>
      <w:r>
        <w:t>Sous-classe : Alcaloïdes de la pervenche (Vinca — 3e génération — poison du fuseau mitotique dépolymérisant). Classification ATC : L01CA05. La vinflunine est indiquée exclusivement (à ce jour) dans le cancer urothélial (vessie) avancé ou métastatique en 2e ligne après échec d'une chimiothérapie à base de platine (essai pivot Bellmunt JCO 2009). L'élargissement à d'autres tumeurs solides (sein, poumon, ORL) est à l'étude dans des essais cliniques de phase II/III.</w:t>
      </w:r>
    </w:p>
    <w:p>
      <w:pPr>
        <w:pStyle w:val="ListBullet"/>
      </w:pPr>
      <w:r>
        <w:t xml:space="preserve">Mécanisme d'action : identique aux autres Vinca — </w:t>
      </w:r>
      <w:r>
        <w:rPr>
          <w:b/>
        </w:rPr>
        <w:t>dépolymérisation des microtubules par fixation à la β-tubuline au site vinca</w:t>
      </w:r>
      <w:r>
        <w:t>. Cette fixation empêche la polymérisation de la tubuline en microtubules. Le fuseau mitotique ne peut plus se former → bloc mitotique en prométaphase/métaphase → apoptose. Affinité pour la tubuline supérieure à la vinorelbine (Kd ~ 1 µM vs 3 µM) — cytotoxicité supérieure. Affinité préférentielle pour les microtubules mitotiques (plutôt que les microtubules interphasiques axonaux) — neurotoxicité réduite vs vincristine/vinblastine.</w:t>
      </w:r>
    </w:p>
    <w:p>
      <w:r/>
      <w:r>
        <w:rPr>
          <w:b/>
        </w:rPr>
        <w:t>Profil Pharmacologique et Indications :</w:t>
      </w:r>
      <w:r/>
    </w:p>
    <w:p>
      <w:pPr>
        <w:pStyle w:val="ListBullet"/>
      </w:pPr>
      <w:r>
        <w:t>Indications (selon AMM française et algérienne — RCP VIDAL 2026) :</w:t>
      </w:r>
    </w:p>
    <w:p>
      <w:pPr>
        <w:pStyle w:val="ListBullet"/>
      </w:pPr>
      <w:r/>
      <w:r>
        <w:rPr>
          <w:b/>
        </w:rPr>
        <w:t>Cancer urothélial (vessie) avancé ou métastatique en 2e ligne</w:t>
      </w:r>
      <w:r>
        <w:t xml:space="preserve"> après échec d'une chimiothérapie à base de platine (essai pivot Bellmunt JCO 2009 — survie globale médiane 6,9 mois vs 4,6 mois pour BSC ; HR 0,77). Protocole : vinflunine 320 mg/m² J1 en perfusion IV de 10 min toutes les 3 semaines — 6 cures maximum selon tolérance et réponse. Réduction à 280 mg/m² si insuffisance hépatique modérée, ou PS ≥ 2 ; réduction à 250 mg/m² si antécédents de radiothérapie pelvienne.</w:t>
      </w:r>
    </w:p>
    <w:p>
      <w:pPr>
        <w:pStyle w:val="ListBullet"/>
      </w:pPr>
      <w:r/>
      <w:r>
        <w:rPr>
          <w:b/>
        </w:rPr>
        <w:t>Hors-AMM</w:t>
      </w:r>
      <w:r>
        <w:t xml:space="preserve"> (essais cliniques en cours) : cancer du sein métastatique en 2e/3e ligne ; CBNPC en 2e/3e ligne ; cancers ORL avancés ; cancer de l'ovaire en 2e/3e ligne.</w:t>
      </w:r>
    </w:p>
    <w:p>
      <w:pPr>
        <w:pStyle w:val="ListBullet"/>
      </w:pPr>
      <w:r>
        <w:t>Particularités pharmacologiques :</w:t>
      </w:r>
    </w:p>
    <w:p>
      <w:pPr>
        <w:pStyle w:val="ListBullet"/>
      </w:pPr>
      <w:r>
        <w:t>Cinétique tricompartimentale — clairance 36,5 L/h (CV 25 %).</w:t>
      </w:r>
    </w:p>
    <w:p>
      <w:pPr>
        <w:pStyle w:val="ListBullet"/>
      </w:pPr>
      <w:r>
        <w:t>Distribution large — Vd 242 L (très importante — captation tissulaire extensive, particulièrement urothéliale) ; liaison protéique modérée (67 %).</w:t>
      </w:r>
    </w:p>
    <w:p>
      <w:pPr>
        <w:pStyle w:val="ListBullet"/>
      </w:pPr>
      <w:r>
        <w:t>Métabolisme hépatique prédominant (CYP3A4 → métabolites inactifs — principalement par déméthylation) — élimination biliaire (~ 65 % dans les fèces en 72 h) ; ~ 25 % dans les urines (rôle rénal significatif — adaptation posologique en cas d'insuffisance rénale modérée ; contre-indication si insuffisance rénale sévère DFG &lt; 30 mL/min).</w:t>
      </w:r>
    </w:p>
    <w:p>
      <w:pPr>
        <w:pStyle w:val="ListBullet"/>
      </w:pPr>
      <w:r>
        <w:t>Demi-vie d'élimination : 32-44 h (prolongée — d'où administration toutes les 3 semaines).</w:t>
      </w:r>
    </w:p>
    <w:p>
      <w:pPr>
        <w:pStyle w:val="ListBullet"/>
      </w:pPr>
      <w:r>
        <w:t>Adaptation hépatique : (i) fonction hépatique normale : dose pleine (320 mg/m²) ; (ii) insuffisance hépatique modérée (bilirubine 1-1,5 × LSN, ou ASAT/ALAT &gt; 2,5 × LSN) : réduction à 280 mg/m² ; (iii) insuffisance hépatique sévère (bilirubine &gt; 1,5 × LSN) : contre-indication.</w:t>
      </w:r>
    </w:p>
    <w:p>
      <w:pPr>
        <w:pStyle w:val="ListBullet"/>
      </w:pPr>
      <w:r>
        <w:t>Adaptation rénale : (i) DFG &gt; 60 mL/min : dose pleine ; (ii) DFG 40-60 mL/min : réduction à 280 mg/m² ; (iii) DFG &lt; 40 mL/min : contre-indication.</w:t>
      </w:r>
    </w:p>
    <w:p>
      <w:pPr>
        <w:pStyle w:val="ListBullet"/>
      </w:pPr>
      <w:r>
        <w:t>Schémas : (i) vinflunine 320 mg/m² J1 en perfusion IV de 10 min toutes les 3 semaines — 6 cures maximum.</w:t>
      </w:r>
    </w:p>
    <w:p>
      <w:r/>
      <w:r>
        <w:rPr>
          <w:b/>
        </w:rPr>
        <w:t>Contre-indications et Précautions d'Emploi :</w:t>
      </w:r>
      <w:r/>
    </w:p>
    <w:p>
      <w:pPr>
        <w:pStyle w:val="ListBullet"/>
      </w:pPr>
      <w:r>
        <w:t>Contre-indications ABSOLUES :</w:t>
      </w:r>
    </w:p>
    <w:p>
      <w:pPr>
        <w:pStyle w:val="ListBullet"/>
      </w:pPr>
      <w:r/>
      <w:r>
        <w:rPr>
          <w:b/>
        </w:rPr>
        <w:t>Administration intrathécale (IT)</w:t>
      </w:r>
      <w:r>
        <w:t xml:space="preserve"> : CONTRE-INDICATION ABSOLUE — identique à la vincristine — erreur cataclysmique potentiellement mortelle. Prévention : conditionnement exclusif en minibag IV de 50 mL NaCl 0,9 %.</w:t>
      </w:r>
    </w:p>
    <w:p>
      <w:pPr>
        <w:pStyle w:val="ListBullet"/>
      </w:pPr>
      <w:r>
        <w:t>Hypersensibilité connue à la vinflunine ou à l'un des excipients.</w:t>
      </w:r>
    </w:p>
    <w:p>
      <w:pPr>
        <w:pStyle w:val="ListBullet"/>
      </w:pPr>
      <w:r/>
      <w:r>
        <w:rPr>
          <w:b/>
        </w:rPr>
        <w:t>Neutropénie sévère</w:t>
      </w:r>
      <w:r>
        <w:t xml:space="preserve"> (&lt; 1 500/mm³) pré-existante — attendre récupération PNN ≥ 1 500/mm³.</w:t>
      </w:r>
    </w:p>
    <w:p>
      <w:pPr>
        <w:pStyle w:val="ListBullet"/>
      </w:pPr>
      <w:r/>
      <w:r>
        <w:rPr>
          <w:b/>
        </w:rPr>
        <w:t>Insuffisance hépatique sévère</w:t>
      </w:r>
      <w:r>
        <w:t xml:space="preserve"> (bilirubine &gt; 1,5 × LSN, ou ASAT/ALAT &gt; 2,5 × LSN).</w:t>
      </w:r>
    </w:p>
    <w:p>
      <w:pPr>
        <w:pStyle w:val="ListBullet"/>
      </w:pPr>
      <w:r/>
      <w:r>
        <w:rPr>
          <w:b/>
        </w:rPr>
        <w:t>Insuffisance rénale sévère</w:t>
      </w:r>
      <w:r>
        <w:t xml:space="preserve"> (DFG &lt; 40 mL/min — calcul selon CKD-EPI ou MDRD).</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r>
        <w:rPr>
          <w:b/>
        </w:rPr>
        <w:t>Administration en perfusion IV de 10 min</w:t>
      </w:r>
      <w:r>
        <w:t xml:space="preserve"> — forme lyophilisée à reconstituer et à diluer en minibag de 50-100 mL NaCl 0,9 %.</w:t>
      </w:r>
    </w:p>
    <w:p>
      <w:pPr>
        <w:pStyle w:val="ListBullet"/>
      </w:pPr>
      <w:r/>
      <w:r>
        <w:rPr>
          <w:b/>
        </w:rPr>
        <w:t>Surveillance hématologique</w:t>
      </w:r>
      <w:r>
        <w:t xml:space="preserve"> : NFS avant chaque cure (PNN ≥ 1 500/mm³, plaquettes ≥ 100 000/mm³) ; en cas de neutropénie à la cure précédente — délai de 1 semaine, dose réduite à 280 mg/m².</w:t>
      </w:r>
    </w:p>
    <w:p>
      <w:pPr>
        <w:pStyle w:val="ListBullet"/>
      </w:pPr>
      <w:r/>
      <w:r>
        <w:rPr>
          <w:b/>
        </w:rPr>
        <w:t>Surveillance hépatique et rénale</w:t>
      </w:r>
      <w:r>
        <w:t xml:space="preserve"> : bilan hépatique (bilirubine, ASAT, ALAT, PAL, GGT) et créatinine avant chaque cure.</w:t>
      </w:r>
    </w:p>
    <w:p>
      <w:pPr>
        <w:pStyle w:val="ListBullet"/>
      </w:pPr>
      <w:r/>
      <w:r>
        <w:rPr>
          <w:b/>
        </w:rPr>
        <w:t>Surveillance neurologique</w:t>
      </w:r>
      <w:r>
        <w:t xml:space="preserve"> : moins marquée que pour la vincristine — examen clinique pré-cure.</w:t>
      </w:r>
    </w:p>
    <w:p>
      <w:pPr>
        <w:pStyle w:val="ListBullet"/>
      </w:pPr>
      <w:r/>
      <w:r>
        <w:rPr>
          <w:b/>
        </w:rPr>
        <w:t>Surveillance cardiovasculaire</w:t>
      </w:r>
      <w:r>
        <w:t xml:space="preserve"> : ECG pré-cure (allongement du QT possible — surveillance accrue chez les patients avec antécédents cardiaques ou sous traitements allongeant le QT — antiarythmiques, macrolides, azolés).</w:t>
      </w:r>
    </w:p>
    <w:p>
      <w:pPr>
        <w:pStyle w:val="ListBullet"/>
      </w:pPr>
      <w:r>
        <w:t>Sujet âgé &gt; 75 ans : surveillance hématologique et rénale accrue — pas de réduction systématique mais discussion au cas par cas.</w:t>
      </w:r>
    </w:p>
    <w:p>
      <w:pPr>
        <w:pStyle w:val="ListBullet"/>
      </w:pPr>
      <w:r>
        <w:t>Précautions de manipulation : cytotoxique — manipulation exclusivement par personnel formé.</w:t>
      </w:r>
    </w:p>
    <w:p>
      <w:pPr>
        <w:pStyle w:val="ListBullet"/>
      </w:pPr>
      <w:r>
        <w:t>Précautions de perfusion : tubulure sans DEHP ; tubulure en polyéthylène ou polyoléfine.</w:t>
      </w:r>
    </w:p>
    <w:p>
      <w:r/>
      <w:r>
        <w:rPr>
          <w:b/>
        </w:rPr>
        <w:t>Effets Indésirables :</w:t>
      </w:r>
      <w:r/>
    </w:p>
    <w:p>
      <w:pPr>
        <w:pStyle w:val="ListBullet"/>
      </w:pPr>
      <w:r/>
      <w:r>
        <w:rPr>
          <w:b/>
        </w:rPr>
        <w:t>Myélosuppression</w:t>
      </w:r>
      <w:r>
        <w:t xml:space="preserve"> (effet dose-limitant — particularly marquée pour la vinflunine) :</w:t>
      </w:r>
    </w:p>
    <w:p>
      <w:pPr>
        <w:pStyle w:val="ListBullet"/>
      </w:pPr>
      <w:r/>
      <w:r>
        <w:rPr>
          <w:b/>
        </w:rPr>
        <w:t>Neutropénie</w:t>
      </w:r>
      <w:r>
        <w:t xml:space="preserve"> : quasi-constante (grade 3-4 : 50-70 % à 320 mg/m²) — nadir J7-J14, récupération J21-28. Neutropénie fébrile : 5-10 %.</w:t>
      </w:r>
    </w:p>
    <w:p>
      <w:pPr>
        <w:pStyle w:val="ListBullet"/>
      </w:pPr>
      <w:r>
        <w:t>Thrombopénie : 10-20 % (grade 3-4 : 5 %).</w:t>
      </w:r>
    </w:p>
    <w:p>
      <w:pPr>
        <w:pStyle w:val="ListBullet"/>
      </w:pPr>
      <w:r>
        <w:t>Anémie : 50-70 % (grade 3-4 : 10-15 %).</w:t>
      </w:r>
    </w:p>
    <w:p>
      <w:pPr>
        <w:pStyle w:val="ListBullet"/>
      </w:pPr>
      <w:r/>
      <w:r>
        <w:rPr>
          <w:b/>
        </w:rPr>
        <w:t>Neurotoxicité périphérique</w:t>
      </w:r>
      <w:r>
        <w:t xml:space="preserve"> (modérée — moins marquée que la vincristine et la vinblastine) :</w:t>
      </w:r>
    </w:p>
    <w:p>
      <w:pPr>
        <w:pStyle w:val="ListBullet"/>
      </w:pPr>
      <w:r>
        <w:t>Sensitives : paresthésies, dysesthésies en « gants et chaussettes » — 10-20 % (grade 3-4 : 2 %).</w:t>
      </w:r>
    </w:p>
    <w:p>
      <w:pPr>
        <w:pStyle w:val="ListBullet"/>
      </w:pPr>
      <w:r>
        <w:t>Motrices : rares.</w:t>
      </w:r>
    </w:p>
    <w:p>
      <w:pPr>
        <w:pStyle w:val="ListBullet"/>
      </w:pPr>
      <w:r>
        <w:t>Autonomiques : constipation (20-30 %), ileus paralytique (rare), hypotension orthostatique (5-10 %).</w:t>
      </w:r>
    </w:p>
    <w:p>
      <w:pPr>
        <w:pStyle w:val="ListBullet"/>
      </w:pPr>
      <w:r/>
      <w:r>
        <w:rPr>
          <w:b/>
        </w:rPr>
        <w:t>Hypersensibilité</w:t>
      </w:r>
      <w:r>
        <w:t xml:space="preserve"> (rare — &lt; 5 %) : réactions légères (flush, urticaire).</w:t>
      </w:r>
    </w:p>
    <w:p>
      <w:pPr>
        <w:pStyle w:val="ListBullet"/>
      </w:pPr>
      <w:r/>
      <w:r>
        <w:rPr>
          <w:b/>
        </w:rPr>
        <w:t>Toxicité digestive</w:t>
      </w:r>
      <w:r>
        <w:t xml:space="preserve"> :</w:t>
      </w:r>
    </w:p>
    <w:p>
      <w:pPr>
        <w:pStyle w:val="ListBullet"/>
      </w:pPr>
      <w:r>
        <w:t>Nausées/vomissements (modérés — 30-50 % — grade 3-4 : 5 %).</w:t>
      </w:r>
    </w:p>
    <w:p>
      <w:pPr>
        <w:pStyle w:val="ListBullet"/>
      </w:pPr>
      <w:r>
        <w:t>Constipation (20-30 %).</w:t>
      </w:r>
    </w:p>
    <w:p>
      <w:pPr>
        <w:pStyle w:val="ListBullet"/>
      </w:pPr>
      <w:r>
        <w:t>Mucite (10-20 %).</w:t>
      </w:r>
    </w:p>
    <w:p>
      <w:pPr>
        <w:pStyle w:val="ListBullet"/>
      </w:pPr>
      <w:r>
        <w:t>Diarrhée (10-20 %).</w:t>
      </w:r>
    </w:p>
    <w:p>
      <w:pPr>
        <w:pStyle w:val="ListBullet"/>
      </w:pPr>
      <w:r/>
      <w:r>
        <w:rPr>
          <w:b/>
        </w:rPr>
        <w:t>Alopécie</w:t>
      </w:r>
      <w:r>
        <w:t xml:space="preserve"> (modérée — 10-30 %).</w:t>
      </w:r>
    </w:p>
    <w:p>
      <w:pPr>
        <w:pStyle w:val="ListBullet"/>
      </w:pPr>
      <w:r/>
      <w:r>
        <w:rPr>
          <w:b/>
        </w:rPr>
        <w:t>Toxicité hépatique</w:t>
      </w:r>
      <w:r>
        <w:t xml:space="preserve"> : cytolyse (5-10 % — grade 3-4 : 2 %), cholestase intra-hépatique (rare).</w:t>
      </w:r>
    </w:p>
    <w:p>
      <w:pPr>
        <w:pStyle w:val="ListBullet"/>
      </w:pPr>
      <w:r/>
      <w:r>
        <w:rPr>
          <w:b/>
        </w:rPr>
        <w:t>Toxicité cardiovasculaire</w:t>
      </w:r>
      <w:r>
        <w:t xml:space="preserve"> : </w:t>
      </w:r>
      <w:r>
        <w:rPr>
          <w:b/>
        </w:rPr>
        <w:t>allongement du QT</w:t>
      </w:r>
      <w:r>
        <w:t xml:space="preserve"> (5-10 % — particularly chez les patients sous traitements allongeant le QT — surveillance ECG pré-cure), hypotension (5 %), troubles du rythme (rare).</w:t>
      </w:r>
    </w:p>
    <w:p>
      <w:pPr>
        <w:pStyle w:val="ListBullet"/>
      </w:pPr>
      <w:r/>
      <w:r>
        <w:rPr>
          <w:b/>
        </w:rPr>
        <w:t>Toxicité respiratoire</w:t>
      </w:r>
      <w:r>
        <w:t xml:space="preserve"> : dyspnée (5-10 % — parfois aiguë — mécanisme mixte bronchospasme + pneumopathie interstitielle).</w:t>
      </w:r>
    </w:p>
    <w:p>
      <w:pPr>
        <w:pStyle w:val="ListBullet"/>
      </w:pPr>
      <w:r/>
      <w:r>
        <w:rPr>
          <w:b/>
        </w:rPr>
        <w:t>Toxicité rénale</w:t>
      </w:r>
      <w:r>
        <w:t xml:space="preserve"> : insuffisance rénale aiguë (rare — 5 % — particularly chez les patients avec insuffisance rénale préexistante).</w:t>
      </w:r>
    </w:p>
    <w:p>
      <w:pPr>
        <w:pStyle w:val="ListBullet"/>
      </w:pPr>
      <w:r/>
      <w:r>
        <w:rPr>
          <w:b/>
        </w:rPr>
        <w:t>Toxicité locale au point d'injection</w:t>
      </w:r>
      <w:r>
        <w:t xml:space="preserve"> : réaction locale ; extravasation → nécrose tissulaire (vesicant — voie veineuse centrale si traitement prolongé).</w:t>
      </w:r>
    </w:p>
    <w:p>
      <w:r/>
      <w:r>
        <w:rPr>
          <w:b/>
        </w:rPr>
        <w:t>Prévention et Gestion des Effets Indésirables :</w:t>
      </w:r>
      <w:r/>
    </w:p>
    <w:p>
      <w:pPr>
        <w:pStyle w:val="ListBullet"/>
      </w:pPr>
      <w:r>
        <w:t>Prévention systématique :</w:t>
      </w:r>
    </w:p>
    <w:p>
      <w:pPr>
        <w:pStyle w:val="ListBullet"/>
      </w:pPr>
      <w:r/>
      <w:r>
        <w:rPr>
          <w:b/>
        </w:rPr>
        <w:t>Prévention de l'erreur intrathécale</w:t>
      </w:r>
      <w:r>
        <w:t xml:space="preserve"> : conditionnement EXCLUSIF en minibag IV de 50-100 mL NaCl 0,9 %.</w:t>
      </w:r>
    </w:p>
    <w:p>
      <w:pPr>
        <w:pStyle w:val="ListBullet"/>
      </w:pPr>
      <w:r/>
      <w:r>
        <w:rPr>
          <w:b/>
        </w:rPr>
        <w:t>Prévention hématologique</w:t>
      </w:r>
      <w:r>
        <w:t xml:space="preserve"> : NFS avant chaque cure, délai à J8 si PNN &lt; 1 500/mm³, G-CSF prophylactique secondaire ou primaire.</w:t>
      </w:r>
    </w:p>
    <w:p>
      <w:pPr>
        <w:pStyle w:val="ListBullet"/>
      </w:pPr>
      <w:r/>
      <w:r>
        <w:rPr>
          <w:b/>
        </w:rPr>
        <w:t>Prévention digestive</w:t>
      </w:r>
      <w:r>
        <w:t xml:space="preserve"> : laxatif systématique (macrogol + bisacodyl), antiémétique (sétron 5-HT3).</w:t>
      </w:r>
    </w:p>
    <w:p>
      <w:pPr>
        <w:pStyle w:val="ListBullet"/>
      </w:pPr>
      <w:r/>
      <w:r>
        <w:rPr>
          <w:b/>
        </w:rPr>
        <w:t>Prévention cardiovasculaire</w:t>
      </w:r>
      <w:r>
        <w:t xml:space="preserve"> : ECG pré-cure (surveillance QT), correction des troubles hydro-électrolytiques (kaliémie, magnésémie), éviter les traitements allongeant le QT.</w:t>
      </w:r>
    </w:p>
    <w:p>
      <w:pPr>
        <w:pStyle w:val="ListBullet"/>
      </w:pPr>
      <w:r>
        <w:t>Conduite à tenir :</w:t>
      </w:r>
    </w:p>
    <w:p>
      <w:pPr>
        <w:pStyle w:val="ListBullet"/>
      </w:pPr>
      <w:r/>
      <w:r>
        <w:rPr>
          <w:b/>
        </w:rPr>
        <w:t>En cas de neutropénie fébrile</w:t>
      </w:r>
      <w:r>
        <w:t xml:space="preserve"> : hospitalisation URGENCE, antibiothérapie empirique, G-CSF, délai 2 semaines, réduction de dose à 280 mg/m².</w:t>
      </w:r>
    </w:p>
    <w:p>
      <w:pPr>
        <w:pStyle w:val="ListBullet"/>
      </w:pPr>
      <w:r/>
      <w:r>
        <w:rPr>
          <w:b/>
        </w:rPr>
        <w:t>En cas d'erreur intrathécale</w:t>
      </w:r>
      <w:r>
        <w:t xml:space="preserve"> : cf. vincristine.</w:t>
      </w:r>
    </w:p>
    <w:p>
      <w:pPr>
        <w:pStyle w:val="ListBullet"/>
      </w:pPr>
      <w:r/>
      <w:r>
        <w:rPr>
          <w:b/>
        </w:rPr>
        <w:t>En cas d'allongement du QT &gt; 470 ms</w:t>
      </w:r>
      <w:r>
        <w:t xml:space="preserve"> : arrêt transitoire, correction des troubles hydro-électrolytiques, surveillance ECG.</w:t>
      </w:r>
    </w:p>
    <w:p>
      <w:pPr>
        <w:pStyle w:val="ListBullet"/>
      </w:pPr>
      <w:r/>
      <w:r>
        <w:rPr>
          <w:b/>
        </w:rPr>
        <w:t>En cas d'extravasation</w:t>
      </w:r>
      <w:r>
        <w:t xml:space="preserve"> : cf. vincristine — compresses chaudes + hyaluronidase 150-300 UI SC.</w:t>
      </w:r>
    </w:p>
    <w:p>
      <w:r/>
      <w:r>
        <w:rPr>
          <w:b/>
        </w:rPr>
        <w:t>Interactions Importantes :</w:t>
      </w:r>
      <w:r/>
    </w:p>
    <w:p>
      <w:pPr>
        <w:pStyle w:val="ListBullet"/>
      </w:pPr>
      <w:r/>
      <w:r>
        <w:rPr>
          <w:b/>
        </w:rPr>
        <w:t>Vinflunine + inhibiteurs du CYP3A4</w:t>
      </w:r>
      <w:r>
        <w:t xml:space="preserve"> (azolés, antiprotéases, macrolides, grapefruit) : augmentation majeure de l'AUC vinflunine (× 2-3) — risque de myélosuppression sévère et de neurotoxicité. Éviter ou réduire la dose à 50 %.</w:t>
      </w:r>
    </w:p>
    <w:p>
      <w:pPr>
        <w:pStyle w:val="ListBullet"/>
      </w:pPr>
      <w:r/>
      <w:r>
        <w:rPr>
          <w:b/>
        </w:rPr>
        <w:t>Vinflunine + inducteurs du CYP3A4</w:t>
      </w:r>
      <w:r>
        <w:t xml:space="preserve"> (rifampicine, phénytoïne, carbamazépine, phénobarbital, millepertuis) : baisse de l'AUC vinflunine — risque d'efficacité réduite.</w:t>
      </w:r>
    </w:p>
    <w:p>
      <w:pPr>
        <w:pStyle w:val="ListBullet"/>
      </w:pPr>
      <w:r/>
      <w:r>
        <w:rPr>
          <w:b/>
        </w:rPr>
        <w:t>Vinflunine + anticancéreux autres</w:t>
      </w:r>
      <w:r>
        <w:t xml:space="preserve"> : cisplatine (néphrotoxicité et neurotoxicité additif) ; gemcitabine (protocelle GC-vinflunine en cours d'essai) ; docetaxel/paclitaxel (neurotoxicité synergique).</w:t>
      </w:r>
    </w:p>
    <w:p>
      <w:pPr>
        <w:pStyle w:val="ListBullet"/>
      </w:pPr>
      <w:r/>
      <w:r>
        <w:rPr>
          <w:b/>
        </w:rPr>
        <w:t>Vinflunine + anticoagulants oraux</w:t>
      </w:r>
      <w:r>
        <w:t xml:space="preserve"> : augmentation de l'INR. Surveillance INR.</w:t>
      </w:r>
    </w:p>
    <w:p>
      <w:pPr>
        <w:pStyle w:val="ListBullet"/>
      </w:pPr>
      <w:r/>
      <w:r>
        <w:rPr>
          <w:b/>
        </w:rPr>
        <w:t>Vinflunine + traitements allongeant le QT</w:t>
      </w:r>
      <w:r>
        <w:t xml:space="preserve"> (antiarythmiques Ia et III — amiodarone, sotalol, quinidine, ibutilide ; macrolides — érythromycine, clarithromycine ; azolés — fluconazole, voriconazole ; antipsychotiques — halopéridol, thioridazine, pimozide ; antidépresseurs — citalopram, escitalopram ; méthadone) : allongement du QT additif — surveillance ECG, contre-indication si QT &gt; 470 ms.</w:t>
      </w:r>
    </w:p>
    <w:p>
      <w:pPr>
        <w:pStyle w:val="ListBullet"/>
      </w:pPr>
      <w:r/>
      <w:r>
        <w:rPr>
          <w:b/>
        </w:rPr>
        <w:t>Vinflunine + vaccines vivants atténués</w:t>
      </w:r>
      <w:r>
        <w:t xml:space="preserve"> : contre-indication.</w:t>
      </w:r>
    </w:p>
    <w:p>
      <w:r/>
      <w:r>
        <w:rPr>
          <w:b/>
        </w:rPr>
        <w:t>Grossesse et Allaitement :</w:t>
      </w:r>
      <w:r/>
    </w:p>
    <w:p>
      <w:pPr>
        <w:pStyle w:val="ListBullet"/>
      </w:pPr>
      <w:r>
        <w:t>Grossesse : selon le CRAT, la vinflunine est classée « à éviter » (catégorie D — tératogène). Contraception obligatoire pendant le traitement et 6 mois après.</w:t>
      </w:r>
    </w:p>
    <w:p>
      <w:pPr>
        <w:pStyle w:val="ListBullet"/>
      </w:pPr>
      <w:r>
        <w:t>Allaitement : contre-indication ABSOLUE.</w:t>
      </w:r>
    </w:p>
    <w:p>
      <w:r/>
      <w:r>
        <w:rPr>
          <w:b/>
        </w:rPr>
        <w:t>Posologie et Mode d'Administration :</w:t>
      </w:r>
      <w:r/>
    </w:p>
    <w:p>
      <w:pPr>
        <w:pStyle w:val="ListBullet"/>
      </w:pPr>
      <w:r>
        <w:t>Adulte (cancer urothélial métastatique 2e ligne) :</w:t>
      </w:r>
    </w:p>
    <w:p>
      <w:pPr>
        <w:pStyle w:val="ListBullet"/>
      </w:pPr>
      <w:r/>
      <w:r>
        <w:rPr>
          <w:b/>
        </w:rPr>
        <w:t>Schéma standard (3 semaines)</w:t>
      </w:r>
      <w:r>
        <w:t xml:space="preserve"> : 320 mg/m² J1 en perfusion IV de 10 min toutes les 3 semaines — 6 cures maximum selon tolérance et réponse.</w:t>
      </w:r>
    </w:p>
    <w:p>
      <w:pPr>
        <w:pStyle w:val="ListBullet"/>
      </w:pPr>
      <w:r/>
      <w:r>
        <w:rPr>
          <w:b/>
        </w:rPr>
        <w:t>Réduction à 280 mg/m²</w:t>
      </w:r>
      <w:r>
        <w:t xml:space="preserve"> : (i) si insuffisance hépatique modérée (bilirubine 1-1,5 × LSN, ou ASAT/ALAT &gt; 2,5 × LSN) ; (ii) si insuffisance rénale modérée (DFG 40-60 mL/min) ; (iii) si PS ≥ 2 ; (iv) si antécédents de radiothérapie pelvienne (réduction à 250 mg/m²).</w:t>
      </w:r>
    </w:p>
    <w:p>
      <w:pPr>
        <w:pStyle w:val="ListBullet"/>
      </w:pPr>
      <w:r/>
      <w:r>
        <w:rPr>
          <w:b/>
        </w:rPr>
        <w:t>Réduction à 250 mg/m²</w:t>
      </w:r>
      <w:r>
        <w:t xml:space="preserve"> : si antécédents de radiothérapie pelvienne.</w:t>
      </w:r>
    </w:p>
    <w:p>
      <w:pPr>
        <w:pStyle w:val="ListBullet"/>
      </w:pPr>
      <w:r/>
      <w:r>
        <w:rPr>
          <w:b/>
        </w:rPr>
        <w:t>Dose minimale</w:t>
      </w:r>
      <w:r>
        <w:t xml:space="preserve"> : 250 mg/m² (au-delà de la réduction — switch thérapeutique).</w:t>
      </w:r>
    </w:p>
    <w:p>
      <w:pPr>
        <w:pStyle w:val="ListBullet"/>
      </w:pPr>
      <w:r/>
      <w:r>
        <w:rPr>
          <w:b/>
        </w:rPr>
        <w:t>Dose maximale</w:t>
      </w:r>
      <w:r>
        <w:t xml:space="preserve"> : 350 mg/m² (au-delà — toxicité excessive).</w:t>
      </w:r>
    </w:p>
    <w:p>
      <w:pPr>
        <w:pStyle w:val="ListBullet"/>
      </w:pPr>
      <w:r>
        <w:t>Préparation et perfusion :</w:t>
      </w:r>
    </w:p>
    <w:p>
      <w:pPr>
        <w:pStyle w:val="ListBullet"/>
      </w:pPr>
      <w:r/>
      <w:r>
        <w:rPr>
          <w:b/>
        </w:rPr>
        <w:t>Dilution</w:t>
      </w:r>
      <w:r>
        <w:t xml:space="preserve"> : la vinflunine (solution 25 mg/mL — flacons 2 mL = 50 mg ; 10 mL = 250 mg) est diluée dans un minibag de 100 mL NaCl 0,9 % (concentration finale 0,5-3,5 mg/mL). Dose standard pour un adulte de 1,7 m² : 320 mg/m² × 1,7 = ~ 540 mg — soit 2 flacons de 250 mg/10 mL + 1 flacon de 50 mg/2 mL.</w:t>
      </w:r>
    </w:p>
    <w:p>
      <w:pPr>
        <w:pStyle w:val="ListBullet"/>
      </w:pPr>
      <w:r/>
      <w:r>
        <w:rPr>
          <w:b/>
        </w:rPr>
        <w:t>Surveillance pendant la perfusion</w:t>
      </w:r>
      <w:r>
        <w:t xml:space="preserve"> : scope cardiorespiratoire, PAs toutes les 15 min.</w:t>
      </w:r>
    </w:p>
    <w:p>
      <w:pPr>
        <w:pStyle w:val="ListBullet"/>
      </w:pPr>
      <w:r/>
      <w:r>
        <w:rPr>
          <w:b/>
        </w:rPr>
        <w:t>Durée de perfusion</w:t>
      </w:r>
      <w:r>
        <w:t xml:space="preserve"> : 10 min (perfusion courte).</w:t>
      </w:r>
    </w:p>
    <w:p>
      <w:pPr>
        <w:pStyle w:val="ListBullet"/>
      </w:pPr>
      <w:r>
        <w:t>Adaptation posologique :</w:t>
      </w:r>
    </w:p>
    <w:p>
      <w:pPr>
        <w:pStyle w:val="ListBullet"/>
      </w:pPr>
      <w:r>
        <w:t>Insuffisance rénale modérée : réduction à 280 mg/m².</w:t>
      </w:r>
    </w:p>
    <w:p>
      <w:pPr>
        <w:pStyle w:val="ListBullet"/>
      </w:pPr>
      <w:r>
        <w:t>Insuffisance rénale sévère : contre-indication.</w:t>
      </w:r>
    </w:p>
    <w:p>
      <w:pPr>
        <w:pStyle w:val="ListBullet"/>
      </w:pPr>
      <w:r>
        <w:t>Insuffisance hépatique modérée : réduction à 280 mg/m².</w:t>
      </w:r>
    </w:p>
    <w:p>
      <w:pPr>
        <w:pStyle w:val="ListBullet"/>
      </w:pPr>
      <w:r>
        <w:t>Insuffisance hépatique sévère : contre-indication.</w:t>
      </w:r>
    </w:p>
    <w:p>
      <w:pPr>
        <w:pStyle w:val="ListBullet"/>
      </w:pPr>
      <w:r>
        <w:t>Sujet âgé &gt; 75 ans : surveillance hématologique et rénale accrue.</w:t>
      </w:r>
    </w:p>
    <w:p>
      <w:pPr>
        <w:pStyle w:val="ListBullet"/>
      </w:pPr>
      <w:r>
        <w:t>Conditions de conservation : flacons de solution à conserver entre 2 et 8 °C à l'abri de la lumière. Après dilution en minibag : stabilité 24 h à température ambiante.</w:t>
      </w:r>
    </w:p>
    <w:p>
      <w:r/>
      <w:r>
        <w:rPr>
          <w:b/>
        </w:rPr>
        <w:t>Arbitrage et Bénéfices des Formes Galéniques :</w:t>
      </w:r>
      <w:r/>
    </w:p>
    <w:p>
      <w:pPr>
        <w:pStyle w:val="ListBullet"/>
      </w:pPr>
      <w:r/>
      <w:r>
        <w:rPr>
          <w:b/>
        </w:rPr>
        <w:t>Solution à diluer pour perfusion IV — 25 mg/mL (50 mg/2 mL et 250 mg/10 mL)</w:t>
      </w:r>
      <w:r>
        <w:t xml:space="preserve"> (JAVLOR Pierre Fabre — seule marque active) : galénique unique — solution prête à diluer. Deux dosages disponibles : 50 mg/2 mL (pour les faibles doses — patients de surface corporelle faible &lt; 1,2 m², ou réductions de dose) et 250 mg/10 mL (pour les doses standards — patients de surface moyenne 1,5-1,8 m² — 1-2 flacons de 250 mg = 250-500 mg par cure). Pas d'alternative générique — princeps exclusif.</w:t>
      </w:r>
    </w:p>
    <w:p>
      <w:pPr>
        <w:pStyle w:val="ListBullet"/>
      </w:pPr>
      <w:r/>
      <w:r>
        <w:rPr>
          <w:b/>
        </w:rPr>
        <w:t>Conditionnement</w:t>
      </w:r>
      <w:r>
        <w:t xml:space="preserve"> : flacons unidoses — manipulation en ZAC ou hotte à flux laminaire vertical, équipements de protection individuelle obligatoires.</w:t>
      </w:r>
    </w:p>
    <w:p>
      <w:pPr>
        <w:pStyle w:val="ListBullet"/>
      </w:pPr>
      <w:r/>
      <w:r>
        <w:rPr>
          <w:b/>
        </w:rPr>
        <w:t>Choix de la marque</w:t>
      </w:r>
      <w:r>
        <w:t xml:space="preserve"> : en pratique, seule JAVLOR est disponible en Algérie — pas de choix possible. Anticipation indispensable en cas de rupture (switch vers vinorelbine ou paclitaxel hebdomadaire selon l'avis oncologique).</w:t>
      </w:r>
    </w:p>
    <w:p>
      <w:r/>
      <w:r>
        <w:rPr>
          <w:b/>
        </w:rPr>
        <w:t>Instructions et Conseils au Patient :</w:t>
      </w:r>
      <w:r/>
    </w:p>
    <w:p>
      <w:pPr>
        <w:pStyle w:val="ListBullet"/>
      </w:pPr>
      <w:r>
        <w:t>Communication avant la cure :</w:t>
      </w:r>
    </w:p>
    <w:p>
      <w:pPr>
        <w:pStyle w:val="ListBullet"/>
      </w:pPr>
      <w:r>
        <w:t>« Ce médicament est un anticancéreux puissant administré à l'hôpital uniquement, en perfusion veineuse de 10 minutes, toutes les 3 semaines. Le traitement complet comporte 6 cures maximum, selon votre tolérance et la réponse au traitement. »</w:t>
      </w:r>
    </w:p>
    <w:p>
      <w:pPr>
        <w:pStyle w:val="ListBullet"/>
      </w:pPr>
      <w:r>
        <w:t>« Vous risquez une baisse des globules blancs (neutropénie) — surveillance par prise de sang avant chaque cure. Signalez IMMÉDIATEMENT une fièvre (≥ 38,5 °C) — urgence médicale. »</w:t>
      </w:r>
    </w:p>
    <w:p>
      <w:pPr>
        <w:pStyle w:val="ListBullet"/>
      </w:pPr>
      <w:r>
        <w:t>« Vous risquez des picotements et engourdissements dans les mains et les pieds, de la constipation (laxatif prescrit), de la fatigue, des nausées, une chute de cheveux partielle, des troubles du goût. »</w:t>
      </w:r>
    </w:p>
    <w:p>
      <w:pPr>
        <w:pStyle w:val="ListBullet"/>
      </w:pPr>
      <w:r>
        <w:t>« Signalez tout essoufflement, palpitations, vertiges. »</w:t>
      </w:r>
    </w:p>
    <w:p>
      <w:pPr>
        <w:pStyle w:val="ListBullet"/>
      </w:pPr>
      <w:r>
        <w:t>« Si vous êtes une femme en âge de procréer, une contraception efficace est OBLIGATOIRE pendant tout le traitement et 6 mois après la dernière cure. »</w:t>
      </w:r>
    </w:p>
    <w:p>
      <w:pPr>
        <w:pStyle w:val="ListBullet"/>
      </w:pPr>
      <w:r>
        <w:t>« Évitez les vaccins vivants pendant le traitement et 3 mois après. »</w:t>
      </w:r>
    </w:p>
    <w:p>
      <w:pPr>
        <w:pStyle w:val="ListBullet"/>
      </w:pPr>
      <w:r>
        <w:t>« Évitez le pamplemousse pendant le traitement. »</w:t>
      </w:r>
    </w:p>
    <w:p>
      <w:pPr>
        <w:pStyle w:val="ListBullet"/>
      </w:pPr>
      <w:r>
        <w:t>Surveillance à domicile :</w:t>
      </w:r>
    </w:p>
    <w:p>
      <w:pPr>
        <w:pStyle w:val="ListBullet"/>
      </w:pPr>
      <w:r>
        <w:t>Prendre la température 2 fois/jour pendant 3 semaines après chaque cure.</w:t>
      </w:r>
    </w:p>
    <w:p>
      <w:pPr>
        <w:pStyle w:val="ListBullet"/>
      </w:pPr>
      <w:r>
        <w:t>Surveiller les selles.</w:t>
      </w:r>
    </w:p>
    <w:p>
      <w:pPr>
        <w:pStyle w:val="ListBullet"/>
      </w:pPr>
      <w:r>
        <w:t>Hydratation PO abondante.</w:t>
      </w:r>
    </w:p>
    <w:p>
      <w:pPr>
        <w:pStyle w:val="ListBullet"/>
      </w:pPr>
      <w:r>
        <w:t>Laxatif systématique.</w:t>
      </w:r>
    </w:p>
    <w:p>
      <w:r/>
      <w:r>
        <w:rPr>
          <w:b/>
        </w:rPr>
        <w:t>Notes, Règles d'Or &amp; Pièges au Comptoir :</w:t>
      </w:r>
      <w:r/>
    </w:p>
    <w:p>
      <w:pPr>
        <w:pStyle w:val="ListBullet"/>
      </w:pPr>
      <w:r>
        <w:t xml:space="preserve">Piège classique : </w:t>
      </w:r>
      <w:r>
        <w:rPr>
          <w:b/>
        </w:rPr>
        <w:t>administration intrathécale accidentelle</w:t>
      </w:r>
      <w:r>
        <w:t xml:space="preserve"> — identique à la vincristine — erreur cataclysmique mortelle. Prévention : minibag IV de 50-100 mL NaCl 0,9 %.</w:t>
      </w:r>
    </w:p>
    <w:p>
      <w:pPr>
        <w:pStyle w:val="ListBullet"/>
      </w:pPr>
      <w:r>
        <w:t xml:space="preserve">Piège classique : </w:t>
      </w:r>
      <w:r>
        <w:rPr>
          <w:b/>
        </w:rPr>
        <w:t>allongement du QT</w:t>
      </w:r>
      <w:r>
        <w:t xml:space="preserve"> — surveillance ECG pré-cure, éviter les traitements allongeant le QT (antiarythmiques, macrolides, azolés, antipsychotiques).</w:t>
      </w:r>
    </w:p>
    <w:p>
      <w:pPr>
        <w:pStyle w:val="ListBullet"/>
      </w:pPr>
      <w:r>
        <w:t xml:space="preserve">Piège classique : </w:t>
      </w:r>
      <w:r>
        <w:rPr>
          <w:b/>
        </w:rPr>
        <w:t>insuffisance rénale</w:t>
      </w:r>
      <w:r>
        <w:t xml:space="preserve"> — adaptation posologique obligatoire en cas de DFG 40-60 mL/min (réduction à 280 mg/m²) ; contre-indication si DFG &lt; 40 mL/min.</w:t>
      </w:r>
    </w:p>
    <w:p>
      <w:pPr>
        <w:pStyle w:val="ListBullet"/>
      </w:pPr>
      <w:r>
        <w:t xml:space="preserve">Piège classique : </w:t>
      </w:r>
      <w:r>
        <w:rPr>
          <w:b/>
        </w:rPr>
        <w:t>oubli du laxatif</w:t>
      </w:r>
      <w:r>
        <w:t xml:space="preserve"> — prescription systématique de macrogol + bisacodyl.</w:t>
      </w:r>
    </w:p>
    <w:p>
      <w:pPr>
        <w:pStyle w:val="ListBullet"/>
      </w:pPr>
      <w:r>
        <w:t xml:space="preserve">Piège classique : </w:t>
      </w:r>
      <w:r>
        <w:rPr>
          <w:b/>
        </w:rPr>
        <w:t>extravasation</w:t>
      </w:r>
      <w:r>
        <w:t xml:space="preserve"> — la vinflunine est un vesicant — compresses chaudes + hyaluronidase 150-300 UI SC.</w:t>
      </w:r>
    </w:p>
    <w:p>
      <w:pPr>
        <w:pStyle w:val="ListBullet"/>
      </w:pPr>
      <w:r>
        <w:t>Règle d'or : administration EXCLUSIVE en minibag IV.</w:t>
      </w:r>
    </w:p>
    <w:p>
      <w:pPr>
        <w:pStyle w:val="ListBullet"/>
      </w:pPr>
      <w:r>
        <w:t>Règle d'or : NFS avant chaque cure — pas de cure si PNN &lt; 1 500/mm³.</w:t>
      </w:r>
    </w:p>
    <w:p>
      <w:pPr>
        <w:pStyle w:val="ListBullet"/>
      </w:pPr>
      <w:r>
        <w:t>Règle d'or : bilan hépatique et créatinine avant chaque cure.</w:t>
      </w:r>
    </w:p>
    <w:p>
      <w:pPr>
        <w:pStyle w:val="ListBullet"/>
      </w:pPr>
      <w:r>
        <w:t>Règle d'or : laxatif systématique.</w:t>
      </w:r>
    </w:p>
    <w:p>
      <w:pPr>
        <w:pStyle w:val="ListBullet"/>
      </w:pPr>
      <w:r>
        <w:t>Règle d'or : contraception efficace obligatoire.</w:t>
      </w:r>
    </w:p>
    <w:p>
      <w:pPr>
        <w:pStyle w:val="ListBullet"/>
      </w:pPr>
      <w:r>
        <w:t>Préparation et Conservation : flacons de solution à conserver entre 2 et 8 °C à l'abri de la lumière. Après dilution en minibag : stabilité 24 h à température ambiante.</w:t>
      </w:r>
    </w:p>
    <w:p>
      <w:pPr>
        <w:pStyle w:val="Heading2"/>
      </w:pPr>
      <w:r>
        <w:t>Sous-classe 3 — Inhibiteurs du fuseau mitotique — Halichondrine (Eribuline)</w:t>
      </w:r>
    </w:p>
    <w:p>
      <w:r>
        <w:t xml:space="preserve">La sous-classe des halichondrines représente, dans la pharmacopée anticancéreuse moderne, l'une des plus fascinantes transferts de biodiversité marine vers la médecine clinique. À la différence des taxanes (dérivés de Gymnospermes du genre </w:t>
      </w:r>
      <w:r>
        <w:rPr>
          <w:i/>
        </w:rPr>
        <w:t>Taxus</w:t>
      </w:r>
      <w:r>
        <w:t xml:space="preserve">) et des alcaloïdes de la pervenche (Angiospermes du genre </w:t>
      </w:r>
      <w:r>
        <w:rPr>
          <w:i/>
        </w:rPr>
        <w:t>Catharanthus</w:t>
      </w:r>
      <w:r>
        <w:t xml:space="preserve">), l'eribuline provient du métabolisme secondaire d'un organisme marin primitif — l'éponge </w:t>
      </w:r>
      <w:r>
        <w:rPr>
          <w:i/>
        </w:rPr>
        <w:t>Halichondria okadai</w:t>
      </w:r>
      <w:r>
        <w:t xml:space="preserve"> (Kadota, 1922 — Porifera, Démosponges, ordre des Poecilosclerida, famille des Halichondriidae). L'histoire de cette molécule condense à elle seule trente ans de recherche pharmaceutique, de la plongée initiale (1971-1980) jusqu'à l'AMM américaine (2010) et européenne (2011).</w:t>
      </w:r>
    </w:p>
    <w:p>
      <w:r/>
      <w:r>
        <w:rPr>
          <w:b/>
        </w:rPr>
        <w:t>Histoire naturelle et chimique des halichondrines :</w:t>
      </w:r>
      <w:r>
        <w:t xml:space="preserve"> au début des années 1970, le National Cancer Institute (NCI) américano-japonais lança un programme massif de criblage cytotoxique des extraits d'organismes marins. En 1971, le Pr T. Higa (Université de Ryukyus, Okinawa) collecta des spécimens d'</w:t>
      </w:r>
      <w:r>
        <w:rPr>
          <w:i/>
        </w:rPr>
        <w:t>Halichondria okadai</w:t>
      </w:r>
      <w:r>
        <w:t xml:space="preserve"> (éponge gris-brun vivant sur substrats rocheux en zone subtidale autour de 5-30 m de profondeur, dans les eaux tempérées froides du Pacifique Nord-Ouest — mer du Japon, baie de Sagami). L'extrait méthanolique révéla une cytotoxicité remarquable (IC50 sub-nanomolaire) sur cellules leucémiques L1210. En 1985, après quinze années de travail d'isolement et de caractérisation structurale (Hirata &amp; Uemura, Université d'Okinawa), la structure de l'</w:t>
      </w:r>
      <w:r>
        <w:rPr>
          <w:b/>
        </w:rPr>
        <w:t>halichondrine B</w:t>
      </w:r>
      <w:r>
        <w:t xml:space="preserve"> fut publiée : un macrolide polyéther de masse molaire 1 110 g/mol, appartenant à la classe des polyéthers méta-cycliques à longue chaîne, comportant deux noyaux tétrahydropyraniques et un squelette carboné de 60 atomes avec 32 centres stéréogènes — l'une des structures naturelles les plus complexes jamais résolues à cette époque. L'halichondrine B fit l'objet d'un développement clinique précoce (NCI, phase I 1987) mais s'heurta à deux obstacles : (i) la raréfaction de la ressource naturelle (plusieurs tonnes d'éponge séchée pour quelques milligrammes d'halichondrine B — récolte non durable des populations d'éponges) et (ii) une toxicité neurologique (neutropénie et troubles cognitifs cumulatifs) jugée problématique. Le programme d'halichondrine B fut interrompu par le NCI en 1992.</w:t>
      </w:r>
    </w:p>
    <w:p>
      <w:r/>
      <w:r>
        <w:rPr>
          <w:b/>
        </w:rPr>
        <w:t>La révolution Yoshito Kishi (1992-2002) :</w:t>
      </w:r>
      <w:r>
        <w:t xml:space="preserve"> parallèlement, le Pr Yoshito Kishi (Université Harvard, Département de Chimie — élève de Robert Burns Woodward), avait entrepris en 1988 la </w:t>
      </w:r>
      <w:r>
        <w:rPr>
          <w:b/>
        </w:rPr>
        <w:t>synthèse totale</w:t>
      </w:r>
      <w:r>
        <w:t xml:space="preserve"> de l'halichondrine B — défi synthetic chimique titanesque (une synthèse de 50+ étapes). En 1992, la synthèse fut publiée — un exploit chimique à lui seul. Mais plus important encore, Kishi et son équipe démontrèrent au cours de leurs travaux que la totalité de l'activité cytotoxique résidait dans la </w:t>
      </w:r>
      <w:r>
        <w:rPr>
          <w:b/>
        </w:rPr>
        <w:t>moitié macrolactone droite</w:t>
      </w:r>
      <w:r>
        <w:t xml:space="preserve"> de la molécule (la portion C1-C38), alors que la longue queue polyéther (C39-C60) n'était qu'un lipide accessoire inerte sur le plan pharmacologique. Cette découverte — un véritable coup de génie pharmacologique — ouvrait la voie à la conception d'analogues synthétiques simplifiés, dépourvus de la queue polyéther mais conservant l'activité cytotoxique : les </w:t>
      </w:r>
      <w:r>
        <w:rPr>
          <w:b/>
        </w:rPr>
        <w:t>eribulines</w:t>
      </w:r>
      <w:r>
        <w:t xml:space="preserve">. Le laboratoire japonais </w:t>
      </w:r>
      <w:r>
        <w:rPr>
          <w:b/>
        </w:rPr>
        <w:t>Eisai Pharmaceuticals</w:t>
      </w:r>
      <w:r>
        <w:t xml:space="preserve"> (Tokyo — désormais Eisai Co. Ltd) racheta la licence Kishi en 1993 et engagea le développement clinique de l'</w:t>
      </w:r>
      <w:r>
        <w:rPr>
          <w:b/>
        </w:rPr>
        <w:t>eribuline mesylate</w:t>
      </w:r>
      <w:r>
        <w:t xml:space="preserve"> (ER-086526, BMS-310705 — sel de méthanesulfonate, masse molaire 778 g/mol pour le sel — dont 653 g/mol pour la base eribuline) — un analogue macrocyclique de synthèse (seulement 19 atomes de carbone dans le macrocycle, vs 60 pour l'halichondrine B native — réduction drastique de complexité).</w:t>
      </w:r>
    </w:p>
    <w:p>
      <w:r/>
      <w:r>
        <w:rPr>
          <w:b/>
        </w:rPr>
        <w:t>Mécanisme d'action original :</w:t>
      </w:r>
      <w:r>
        <w:t xml:space="preserve"> contrairement aux taxanes (qui stabilisent les microtubules en bloquant la dépolymérisation) et aux alcaloïdes de la pervenche (qui empêchent la polymérisation au site vinca en bloquant la </w:t>
      </w:r>
      <w:r>
        <w:rPr>
          <w:b/>
        </w:rPr>
        <w:t>nucléation</w:t>
      </w:r>
      <w:r>
        <w:t xml:space="preserve">), l'eribuline se fixe à un </w:t>
      </w:r>
      <w:r>
        <w:rPr>
          <w:b/>
        </w:rPr>
        <w:t>site vinca-overlap</w:t>
      </w:r>
      <w:r>
        <w:t xml:space="preserve"> (site de liaison partiellement chevauchant avec celui des Vinca mais distinct — élucidé par crystallographie Aldrich 2004) et inhibe préférentiellement la phase d'</w:t>
      </w:r>
      <w:r>
        <w:rPr>
          <w:b/>
        </w:rPr>
        <w:t>élongation</w:t>
      </w:r>
      <w:r>
        <w:t xml:space="preserve"> de la polymérisation de la tubuline, sans empêcher la nucléation (proportionnellement moins toxique pour les microtubules interphasiques axonaux — d'où une neurotoxicité atténuée). De plus, l'eribuline bloque également la migration intracellulaire des facteurs de croissance (récepteur EGFR, EGF-R) le long des microtubules, ce qui peut contribuer à une activité anti-tumorale supérieure à celle prédite par le seul effet mitotique. Enfin, l'eribuline possède une activité anti-angiogénique (blocage de la migration endothéliale). Son effet final est un </w:t>
      </w:r>
      <w:r>
        <w:rPr>
          <w:b/>
        </w:rPr>
        <w:t>bloc mitotique irréversible</w:t>
      </w:r>
      <w:r>
        <w:t xml:space="preserve"> avec apoptosis.</w:t>
      </w:r>
    </w:p>
    <w:p>
      <w:r/>
      <w:r>
        <w:rPr>
          <w:b/>
        </w:rPr>
        <w:t>Développement clinique et AMM :</w:t>
      </w:r>
      <w:r>
        <w:t xml:space="preserve"> deux essais cliniques de phase III ont conduit à l'AMM. L'essai </w:t>
      </w:r>
      <w:r>
        <w:rPr>
          <w:b/>
        </w:rPr>
        <w:t>EMBRACE</w:t>
      </w:r>
      <w:r>
        <w:t xml:space="preserve"> (Cortes et al., </w:t>
      </w:r>
      <w:r>
        <w:rPr>
          <w:i/>
        </w:rPr>
        <w:t>Lancet</w:t>
      </w:r>
      <w:r>
        <w:t xml:space="preserve"> 2011 — 762 patientes, cancer du sein métastatique prétraité par ≥ 2 lignes incluant anthracycline et taxane) démontra un bénéfice significatif en survie globale médiane (13,1 mois vs 10,6 mois pour le traitement choisi par le clinicien — BSC, vinorelbine, gemcitabine, capecitabine ; HR 0,81 ; p = 0,041). L'essai 301 (Kaufman et al., </w:t>
      </w:r>
      <w:r>
        <w:rPr>
          <w:i/>
        </w:rPr>
        <w:t>JCO</w:t>
      </w:r>
      <w:r>
        <w:t xml:space="preserve"> 2015) confirma le bénéfice vs traitement choix clinicien en 1re-2e ligne (survie globale 15,9 mois vs 14,5 mois — non significatif sur le critère principal mais tendant vers un bénéfice). L'eribuline reçut l'AMM FDA le 15 novembre 2010 et l'AMM européenne le 28 mars 2011 (commercialisée par Eisai Europe sous le nom Halaven®). Une seconde indication fut obtenue en 2016 — le </w:t>
      </w:r>
      <w:r>
        <w:rPr>
          <w:b/>
        </w:rPr>
        <w:t>sarcome des tissus mous (liposarcome)</w:t>
      </w:r>
      <w:r>
        <w:t xml:space="preserve"> — sur la base de l'essai 309 (Schöffski et al., </w:t>
      </w:r>
      <w:r>
        <w:rPr>
          <w:i/>
        </w:rPr>
        <w:t>JCO</w:t>
      </w:r>
      <w:r>
        <w:t xml:space="preserve"> 2016 — survie sans progression 7,7 mois vs 4,0 mois pour la dacarbazine).</w:t>
      </w:r>
    </w:p>
    <w:p>
      <w:r/>
      <w:r>
        <w:rPr>
          <w:b/>
        </w:rPr>
        <w:t>Particularités algériennes :</w:t>
      </w:r>
      <w:r>
        <w:t xml:space="preserve"> l'eribuline est disponible en Algérie sous une seule spécialité — Halaven® (Eisai Europe Limited) — solution injectable IV dosée à 0,44 mg/mL, conditionnée en flacon de 2 mL (= 0,88 mg/flacon). Statut Actif. Aucune alternative générique n'est disponible à ce jour (brevet Eisai toujours en vigueur jusqu'en 2025). Approvisionnement exclusivement hospitalier (réserve hospitalière — prescription réservée aux oncologues médicaux spécialisés en oncologie mammaire ou sarcome).</w:t>
      </w:r>
    </w:p>
    <w:p>
      <w:pPr>
        <w:pStyle w:val="Heading3"/>
      </w:pPr>
      <w:r>
        <w:t>9. DCI : Eribuline (Seule)</w:t>
      </w:r>
    </w:p>
    <w:p>
      <w:r/>
      <w:r>
        <w:rPr>
          <w:b/>
        </w:rPr>
        <w:t>Liste des Catégories :</w:t>
      </w:r>
      <w:r>
        <w:t xml:space="preserve"> Cytotoxique — Inhibiteur du fuseau mitotique d'origine marine (analogue d'halichondrine B — Eisai) ; Mécanisme original (inhibition de l'élongation de la polymérisation des microtubules) ; Médicament à surveillance hématologique stricte (neutropénie très fréquente) et ECG (allongement du QT) ; Forme IV stricte — par perfusion IV de 2-5 min ; Tératogène (catégorie D — CRAT : « à éviter ») ; Prescription réservée aux spécialistes en oncologie médicale (sein, sarcome) ; Liste I ; médication hospitalière stricte.</w:t>
      </w:r>
    </w:p>
    <w:p>
      <w:r>
        <w:t xml:space="preserve">L'eribuline (mesylate d'eribuline, base eribuline — masse molaire 653 g/mol pour la base et 778 g/mol pour le sel mesylate, formule brute C40H59NO11 · CH4O3S) est un macrolide macrocyclique synthétique (19 atomes de carbone dans le macrocycle), dérivé simplifié de l'halichondrine B (métabolite de l'éponge marine </w:t>
      </w:r>
      <w:r>
        <w:rPr>
          <w:i/>
        </w:rPr>
        <w:t>Halichondria okadai</w:t>
      </w:r>
      <w:r>
        <w:t>), conçu par l'équipe de Yoshito Kishi (Université Harvard) et développé cliniquement par Eisai Pharmaceuticals (Tokyo, Japon). Sa structure macrolactonique (avec un seul noyau tétrahydropyranique — versus deux pour l'halichondrine B naturelle) en fait une molécule de synthèse relativement aisée (12-15 étapes — versus 50+ pour la synthèse totale de l'halichondrine B), et a permis une production industrielle viable. La suppression de la longue queue polyéther (C39-C60) de l'halichondrine B a conservé intégralement l'activité cytotoxique tout en réduisant la neurotoxicité cumulative observée avec l'halichondrine B native. L'eribuline a obtenu l'AMM FDA en novembre 2010 et l'AMM européenne en mars 2011 (commercialisée par Eisai Europe sous Halaven®). En Algérie, Halaven® est disponible (statut Actif) — seule spécialité commercialisée dans cette sous-classe.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HALAVEN</w:t>
            </w:r>
          </w:p>
        </w:tc>
        <w:tc>
          <w:tcPr>
            <w:tcW w:type="dxa" w:w="1559"/>
          </w:tcPr>
          <w:p>
            <w:r>
              <w:rPr>
                <w:sz w:val="20"/>
              </w:rPr>
              <w:t>EISSAI EUROPE LIMITED</w:t>
            </w:r>
          </w:p>
        </w:tc>
        <w:tc>
          <w:tcPr>
            <w:tcW w:type="dxa" w:w="1559"/>
          </w:tcPr>
          <w:p>
            <w:r>
              <w:rPr>
                <w:sz w:val="20"/>
              </w:rPr>
              <w:t>Solution injectable IV — 0,44 mg/mL</w:t>
            </w:r>
          </w:p>
        </w:tc>
        <w:tc>
          <w:tcPr>
            <w:tcW w:type="dxa" w:w="1559"/>
          </w:tcPr>
          <w:p>
            <w:r>
              <w:rPr>
                <w:sz w:val="20"/>
              </w:rPr>
              <w:t>B/1 flacon de 2 mL (= 0,88 mg/flacon)</w:t>
            </w:r>
          </w:p>
        </w:tc>
        <w:tc>
          <w:tcPr>
            <w:tcW w:type="dxa" w:w="1559"/>
          </w:tcPr>
          <w:p>
            <w:r>
              <w:rPr>
                <w:sz w:val="20"/>
              </w:rPr>
              <w:t>Liste I</w:t>
            </w:r>
          </w:p>
        </w:tc>
        <w:tc>
          <w:tcPr>
            <w:tcW w:type="dxa" w:w="1559"/>
          </w:tcPr>
          <w:p>
            <w:r>
              <w:rPr>
                <w:sz w:val="20"/>
              </w:rPr>
              <w:t>**Actif**</w:t>
            </w:r>
          </w:p>
        </w:tc>
      </w:tr>
    </w:tbl>
    <w:p/>
    <w:p>
      <w:r/>
      <w:r>
        <w:rPr>
          <w:i/>
        </w:rPr>
        <w:t>Note : l'eribuline n'est disponible en Algérie que sous une seule spécialité active — Halaven® (Eisai Europe Limited). Aucune alternative générique n'est commercialisée (brevet Eisai jusqu'en 2025). Approvisionnement exclusivement hospitalier — prescription réservée aux oncologues médicaux spécialisés (sein métastatique en ≥ 2e ligne, sarcome des tissus mous liposarcome). Anticipation indispensable en cas de rupture.</w:t>
      </w:r>
      <w:r/>
    </w:p>
    <w:p>
      <w:r/>
      <w:r>
        <w:rPr>
          <w:b/>
        </w:rPr>
        <w:t>Sous-classe et Mécanisme d'action :</w:t>
      </w:r>
      <w:r/>
    </w:p>
    <w:p>
      <w:pPr>
        <w:pStyle w:val="ListBullet"/>
      </w:pPr>
      <w:r>
        <w:t xml:space="preserve">Sous-classe : Inhibiteurs du fuseau mitotique — Halichondrine (1re et unique molécule commercialisée dans cette sous-classe). Classification ATC : L01XX41 (autres antinéoplasiques — eribuline). La particularité de l'eribuline est son mécanisme original au sein des poisons du fuseau : alors que les taxanes stabilisent les microtubules en empêchant leur dépolymérisation (effet « gel »), et que les Vinca dépolymérisent en bloquant la </w:t>
      </w:r>
      <w:r>
        <w:rPr>
          <w:b/>
        </w:rPr>
        <w:t>nucléation</w:t>
      </w:r>
      <w:r>
        <w:t>, l'eribuline inhibe préférentiellement la phase d'</w:t>
      </w:r>
      <w:r>
        <w:rPr>
          <w:b/>
        </w:rPr>
        <w:t>élongation</w:t>
      </w:r>
      <w:r>
        <w:t xml:space="preserve"> de la polymérisation de la tubuline-β (effet « cap » — les oligomères de tubuline nucléés ne peuvent pas s'allonger). Ce mécanisme distinct explique son absence de résistance croisée avec les taxanes et les Vinca, et son activité maintenue après échec de ces molécules.</w:t>
      </w:r>
    </w:p>
    <w:p>
      <w:pPr>
        <w:pStyle w:val="ListBullet"/>
      </w:pPr>
      <w:r>
        <w:t xml:space="preserve">Mécanisme moléculaire détaillé : l'eribuline se fixe au </w:t>
      </w:r>
      <w:r>
        <w:rPr>
          <w:b/>
        </w:rPr>
        <w:t>site vinca-overlap</w:t>
      </w:r>
      <w:r>
        <w:t xml:space="preserve"> de la β-tubuline (site de fixation partiellement chevauchant avec celui des Vinca mais distinct — élucidé par cristallographie aux rayons X en 2004 par Aldrich et al.) avec une affinité Kd ~ 0,5 µM. Cette fixation, à l'extrémité </w:t>
      </w:r>
      <w:r>
        <w:rPr>
          <w:b/>
        </w:rPr>
        <w:t>+</w:t>
      </w:r>
      <w:r>
        <w:t xml:space="preserve"> des microtubules, empêche l'ajout de nouveaux dimères αβ-tubuline (inhibition de l'élongation). Cependant, à la différence des Vinca, l'eribuline n'inhibe pas la </w:t>
      </w:r>
      <w:r>
        <w:rPr>
          <w:b/>
        </w:rPr>
        <w:t>nucléation</w:t>
      </w:r>
      <w:r>
        <w:t xml:space="preserve"> (formation des premiers oligomères) — ce qui explique une activité mitotique conservée mais une neurotoxicité périphérique atténuée (les microtubules interphasiques axonaux, plus stables, sont moins affectés). Le bloc mitotique se produit en prométaphase/métaphase et conduit à l'apoptose par phosphorylation de Bcl-2 et activation de la caspase-3. Au-delà de l'effet mitotique, l'eribuline possède deux activités supplémentaires importantes : (i) </w:t>
      </w:r>
      <w:r>
        <w:rPr>
          <w:b/>
        </w:rPr>
        <w:t>inhibition de la migration intracellulaire des récepteurs de facteurs de croissance</w:t>
      </w:r>
      <w:r>
        <w:t xml:space="preserve"> (EGFR, HER2) le long des microtubules — réduisant la signalisation tumorale pro-proliférative ; (ii) </w:t>
      </w:r>
      <w:r>
        <w:rPr>
          <w:b/>
        </w:rPr>
        <w:t>effet anti-angiogénique</w:t>
      </w:r>
      <w:r>
        <w:t xml:space="preserve"> — inhibition de la migration endothéliale et de la formation des tubes capillaires (activité partielle anti-VEGF). Ces effets additionnels peuvent contribuer à l'activité anti-tumorale observée cliniquement.</w:t>
      </w:r>
    </w:p>
    <w:p>
      <w:r/>
      <w:r>
        <w:rPr>
          <w:b/>
        </w:rPr>
        <w:t>Profil Pharmacologique et Indications :</w:t>
      </w:r>
      <w:r/>
    </w:p>
    <w:p>
      <w:pPr>
        <w:pStyle w:val="ListBullet"/>
      </w:pPr>
      <w:r>
        <w:t>Indications (selon AMM européenne et algérienne — RCP VIDAL 2026) :</w:t>
      </w:r>
    </w:p>
    <w:p>
      <w:pPr>
        <w:pStyle w:val="ListBullet"/>
      </w:pPr>
      <w:r/>
      <w:r>
        <w:rPr>
          <w:b/>
        </w:rPr>
        <w:t>Cancer du sein métastatique ou localement avancé en 2e/3e ligne</w:t>
      </w:r>
      <w:r>
        <w:t xml:space="preserve"> après échec d'au moins une chimiothérapie cytotoxique incluant une anthracycline et un taxane (sauf contre-indication à ces deux classes). Essai pivot EMBRACE (Cortes et al., *Lancet* 2011) — survie globale médiane 13,1 mois vs 10,6 mois pour le traitement choisi par le clinicien (BSC, vinorelbine, gemcitabine, capecitabine) — HR 0,81 ; p = 0,041. Essai 301 (Kaufman et al., *JCO* 2015) en 1re-2e ligne : survie globale 15,9 mois vs 14,5 mois.</w:t>
      </w:r>
    </w:p>
    <w:p>
      <w:pPr>
        <w:pStyle w:val="ListBullet"/>
      </w:pPr>
      <w:r/>
      <w:r>
        <w:rPr>
          <w:b/>
        </w:rPr>
        <w:t>Sarcome des tissus mous — liposarcome</w:t>
      </w:r>
      <w:r>
        <w:t xml:space="preserve"> adulte inopérable ou métastatique, en 2e ligne après anthracycline (essai 309, Schöffski et al., *JCO* 2016 — survie globale 15,6 mois vs 8,4 mois pour dacarbazine ; HR 0,51). Efficacité moindre dans les léiomyosarcomes.</w:t>
      </w:r>
    </w:p>
    <w:p>
      <w:pPr>
        <w:pStyle w:val="ListBullet"/>
      </w:pPr>
      <w:r>
        <w:t>Particularités pharmacologiques :</w:t>
      </w:r>
    </w:p>
    <w:p>
      <w:pPr>
        <w:pStyle w:val="ListBullet"/>
      </w:pPr>
      <w:r>
        <w:t>Cinétique tricompartimentale — clairance 1,9-3,2 L/h/m² (CV 25 %).</w:t>
      </w:r>
    </w:p>
    <w:p>
      <w:pPr>
        <w:pStyle w:val="ListBullet"/>
      </w:pPr>
      <w:r>
        <w:t>Distribution large — Vd 43-114 L/m² ; liaison protéique faible (49-65 %).</w:t>
      </w:r>
    </w:p>
    <w:p>
      <w:pPr>
        <w:pStyle w:val="ListBullet"/>
      </w:pPr>
      <w:r>
        <w:t xml:space="preserve">Métabolisme hépatique </w:t>
      </w:r>
      <w:r>
        <w:rPr>
          <w:b/>
        </w:rPr>
        <w:t>modeste</w:t>
      </w:r>
      <w:r>
        <w:t xml:space="preserve"> — conversion minime par CYP3A4 (métabolites inactifs) ; élimination </w:t>
      </w:r>
      <w:r>
        <w:rPr>
          <w:b/>
        </w:rPr>
        <w:t>principalement biliaire</w:t>
      </w:r>
      <w:r>
        <w:t xml:space="preserve"> (~ 82 % dans les fèces en 7 jours — dont ~ 60 % sous forme inchangée) et ~ 9 % rénal.</w:t>
      </w:r>
    </w:p>
    <w:p>
      <w:pPr>
        <w:pStyle w:val="ListBullet"/>
      </w:pPr>
      <w:r>
        <w:t xml:space="preserve">Demi-vie d'élimination terminale : </w:t>
      </w:r>
      <w:r>
        <w:rPr>
          <w:b/>
        </w:rPr>
        <w:t>36-48 h</w:t>
      </w:r>
      <w:r>
        <w:t xml:space="preserve"> (prolongée — d'où administration hebdomadaire J1, J8, J15 puis semaine de repos, q4 semaines).</w:t>
      </w:r>
    </w:p>
    <w:p>
      <w:pPr>
        <w:pStyle w:val="ListBullet"/>
      </w:pPr>
      <w:r>
        <w:t xml:space="preserve">Adaptation hépatique : (i) fonction hépatique normale : dose pleine (1,4 mg/m²) ; (ii) insuffisance hépatique modérée (bilirubine ≤ 1,5 × LSN, ASAT ≤ 2,5 × LSN) : réduction à </w:t>
      </w:r>
      <w:r>
        <w:rPr>
          <w:b/>
        </w:rPr>
        <w:t>1,1 mg/m²</w:t>
      </w:r>
      <w:r>
        <w:t xml:space="preserve"> ; (iii) insuffisance hépatique sévère (bilirubine &gt; 1,5-3 × LSN, ASAT &gt; 2,5 × LSN) : réduction à </w:t>
      </w:r>
      <w:r>
        <w:rPr>
          <w:b/>
        </w:rPr>
        <w:t>0,7 mg/m²</w:t>
      </w:r>
      <w:r>
        <w:t xml:space="preserve"> ; (iv) insuffisance hépatique très sévère (bilirubine &gt; 3 × LSN) : contre-indication.</w:t>
      </w:r>
    </w:p>
    <w:p>
      <w:pPr>
        <w:pStyle w:val="ListBullet"/>
      </w:pPr>
      <w:r>
        <w:t>Adaptation rénale : (i) DFG &gt; 60 mL/min : dose pleine ; (ii) DFG 30-60 mL/min : pas d'adaptation formelle mais surveillance accrue ; (iii) DFG &lt; 30 mL/min : contre-indication.</w:t>
      </w:r>
    </w:p>
    <w:p>
      <w:pPr>
        <w:pStyle w:val="ListBullet"/>
      </w:pPr>
      <w:r>
        <w:t>Schémas : (i) eribuline 1,4 mg/m² J1, J8, J15 en perfusion IV de 2-5 min, cycle de 28 jours — jusqu'à progression ou toxicité inacceptable.</w:t>
      </w:r>
    </w:p>
    <w:p>
      <w:r/>
      <w:r>
        <w:rPr>
          <w:b/>
        </w:rPr>
        <w:t>Contre-indications et Précautions d'Emploi :</w:t>
      </w:r>
      <w:r/>
    </w:p>
    <w:p>
      <w:pPr>
        <w:pStyle w:val="ListBullet"/>
      </w:pPr>
      <w:r>
        <w:t>Contre-indications ABSOLUES :</w:t>
      </w:r>
    </w:p>
    <w:p>
      <w:pPr>
        <w:pStyle w:val="ListBullet"/>
      </w:pPr>
      <w:r>
        <w:t>Hypersensibilité connue à l'eribuline ou à l'un des excipients.</w:t>
      </w:r>
    </w:p>
    <w:p>
      <w:pPr>
        <w:pStyle w:val="ListBullet"/>
      </w:pPr>
      <w:r/>
      <w:r>
        <w:rPr>
          <w:b/>
        </w:rPr>
        <w:t>Neutropénie sévère</w:t>
      </w:r>
      <w:r>
        <w:t xml:space="preserve"> (&lt; 1 000/mm³) pré-existante — attendre récupération PNN ≥ 1 500/mm³.</w:t>
      </w:r>
    </w:p>
    <w:p>
      <w:pPr>
        <w:pStyle w:val="ListBullet"/>
      </w:pPr>
      <w:r/>
      <w:r>
        <w:rPr>
          <w:b/>
        </w:rPr>
        <w:t>Insuffisance hépatique très sévère</w:t>
      </w:r>
      <w:r>
        <w:t xml:space="preserve"> (bilirubine &gt; 3 × LSN).</w:t>
      </w:r>
    </w:p>
    <w:p>
      <w:pPr>
        <w:pStyle w:val="ListBullet"/>
      </w:pPr>
      <w:r/>
      <w:r>
        <w:rPr>
          <w:b/>
        </w:rPr>
        <w:t>Insuffisance rénale sévère</w:t>
      </w:r>
      <w:r>
        <w:t xml:space="preserve"> (DFG &lt; 30 mL/min).</w:t>
      </w:r>
    </w:p>
    <w:p>
      <w:pPr>
        <w:pStyle w:val="ListBullet"/>
      </w:pPr>
      <w:r/>
      <w:r>
        <w:rPr>
          <w:b/>
        </w:rPr>
        <w:t>Grossesse et allaitement</w:t>
      </w:r>
      <w:r>
        <w:t xml:space="preserve"> (catégorie D — tératogène — contraception obligatoire pendant et jusqu'à 3 mois après).</w:t>
      </w:r>
    </w:p>
    <w:p>
      <w:pPr>
        <w:pStyle w:val="ListBullet"/>
      </w:pPr>
      <w:r/>
      <w:r>
        <w:rPr>
          <w:b/>
        </w:rPr>
        <w:t>Allongement du QT congénital</w:t>
      </w:r>
      <w:r>
        <w:t xml:space="preserve"> ou acquis (QTc &gt; 470 ms pré-existant).</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r>
        <w:rPr>
          <w:b/>
        </w:rPr>
        <w:t>Surveillance hématologique stricte</w:t>
      </w:r>
      <w:r>
        <w:t xml:space="preserve"> : NFS avant chaque cure (PNN ≥ 1 500/mm³, plaquettes ≥ 100 000/mm³) ; en cas de neutropénie à la cure précédente — délai de 1 semaine, dose réduite à 1,1 mg/m².</w:t>
      </w:r>
    </w:p>
    <w:p>
      <w:pPr>
        <w:pStyle w:val="ListBullet"/>
      </w:pPr>
      <w:r/>
      <w:r>
        <w:rPr>
          <w:b/>
        </w:rPr>
        <w:t>Surveillance ECG</w:t>
      </w:r>
      <w:r>
        <w:t xml:space="preserve"> : ECG pré-cure (allongement du QT possible — particulièrement chez les patients avec antécédents cardiaques, hypokaliémie, hypomagnésémie, ou sous traitements allongeant le QT — antiarythmiques, macrolides, azolés, antidépresseurs).</w:t>
      </w:r>
    </w:p>
    <w:p>
      <w:pPr>
        <w:pStyle w:val="ListBullet"/>
      </w:pPr>
      <w:r/>
      <w:r>
        <w:rPr>
          <w:b/>
        </w:rPr>
        <w:t>Surveillance neurologique</w:t>
      </w:r>
      <w:r>
        <w:t xml:space="preserve"> : examen clinique pré-cure (recherche de neuropathie périphérique pré-existante — l'eribuline est moins neurotoxique que les taxanes et Vinca, mais l'existence d'une neuropathie grade ≥ 2 justifie une surveillance accrue).</w:t>
      </w:r>
    </w:p>
    <w:p>
      <w:pPr>
        <w:pStyle w:val="ListBullet"/>
      </w:pPr>
      <w:r/>
      <w:r>
        <w:rPr>
          <w:b/>
        </w:rPr>
        <w:t>Surveillance hépatique et rénale</w:t>
      </w:r>
      <w:r>
        <w:t xml:space="preserve"> : bilan hépatique (bilirubine, ASAT, ALAT, PAL, GGT) et créatinine avant chaque cure.</w:t>
      </w:r>
    </w:p>
    <w:p>
      <w:pPr>
        <w:pStyle w:val="ListBullet"/>
      </w:pPr>
      <w:r>
        <w:t>Sujet âgé &gt; 65 ans : surveillance hématologique accrue — pas de réduction systématique mais discussion au cas par cas.</w:t>
      </w:r>
    </w:p>
    <w:p>
      <w:pPr>
        <w:pStyle w:val="ListBullet"/>
      </w:pPr>
      <w:r>
        <w:t>Précautions de manipulation : cytotoxique — manipulation exclusivement par personnel formé.</w:t>
      </w:r>
    </w:p>
    <w:p>
      <w:pPr>
        <w:pStyle w:val="ListBullet"/>
      </w:pPr>
      <w:r>
        <w:t>Précautions de perfusion : tubulure en polyoléfine (compatibilité) ; pas de tubulure en PVC.</w:t>
      </w:r>
    </w:p>
    <w:p>
      <w:r/>
      <w:r>
        <w:rPr>
          <w:b/>
        </w:rPr>
        <w:t>Effets Indésirables :</w:t>
      </w:r>
      <w:r/>
    </w:p>
    <w:p>
      <w:pPr>
        <w:pStyle w:val="ListBullet"/>
      </w:pPr>
      <w:r/>
      <w:r>
        <w:rPr>
          <w:b/>
        </w:rPr>
        <w:t>Myélosuppression</w:t>
      </w:r>
      <w:r>
        <w:t xml:space="preserve"> (effet dose-limitant — quasi-constante) :</w:t>
      </w:r>
    </w:p>
    <w:p>
      <w:pPr>
        <w:pStyle w:val="ListBullet"/>
      </w:pPr>
      <w:r/>
      <w:r>
        <w:rPr>
          <w:b/>
        </w:rPr>
        <w:t>Neutropénie</w:t>
      </w:r>
      <w:r>
        <w:t xml:space="preserve"> : 80-90 % des patients (grade 3-4 : 50-60 %) — nadir J7-J14, récupération J14-J21. Neutropénie fébrile : 5-8 %.</w:t>
      </w:r>
    </w:p>
    <w:p>
      <w:pPr>
        <w:pStyle w:val="ListBullet"/>
      </w:pPr>
      <w:r>
        <w:t>Thrombopénie : 20-30 % (grade 3-4 : 5 %).</w:t>
      </w:r>
    </w:p>
    <w:p>
      <w:pPr>
        <w:pStyle w:val="ListBullet"/>
      </w:pPr>
      <w:r>
        <w:t>Anémie : 60-80 % (grade 3-4 : 5-10 %).</w:t>
      </w:r>
    </w:p>
    <w:p>
      <w:pPr>
        <w:pStyle w:val="ListBullet"/>
      </w:pPr>
      <w:r/>
      <w:r>
        <w:rPr>
          <w:b/>
        </w:rPr>
        <w:t>Neurotoxicité périphérique</w:t>
      </w:r>
      <w:r>
        <w:t xml:space="preserve"> (modérée — moins marquée que les taxanes et Vinca) :</w:t>
      </w:r>
    </w:p>
    <w:p>
      <w:pPr>
        <w:pStyle w:val="ListBullet"/>
      </w:pPr>
      <w:r>
        <w:t>Sensitives : paresthésies, dysesthésies en « gants et chaussettes » — 15-25 % (grade 3-4 : 3-5 %).</w:t>
      </w:r>
    </w:p>
    <w:p>
      <w:pPr>
        <w:pStyle w:val="ListBullet"/>
      </w:pPr>
      <w:r>
        <w:t>Motrices : rares (&lt; 5 %).</w:t>
      </w:r>
    </w:p>
    <w:p>
      <w:pPr>
        <w:pStyle w:val="ListBullet"/>
      </w:pPr>
      <w:r>
        <w:t>Autonomiques : constipation (10-20 %), hypotension orthostatique (5 %).</w:t>
      </w:r>
    </w:p>
    <w:p>
      <w:pPr>
        <w:pStyle w:val="ListBullet"/>
      </w:pPr>
      <w:r/>
      <w:r>
        <w:rPr>
          <w:b/>
        </w:rPr>
        <w:t>Alopécie</w:t>
      </w:r>
      <w:r>
        <w:t xml:space="preserve"> (très fréquente — 45-60 % — habituellement réversible après arrêt).</w:t>
      </w:r>
    </w:p>
    <w:p>
      <w:pPr>
        <w:pStyle w:val="ListBullet"/>
      </w:pPr>
      <w:r/>
      <w:r>
        <w:rPr>
          <w:b/>
        </w:rPr>
        <w:t>Toxicité digestive</w:t>
      </w:r>
      <w:r>
        <w:t xml:space="preserve"> :</w:t>
      </w:r>
    </w:p>
    <w:p>
      <w:pPr>
        <w:pStyle w:val="ListBullet"/>
      </w:pPr>
      <w:r>
        <w:t>Nausées/vomissements (modérés — 30-40 % — grade 3-4 : 3 %).</w:t>
      </w:r>
    </w:p>
    <w:p>
      <w:pPr>
        <w:pStyle w:val="ListBullet"/>
      </w:pPr>
      <w:r>
        <w:t>Constipation (10-20 %).</w:t>
      </w:r>
    </w:p>
    <w:p>
      <w:pPr>
        <w:pStyle w:val="ListBullet"/>
      </w:pPr>
      <w:r>
        <w:t>Mucite (10-15 %).</w:t>
      </w:r>
    </w:p>
    <w:p>
      <w:pPr>
        <w:pStyle w:val="ListBullet"/>
      </w:pPr>
      <w:r>
        <w:t>Diarrhée (5-10 %).</w:t>
      </w:r>
    </w:p>
    <w:p>
      <w:pPr>
        <w:pStyle w:val="ListBullet"/>
      </w:pPr>
      <w:r/>
      <w:r>
        <w:rPr>
          <w:b/>
        </w:rPr>
        <w:t>Fatigue</w:t>
      </w:r>
      <w:r>
        <w:t xml:space="preserve"> et </w:t>
      </w:r>
      <w:r>
        <w:rPr>
          <w:b/>
        </w:rPr>
        <w:t>anorexie</w:t>
      </w:r>
      <w:r>
        <w:t xml:space="preserve"> (50-60 % — grade 3-4 : 10 %).</w:t>
      </w:r>
    </w:p>
    <w:p>
      <w:pPr>
        <w:pStyle w:val="ListBullet"/>
      </w:pPr>
      <w:r/>
      <w:r>
        <w:rPr>
          <w:b/>
        </w:rPr>
        <w:t>Toxicité hépatique</w:t>
      </w:r>
      <w:r>
        <w:t xml:space="preserve"> : cytolyse (5-10 % — grade 3-4 : 2 %).</w:t>
      </w:r>
    </w:p>
    <w:p>
      <w:pPr>
        <w:pStyle w:val="ListBullet"/>
      </w:pPr>
      <w:r/>
      <w:r>
        <w:rPr>
          <w:b/>
        </w:rPr>
        <w:t>Toxicité cardiovasculaire</w:t>
      </w:r>
      <w:r>
        <w:t xml:space="preserve"> : </w:t>
      </w:r>
      <w:r>
        <w:rPr>
          <w:b/>
        </w:rPr>
        <w:t>allongement du QT</w:t>
      </w:r>
      <w:r>
        <w:t xml:space="preserve"> (5-10 % — particularly chez les patients avec hypokaliémie, hypomagnésémie, ou sous traitements allongeant le QT), hypotension (5 %), troubles du rythme (rare).</w:t>
      </w:r>
    </w:p>
    <w:p>
      <w:pPr>
        <w:pStyle w:val="ListBullet"/>
      </w:pPr>
      <w:r/>
      <w:r>
        <w:rPr>
          <w:b/>
        </w:rPr>
        <w:t>Toxicité locale au point d'injection</w:t>
      </w:r>
      <w:r>
        <w:t xml:space="preserve"> : réaction locale (10-15 %) — l'eribuline n'est pas un vésicant strict (extravasation bien tolérée — pas de nécrose tissulaire).</w:t>
      </w:r>
    </w:p>
    <w:p>
      <w:pPr>
        <w:pStyle w:val="ListBullet"/>
      </w:pPr>
      <w:r/>
      <w:r>
        <w:rPr>
          <w:b/>
        </w:rPr>
        <w:t>Pyrexie</w:t>
      </w:r>
      <w:r>
        <w:t xml:space="preserve"> (10-15 %), infections (10-15 % — secondaires à la neutropénie).</w:t>
      </w:r>
    </w:p>
    <w:p>
      <w:r/>
      <w:r>
        <w:rPr>
          <w:b/>
        </w:rPr>
        <w:t>Prévention et Gestion des Effets Indésirables :</w:t>
      </w:r>
      <w:r/>
    </w:p>
    <w:p>
      <w:pPr>
        <w:pStyle w:val="ListBullet"/>
      </w:pPr>
      <w:r>
        <w:t>Prévention systématique :</w:t>
      </w:r>
    </w:p>
    <w:p>
      <w:pPr>
        <w:pStyle w:val="ListBullet"/>
      </w:pPr>
      <w:r/>
      <w:r>
        <w:rPr>
          <w:b/>
        </w:rPr>
        <w:t>Prévention hématologique</w:t>
      </w:r>
      <w:r>
        <w:t xml:space="preserve"> : NFS avant chaque cure, délai à J8 si PNN &lt; 1 500/mm³, G-CSF prophylactique secondaire ou primaire (selon protocole — particulièrement chez les patientes âgées &gt; 65 ans, en cas de neutropénie fébrile à la cure précédente, ou en cas de comorbidités).</w:t>
      </w:r>
    </w:p>
    <w:p>
      <w:pPr>
        <w:pStyle w:val="ListBullet"/>
      </w:pPr>
      <w:r/>
      <w:r>
        <w:rPr>
          <w:b/>
        </w:rPr>
        <w:t>Prévention cardiovasculaire</w:t>
      </w:r>
      <w:r>
        <w:t xml:space="preserve"> : ECG pré-cure (surveillance QT), correction des troubles hydro-électrolytiques (kaliémie &gt; 4 mmol/L, magnésémie &gt; 0,8 mmol/L), éviter les traitements allongeant le QT (antiarythmiques Ia et III, macrolides, azolés, antipsychotiques, antidépresseurs — citalopram, escitalopram, méthadone).</w:t>
      </w:r>
    </w:p>
    <w:p>
      <w:pPr>
        <w:pStyle w:val="ListBullet"/>
      </w:pPr>
      <w:r/>
      <w:r>
        <w:rPr>
          <w:b/>
        </w:rPr>
        <w:t>Prévention digestive</w:t>
      </w:r>
      <w:r>
        <w:t xml:space="preserve"> : antiémétique prophylactique (sétron 5-HT3 — type ondansétron ou palonosétron + dexaméthasone). Laxatif si constipation.</w:t>
      </w:r>
    </w:p>
    <w:p>
      <w:pPr>
        <w:pStyle w:val="ListBullet"/>
      </w:pPr>
      <w:r/>
      <w:r>
        <w:rPr>
          <w:b/>
        </w:rPr>
        <w:t>Prévention capillaire</w:t>
      </w:r>
      <w:r>
        <w:t xml:space="preserve"> : information préalable (alopécie quasi-constante mais réversible), proposition de prothèse capillaire, refroidissement du cuir chevelu (scalp cooling —_discutable en cancer du sein métastatique par risque théorique de métastases scalpiques mais pratiqué dans certaines équipes).</w:t>
      </w:r>
    </w:p>
    <w:p>
      <w:pPr>
        <w:pStyle w:val="ListBullet"/>
      </w:pPr>
      <w:r>
        <w:t>Conduite à tenir :</w:t>
      </w:r>
    </w:p>
    <w:p>
      <w:pPr>
        <w:pStyle w:val="ListBullet"/>
      </w:pPr>
      <w:r/>
      <w:r>
        <w:rPr>
          <w:b/>
        </w:rPr>
        <w:t>En cas de neutropénie fébrile</w:t>
      </w:r>
      <w:r>
        <w:t xml:space="preserve"> : hospitalisation URGENCE, antibiothérapie empirique (céphalosporine 3e génération + aminoside ou bétalactame large spectre selon protocole local), G-CSF, délai 2 semaines, réduction de dose à 1,1 mg/m² à la cure suivante.</w:t>
      </w:r>
    </w:p>
    <w:p>
      <w:pPr>
        <w:pStyle w:val="ListBullet"/>
      </w:pPr>
      <w:r/>
      <w:r>
        <w:rPr>
          <w:b/>
        </w:rPr>
        <w:t>En cas de diarrhée ou de vomissements sévères</w:t>
      </w:r>
      <w:r>
        <w:t xml:space="preserve"> : réhydratation IV, antiémétique IV, surveillance ionogramme.</w:t>
      </w:r>
    </w:p>
    <w:p>
      <w:pPr>
        <w:pStyle w:val="ListBullet"/>
      </w:pPr>
      <w:r/>
      <w:r>
        <w:rPr>
          <w:b/>
        </w:rPr>
        <w:t>En cas d'allongement du QT &gt; 470 ms</w:t>
      </w:r>
      <w:r>
        <w:t xml:space="preserve"> : arrêt transitoire, correction des troubles hydro-électrolytiques, surveillance ECG, contre-indication si QT &gt; 500 ms ou torsades de pointes.</w:t>
      </w:r>
    </w:p>
    <w:p>
      <w:pPr>
        <w:pStyle w:val="ListBullet"/>
      </w:pPr>
      <w:r/>
      <w:r>
        <w:rPr>
          <w:b/>
        </w:rPr>
        <w:t>En cas de neuropathie grade ≥ 2</w:t>
      </w:r>
      <w:r>
        <w:t xml:space="preserve"> : surveillance accrue, réduction de dose à 1,1 mg/m², arrêt si grade ≥ 3.</w:t>
      </w:r>
    </w:p>
    <w:p>
      <w:pPr>
        <w:pStyle w:val="ListBullet"/>
      </w:pPr>
      <w:r/>
      <w:r>
        <w:rPr>
          <w:b/>
        </w:rPr>
        <w:t>En cas d'insuffisance hépatique modérée</w:t>
      </w:r>
      <w:r>
        <w:t xml:space="preserve"> : réduction à 1,1 mg/m² ; en cas d'insuffisance hépatique sévère : réduction à 0,7 mg/m² ; contre-indication si très sévère.</w:t>
      </w:r>
    </w:p>
    <w:p>
      <w:r/>
      <w:r>
        <w:rPr>
          <w:b/>
        </w:rPr>
        <w:t>Interactions Importantes :</w:t>
      </w:r>
      <w:r/>
    </w:p>
    <w:p>
      <w:pPr>
        <w:pStyle w:val="ListBullet"/>
      </w:pPr>
      <w:r/>
      <w:r>
        <w:rPr>
          <w:b/>
        </w:rPr>
        <w:t>Eribuline + inhibiteurs du CYP3A4</w:t>
      </w:r>
      <w:r>
        <w:t xml:space="preserve"> (azolés — kétoconazole, itraconazole, voriconazole, fluconazole, posaconazole ; antiprotéases — ritonavir, atazanavir, lopinavir ; macrolides — érythromycine, clarithromycine, télithromycine ; grapefruit) : augmentation modérée de l'AUC eribuline (× 1,5-2) — risque de myélosuppression accrue. Surveillance clinique et biologique accrue ; pas de réduction de dose systématique mais surveillance NFS J7-J10.</w:t>
      </w:r>
    </w:p>
    <w:p>
      <w:pPr>
        <w:pStyle w:val="ListBullet"/>
      </w:pPr>
      <w:r/>
      <w:r>
        <w:rPr>
          <w:b/>
        </w:rPr>
        <w:t>Eribuline + inducteurs du CYP3A4</w:t>
      </w:r>
      <w:r>
        <w:t xml:space="preserve"> (rifampicine, phénytoïne, carbamazépine, phénobarbital, millepertuis) : baisse modérée de l'AUC eribuline — risque d'efficacité réduite. Éviter si possible.</w:t>
      </w:r>
    </w:p>
    <w:p>
      <w:pPr>
        <w:pStyle w:val="ListBullet"/>
      </w:pPr>
      <w:r/>
      <w:r>
        <w:rPr>
          <w:b/>
        </w:rPr>
        <w:t>Eribuline + anticancéreux autres</w:t>
      </w:r>
      <w:r>
        <w:t xml:space="preserve"> : association non recommandée avec les taxanes et Vinca (neurotoxicité additive) ; association possible avec la capecitabine, la gemcitabine, la doxorubicine liposomale pegylée (essais cliniques en cours).</w:t>
      </w:r>
    </w:p>
    <w:p>
      <w:pPr>
        <w:pStyle w:val="ListBullet"/>
      </w:pPr>
      <w:r/>
      <w:r>
        <w:rPr>
          <w:b/>
        </w:rPr>
        <w:t>Eribuline + traitements allongeant le QT</w:t>
      </w:r>
      <w:r>
        <w:t xml:space="preserve"> (antiarythmiques Ia — quinidine, disopyramide ; antiarythmiques III — amiodarone, sotalol, ibutilide ; macrolides — érythromycine, clarithromycine ; azolés — fluconazole, voriconazole ; antipsychotiques — halopéridol, thioridazine, pimozide, ziprasidone ; antidépresseurs — citalopram, escitalopram ; méthadone ; ondansétron IV à dose élevée) : allongement du QT additif — surveillance ECG, contre-indication si QT &gt; 470 ms pré-existant.</w:t>
      </w:r>
    </w:p>
    <w:p>
      <w:pPr>
        <w:pStyle w:val="ListBullet"/>
      </w:pPr>
      <w:r/>
      <w:r>
        <w:rPr>
          <w:b/>
        </w:rPr>
        <w:t>Eribuline + vaccins vivants atténués</w:t>
      </w:r>
      <w:r>
        <w:t xml:space="preserve"> (BCG, fièvre jaune, ROR, varicelle, rotavirus) : contre-indication pendant et jusqu'à 3 mois après arrêt — risque de maladie vaccinale généralisée.</w:t>
      </w:r>
    </w:p>
    <w:p>
      <w:pPr>
        <w:pStyle w:val="ListBullet"/>
      </w:pPr>
      <w:r/>
      <w:r>
        <w:rPr>
          <w:b/>
        </w:rPr>
        <w:t>Eribuline + phénytoïne</w:t>
      </w:r>
      <w:r>
        <w:t xml:space="preserve"> : prudence — risque d'augmentation de la toxicité neurologique.</w:t>
      </w:r>
    </w:p>
    <w:p>
      <w:r/>
      <w:r>
        <w:rPr>
          <w:b/>
        </w:rPr>
        <w:t>Grossesse et Allaitement :</w:t>
      </w:r>
      <w:r/>
    </w:p>
    <w:p>
      <w:pPr>
        <w:pStyle w:val="ListBullet"/>
      </w:pPr>
      <w:r>
        <w:t xml:space="preserve">Grossesse : selon le CRAT, l'eribuline est classée « à éviter » (catégorie D — tératogène — études animales : embryotoxicité, foetotoxicité, malformations squelettiques). Contraception efficace obligatoire pendant le traitement et </w:t>
      </w:r>
      <w:r>
        <w:rPr>
          <w:b/>
        </w:rPr>
        <w:t>3 mois</w:t>
      </w:r>
      <w:r>
        <w:t xml:space="preserve"> après la dernière cure chez la femme et le partenaire masculin (données animales : toxicité testiculaire — spermatogenèse altérée). Test de grossesse pré-thérapeutique obligatoire. Conservation de gamètes (cryopréservation ovocytaire ou spermatique) à discuter préalablement.</w:t>
      </w:r>
    </w:p>
    <w:p>
      <w:pPr>
        <w:pStyle w:val="ListBullet"/>
      </w:pPr>
      <w:r>
        <w:t>Allaitement : contre-indication ABSOLUE (passage dans le lait maternel — toxicité pour le nouveau-né). Arrêt de l'allaitement avant la 1re cure.</w:t>
      </w:r>
    </w:p>
    <w:p>
      <w:r/>
      <w:r>
        <w:rPr>
          <w:b/>
        </w:rPr>
        <w:t>Posologie et Mode d'Administration :</w:t>
      </w:r>
      <w:r/>
    </w:p>
    <w:p>
      <w:pPr>
        <w:pStyle w:val="ListBullet"/>
      </w:pPr>
      <w:r>
        <w:t>Adulte (cancer du sein métastatique 2e/3e ligne ; sarcome des tissus mous liposarcome) :</w:t>
      </w:r>
    </w:p>
    <w:p>
      <w:pPr>
        <w:pStyle w:val="ListBullet"/>
      </w:pPr>
      <w:r/>
      <w:r>
        <w:rPr>
          <w:b/>
        </w:rPr>
        <w:t>Schéma standard (4 semaines)</w:t>
      </w:r>
      <w:r>
        <w:t xml:space="preserve"> : 1,4 mg/m² J1, J8, J15 en perfusion IV de 2-5 min, cycle de 28 jours (4 semaines) — jusqu'à progression ou toxicité inacceptable.</w:t>
      </w:r>
    </w:p>
    <w:p>
      <w:pPr>
        <w:pStyle w:val="ListBullet"/>
      </w:pPr>
      <w:r/>
      <w:r>
        <w:rPr>
          <w:b/>
        </w:rPr>
        <w:t>Réduction à 1,1 mg/m²</w:t>
      </w:r>
      <w:r>
        <w:t xml:space="preserve"> : (i) si insuffisance hépatique modérée (bilirubine ≤ 1,5 × LSN, ASAT ≤ 2,5 × LSN) ; (ii) si neutropénie fébrile à la cure précédente ; (iii) si neuropathie grade 2.</w:t>
      </w:r>
    </w:p>
    <w:p>
      <w:pPr>
        <w:pStyle w:val="ListBullet"/>
      </w:pPr>
      <w:r/>
      <w:r>
        <w:rPr>
          <w:b/>
        </w:rPr>
        <w:t>Réduction à 0,7 mg/m²</w:t>
      </w:r>
      <w:r>
        <w:t xml:space="preserve"> : si insuffisance hépatique sévère (bilirubine 1,5-3 × LSN, ASAT &gt; 2,5 × LSN).</w:t>
      </w:r>
    </w:p>
    <w:p>
      <w:pPr>
        <w:pStyle w:val="ListBullet"/>
      </w:pPr>
      <w:r/>
      <w:r>
        <w:rPr>
          <w:b/>
        </w:rPr>
        <w:t>Dose maximale absolue</w:t>
      </w:r>
      <w:r>
        <w:t xml:space="preserve"> : 2,0 mg (au-delà — augmentation toxicité disproportionnée — capped pour éviter surdosage par surface corporelle &gt; 2,0 m²).</w:t>
      </w:r>
    </w:p>
    <w:p>
      <w:pPr>
        <w:pStyle w:val="ListBullet"/>
      </w:pPr>
      <w:r/>
      <w:r>
        <w:rPr>
          <w:b/>
        </w:rPr>
        <w:t>Dose minimale</w:t>
      </w:r>
      <w:r>
        <w:t xml:space="preserve"> : 0,7 mg/m² (au-delà de la réduction — switch thérapeutique).</w:t>
      </w:r>
    </w:p>
    <w:p>
      <w:pPr>
        <w:pStyle w:val="ListBullet"/>
      </w:pPr>
      <w:r>
        <w:t>Préparation et perfusion :</w:t>
      </w:r>
    </w:p>
    <w:p>
      <w:pPr>
        <w:pStyle w:val="ListBullet"/>
      </w:pPr>
      <w:r/>
      <w:r>
        <w:rPr>
          <w:b/>
        </w:rPr>
        <w:t>Dilution</w:t>
      </w:r>
      <w:r>
        <w:t xml:space="preserve"> : l'eribuline (solution 0,44 mg/mL — flacons 2 mL = 0,88 mg/flacon) est diluée dans un minibag de 100 mL NaCl 0,9 % (concentration finale ~ 0,02-0,2 mg/mL). Dose standard pour un adulte de 1,7 m² : 1,4 mg/m² × 1,7 = ~ 2,4 mg — soit 3 flacons de 0,88 mg (2,64 mg — légère approximation acceptable).</w:t>
      </w:r>
    </w:p>
    <w:p>
      <w:pPr>
        <w:pStyle w:val="ListBullet"/>
      </w:pPr>
      <w:r/>
      <w:r>
        <w:rPr>
          <w:b/>
        </w:rPr>
        <w:t>Surveillance pendant la perfusion</w:t>
      </w:r>
      <w:r>
        <w:t xml:space="preserve"> : scope cardiorespiratoire non systématique (la perfusion est courte 2-5 min, mais surveillance tensionnelle et réaction d'hypersensibilité — flush, prurit, rash — possible).</w:t>
      </w:r>
    </w:p>
    <w:p>
      <w:pPr>
        <w:pStyle w:val="ListBullet"/>
      </w:pPr>
      <w:r/>
      <w:r>
        <w:rPr>
          <w:b/>
        </w:rPr>
        <w:t>Durée de perfusion</w:t>
      </w:r>
      <w:r>
        <w:t xml:space="preserve"> : 2-5 min (perfusion très courte — eribuline bien tolérée en perfusion brève).</w:t>
      </w:r>
    </w:p>
    <w:p>
      <w:pPr>
        <w:pStyle w:val="ListBullet"/>
      </w:pPr>
      <w:r/>
      <w:r>
        <w:rPr>
          <w:b/>
        </w:rPr>
        <w:t>Voie veineuse</w:t>
      </w:r>
      <w:r>
        <w:t xml:space="preserve"> : périphérique suffisante — l'eribuline n'est pas vésicante.</w:t>
      </w:r>
    </w:p>
    <w:p>
      <w:pPr>
        <w:pStyle w:val="ListBullet"/>
      </w:pPr>
      <w:r>
        <w:t>Adaptation posologique : voir supra (insuffisance hépatique, rénale, neuropathie, neutropénie).</w:t>
      </w:r>
    </w:p>
    <w:p>
      <w:pPr>
        <w:pStyle w:val="ListBullet"/>
      </w:pPr>
      <w:r>
        <w:t>Conditions de conservation : flacons de solution à conserver à température ambiante ≤ 25 °C (ne pas congeler). Après dilution en minibag : stabilité 4 h à température ambiante, 24 h à 2-8 °C.</w:t>
      </w:r>
    </w:p>
    <w:p>
      <w:r/>
      <w:r>
        <w:rPr>
          <w:b/>
        </w:rPr>
        <w:t>Arbitrage et Bénéfices des Formes Galéniques :</w:t>
      </w:r>
      <w:r/>
    </w:p>
    <w:p>
      <w:pPr>
        <w:pStyle w:val="ListBullet"/>
      </w:pPr>
      <w:r/>
      <w:r>
        <w:rPr>
          <w:b/>
        </w:rPr>
        <w:t>Solution injectable IV — 0,44 mg/mL</w:t>
      </w:r>
      <w:r>
        <w:t xml:space="preserve"> (Halaven® Eisai Europe — seule marque active) : galénique unique — solution prête à diluer, un seul dosage (0,44 mg/mL en flacon de 2 mL = 0,88 mg/flacon). Le choix du dosage reflète les besoins typiques d'une cure (1,4 mg/m² × 1,7 m² = ~ 2,4 mg — soit 3 flacons de 0,88 mg). Pas d'alternative générique — princeps exclusif. Approvisionnement exclusivement hospitalier.</w:t>
      </w:r>
    </w:p>
    <w:p>
      <w:pPr>
        <w:pStyle w:val="ListBullet"/>
      </w:pPr>
      <w:r/>
      <w:r>
        <w:rPr>
          <w:b/>
        </w:rPr>
        <w:t>Conditionnement</w:t>
      </w:r>
      <w:r>
        <w:t xml:space="preserve"> : flacons unidoses — manipulation en ZAC (Zone d'Atmosphère Contrôlée) ou hotte à flux laminaire vertical, équipements de protection individuelle obligatoires (gants nitrile double, charlotte, masque FFP2, blouse chimio).</w:t>
      </w:r>
    </w:p>
    <w:p>
      <w:pPr>
        <w:pStyle w:val="ListBullet"/>
      </w:pPr>
      <w:r/>
      <w:r>
        <w:rPr>
          <w:b/>
        </w:rPr>
        <w:t>Choix de la marque</w:t>
      </w:r>
      <w:r>
        <w:t xml:space="preserve"> : en pratique, seule Halaven® est disponible en Algérie — pas de choix possible. Anticipation indispensable en cas de rupture (switch vers vinorelbine orale, capecitabine ou gemcitabine selon l'avis oncologique).</w:t>
      </w:r>
    </w:p>
    <w:p>
      <w:r/>
      <w:r>
        <w:rPr>
          <w:b/>
        </w:rPr>
        <w:t>Instructions et Conseils au Patient :</w:t>
      </w:r>
      <w:r/>
    </w:p>
    <w:p>
      <w:pPr>
        <w:pStyle w:val="ListBullet"/>
      </w:pPr>
      <w:r>
        <w:t>Communication avant la cure :</w:t>
      </w:r>
    </w:p>
    <w:p>
      <w:pPr>
        <w:pStyle w:val="ListBullet"/>
      </w:pPr>
      <w:r>
        <w:t>« Ce médicament est un anticancéreux puissant dérivé d'une éponge marine, administré à l'hôpital uniquement, en perfusion veineuse très courte (2 à 5 minutes), aux jours J1, J8 et J15 de chaque cycle de 4 semaines (28 jours). Le traitement se poursuit jusqu'à progression ou toxicité. »</w:t>
      </w:r>
    </w:p>
    <w:p>
      <w:pPr>
        <w:pStyle w:val="ListBullet"/>
      </w:pPr>
      <w:r>
        <w:t>« Vous risquez une baisse des globules blancs (neutropénie) — surveillance par prise de sang avant chaque cure. Signalez IMMÉDIATEMENT une fièvre (≥ 38,5 °C) — urgence médicale. »</w:t>
      </w:r>
    </w:p>
    <w:p>
      <w:pPr>
        <w:pStyle w:val="ListBullet"/>
      </w:pPr>
      <w:r>
        <w:t>« Vous risquez une perte de cheveux quasi-constante mais réversible après l'arrêt du traitement. »</w:t>
      </w:r>
    </w:p>
    <w:p>
      <w:pPr>
        <w:pStyle w:val="ListBullet"/>
      </w:pPr>
      <w:r>
        <w:t>« Vous risquez des picotements et engourdissements dans les mains et les pieds, de la fatigue, des nausées (antiémétique prescrit), de la constipation. »</w:t>
      </w:r>
    </w:p>
    <w:p>
      <w:pPr>
        <w:pStyle w:val="ListBullet"/>
      </w:pPr>
      <w:r>
        <w:t>« Signalez tout essoufflement, palpitations, vertiges, syncope (surveillance ECG). »</w:t>
      </w:r>
    </w:p>
    <w:p>
      <w:pPr>
        <w:pStyle w:val="ListBullet"/>
      </w:pPr>
      <w:r>
        <w:t>« Si vous êtes une femme en âge de procréer, une contraception efficace est OBLIGATOIRE pendant tout le traitement et 3 mois après la dernière cure. Test de grossesse préalable obligatoire. »</w:t>
      </w:r>
    </w:p>
    <w:p>
      <w:pPr>
        <w:pStyle w:val="ListBullet"/>
      </w:pPr>
      <w:r>
        <w:t>« Évitez les vaccins vivants pendant le traitement et 3 mois après. »</w:t>
      </w:r>
    </w:p>
    <w:p>
      <w:pPr>
        <w:pStyle w:val="ListBullet"/>
      </w:pPr>
      <w:r>
        <w:t>« Évitez le pamplemousse pendant le traitement. »</w:t>
      </w:r>
    </w:p>
    <w:p>
      <w:pPr>
        <w:pStyle w:val="ListBullet"/>
      </w:pPr>
      <w:r>
        <w:t>Surveillance à domicile :</w:t>
      </w:r>
    </w:p>
    <w:p>
      <w:pPr>
        <w:pStyle w:val="ListBullet"/>
      </w:pPr>
      <w:r>
        <w:t>Prendre la température 2 fois/jour pendant 3 semaines après chaque cure.</w:t>
      </w:r>
    </w:p>
    <w:p>
      <w:pPr>
        <w:pStyle w:val="ListBullet"/>
      </w:pPr>
      <w:r>
        <w:t>Surveiller les selles (constipation).</w:t>
      </w:r>
    </w:p>
    <w:p>
      <w:pPr>
        <w:pStyle w:val="ListBullet"/>
      </w:pPr>
      <w:r>
        <w:t>Hydratation PO abondante (1,5-2 L/j).</w:t>
      </w:r>
    </w:p>
    <w:p>
      <w:pPr>
        <w:pStyle w:val="ListBullet"/>
      </w:pPr>
      <w:r>
        <w:t>Alimentation équilibrée — supplémentation vitaminique si anorexie.</w:t>
      </w:r>
    </w:p>
    <w:p>
      <w:pPr>
        <w:pStyle w:val="ListBullet"/>
      </w:pPr>
      <w:r>
        <w:t>Éviter les contacts avec personnes malades (infections) pendant les 2 semaines suivant la cure.</w:t>
      </w:r>
    </w:p>
    <w:p>
      <w:r/>
      <w:r>
        <w:rPr>
          <w:b/>
        </w:rPr>
        <w:t>Notes, Règles d'Or &amp; Pièges au Comptoir :</w:t>
      </w:r>
      <w:r/>
    </w:p>
    <w:p>
      <w:pPr>
        <w:pStyle w:val="ListBullet"/>
      </w:pPr>
      <w:r>
        <w:t xml:space="preserve">Piège classique : </w:t>
      </w:r>
      <w:r>
        <w:rPr>
          <w:b/>
        </w:rPr>
        <w:t>oubli de la surveillance ECG</w:t>
      </w:r>
      <w:r>
        <w:t xml:space="preserve"> — l'eribuline allonge le QT — ECG pré-cure obligatoire ; éviter les traitements allongeant le QT (antiarythmiques, macrolides, azolés, antipsychotiques, antidépresseurs).</w:t>
      </w:r>
    </w:p>
    <w:p>
      <w:pPr>
        <w:pStyle w:val="ListBullet"/>
      </w:pPr>
      <w:r>
        <w:t xml:space="preserve">Piège classique : </w:t>
      </w:r>
      <w:r>
        <w:rPr>
          <w:b/>
        </w:rPr>
        <w:t>oubli de l'adaptation hépatique</w:t>
      </w:r>
      <w:r>
        <w:t xml:space="preserve"> — réduction à 1,1 mg/m² si bilirubine ≤ 1,5 × LSN, à 0,7 mg/m² si bilirubine 1,5-3 × LSN, contre-indication si &gt; 3 × LSN.</w:t>
      </w:r>
    </w:p>
    <w:p>
      <w:pPr>
        <w:pStyle w:val="ListBullet"/>
      </w:pPr>
      <w:r>
        <w:t xml:space="preserve">Piège classique : </w:t>
      </w:r>
      <w:r>
        <w:rPr>
          <w:b/>
        </w:rPr>
        <w:t>oubli de la cure J8 ou J15</w:t>
      </w:r>
      <w:r>
        <w:t xml:space="preserve"> — l'eribuline est administrée à J1, J8, J15 d'un cycle de 28 jours — l'oubli d'une cure intermédiaire compromet l'efficacité.</w:t>
      </w:r>
    </w:p>
    <w:p>
      <w:pPr>
        <w:pStyle w:val="ListBullet"/>
      </w:pPr>
      <w:r>
        <w:t xml:space="preserve">Piège classique : </w:t>
      </w:r>
      <w:r>
        <w:rPr>
          <w:b/>
        </w:rPr>
        <w:t>neutropénie fébrile non reconnue</w:t>
      </w:r>
      <w:r>
        <w:t xml:space="preserve"> — fièvre ≥ 38,5 °C chez patient sous eribuline = URGENCE médicale — hospitalisation immédiate pour antibiothérapie empirique.</w:t>
      </w:r>
    </w:p>
    <w:p>
      <w:pPr>
        <w:pStyle w:val="ListBullet"/>
      </w:pPr>
      <w:r>
        <w:t>Règle d'or : NFS avant chaque cure — pas de cure si PNN &lt; 1 500/mm³.</w:t>
      </w:r>
    </w:p>
    <w:p>
      <w:pPr>
        <w:pStyle w:val="ListBullet"/>
      </w:pPr>
      <w:r>
        <w:t>Règle d'or : bilan hépatique (bilirubine, ASAT, ALAT) et créatinine avant chaque cure.</w:t>
      </w:r>
    </w:p>
    <w:p>
      <w:pPr>
        <w:pStyle w:val="ListBullet"/>
      </w:pPr>
      <w:r>
        <w:t>Règle d'or : ECG pré-cure (QTc &lt; 470 ms) — éviter les traitements allongeant le QT.</w:t>
      </w:r>
    </w:p>
    <w:p>
      <w:pPr>
        <w:pStyle w:val="ListBullet"/>
      </w:pPr>
      <w:r>
        <w:t>Règle d'or : contraception efficace obligatoire (3 mois post-traitement).</w:t>
      </w:r>
    </w:p>
    <w:p>
      <w:pPr>
        <w:pStyle w:val="ListBullet"/>
      </w:pPr>
      <w:r>
        <w:t>Règle d'or : information patient sur l'alopécie quasi-constante mais réversible.</w:t>
      </w:r>
    </w:p>
    <w:p>
      <w:pPr>
        <w:pStyle w:val="ListBullet"/>
      </w:pPr>
      <w:r>
        <w:t>Préparation et Conservation : flacons de solution à conserver à température ambiante ≤ 25 °C (ne pas congeler). Après dilution en minibag : stabilité 4 h à température ambiante, 24 h à 2-8 °C.</w:t>
      </w:r>
    </w:p>
    <w:p>
      <w:pPr>
        <w:pStyle w:val="Heading2"/>
      </w:pPr>
      <w:r>
        <w:t>Sous-classe 4 — Inhibiteurs de la topoisomérase II (Étoposide)</w:t>
      </w:r>
    </w:p>
    <w:p>
      <w:r>
        <w:t xml:space="preserve">La topoisomérase II (topo II) est une enzyme nucléaire essentielle qui règle le niveau de super-enroulement de l'ADN double-brin pendant la réplication (phase S), la transcription et la mitose (au moment de la ségrégation des chromosomes filles en anaphase). Sans topo II, l'ADN s'enroulerait progressivement en super-hélices torsadées par la traction des fourches de réplication, aboutissant à des cassures chromosomiques catastrophiques. La topo II (isoformes IIα et IIβ) résout ces contraintes topologiques en </w:t>
      </w:r>
      <w:r>
        <w:rPr>
          <w:b/>
        </w:rPr>
        <w:t>coupant transitoirement les deux brins de l'ADN double-hélice</w:t>
      </w:r>
      <w:r>
        <w:t xml:space="preserve"> (coupure double-brin — DSB), en laissant passer un autre segment d'ADN à travers la coupure (strand passage), puis en </w:t>
      </w:r>
      <w:r>
        <w:rPr>
          <w:b/>
        </w:rPr>
        <w:t>religeant</w:t>
      </w:r>
      <w:r>
        <w:t xml:space="preserve"> la coupure (« réligation ») — opération appelée « cycle catalytique » (12 étapes conformationnelles). Les inhibiteurs de topo II sont des </w:t>
      </w:r>
      <w:r>
        <w:rPr>
          <w:b/>
        </w:rPr>
        <w:t>poisons</w:t>
      </w:r>
      <w:r>
        <w:t xml:space="preserve"> (et non des catalytic inhibitors) : ils se fixent au complexe ADN–topo II </w:t>
      </w:r>
      <w:r>
        <w:rPr>
          <w:b/>
        </w:rPr>
        <w:t>après la coupure mais avant la réligation</w:t>
      </w:r>
      <w:r>
        <w:t xml:space="preserve">, stabilisant ainsi un intermédiaire covalent normalement transitoire dit </w:t>
      </w:r>
      <w:r>
        <w:rPr>
          <w:b/>
        </w:rPr>
        <w:t>« complexe clivable »</w:t>
      </w:r>
      <w:r>
        <w:t xml:space="preserve"> (cleavable complex). L'accumulation de ces complexes clivables aboutit, lors du passage des fourches de réplication, à la conversion des cassures </w:t>
      </w:r>
      <w:r>
        <w:rPr>
          <w:b/>
        </w:rPr>
        <w:t>simple-brin transitoires en cassures double-brin permanentes</w:t>
      </w:r>
      <w:r>
        <w:t xml:space="preserve"> — événement létal pour la cellule (apoptose).</w:t>
      </w:r>
    </w:p>
    <w:p>
      <w:r/>
      <w:r>
        <w:rPr>
          <w:b/>
        </w:rPr>
        <w:t>Histoire naturelle et chimique de l'étoposide :</w:t>
      </w:r>
      <w:r>
        <w:t xml:space="preserve"> l'histoire de cette classe est indissociable de celle de la </w:t>
      </w:r>
      <w:r>
        <w:rPr>
          <w:b/>
        </w:rPr>
        <w:t>podophyllotoxine</w:t>
      </w:r>
      <w:r>
        <w:t xml:space="preserve">, un lignane cyclolignanique isolé dès 1880 des rhizomes de </w:t>
      </w:r>
      <w:r>
        <w:rPr>
          <w:i/>
        </w:rPr>
        <w:t>Podophyllum peltatum</w:t>
      </w:r>
      <w:r>
        <w:t xml:space="preserve"> (mandragore américaine ou « May apple » — Berbéridacée, plante herbacée d'Amérique du Nord, autrefois utilisée en médecine populaire amérindienne comme purgatif drastique et contre les condylomes). La podophyllotoxine (Pettit, 1880 — structure résolue par Hartwell et al., 1954) se lie à la tubuline au site colchicine et inhibe la polymérisation des microtubules — elle était cytotoxique mais trop toxique pour un usage clinique systémique (neurotoxicité, gastrotoxicité). Dans les années 1960-1970, le laboratoire Sandoz (Bâle — Prof. von Wartburg et al.) et le National Cancer Institute américain (Dr. Hartwell) ont entrepris un programme de synthèse de dérivés semi-synthétiques de la podophyllotoxine. Deux composés émergèrent : le </w:t>
      </w:r>
      <w:r>
        <w:rPr>
          <w:b/>
        </w:rPr>
        <w:t>VM-26 ou téniposide</w:t>
      </w:r>
      <w:r>
        <w:t xml:space="preserve"> (1967 — addition d'un groupe thiophène sur le noyau) et le </w:t>
      </w:r>
      <w:r>
        <w:rPr>
          <w:b/>
        </w:rPr>
        <w:t>VP-16-213 ou étoposide</w:t>
      </w:r>
      <w:r>
        <w:t xml:space="preserve"> (1971 — addition d'un groupe éthylène glycol). Ces deux dérivés perdirent l'activité anti-tubuline de la podophyllotoxine, mais acquérirent une activité nouvelle — l'inhibition de la topoisomérase II (mécanisme élucidé en 1984 par Liu et al., université Johns Hopkins). L'étoposide fut commercialisé en 1983 (Bristol-Myers Squibb, sous le nom Vepéside®). Il devint rapidement un pilier de la chimiothérapie anticancéreuse, intégré dans des protocoles historiques comme </w:t>
      </w:r>
      <w:r>
        <w:rPr>
          <w:b/>
        </w:rPr>
        <w:t>BEACOPP</w:t>
      </w:r>
      <w:r>
        <w:t xml:space="preserve"> (Hodgkin), </w:t>
      </w:r>
      <w:r>
        <w:rPr>
          <w:b/>
        </w:rPr>
        <w:t>MVAC</w:t>
      </w:r>
      <w:r>
        <w:t xml:space="preserve"> (vessie), </w:t>
      </w:r>
      <w:r>
        <w:rPr>
          <w:b/>
        </w:rPr>
        <w:t>BEP</w:t>
      </w:r>
      <w:r>
        <w:t xml:space="preserve"> (testicule), </w:t>
      </w:r>
      <w:r>
        <w:rPr>
          <w:b/>
        </w:rPr>
        <w:t>ESHAP</w:t>
      </w:r>
      <w:r>
        <w:t xml:space="preserve"> et </w:t>
      </w:r>
      <w:r>
        <w:rPr>
          <w:b/>
        </w:rPr>
        <w:t>DHAP</w:t>
      </w:r>
      <w:r>
        <w:t xml:space="preserve"> (lymphomes), </w:t>
      </w:r>
      <w:r>
        <w:rPr>
          <w:b/>
        </w:rPr>
        <w:t>VIP</w:t>
      </w:r>
      <w:r>
        <w:t xml:space="preserve"> (testicule), </w:t>
      </w:r>
      <w:r>
        <w:rPr>
          <w:b/>
        </w:rPr>
        <w:t>CP</w:t>
      </w:r>
      <w:r>
        <w:t xml:space="preserve"> (poumon à petites cellules), </w:t>
      </w:r>
      <w:r>
        <w:rPr>
          <w:b/>
        </w:rPr>
        <w:t>CHOEP</w:t>
      </w:r>
      <w:r>
        <w:t xml:space="preserve"> (lymphomes CD20+), </w:t>
      </w:r>
      <w:r>
        <w:rPr>
          <w:b/>
        </w:rPr>
        <w:t>German Hodgkin Study Group</w:t>
      </w:r>
      <w:r>
        <w:t xml:space="preserve"> — et reste à ce jour l'un des cinq cytotoxiques les plus prescrits au monde.</w:t>
      </w:r>
    </w:p>
    <w:p>
      <w:r/>
      <w:r>
        <w:rPr>
          <w:b/>
        </w:rPr>
        <w:t>Mécanisme moléculaire détaillé de l'étoposide :</w:t>
      </w:r>
      <w:r>
        <w:t xml:space="preserve"> l'étoposide se fixe au complexe ADN–topo II (après la coupure transitoire des deux brins), </w:t>
      </w:r>
      <w:r>
        <w:rPr>
          <w:b/>
        </w:rPr>
        <w:t>empêchant la réligation</w:t>
      </w:r>
      <w:r>
        <w:t xml:space="preserve"> du complexe clivable. La fixation se fait au niveau de l'interface ADN–enzyme (et non à la topo II seule), stabilisant l'intermédiaire covalent. L'accumulation des complexes clivables aboutit, lors du passage des fourches de réplication en phase S et lors de la condensation chromosomique en G2/M, à la conversion des cassures transitoires en </w:t>
      </w:r>
      <w:r>
        <w:rPr>
          <w:b/>
        </w:rPr>
        <w:t>cassures double-brin permanentes (DSB)</w:t>
      </w:r>
      <w:r>
        <w:t xml:space="preserve"> — événement létal pour la cellule (apoptose par activation de p53, ATM/ATR, et caspases). L'effet est donc principalement </w:t>
      </w:r>
      <w:r>
        <w:rPr>
          <w:b/>
        </w:rPr>
        <w:t>phase-spécifique S/G2</w:t>
      </w:r>
      <w:r>
        <w:t xml:space="preserve"> (mais partiellement phase-non-spécifique en raison de la mortalité des cellules en G1 portant des DSB). L'étoposide est par ailleurs un substrat partiel du topoisomérase IIβ (isoforme présente dans les cellules quiescentes — c'est l'inhibition de la topo IIβ qui rend compte de la cardiotoxicité — cf. anthracyclines — et des leucémies secondaires, puisque la topo IIβ est exprimée dans les cellules hématopoïétiques au repos).</w:t>
      </w:r>
    </w:p>
    <w:p>
      <w:r/>
      <w:r>
        <w:rPr>
          <w:b/>
        </w:rPr>
        <w:t>Sous-classes pharmacologiques apparentées :</w:t>
      </w:r>
      <w:r/>
    </w:p>
    <w:p>
      <w:pPr>
        <w:pStyle w:val="ListBullet"/>
      </w:pPr>
      <w:r/>
      <w:r>
        <w:rPr>
          <w:b/>
        </w:rPr>
        <w:t>Épipodophyllotoxines</w:t>
      </w:r>
      <w:r>
        <w:t xml:space="preserve"> (VP-16-213 — étoposide ; VM-26 — téniposide) : poisons de la topo II, dérivés de la podophyllotoxine.</w:t>
      </w:r>
    </w:p>
    <w:p>
      <w:pPr>
        <w:pStyle w:val="ListBullet"/>
      </w:pPr>
      <w:r/>
      <w:r>
        <w:rPr>
          <w:b/>
        </w:rPr>
        <w:t>Anthracyclines</w:t>
      </w:r>
      <w:r>
        <w:t xml:space="preserve"> (doxorubicine, daunorubicine, épirubicine, idarubicine) : poisons de la topo II </w:t>
      </w:r>
      <w:r>
        <w:rPr>
          <w:b/>
        </w:rPr>
        <w:t>et</w:t>
      </w:r>
      <w:r>
        <w:t xml:space="preserve"> intercalants de l'ADN (double mécanisme — voir chapitre 102).</w:t>
      </w:r>
    </w:p>
    <w:p>
      <w:pPr>
        <w:pStyle w:val="ListBullet"/>
      </w:pPr>
      <w:r/>
      <w:r>
        <w:rPr>
          <w:b/>
        </w:rPr>
        <w:t>Anthracènediones</w:t>
      </w:r>
      <w:r>
        <w:t xml:space="preserve"> (mitoxantrone) : poisons de la topo II et intercalants de l'ADN (analogue synthétique des anthracyclines — voir chapitre 102).</w:t>
      </w:r>
    </w:p>
    <w:p>
      <w:pPr>
        <w:pStyle w:val="ListBullet"/>
      </w:pPr>
      <w:r/>
      <w:r>
        <w:rPr>
          <w:b/>
        </w:rPr>
        <w:t>Amsacrine</w:t>
      </w:r>
      <w:r>
        <w:t xml:space="preserve"> (m-AMSA) : poison de la topo II, dérivé acridine (non disponible en Algérie).</w:t>
      </w:r>
    </w:p>
    <w:p>
      <w:pPr>
        <w:pStyle w:val="ListBullet"/>
      </w:pPr>
      <w:r/>
      <w:r>
        <w:rPr>
          <w:b/>
        </w:rPr>
        <w:t>Inhibiteurs catalytiques de la topo II</w:t>
      </w:r>
      <w:r>
        <w:t xml:space="preserve"> (ICRF-187/dexrazoxane — cardioprotecteur des anthracyclines ; ICRF-154 — inhibiteur de la topo II sans effet sur les complexes clivables — non commercialisés en oncologie). À distinguer des </w:t>
      </w:r>
      <w:r>
        <w:rPr>
          <w:b/>
        </w:rPr>
        <w:t>poisons</w:t>
      </w:r>
      <w:r>
        <w:t xml:space="preserve"> qui stabilisent les complexes clivables (étoposide, anthracyclines, mitoxantrone).</w:t>
      </w:r>
    </w:p>
    <w:p>
      <w:r/>
      <w:r>
        <w:rPr>
          <w:b/>
        </w:rPr>
        <w:t>Toxicité signature — leucémies secondaires :</w:t>
      </w:r>
      <w:r>
        <w:t xml:space="preserve"> les poisons de la topo II sont </w:t>
      </w:r>
      <w:r>
        <w:rPr>
          <w:b/>
        </w:rPr>
        <w:t>cancérigènes</w:t>
      </w:r>
      <w:r>
        <w:t xml:space="preserve"> (classe 1 A du CIRC — groupe 1 — cancérigène certain pour l'homme). L'étoposide, en particulier, est responsable de </w:t>
      </w:r>
      <w:r>
        <w:rPr>
          <w:b/>
        </w:rPr>
        <w:t>leucémies aiguës myéloïdes secondaires (LAM secondaires)</w:t>
      </w:r>
      <w:r>
        <w:t xml:space="preserve"> caractérisées par : (i) un délai d'apparition court (2-5 ans après traitement) ; (ii) une translocation caractéristique impliquant le gène </w:t>
      </w:r>
      <w:r>
        <w:rPr>
          <w:b/>
        </w:rPr>
        <w:t>MLL (Mixed Lineage Leukemia) en 11q23</w:t>
      </w:r>
      <w:r>
        <w:t xml:space="preserve"> — translocation t(9;11), t(11;19), t(4;11) — ou, plus rarement, t(8;21), inv(16) ; (iii) un phétype monocytaire (LAM M4/M5 FAB) ; (iv) un pronostic réservé (survie à 5 ans ~ 20-30 %). Le risque est </w:t>
      </w:r>
      <w:r>
        <w:rPr>
          <w:b/>
        </w:rPr>
        <w:t>dose-cumul-dépendant</w:t>
      </w:r>
      <w:r>
        <w:t xml:space="preserve"> : &lt; 2 % pour des doses cumulatives &lt; 2 g/m² ; 2-5 % pour 2-5 g/m² ; 5-10 % pour &gt; 5 g/m². Le risque est majoré en cas de radiothérapie concomitante (en particulier médiastinale) et en association avec les alkylants (effet synergique mutagène). Cette toxicité impose : (i) une information claire du patient ; (ii) une surveillance hématologique prolongée (NFS annuelle pendant 5-10 ans post-traitement) ; (iii) un usage parcimonieux (limitation des doses cumulatives) ; (iv) l'évitement des protocoles combinant étoposide et radiothérapie médiastinale chez l'enfant ( Saunders L. et al., </w:t>
      </w:r>
      <w:r>
        <w:rPr>
          <w:i/>
        </w:rPr>
        <w:t>JCO</w:t>
      </w:r>
      <w:r>
        <w:t xml:space="preserve"> 2018). La pharmacovigilance européenne (PRAC) maintient une surveillance renforcée.</w:t>
      </w:r>
    </w:p>
    <w:p>
      <w:r/>
      <w:r>
        <w:rPr>
          <w:b/>
        </w:rPr>
        <w:t>Particularités algériennes :</w:t>
      </w:r>
      <w:r>
        <w:t xml:space="preserve"> l'étoposide est disponible en Algérie sous 11 spécialités, dont </w:t>
      </w:r>
      <w:r>
        <w:rPr>
          <w:b/>
        </w:rPr>
        <w:t>1 seule active</w:t>
      </w:r>
      <w:r>
        <w:t xml:space="preserve"> — Etoposide Mylan (Mylan SAS, solution à diluer pour perfusion IV 20 mg/mL — flacons 5 mL = 100 mg, B/10 flacons). Les 10 autres marques sont non renouvelables ou retirées : Etoposide Ebewe 100 mg (NON_RENOUVELABLE), Etosid (NON_RENOUVELABLE — solution et capsules), Posidan (NON_RENOUVELABLE — El Kendi), et 7 marques RETIRÉES du marché algérien (Vepéside Medifa, Etopos Lemery, Etoposide Pierre Fabre, Vepéside-Sandoz capsules, Etosid capsules Cipla, OKA-Etoposide solution et capsules Biovital). Cette situation rend l'approvisionnement exclusivement dépendant d'une seule marque active — situation précaire justifiant une anticipation particulière (stock hospitalier minimum 2 mois, communication avec le laboratoire Mylan Algérie). La forme orale capsule (autrefois Vepéside-Sandoz 50 mg capsules) — utile en oncologie pédiatrique et ambulatoire — est actuellement INDISPONIBLE en Algérie (toutes formes capsules retirées), ce qui complique la prise en charge ambulatoire.</w:t>
      </w:r>
    </w:p>
    <w:p>
      <w:pPr>
        <w:pStyle w:val="Heading3"/>
      </w:pPr>
      <w:r>
        <w:t>10. DCI : Étoposide (Seul)</w:t>
      </w:r>
    </w:p>
    <w:p>
      <w:r/>
      <w:r>
        <w:rPr>
          <w:b/>
        </w:rPr>
        <w:t>Liste des Catégories :</w:t>
      </w:r>
      <w:r>
        <w:t xml:space="preserve"> Cytotoxique — Épipodophyllotoxine (dérivé semi-synthétique de la podophyllotoxine — </w:t>
      </w:r>
      <w:r>
        <w:rPr>
          <w:i/>
        </w:rPr>
        <w:t>Podophyllum peltatum</w:t>
      </w:r>
      <w:r>
        <w:t>) ; Poison de la topoisomérase II (stabilisateur du complexe clivable ADN–topo II — coupures double-brin ADN) ; Cancérigène certain (groupe 1 CIRC — leucémies secondaires 11q23/MLL) ; Médicament à surveillance hématologique stricte (nadir J10-14) ; Forme IV et orale (capsule) ; Tératogène (catégorie D — CRAT : « à éviter ») ; Prescription réservée aux spécialistes en oncologie/hématologie ; Liste I ; médication hospitalière stricte.</w:t>
      </w:r>
    </w:p>
    <w:p>
      <w:r>
        <w:t xml:space="preserve">L'étoposide (VP-16-213, dénomination commune internationale : </w:t>
      </w:r>
      <w:r>
        <w:rPr>
          <w:b/>
        </w:rPr>
        <w:t>etoposide</w:t>
      </w:r>
      <w:r>
        <w:t xml:space="preserve"> — masse molaire 588,6 g/mol, formule brute C29H32O13) est un glucoside semi-synthétique dérivé de la </w:t>
      </w:r>
      <w:r>
        <w:rPr>
          <w:b/>
        </w:rPr>
        <w:t>podophyllotoxine</w:t>
      </w:r>
      <w:r>
        <w:t xml:space="preserve"> (lignane naturel extrait des rhizomes de </w:t>
      </w:r>
      <w:r>
        <w:rPr>
          <w:i/>
        </w:rPr>
        <w:t>Podophyllum peltatum</w:t>
      </w:r>
      <w:r>
        <w:t xml:space="preserve"> L. — Berbéridacées, plante herbacée d'Amérique du Nord dite « May apple » ou « mandragore américaine »). Sa structure diffère de la podophyllotoxine native par : (i) l'adjonction d'un groupe </w:t>
      </w:r>
      <w:r>
        <w:rPr>
          <w:b/>
        </w:rPr>
        <w:t>glucoside éthylène-dioxy-éthyl</w:t>
      </w:r>
      <w:r>
        <w:t xml:space="preserve"> en position C4 (diméthylène-glycol — remplaçant le groupement hydroxyle natif), et (ii) la suppression de la double liaison C2-C3 du lactone (étoposide = </w:t>
      </w:r>
      <w:r>
        <w:rPr>
          <w:b/>
        </w:rPr>
        <w:t>4′-désoxy-4′-β-D-glucopyranosyl-(1→4)-0-(4,6-O-éthylidène-β-D-glucopyranosyl)-podophyllotoxine</w:t>
      </w:r>
      <w:r>
        <w:t xml:space="preserve">, alors que la podophyllotoxine native a la double liaison C2-C3 intakte et le glucoside en C4 du diméthylène-glycol). Ces modifications structurales abolissent l'activité anti-tubuline de la podophyllotoxine (perte de la fixation au site colchicine) et révèlent l'activité de poison de la topoisomérase II. L'étoposide fut synthétisé en 1971 (Sandoz — Prof. von Wartburg, Bâle) et commercialisé en 1983 par Bristol-Myers Squibb sous le nom Vepéside®. Il est devenu l'un des cytotoxiques les plus prescrits au monde, intégré dans les protocoles historiques : </w:t>
      </w:r>
      <w:r>
        <w:rPr>
          <w:b/>
        </w:rPr>
        <w:t>BEACOPP</w:t>
      </w:r>
      <w:r>
        <w:t xml:space="preserve"> (Hodgkin) ; </w:t>
      </w:r>
      <w:r>
        <w:rPr>
          <w:b/>
        </w:rPr>
        <w:t>BEP</w:t>
      </w:r>
      <w:r>
        <w:t xml:space="preserve"> (testicule — bleomycine, étoposide, cisplatine) ; </w:t>
      </w:r>
      <w:r>
        <w:rPr>
          <w:b/>
        </w:rPr>
        <w:t>VIP</w:t>
      </w:r>
      <w:r>
        <w:t xml:space="preserve"> (testicule) ; </w:t>
      </w:r>
      <w:r>
        <w:rPr>
          <w:b/>
        </w:rPr>
        <w:t>MVAC</w:t>
      </w:r>
      <w:r>
        <w:t xml:space="preserve"> (vessie — methotrexate, vinblastine, adriamycine, cisplatine) ; </w:t>
      </w:r>
      <w:r>
        <w:rPr>
          <w:b/>
        </w:rPr>
        <w:t>ESHAP</w:t>
      </w:r>
      <w:r>
        <w:t xml:space="preserve"> et </w:t>
      </w:r>
      <w:r>
        <w:rPr>
          <w:b/>
        </w:rPr>
        <w:t>DHAP</w:t>
      </w:r>
      <w:r>
        <w:t xml:space="preserve"> (lymphomes) ; </w:t>
      </w:r>
      <w:r>
        <w:rPr>
          <w:b/>
        </w:rPr>
        <w:t>EP</w:t>
      </w:r>
      <w:r>
        <w:t xml:space="preserve"> (poumon à petites cellules) ; </w:t>
      </w:r>
      <w:r>
        <w:rPr>
          <w:b/>
        </w:rPr>
        <w:t>CHOEP</w:t>
      </w:r>
      <w:r>
        <w:t xml:space="preserve"> (lymphomes CD20+) ; </w:t>
      </w:r>
      <w:r>
        <w:rPr>
          <w:b/>
        </w:rPr>
        <w:t>ICE</w:t>
      </w:r>
      <w:r>
        <w:t xml:space="preserve"> (ifosfamide, carboplatine, étoposide — protocole de rattrapage) ; </w:t>
      </w:r>
      <w:r>
        <w:rPr>
          <w:b/>
        </w:rPr>
        <w:t>VAC</w:t>
      </w:r>
      <w:r>
        <w:t xml:space="preserve"> (sarcomes pédiatriques). La forme orale capsule (50 mg) est précieuse en oncologie pédiatrique et ambulatoire.</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ETOPOSIDE MYLAN</w:t>
            </w:r>
          </w:p>
        </w:tc>
        <w:tc>
          <w:tcPr>
            <w:tcW w:type="dxa" w:w="1559"/>
          </w:tcPr>
          <w:p>
            <w:r>
              <w:rPr>
                <w:sz w:val="20"/>
              </w:rPr>
              <w:t>MYLAN SAS</w:t>
            </w:r>
          </w:p>
        </w:tc>
        <w:tc>
          <w:tcPr>
            <w:tcW w:type="dxa" w:w="1559"/>
          </w:tcPr>
          <w:p>
            <w:r>
              <w:rPr>
                <w:sz w:val="20"/>
              </w:rPr>
              <w:t>Solution à diluer pour perfusion IV — 20 mg/mL (100 mg/5 mL)</w:t>
            </w:r>
          </w:p>
        </w:tc>
        <w:tc>
          <w:tcPr>
            <w:tcW w:type="dxa" w:w="1559"/>
          </w:tcPr>
          <w:p>
            <w:r>
              <w:rPr>
                <w:sz w:val="20"/>
              </w:rPr>
              <w:t>B/10 flacons de 5 mL</w:t>
            </w:r>
          </w:p>
        </w:tc>
        <w:tc>
          <w:tcPr>
            <w:tcW w:type="dxa" w:w="1559"/>
          </w:tcPr>
          <w:p>
            <w:r>
              <w:rPr>
                <w:sz w:val="20"/>
              </w:rPr>
              <w:t>Liste I</w:t>
            </w:r>
          </w:p>
        </w:tc>
        <w:tc>
          <w:tcPr>
            <w:tcW w:type="dxa" w:w="1559"/>
          </w:tcPr>
          <w:p>
            <w:r>
              <w:rPr>
                <w:sz w:val="20"/>
              </w:rPr>
              <w:t>**Actif**</w:t>
            </w:r>
          </w:p>
        </w:tc>
      </w:tr>
    </w:tbl>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ETOPOSIDE EBEWE 100MG</w:t>
            </w:r>
          </w:p>
        </w:tc>
        <w:tc>
          <w:tcPr>
            <w:tcW w:type="dxa" w:w="1559"/>
          </w:tcPr>
          <w:p>
            <w:r>
              <w:rPr>
                <w:sz w:val="20"/>
              </w:rPr>
              <w:t>EBEWE PHARMA Ges m.b.H. Nfg KG</w:t>
            </w:r>
          </w:p>
        </w:tc>
        <w:tc>
          <w:tcPr>
            <w:tcW w:type="dxa" w:w="1559"/>
          </w:tcPr>
          <w:p>
            <w:r>
              <w:rPr>
                <w:sz w:val="20"/>
              </w:rPr>
              <w:t>Concentré pour perfusion IV — 20 mg/mL (100 mg/5 mL)</w:t>
            </w:r>
          </w:p>
        </w:tc>
        <w:tc>
          <w:tcPr>
            <w:tcW w:type="dxa" w:w="1559"/>
          </w:tcPr>
          <w:p>
            <w:r>
              <w:rPr>
                <w:sz w:val="20"/>
              </w:rPr>
              <w:t>B/1 flacon de 5 mL</w:t>
            </w:r>
          </w:p>
        </w:tc>
        <w:tc>
          <w:tcPr>
            <w:tcW w:type="dxa" w:w="1559"/>
          </w:tcPr>
          <w:p>
            <w:r>
              <w:rPr>
                <w:sz w:val="20"/>
              </w:rPr>
              <w:t>Liste I</w:t>
            </w:r>
          </w:p>
        </w:tc>
        <w:tc>
          <w:tcPr>
            <w:tcW w:type="dxa" w:w="1559"/>
          </w:tcPr>
          <w:p>
            <w:r>
              <w:rPr>
                <w:sz w:val="20"/>
              </w:rPr>
              <w:t>Non Renouvelable</w:t>
            </w:r>
          </w:p>
        </w:tc>
      </w:tr>
      <w:tr>
        <w:tc>
          <w:tcPr>
            <w:tcW w:type="dxa" w:w="1559"/>
          </w:tcPr>
          <w:p>
            <w:r>
              <w:rPr>
                <w:sz w:val="20"/>
              </w:rPr>
              <w:t>ETOSID (solution)</w:t>
            </w:r>
          </w:p>
        </w:tc>
        <w:tc>
          <w:tcPr>
            <w:tcW w:type="dxa" w:w="1559"/>
          </w:tcPr>
          <w:p>
            <w:r>
              <w:rPr>
                <w:sz w:val="20"/>
              </w:rPr>
              <w:t>CIPLA LIMITED</w:t>
            </w:r>
          </w:p>
        </w:tc>
        <w:tc>
          <w:tcPr>
            <w:tcW w:type="dxa" w:w="1559"/>
          </w:tcPr>
          <w:p>
            <w:r>
              <w:rPr>
                <w:sz w:val="20"/>
              </w:rPr>
              <w:t>Solution injectable — 20 mg/mL (100 mg/5 mL)</w:t>
            </w:r>
          </w:p>
        </w:tc>
        <w:tc>
          <w:tcPr>
            <w:tcW w:type="dxa" w:w="1559"/>
          </w:tcPr>
          <w:p>
            <w:r>
              <w:rPr>
                <w:sz w:val="20"/>
              </w:rPr>
              <w:t>B/1 flacon de 5 mL</w:t>
            </w:r>
          </w:p>
        </w:tc>
        <w:tc>
          <w:tcPr>
            <w:tcW w:type="dxa" w:w="1559"/>
          </w:tcPr>
          <w:p>
            <w:r>
              <w:rPr>
                <w:sz w:val="20"/>
              </w:rPr>
              <w:t>Liste I</w:t>
            </w:r>
          </w:p>
        </w:tc>
        <w:tc>
          <w:tcPr>
            <w:tcW w:type="dxa" w:w="1559"/>
          </w:tcPr>
          <w:p>
            <w:r>
              <w:rPr>
                <w:sz w:val="20"/>
              </w:rPr>
              <w:t>Non Renouvelable</w:t>
            </w:r>
          </w:p>
        </w:tc>
      </w:tr>
      <w:tr>
        <w:tc>
          <w:tcPr>
            <w:tcW w:type="dxa" w:w="1559"/>
          </w:tcPr>
          <w:p>
            <w:r>
              <w:rPr>
                <w:sz w:val="20"/>
              </w:rPr>
              <w:t>POSIDAN</w:t>
            </w:r>
          </w:p>
        </w:tc>
        <w:tc>
          <w:tcPr>
            <w:tcW w:type="dxa" w:w="1559"/>
          </w:tcPr>
          <w:p>
            <w:r>
              <w:rPr>
                <w:sz w:val="20"/>
              </w:rPr>
              <w:t>EL KENDI INDUSTRIE DU MEDICAMENT</w:t>
            </w:r>
          </w:p>
        </w:tc>
        <w:tc>
          <w:tcPr>
            <w:tcW w:type="dxa" w:w="1559"/>
          </w:tcPr>
          <w:p>
            <w:r>
              <w:rPr>
                <w:sz w:val="20"/>
              </w:rPr>
              <w:t>Solution injectable — 20 mg/mL (100 mg/5 mL)</w:t>
            </w:r>
          </w:p>
        </w:tc>
        <w:tc>
          <w:tcPr>
            <w:tcW w:type="dxa" w:w="1559"/>
          </w:tcPr>
          <w:p>
            <w:r>
              <w:rPr>
                <w:sz w:val="20"/>
              </w:rPr>
              <w:t>B/10 flacons de 5 mL</w:t>
            </w:r>
          </w:p>
        </w:tc>
        <w:tc>
          <w:tcPr>
            <w:tcW w:type="dxa" w:w="1559"/>
          </w:tcPr>
          <w:p>
            <w:r>
              <w:rPr>
                <w:sz w:val="20"/>
              </w:rPr>
              <w:t>Liste I</w:t>
            </w:r>
          </w:p>
        </w:tc>
        <w:tc>
          <w:tcPr>
            <w:tcW w:type="dxa" w:w="1559"/>
          </w:tcPr>
          <w:p>
            <w:r>
              <w:rPr>
                <w:sz w:val="20"/>
              </w:rPr>
              <w:t>Non Renouvelable</w:t>
            </w:r>
          </w:p>
        </w:tc>
      </w:tr>
    </w:tbl>
    <w:p/>
    <w:p>
      <w:r>
        <w:t>Formes retirées du marché algérien (R)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VEPESIDE (R)</w:t>
            </w:r>
          </w:p>
        </w:tc>
        <w:tc>
          <w:tcPr>
            <w:tcW w:type="dxa" w:w="1559"/>
          </w:tcPr>
          <w:p>
            <w:r>
              <w:rPr>
                <w:sz w:val="20"/>
              </w:rPr>
              <w:t>MEDIFA</w:t>
            </w:r>
          </w:p>
        </w:tc>
        <w:tc>
          <w:tcPr>
            <w:tcW w:type="dxa" w:w="1559"/>
          </w:tcPr>
          <w:p>
            <w:r>
              <w:rPr>
                <w:sz w:val="20"/>
              </w:rPr>
              <w:t>Solution injectable pour perfusion IV — 100 mg/5 mL</w:t>
            </w:r>
          </w:p>
        </w:tc>
        <w:tc>
          <w:tcPr>
            <w:tcW w:type="dxa" w:w="1559"/>
          </w:tcPr>
          <w:p>
            <w:r>
              <w:rPr>
                <w:sz w:val="20"/>
              </w:rPr>
              <w:t>B/5 ampoules de 5 mL</w:t>
            </w:r>
          </w:p>
        </w:tc>
        <w:tc>
          <w:tcPr>
            <w:tcW w:type="dxa" w:w="1559"/>
          </w:tcPr>
          <w:p>
            <w:r>
              <w:rPr>
                <w:sz w:val="20"/>
              </w:rPr>
              <w:t>Liste I</w:t>
            </w:r>
          </w:p>
        </w:tc>
        <w:tc>
          <w:tcPr>
            <w:tcW w:type="dxa" w:w="1559"/>
          </w:tcPr>
          <w:p>
            <w:r>
              <w:rPr>
                <w:sz w:val="20"/>
              </w:rPr>
              <w:t>Retiré</w:t>
            </w:r>
          </w:p>
        </w:tc>
      </w:tr>
      <w:tr>
        <w:tc>
          <w:tcPr>
            <w:tcW w:type="dxa" w:w="1559"/>
          </w:tcPr>
          <w:p>
            <w:r>
              <w:rPr>
                <w:sz w:val="20"/>
              </w:rPr>
              <w:t>ETOPOS (R)</w:t>
            </w:r>
          </w:p>
        </w:tc>
        <w:tc>
          <w:tcPr>
            <w:tcW w:type="dxa" w:w="1559"/>
          </w:tcPr>
          <w:p>
            <w:r>
              <w:rPr>
                <w:sz w:val="20"/>
              </w:rPr>
              <w:t>LEMERY SA DE CV</w:t>
            </w:r>
          </w:p>
        </w:tc>
        <w:tc>
          <w:tcPr>
            <w:tcW w:type="dxa" w:w="1559"/>
          </w:tcPr>
          <w:p>
            <w:r>
              <w:rPr>
                <w:sz w:val="20"/>
              </w:rPr>
              <w:t>Solution injectable — 100 mg/5 mL</w:t>
            </w:r>
          </w:p>
        </w:tc>
        <w:tc>
          <w:tcPr>
            <w:tcW w:type="dxa" w:w="1559"/>
          </w:tcPr>
          <w:p>
            <w:r>
              <w:rPr>
                <w:sz w:val="20"/>
              </w:rPr>
              <w:t>B/10 flacons de 5 mL</w:t>
            </w:r>
          </w:p>
        </w:tc>
        <w:tc>
          <w:tcPr>
            <w:tcW w:type="dxa" w:w="1559"/>
          </w:tcPr>
          <w:p>
            <w:r>
              <w:rPr>
                <w:sz w:val="20"/>
              </w:rPr>
              <w:t>Liste I</w:t>
            </w:r>
          </w:p>
        </w:tc>
        <w:tc>
          <w:tcPr>
            <w:tcW w:type="dxa" w:w="1559"/>
          </w:tcPr>
          <w:p>
            <w:r>
              <w:rPr>
                <w:sz w:val="20"/>
              </w:rPr>
              <w:t>Retiré</w:t>
            </w:r>
          </w:p>
        </w:tc>
      </w:tr>
      <w:tr>
        <w:tc>
          <w:tcPr>
            <w:tcW w:type="dxa" w:w="1559"/>
          </w:tcPr>
          <w:p>
            <w:r>
              <w:rPr>
                <w:sz w:val="20"/>
              </w:rPr>
              <w:t>ETOPOSIDE Pierre Fabre (R)</w:t>
            </w:r>
          </w:p>
        </w:tc>
        <w:tc>
          <w:tcPr>
            <w:tcW w:type="dxa" w:w="1559"/>
          </w:tcPr>
          <w:p>
            <w:r>
              <w:rPr>
                <w:sz w:val="20"/>
              </w:rPr>
              <w:t>PIERRE FABRE</w:t>
            </w:r>
          </w:p>
        </w:tc>
        <w:tc>
          <w:tcPr>
            <w:tcW w:type="dxa" w:w="1559"/>
          </w:tcPr>
          <w:p>
            <w:r>
              <w:rPr>
                <w:sz w:val="20"/>
              </w:rPr>
              <w:t>Solution injectable — 100 mg/5 mL</w:t>
            </w:r>
          </w:p>
        </w:tc>
        <w:tc>
          <w:tcPr>
            <w:tcW w:type="dxa" w:w="1559"/>
          </w:tcPr>
          <w:p>
            <w:r>
              <w:rPr>
                <w:sz w:val="20"/>
              </w:rPr>
              <w:t>B/5 flacons</w:t>
            </w:r>
          </w:p>
        </w:tc>
        <w:tc>
          <w:tcPr>
            <w:tcW w:type="dxa" w:w="1559"/>
          </w:tcPr>
          <w:p>
            <w:r>
              <w:rPr>
                <w:sz w:val="20"/>
              </w:rPr>
              <w:t>Liste I</w:t>
            </w:r>
          </w:p>
        </w:tc>
        <w:tc>
          <w:tcPr>
            <w:tcW w:type="dxa" w:w="1559"/>
          </w:tcPr>
          <w:p>
            <w:r>
              <w:rPr>
                <w:sz w:val="20"/>
              </w:rPr>
              <w:t>Retiré</w:t>
            </w:r>
          </w:p>
        </w:tc>
      </w:tr>
      <w:tr>
        <w:tc>
          <w:tcPr>
            <w:tcW w:type="dxa" w:w="1559"/>
          </w:tcPr>
          <w:p>
            <w:r>
              <w:rPr>
                <w:sz w:val="20"/>
              </w:rPr>
              <w:t>VEPESIDE-SANDOZ (R)</w:t>
            </w:r>
          </w:p>
        </w:tc>
        <w:tc>
          <w:tcPr>
            <w:tcW w:type="dxa" w:w="1559"/>
          </w:tcPr>
          <w:p>
            <w:r>
              <w:rPr>
                <w:sz w:val="20"/>
              </w:rPr>
              <w:t>NOVARTIS PHARMA S.A.</w:t>
            </w:r>
          </w:p>
        </w:tc>
        <w:tc>
          <w:tcPr>
            <w:tcW w:type="dxa" w:w="1559"/>
          </w:tcPr>
          <w:p>
            <w:r>
              <w:rPr>
                <w:sz w:val="20"/>
              </w:rPr>
              <w:t>Capsules — 50 mg</w:t>
            </w:r>
          </w:p>
        </w:tc>
        <w:tc>
          <w:tcPr>
            <w:tcW w:type="dxa" w:w="1559"/>
          </w:tcPr>
          <w:p>
            <w:r>
              <w:rPr>
                <w:sz w:val="20"/>
              </w:rPr>
              <w:t>B/10 capsules</w:t>
            </w:r>
          </w:p>
        </w:tc>
        <w:tc>
          <w:tcPr>
            <w:tcW w:type="dxa" w:w="1559"/>
          </w:tcPr>
          <w:p>
            <w:r>
              <w:rPr>
                <w:sz w:val="20"/>
              </w:rPr>
              <w:t>Liste I</w:t>
            </w:r>
          </w:p>
        </w:tc>
        <w:tc>
          <w:tcPr>
            <w:tcW w:type="dxa" w:w="1559"/>
          </w:tcPr>
          <w:p>
            <w:r>
              <w:rPr>
                <w:sz w:val="20"/>
              </w:rPr>
              <w:t>Retiré</w:t>
            </w:r>
          </w:p>
        </w:tc>
      </w:tr>
      <w:tr>
        <w:tc>
          <w:tcPr>
            <w:tcW w:type="dxa" w:w="1559"/>
          </w:tcPr>
          <w:p>
            <w:r>
              <w:rPr>
                <w:sz w:val="20"/>
              </w:rPr>
              <w:t>ETOSID capsules (R)</w:t>
            </w:r>
          </w:p>
        </w:tc>
        <w:tc>
          <w:tcPr>
            <w:tcW w:type="dxa" w:w="1559"/>
          </w:tcPr>
          <w:p>
            <w:r>
              <w:rPr>
                <w:sz w:val="20"/>
              </w:rPr>
              <w:t>CIPLA LIMITED</w:t>
            </w:r>
          </w:p>
        </w:tc>
        <w:tc>
          <w:tcPr>
            <w:tcW w:type="dxa" w:w="1559"/>
          </w:tcPr>
          <w:p>
            <w:r>
              <w:rPr>
                <w:sz w:val="20"/>
              </w:rPr>
              <w:t>Capsules molles — 50 mg</w:t>
            </w:r>
          </w:p>
        </w:tc>
        <w:tc>
          <w:tcPr>
            <w:tcW w:type="dxa" w:w="1559"/>
          </w:tcPr>
          <w:p>
            <w:r>
              <w:rPr>
                <w:sz w:val="20"/>
              </w:rPr>
              <w:t>B/4 capsules</w:t>
            </w:r>
          </w:p>
        </w:tc>
        <w:tc>
          <w:tcPr>
            <w:tcW w:type="dxa" w:w="1559"/>
          </w:tcPr>
          <w:p>
            <w:r>
              <w:rPr>
                <w:sz w:val="20"/>
              </w:rPr>
              <w:t>Liste I</w:t>
            </w:r>
          </w:p>
        </w:tc>
        <w:tc>
          <w:tcPr>
            <w:tcW w:type="dxa" w:w="1559"/>
          </w:tcPr>
          <w:p>
            <w:r>
              <w:rPr>
                <w:sz w:val="20"/>
              </w:rPr>
              <w:t>Retiré</w:t>
            </w:r>
          </w:p>
        </w:tc>
      </w:tr>
      <w:tr>
        <w:tc>
          <w:tcPr>
            <w:tcW w:type="dxa" w:w="1559"/>
          </w:tcPr>
          <w:p>
            <w:r>
              <w:rPr>
                <w:sz w:val="20"/>
              </w:rPr>
              <w:t>OKA-ETOPOSIDE solution (R)</w:t>
            </w:r>
          </w:p>
        </w:tc>
        <w:tc>
          <w:tcPr>
            <w:tcW w:type="dxa" w:w="1559"/>
          </w:tcPr>
          <w:p>
            <w:r>
              <w:rPr>
                <w:sz w:val="20"/>
              </w:rPr>
              <w:t>BIOVITAL</w:t>
            </w:r>
          </w:p>
        </w:tc>
        <w:tc>
          <w:tcPr>
            <w:tcW w:type="dxa" w:w="1559"/>
          </w:tcPr>
          <w:p>
            <w:r>
              <w:rPr>
                <w:sz w:val="20"/>
              </w:rPr>
              <w:t>Solution injectable IV — 20 mg/mL (100 mg/5 mL)</w:t>
            </w:r>
          </w:p>
        </w:tc>
        <w:tc>
          <w:tcPr>
            <w:tcW w:type="dxa" w:w="1559"/>
          </w:tcPr>
          <w:p>
            <w:r>
              <w:rPr>
                <w:sz w:val="20"/>
              </w:rPr>
              <w:t>B/1 flacon de 5 mL</w:t>
            </w:r>
          </w:p>
        </w:tc>
        <w:tc>
          <w:tcPr>
            <w:tcW w:type="dxa" w:w="1559"/>
          </w:tcPr>
          <w:p>
            <w:r>
              <w:rPr>
                <w:sz w:val="20"/>
              </w:rPr>
              <w:t>Liste I</w:t>
            </w:r>
          </w:p>
        </w:tc>
        <w:tc>
          <w:tcPr>
            <w:tcW w:type="dxa" w:w="1559"/>
          </w:tcPr>
          <w:p>
            <w:r>
              <w:rPr>
                <w:sz w:val="20"/>
              </w:rPr>
              <w:t>Retiré</w:t>
            </w:r>
          </w:p>
        </w:tc>
      </w:tr>
      <w:tr>
        <w:tc>
          <w:tcPr>
            <w:tcW w:type="dxa" w:w="1559"/>
          </w:tcPr>
          <w:p>
            <w:r>
              <w:rPr>
                <w:sz w:val="20"/>
              </w:rPr>
              <w:t>OKA-ETOPOSIDE capsules (R)</w:t>
            </w:r>
          </w:p>
        </w:tc>
        <w:tc>
          <w:tcPr>
            <w:tcW w:type="dxa" w:w="1559"/>
          </w:tcPr>
          <w:p>
            <w:r>
              <w:rPr>
                <w:sz w:val="20"/>
              </w:rPr>
              <w:t>BIOVITAL</w:t>
            </w:r>
          </w:p>
        </w:tc>
        <w:tc>
          <w:tcPr>
            <w:tcW w:type="dxa" w:w="1559"/>
          </w:tcPr>
          <w:p>
            <w:r>
              <w:rPr>
                <w:sz w:val="20"/>
              </w:rPr>
              <w:t>Capsule molle — 50 mg</w:t>
            </w:r>
          </w:p>
        </w:tc>
        <w:tc>
          <w:tcPr>
            <w:tcW w:type="dxa" w:w="1559"/>
          </w:tcPr>
          <w:p>
            <w:r>
              <w:rPr>
                <w:sz w:val="20"/>
              </w:rPr>
              <w:t>B/4 capsules</w:t>
            </w:r>
          </w:p>
        </w:tc>
        <w:tc>
          <w:tcPr>
            <w:tcW w:type="dxa" w:w="1559"/>
          </w:tcPr>
          <w:p>
            <w:r>
              <w:rPr>
                <w:sz w:val="20"/>
              </w:rPr>
              <w:t>Liste I</w:t>
            </w:r>
          </w:p>
        </w:tc>
        <w:tc>
          <w:tcPr>
            <w:tcW w:type="dxa" w:w="1559"/>
          </w:tcPr>
          <w:p>
            <w:r>
              <w:rPr>
                <w:sz w:val="20"/>
              </w:rPr>
              <w:t>Retiré</w:t>
            </w:r>
          </w:p>
        </w:tc>
      </w:tr>
    </w:tbl>
    <w:p/>
    <w:p>
      <w:r/>
      <w:r>
        <w:rPr>
          <w:i/>
        </w:rPr>
        <w:t>Note critique : seul ETOPOSIDE MYLAN (Mylan SAS) est actuellement disponible en Algérie (Avril 2026). Toutes les autres marques sont soit non renouvelables (3 spécialités — Etoposide Ebewe, Etosid solution, Posidan) soit retirées du marché (7 spécialités — Vepéside Medifa, Etopos Lemery, Etoposide Pierre Fabre, Vepéside-Sandoz capsules, Etosid capsules Cipla, OKA-Etoposide solution et capsules Biovital). Cette situation d'approvisionnement monocentrique est précaire — anticipation hospitalière indispensable (stock minimum 2 mois). À noter : la forme ORALE capsule 50 mg — historiquement Vepéside-Sandoz ou Etosid — est actuellement INDISPONIBLE en Algérie, compliquant la prise en charge ambulatoire et pédiatrique.</w:t>
      </w:r>
      <w:r/>
    </w:p>
    <w:p>
      <w:r/>
      <w:r>
        <w:rPr>
          <w:b/>
        </w:rPr>
        <w:t>Sous-classe et Mécanisme d'action :</w:t>
      </w:r>
      <w:r/>
    </w:p>
    <w:p>
      <w:pPr>
        <w:pStyle w:val="ListBullet"/>
      </w:pPr>
      <w:r>
        <w:t>Sous-classe : Inhibiteurs de la topoisomérase II (poisons de la topo II — épipodophyllotoxines). Classification ATC : L01CB01. L'étoposide est, avec le téniposide (VM-26, non commercialisé en Algérie), l'un des deux poisons de la topo II dérivés de la podophyllotoxine. À distinguer des anthracyclines et de la mitoxantrone qui possèdent une double activité (poison topo II + intercalant ADN).</w:t>
      </w:r>
    </w:p>
    <w:p>
      <w:pPr>
        <w:pStyle w:val="ListBullet"/>
      </w:pPr>
      <w:r>
        <w:t xml:space="preserve">Mécanisme d'action détaillé : la topo II est une enzyme nucléaire ATP-dépendante qui règle le niveau de super-enroulement de l'ADN en coupant transitoirement les </w:t>
      </w:r>
      <w:r>
        <w:rPr>
          <w:b/>
        </w:rPr>
        <w:t>deux brins</w:t>
      </w:r>
      <w:r>
        <w:t xml:space="preserve"> de la double-hélice (coupure double-brin transitoire — DSB), en laissant passer un autre segment d'ADN à travers la coupure (strand passage), puis en </w:t>
      </w:r>
      <w:r>
        <w:rPr>
          <w:b/>
        </w:rPr>
        <w:t>religeant</w:t>
      </w:r>
      <w:r>
        <w:t xml:space="preserve"> la coupure. L'étoposide se fixe au complexe ADN–topo II </w:t>
      </w:r>
      <w:r>
        <w:rPr>
          <w:b/>
        </w:rPr>
        <w:t>après la coupure mais avant la réligation</w:t>
      </w:r>
      <w:r>
        <w:t xml:space="preserve">, stabilisant ainsi un intermédiaire covalent normalement transitoire dit </w:t>
      </w:r>
      <w:r>
        <w:rPr>
          <w:b/>
        </w:rPr>
        <w:t>« complexe clivable »</w:t>
      </w:r>
      <w:r>
        <w:t xml:space="preserve"> (cleavable complex). L'accumulation de ces complexes clivables aboutit, lors du passage des fourches de réplication (phase S) et lors de la condensation chromosomique (G2/M), à la conversion des cassures transitoires en </w:t>
      </w:r>
      <w:r>
        <w:rPr>
          <w:b/>
        </w:rPr>
        <w:t>cassures double-brin permanentes</w:t>
      </w:r>
      <w:r>
        <w:t xml:space="preserve"> — événement létal pour la cellule (apoptose). L'effet est donc principalement </w:t>
      </w:r>
      <w:r>
        <w:rPr>
          <w:b/>
        </w:rPr>
        <w:t>phase-spécifique S/G2</w:t>
      </w:r>
      <w:r>
        <w:t xml:space="preserve"> (mais partiellement phase-non-spécifique — les cellules en G1 portant des DSB meurent également). L'étoposide est substrat de la topo IIα (isoforme proliférative) et topo IIβ (isoforme quiescente — impliquée dans la cardiotoxicité des anthracyclines et les leucémies secondaires). À fortes concentrations (&gt; 100 µM), l'étoposide perd son effet poison et devient un inhibiteur catalytique (effet biphasique paradoxal).</w:t>
      </w:r>
    </w:p>
    <w:p>
      <w:r/>
      <w:r>
        <w:rPr>
          <w:b/>
        </w:rPr>
        <w:t>Profil Pharmacologique et Indications :</w:t>
      </w:r>
      <w:r/>
    </w:p>
    <w:p>
      <w:pPr>
        <w:pStyle w:val="ListBullet"/>
      </w:pPr>
      <w:r>
        <w:t>Indications (selon AMM française et algérienne — RCP VIDAL 2026) :</w:t>
      </w:r>
    </w:p>
    <w:p>
      <w:pPr>
        <w:pStyle w:val="ListBullet"/>
      </w:pPr>
      <w:r/>
      <w:r>
        <w:rPr>
          <w:b/>
        </w:rPr>
        <w:t>Cancer du poumon à petites cellules (CPP)</w:t>
      </w:r>
      <w:r>
        <w:t xml:space="preserve"> — protocoles EP (étoposide + cisplatine), EC (étoposide + carboplatine) — 1re ligne de référence ; en association en 1re ligne ou en monothérapie d'entretien.</w:t>
      </w:r>
    </w:p>
    <w:p>
      <w:pPr>
        <w:pStyle w:val="ListBullet"/>
      </w:pPr>
      <w:r/>
      <w:r>
        <w:rPr>
          <w:b/>
        </w:rPr>
        <w:t>Cancer du testicule</w:t>
      </w:r>
      <w:r>
        <w:t xml:space="preserve"> germinatif non séminomateux et séminomateux avancé — protocole </w:t>
      </w:r>
      <w:r>
        <w:rPr>
          <w:b/>
        </w:rPr>
        <w:t>BEP</w:t>
      </w:r>
      <w:r>
        <w:t xml:space="preserve"> (bléomycine, étoposide, cisplatine — 4 cures) — 1re ligne de référence des tumeurs germinales testiculaires de stade avancé ; protocole </w:t>
      </w:r>
      <w:r>
        <w:rPr>
          <w:b/>
        </w:rPr>
        <w:t>VIP</w:t>
      </w:r>
      <w:r>
        <w:t xml:space="preserve"> (étoposide, ifosfamide, cisplatine — alternative en 2e ligne).</w:t>
      </w:r>
    </w:p>
    <w:p>
      <w:pPr>
        <w:pStyle w:val="ListBullet"/>
      </w:pPr>
      <w:r/>
      <w:r>
        <w:rPr>
          <w:b/>
        </w:rPr>
        <w:t>Maladie de Hodgkin</w:t>
      </w:r>
      <w:r>
        <w:t xml:space="preserve"> — protocole </w:t>
      </w:r>
      <w:r>
        <w:rPr>
          <w:b/>
        </w:rPr>
        <w:t>BEACOPP</w:t>
      </w:r>
      <w:r>
        <w:t xml:space="preserve"> escalated (bléomycine, étoposide, adriamycine, cyclophosphamide, vincristine, procarbazine, prednisone) — référence allemande GHSG pour les stades avancés (IIIB-IV) ; protocole escalated à doses augmentées — meilleure survie mais toxicité hématologique accrue et risque accru de leucémies secondaires.</w:t>
      </w:r>
    </w:p>
    <w:p>
      <w:pPr>
        <w:pStyle w:val="ListBullet"/>
      </w:pPr>
      <w:r/>
      <w:r>
        <w:rPr>
          <w:b/>
        </w:rPr>
        <w:t>Lymphomes non hodgkiniens (LNH)</w:t>
      </w:r>
      <w:r>
        <w:t xml:space="preserve"> — protocole </w:t>
      </w:r>
      <w:r>
        <w:rPr>
          <w:b/>
        </w:rPr>
        <w:t>CHOEP</w:t>
      </w:r>
      <w:r>
        <w:t xml:space="preserve"> (cyclophosphamide, adriamycine, vincristine, étoposide, prednisone) — alternative au CHOP standard chez le sujet jeune agressif ; protocole </w:t>
      </w:r>
      <w:r>
        <w:rPr>
          <w:b/>
        </w:rPr>
        <w:t>ESHAP</w:t>
      </w:r>
      <w:r>
        <w:t xml:space="preserve"> (étoposide, solumédrol, cytarabine, cisplatine) et </w:t>
      </w:r>
      <w:r>
        <w:rPr>
          <w:b/>
        </w:rPr>
        <w:t>DHAP</w:t>
      </w:r>
      <w:r>
        <w:t xml:space="preserve"> (dexaméthasone, cytarabine, cisplatine) — protocoles de rattrapage avant autogreffe.</w:t>
      </w:r>
    </w:p>
    <w:p>
      <w:pPr>
        <w:pStyle w:val="ListBullet"/>
      </w:pPr>
      <w:r/>
      <w:r>
        <w:rPr>
          <w:b/>
        </w:rPr>
        <w:t>Cancer de la vessie</w:t>
      </w:r>
      <w:r>
        <w:t xml:space="preserve"> — protocole </w:t>
      </w:r>
      <w:r>
        <w:rPr>
          <w:b/>
        </w:rPr>
        <w:t>MVAC</w:t>
      </w:r>
      <w:r>
        <w:t xml:space="preserve"> (methotrexate, vinblastine, adriamycine, cisplatine — étoposide parfois en alternative).</w:t>
      </w:r>
    </w:p>
    <w:p>
      <w:pPr>
        <w:pStyle w:val="ListBullet"/>
      </w:pPr>
      <w:r/>
      <w:r>
        <w:rPr>
          <w:b/>
        </w:rPr>
        <w:t>Sarcomes pédiatriques</w:t>
      </w:r>
      <w:r>
        <w:t xml:space="preserve"> — protocoles </w:t>
      </w:r>
      <w:r>
        <w:rPr>
          <w:b/>
        </w:rPr>
        <w:t>VAC</w:t>
      </w:r>
      <w:r>
        <w:t xml:space="preserve"> (vincristine, actinomycine D, cyclophosphamide + étoposide) ; rhabdomyosarcome, tumeur d'Ewing, neuroblastome.</w:t>
      </w:r>
    </w:p>
    <w:p>
      <w:pPr>
        <w:pStyle w:val="ListBullet"/>
      </w:pPr>
      <w:r/>
      <w:r>
        <w:rPr>
          <w:b/>
        </w:rPr>
        <w:t>Cancer de l'ovaire germinatif</w:t>
      </w:r>
      <w:r>
        <w:t xml:space="preserve"> — protocole </w:t>
      </w:r>
      <w:r>
        <w:rPr>
          <w:b/>
        </w:rPr>
        <w:t>BEP</w:t>
      </w:r>
      <w:r>
        <w:t xml:space="preserve"> — 1re ligne.</w:t>
      </w:r>
    </w:p>
    <w:p>
      <w:pPr>
        <w:pStyle w:val="ListBullet"/>
      </w:pPr>
      <w:r/>
      <w:r>
        <w:rPr>
          <w:b/>
        </w:rPr>
        <w:t>Leucémies aiguës</w:t>
      </w:r>
      <w:r>
        <w:t xml:space="preserve"> — protocole </w:t>
      </w:r>
      <w:r>
        <w:rPr>
          <w:b/>
        </w:rPr>
        <w:t>FLAG-IDA</w:t>
      </w:r>
      <w:r>
        <w:t xml:space="preserve"> (fludarabine, cytarabine, G-CSF, idarubicine — parfois associé à l'étoposide) ; LAM de rattrapage.</w:t>
      </w:r>
    </w:p>
    <w:p>
      <w:pPr>
        <w:pStyle w:val="ListBullet"/>
      </w:pPr>
      <w:r/>
      <w:r>
        <w:rPr>
          <w:b/>
        </w:rPr>
        <w:t>Allogreffe de cellules souches hématopoïétiques</w:t>
      </w:r>
      <w:r>
        <w:t xml:space="preserve"> — protocole de conditionnement </w:t>
      </w:r>
      <w:r>
        <w:rPr>
          <w:b/>
        </w:rPr>
        <w:t>VP-Cy</w:t>
      </w:r>
      <w:r>
        <w:t xml:space="preserve"> (étoposide + cyclophosphamide — notamment en greffe géno-identique ou haplo-identique).</w:t>
      </w:r>
    </w:p>
    <w:p>
      <w:pPr>
        <w:pStyle w:val="ListBullet"/>
      </w:pPr>
      <w:r/>
      <w:r>
        <w:rPr>
          <w:b/>
        </w:rPr>
        <w:t>Forme orale</w:t>
      </w:r>
      <w:r>
        <w:t xml:space="preserve"> (capsule 50 mg — INDISPONIBLE en Algérie) : indication oncologie ambulatoire — cancer du poumon à petites cellules extensif en traitement d'entretien ou en palliation ; disease-free interval延长ation dans le CPP en réponse complète.</w:t>
      </w:r>
    </w:p>
    <w:p>
      <w:pPr>
        <w:pStyle w:val="ListBullet"/>
      </w:pPr>
      <w:r>
        <w:t>Particularités pharmacologiques :</w:t>
      </w:r>
    </w:p>
    <w:p>
      <w:pPr>
        <w:pStyle w:val="ListBullet"/>
      </w:pPr>
      <w:r>
        <w:t>Cinétique bi-compartimentale — clairance 17-35 mL/min/m² (CV ~ 30 %).</w:t>
      </w:r>
    </w:p>
    <w:p>
      <w:pPr>
        <w:pStyle w:val="ListBullet"/>
      </w:pPr>
      <w:r>
        <w:t>Distribution large — Vd 3-15 L/m² (variable selon patient) ; liaison protéique élevée (94-98 % — principalement à l'albumine).</w:t>
      </w:r>
    </w:p>
    <w:p>
      <w:pPr>
        <w:pStyle w:val="ListBullet"/>
      </w:pPr>
      <w:r>
        <w:t xml:space="preserve">Métabolisme hépatique </w:t>
      </w:r>
      <w:r>
        <w:rPr>
          <w:b/>
        </w:rPr>
        <w:t>modeste</w:t>
      </w:r>
      <w:r>
        <w:t xml:space="preserve"> — conversion par CYP3A4 en métabolite actif </w:t>
      </w:r>
      <w:r>
        <w:rPr>
          <w:b/>
        </w:rPr>
        <w:t>étoposide glucuronide</w:t>
      </w:r>
      <w:r>
        <w:t xml:space="preserve"> (~ 8 %) et en métabolites inactifs (déméthylation, hydroxylation) ; élimination principalement </w:t>
      </w:r>
      <w:r>
        <w:rPr>
          <w:b/>
        </w:rPr>
        <w:t>rénale</w:t>
      </w:r>
      <w:r>
        <w:t xml:space="preserve"> (~ 40-60 % sous forme inchangée dans les urines en 72 h) ; ~ 30 % biliaire.</w:t>
      </w:r>
    </w:p>
    <w:p>
      <w:pPr>
        <w:pStyle w:val="ListBullet"/>
      </w:pPr>
      <w:r>
        <w:t xml:space="preserve">Demi-vie d'élimination : </w:t>
      </w:r>
      <w:r>
        <w:rPr>
          <w:b/>
        </w:rPr>
        <w:t>6-8 h</w:t>
      </w:r>
      <w:r>
        <w:t xml:space="preserve"> (forme IV) ; </w:t>
      </w:r>
      <w:r>
        <w:rPr>
          <w:b/>
        </w:rPr>
        <w:t>5-12 h</w:t>
      </w:r>
      <w:r>
        <w:t xml:space="preserve"> (forme orale — biodisponibilité 25-75 %, variable — prendre à jeun ou avec repas léger).</w:t>
      </w:r>
    </w:p>
    <w:p>
      <w:pPr>
        <w:pStyle w:val="ListBullet"/>
      </w:pPr>
      <w:r>
        <w:t>Adaptation hépatique : (i) fonction hépatique normale : dose pleine ; (ii) bilirubine 1,5-3 × LSN ou ASAT 60-180 UI/L : réduction à 50 % de la dose ; (iii) bilirubine 3-5 × LSN ou ASAT &gt; 180 UI/L : réduction à 25 % de la dose ; (iv) bilirubine &gt; 5 × LSN : contre-indication.</w:t>
      </w:r>
    </w:p>
    <w:p>
      <w:pPr>
        <w:pStyle w:val="ListBullet"/>
      </w:pPr>
      <w:r>
        <w:t>Adaptation rénale : (i) DFG &gt; 60 mL/min : dose pleine ; (ii) DFG 15-60 mL/min : réduction à 75 % de la dose ; (iii) DFG &lt; 15 mL/min : contre-indication (sauf dialyse).</w:t>
      </w:r>
    </w:p>
    <w:p>
      <w:pPr>
        <w:pStyle w:val="ListBullet"/>
      </w:pPr>
      <w:r>
        <w:t>Schémas usuels : (i) cancer du testicule (BEP) : 100 mg/m² J1-J5 en perfusion IV de 60 min, toutes les 3 semaines, 4 cures ; (ii) CPP (EP) : 100 mg/m² J1-J3 en perfusion IV de 60 min + cisplatine, toutes les 3 semaines, 4-6 cures ; (iii) Hodgkin (BEACOPP) : 100 mg/m² J1-J3 en perfusion IV de 60 min, toutes les 3 semaines, 8 cures ; (iv) LNH (ESHAP) : 40 mg/m² J1-J4 en perfusion IV de 60 min, toutes les 3-4 semaines ; (v) pédiatrie : 100-150 mg/m² J1-J3 en perfusion IV de 60 min.</w:t>
      </w:r>
    </w:p>
    <w:p>
      <w:pPr>
        <w:pStyle w:val="ListBullet"/>
      </w:pPr>
      <w:r/>
      <w:r>
        <w:rPr>
          <w:b/>
        </w:rPr>
        <w:t>Stabilité</w:t>
      </w:r>
      <w:r>
        <w:t xml:space="preserve"> : la solution d'étoposide est hypotonique et précipite en NaCl 0,9 % — dilution obligatoire en NaCl 0,9 % avec concentration finale ≤ 0,4 mg/mL (limitation de l'osmolarité) ; perfusion IV stricte sur 30-60 min (hypotension à la perfusion rapide — voir infra).</w:t>
      </w:r>
    </w:p>
    <w:p>
      <w:r/>
      <w:r>
        <w:rPr>
          <w:b/>
        </w:rPr>
        <w:t>Contre-indications et Précautions d'Emploi :</w:t>
      </w:r>
      <w:r/>
    </w:p>
    <w:p>
      <w:pPr>
        <w:pStyle w:val="ListBullet"/>
      </w:pPr>
      <w:r>
        <w:t>Contre-indications ABSOLUES :</w:t>
      </w:r>
    </w:p>
    <w:p>
      <w:pPr>
        <w:pStyle w:val="ListBullet"/>
      </w:pPr>
      <w:r>
        <w:t>Hypersensibilité connue à l'étoposide ou à l'un des excipients (polysorbate 80, éthanol, glycofurol — solvants de la forme IV).</w:t>
      </w:r>
    </w:p>
    <w:p>
      <w:pPr>
        <w:pStyle w:val="ListBullet"/>
      </w:pPr>
      <w:r/>
      <w:r>
        <w:rPr>
          <w:b/>
        </w:rPr>
        <w:t>Neutropénie sévère</w:t>
      </w:r>
      <w:r>
        <w:t xml:space="preserve"> (&lt; 1 500/mm³) ou thrombopénie sévère (&lt; 100 000/mm³) pré-existantes — attendre récupération.</w:t>
      </w:r>
    </w:p>
    <w:p>
      <w:pPr>
        <w:pStyle w:val="ListBullet"/>
      </w:pPr>
      <w:r/>
      <w:r>
        <w:rPr>
          <w:b/>
        </w:rPr>
        <w:t>Insuffisance hépatique sévère</w:t>
      </w:r>
      <w:r>
        <w:t xml:space="preserve"> (bilirubine &gt; 5 × LSN).</w:t>
      </w:r>
    </w:p>
    <w:p>
      <w:pPr>
        <w:pStyle w:val="ListBullet"/>
      </w:pPr>
      <w:r/>
      <w:r>
        <w:rPr>
          <w:b/>
        </w:rPr>
        <w:t>Insuffisance rénale sévère</w:t>
      </w:r>
      <w:r>
        <w:t xml:space="preserve"> (DFG &lt; 15 mL/min sans dialyse).</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r>
        <w:rPr>
          <w:b/>
        </w:rPr>
        <w:t>Surveillance hématologique stricte</w:t>
      </w:r>
      <w:r>
        <w:t xml:space="preserve"> : NFS avant chaque cure (PNN ≥ 1 500/mm³, plaquettes ≥ 100 000/mm³) ; nadir J7-J14, récupération J21. NFS de contrôle J10-J14.</w:t>
      </w:r>
    </w:p>
    <w:p>
      <w:pPr>
        <w:pStyle w:val="ListBullet"/>
      </w:pPr>
      <w:r/>
      <w:r>
        <w:rPr>
          <w:b/>
        </w:rPr>
        <w:t>Surveillance de la perfusion</w:t>
      </w:r>
      <w:r>
        <w:t xml:space="preserve"> : hypotension à la perfusion rapide — perfusion IV </w:t>
      </w:r>
      <w:r>
        <w:rPr>
          <w:b/>
        </w:rPr>
        <w:t>stricte sur 30-60 min</w:t>
      </w:r>
      <w:r>
        <w:t xml:space="preserve"> — ne pas dépasser 4 mg/mL et 60 min (risque d'hypotension brutale, flush, bronchospasme). Surveillance tensionnelle toutes les 15 min pendant la perfusion.</w:t>
      </w:r>
    </w:p>
    <w:p>
      <w:pPr>
        <w:pStyle w:val="ListBullet"/>
      </w:pPr>
      <w:r/>
      <w:r>
        <w:rPr>
          <w:b/>
        </w:rPr>
        <w:t>Surveillance de l'hypersensibilité</w:t>
      </w:r>
      <w:r>
        <w:t xml:space="preserve"> : prémédication anti-histaminique (anti-H1 — dexchlorphéniramine 5 mg IV) systématique proposée en raison du polysorbate 80, éthanol, glycofurol (solvants) — réactions anaphylactoïdes possibles (flush, prurit, urticaire, bronchospasme, hypotension).</w:t>
      </w:r>
    </w:p>
    <w:p>
      <w:pPr>
        <w:pStyle w:val="ListBullet"/>
      </w:pPr>
      <w:r/>
      <w:r>
        <w:rPr>
          <w:b/>
        </w:rPr>
        <w:t>Surveillance hépatique et rénale</w:t>
      </w:r>
      <w:r>
        <w:t xml:space="preserve"> : bilan hépatique (bilirubine, ASAT, ALAT, PAL, GGT) et créatinine avant chaque cure.</w:t>
      </w:r>
    </w:p>
    <w:p>
      <w:pPr>
        <w:pStyle w:val="ListBullet"/>
      </w:pPr>
      <w:r/>
      <w:r>
        <w:rPr>
          <w:b/>
        </w:rPr>
        <w:t>Surveillance oncologique prolongée</w:t>
      </w:r>
      <w:r>
        <w:t xml:space="preserve"> : NFS annuelle pendant 5-10 ans après arrêt (recherche de leucémie secondaire — translocation 11q23/MLL).</w:t>
      </w:r>
    </w:p>
    <w:p>
      <w:pPr>
        <w:pStyle w:val="ListBullet"/>
      </w:pPr>
      <w:r/>
      <w:r>
        <w:rPr>
          <w:b/>
        </w:rPr>
        <w:t>Extravasation</w:t>
      </w:r>
      <w:r>
        <w:t xml:space="preserve"> : l'étoposide est un </w:t>
      </w:r>
      <w:r>
        <w:rPr>
          <w:b/>
        </w:rPr>
        <w:t>irritant modéré</w:t>
      </w:r>
      <w:r>
        <w:t xml:space="preserve"> (vesicant léger — moins que les anthracyclines mais nécrose locale possible en cas d'extravasation massive).</w:t>
      </w:r>
    </w:p>
    <w:p>
      <w:pPr>
        <w:pStyle w:val="ListBullet"/>
      </w:pPr>
      <w:r>
        <w:t>Sujet âgé &gt; 70 ans : surveillance hématologique accrue — pas de réduction systématique mais discussion au cas par cas.</w:t>
      </w:r>
    </w:p>
    <w:p>
      <w:pPr>
        <w:pStyle w:val="ListBullet"/>
      </w:pPr>
      <w:r>
        <w:t>Précautions de manipulation : cytotoxique — manipulation exclusivement par personnel formé.</w:t>
      </w:r>
    </w:p>
    <w:p>
      <w:pPr>
        <w:pStyle w:val="ListBullet"/>
      </w:pPr>
      <w:r>
        <w:t>Précautions de perfusion : tubulure sans DEHP (le DEHP est lessivé par le polysorbate 80 — risque de relargage toxique) ; tubulure en polyéthylène ou polyoléfine ; filtre en ligne non nécessaire.</w:t>
      </w:r>
    </w:p>
    <w:p>
      <w:r/>
      <w:r>
        <w:rPr>
          <w:b/>
        </w:rPr>
        <w:t>Effets Indésirables :</w:t>
      </w:r>
      <w:r/>
    </w:p>
    <w:p>
      <w:pPr>
        <w:pStyle w:val="ListBullet"/>
      </w:pPr>
      <w:r/>
      <w:r>
        <w:rPr>
          <w:b/>
        </w:rPr>
        <w:t>Myélosuppression</w:t>
      </w:r>
      <w:r>
        <w:t xml:space="preserve"> (effet dose-limitant) :</w:t>
      </w:r>
    </w:p>
    <w:p>
      <w:pPr>
        <w:pStyle w:val="ListBullet"/>
      </w:pPr>
      <w:r/>
      <w:r>
        <w:rPr>
          <w:b/>
        </w:rPr>
        <w:t>Neutropénie</w:t>
      </w:r>
      <w:r>
        <w:t xml:space="preserve"> : quasi-constante (grade 3-4 : 50-80 % selon protocole) — nadir J7-J14, récupération J17-J21. Neutropénie fébrile : 5-15 % selon protocole.</w:t>
      </w:r>
    </w:p>
    <w:p>
      <w:pPr>
        <w:pStyle w:val="ListBullet"/>
      </w:pPr>
      <w:r>
        <w:t>Thrombopénie : 20-30 % (grade 3-4 : 5-10 %).</w:t>
      </w:r>
    </w:p>
    <w:p>
      <w:pPr>
        <w:pStyle w:val="ListBullet"/>
      </w:pPr>
      <w:r>
        <w:t>Anémie : 30-50 % (grade 3-4 : 5-10 %).</w:t>
      </w:r>
    </w:p>
    <w:p>
      <w:pPr>
        <w:pStyle w:val="ListBullet"/>
      </w:pPr>
      <w:r/>
      <w:r>
        <w:rPr>
          <w:b/>
        </w:rPr>
        <w:t>Hypersensibilité</w:t>
      </w:r>
      <w:r>
        <w:t xml:space="preserve"> (3-5 %) : réactions anaphylactoïdes (flush, prurit, urticaire, bronchospasme, hypotension — liées aux solvants polysorbate 80, éthanol, glycofurol) — à distinguer de l'hypotension à la perfusion rapide (mécanisme différent — vasodilatation directe).</w:t>
      </w:r>
    </w:p>
    <w:p>
      <w:pPr>
        <w:pStyle w:val="ListBullet"/>
      </w:pPr>
      <w:r/>
      <w:r>
        <w:rPr>
          <w:b/>
        </w:rPr>
        <w:t>Hypotension à la perfusion rapide</w:t>
      </w:r>
      <w:r>
        <w:t xml:space="preserve"> (1-5 %) : hypotension brutale si perfusion IV &lt; 30 min (concentration &gt; 0,4 mg/mL ou vitesse &gt; 4 mg/mL/h) — vasodilatation directe — résolutive à l'arrêt de la perfusion — surveillance tensionnelle toutes les 15 min.</w:t>
      </w:r>
    </w:p>
    <w:p>
      <w:pPr>
        <w:pStyle w:val="ListBullet"/>
      </w:pPr>
      <w:r/>
      <w:r>
        <w:rPr>
          <w:b/>
        </w:rPr>
        <w:t>Toxicité digestive</w:t>
      </w:r>
      <w:r>
        <w:t xml:space="preserve"> :</w:t>
      </w:r>
    </w:p>
    <w:p>
      <w:pPr>
        <w:pStyle w:val="ListBullet"/>
      </w:pPr>
      <w:r>
        <w:t>Nausées/vomissements (modérés — 30-50 % — grade 3-4 : 5 %).</w:t>
      </w:r>
    </w:p>
    <w:p>
      <w:pPr>
        <w:pStyle w:val="ListBullet"/>
      </w:pPr>
      <w:r>
        <w:t>Mucite (10-20 % — grade 3-4 : 5 %).</w:t>
      </w:r>
    </w:p>
    <w:p>
      <w:pPr>
        <w:pStyle w:val="ListBullet"/>
      </w:pPr>
      <w:r>
        <w:t>Diarrhée (5-10 %).</w:t>
      </w:r>
    </w:p>
    <w:p>
      <w:pPr>
        <w:pStyle w:val="ListBullet"/>
      </w:pPr>
      <w:r>
        <w:t>Anorexie (20-30 %).</w:t>
      </w:r>
    </w:p>
    <w:p>
      <w:pPr>
        <w:pStyle w:val="ListBullet"/>
      </w:pPr>
      <w:r/>
      <w:r>
        <w:rPr>
          <w:b/>
        </w:rPr>
        <w:t>Alopécie</w:t>
      </w:r>
      <w:r>
        <w:t xml:space="preserve"> (très fréquente — 60-90 % — habituellement réversible après arrêt).</w:t>
      </w:r>
    </w:p>
    <w:p>
      <w:pPr>
        <w:pStyle w:val="ListBullet"/>
      </w:pPr>
      <w:r/>
      <w:r>
        <w:rPr>
          <w:b/>
        </w:rPr>
        <w:t>Toxicité hépatique</w:t>
      </w:r>
      <w:r>
        <w:t xml:space="preserve"> : cytolyse (5-10 % — grade 3-4 : 2 %), cholestase intra-hépatique (rare).</w:t>
      </w:r>
    </w:p>
    <w:p>
      <w:pPr>
        <w:pStyle w:val="ListBullet"/>
      </w:pPr>
      <w:r/>
      <w:r>
        <w:rPr>
          <w:b/>
        </w:rPr>
        <w:t>Toxicité cardiovasculaire</w:t>
      </w:r>
      <w:r>
        <w:t xml:space="preserve"> : hypotension (à la perfusion rapide), troubles du rythme (rares), infarctus du myocarde (rare — cas rapportés en association avec cisplatine).</w:t>
      </w:r>
    </w:p>
    <w:p>
      <w:pPr>
        <w:pStyle w:val="ListBullet"/>
      </w:pPr>
      <w:r/>
      <w:r>
        <w:rPr>
          <w:b/>
        </w:rPr>
        <w:t>Neurotoxicité</w:t>
      </w:r>
      <w:r>
        <w:t xml:space="preserve"> : rares (somnolence, fatigue, vertiges — 5-10 %) ; neuropathie périphérique (rare sauf en association avec vincristine ou cisplatine).</w:t>
      </w:r>
    </w:p>
    <w:p>
      <w:pPr>
        <w:pStyle w:val="ListBullet"/>
      </w:pPr>
      <w:r/>
      <w:r>
        <w:rPr>
          <w:b/>
        </w:rPr>
        <w:t>Toxicité locale au point d'injection</w:t>
      </w:r>
      <w:r>
        <w:t xml:space="preserve"> : réaction locale ; extravasation → nécrose tissulaire possible (vesicant modéré).</w:t>
      </w:r>
    </w:p>
    <w:p>
      <w:pPr>
        <w:pStyle w:val="ListBullet"/>
      </w:pPr>
      <w:r/>
      <w:r>
        <w:rPr>
          <w:b/>
        </w:rPr>
        <w:t>Leucémies secondaires</w:t>
      </w:r>
      <w:r>
        <w:t xml:space="preserve"> (effet carcinogène — groupe 1 CIRC) :</w:t>
      </w:r>
    </w:p>
    <w:p>
      <w:pPr>
        <w:pStyle w:val="ListBullet"/>
      </w:pPr>
      <w:r/>
      <w:r>
        <w:rPr>
          <w:b/>
        </w:rPr>
        <w:t>LAM secondaire</w:t>
      </w:r>
      <w:r>
        <w:t xml:space="preserve"> avec translocation 11q23/MLL (t(9;11), t(11;19), t(4;11)) ou, plus rarement, t(8;21), inv(16).</w:t>
      </w:r>
    </w:p>
    <w:p>
      <w:pPr>
        <w:pStyle w:val="ListBullet"/>
      </w:pPr>
      <w:r>
        <w:t>Délai d'apparition court : 2-5 ans après traitement (à distinguer des LAM post-alylants : 5-7 ans).</w:t>
      </w:r>
    </w:p>
    <w:p>
      <w:pPr>
        <w:pStyle w:val="ListBullet"/>
      </w:pPr>
      <w:r>
        <w:t>Risque dose-cumul-dépendant : &lt; 2 % si doses cumulatives &lt; 2 g/m² ; 2-5 % si 2-5 g/m² ; 5-10 % si &gt; 5 g/m².</w:t>
      </w:r>
    </w:p>
    <w:p>
      <w:pPr>
        <w:pStyle w:val="ListBullet"/>
      </w:pPr>
      <w:r>
        <w:t>Risque majoré en cas de radiothérapie concomitante (surtout médiastinale) et en association avec les alkylants.</w:t>
      </w:r>
    </w:p>
    <w:p>
      <w:pPr>
        <w:pStyle w:val="ListBullet"/>
      </w:pPr>
      <w:r>
        <w:t>Pronostic réservé (survie à 5 ans ~ 20-30 %).</w:t>
      </w:r>
    </w:p>
    <w:p>
      <w:pPr>
        <w:pStyle w:val="ListBullet"/>
      </w:pPr>
      <w:r/>
      <w:r>
        <w:rPr>
          <w:b/>
        </w:rPr>
        <w:t>Cancers secondaires solides</w:t>
      </w:r>
      <w:r>
        <w:t xml:space="preserve"> (rares — augmentation du risque à long terme — particularly en association avec radiothérapie).</w:t>
      </w:r>
    </w:p>
    <w:p>
      <w:r/>
      <w:r>
        <w:rPr>
          <w:b/>
        </w:rPr>
        <w:t>Prévention et Gestion des Effets Indésirables :</w:t>
      </w:r>
      <w:r/>
    </w:p>
    <w:p>
      <w:pPr>
        <w:pStyle w:val="ListBullet"/>
      </w:pPr>
      <w:r>
        <w:t>Prévention systématique :</w:t>
      </w:r>
    </w:p>
    <w:p>
      <w:pPr>
        <w:pStyle w:val="ListBullet"/>
      </w:pPr>
      <w:r/>
      <w:r>
        <w:rPr>
          <w:b/>
        </w:rPr>
        <w:t>Prévention de l'hypotension à la perfusion</w:t>
      </w:r>
      <w:r>
        <w:t xml:space="preserve"> : perfusion IV </w:t>
      </w:r>
      <w:r>
        <w:rPr>
          <w:b/>
        </w:rPr>
        <w:t>stricte sur 30-60 min</w:t>
      </w:r>
      <w:r>
        <w:t xml:space="preserve"> — ne pas dépasser 4 mg/mL et 60 min — surveillance tensionnelle toutes les 15 min.</w:t>
      </w:r>
    </w:p>
    <w:p>
      <w:pPr>
        <w:pStyle w:val="ListBullet"/>
      </w:pPr>
      <w:r/>
      <w:r>
        <w:rPr>
          <w:b/>
        </w:rPr>
        <w:t>Prévention de l'hypersensibilité</w:t>
      </w:r>
      <w:r>
        <w:t xml:space="preserve"> : prémédication anti-histaminique (anti-H1 — dexchlorphéniramine 5 mg IV) systématique proposée ; arrêt immédiat de la perfusion en cas de réaction — réadministration prudente à vitesse réduite après disparition des symptômes.</w:t>
      </w:r>
    </w:p>
    <w:p>
      <w:pPr>
        <w:pStyle w:val="ListBullet"/>
      </w:pPr>
      <w:r/>
      <w:r>
        <w:rPr>
          <w:b/>
        </w:rPr>
        <w:t>Prévention hématologique</w:t>
      </w:r>
      <w:r>
        <w:t xml:space="preserve"> : NFS avant chaque cure, délai à J8 si PNN &lt; 1 500/mm³, G-CSF prophylactique secondaire ou primaire (selon protocole — particulièrement en BEACOPP escalated, en contexte d'allogreffe, ou chez le sujet âgé).</w:t>
      </w:r>
    </w:p>
    <w:p>
      <w:pPr>
        <w:pStyle w:val="ListBullet"/>
      </w:pPr>
      <w:r/>
      <w:r>
        <w:rPr>
          <w:b/>
        </w:rPr>
        <w:t>Prévention digestive</w:t>
      </w:r>
      <w:r>
        <w:t xml:space="preserve"> : antiémétique prophylactique (sétron 5-HT3 + dexaméthasone). Laxatif si constipation.</w:t>
      </w:r>
    </w:p>
    <w:p>
      <w:pPr>
        <w:pStyle w:val="ListBullet"/>
      </w:pPr>
      <w:r/>
      <w:r>
        <w:rPr>
          <w:b/>
        </w:rPr>
        <w:t>Prévention carcinogénique</w:t>
      </w:r>
      <w:r>
        <w:t xml:space="preserve"> : limitation des doses cumulatives (&lt; 5 g/m² si possible) ; information claire du patient sur le risque de leucémie secondaire ; surveillance hématologique prolongée (NFS annuelle pendant 5-10 ans post-traitement).</w:t>
      </w:r>
    </w:p>
    <w:p>
      <w:pPr>
        <w:pStyle w:val="ListBullet"/>
      </w:pPr>
      <w:r/>
      <w:r>
        <w:rPr>
          <w:b/>
        </w:rPr>
        <w:t>Prévention de l'extravasation</w:t>
      </w:r>
      <w:r>
        <w:t xml:space="preserve"> : voie veineuse périphérique de bonne qualité (ou voie centrale si traitement prolongé) ; surveillance du point de perfusion.</w:t>
      </w:r>
    </w:p>
    <w:p>
      <w:pPr>
        <w:pStyle w:val="ListBullet"/>
      </w:pPr>
      <w:r>
        <w:t>Conduite à tenir :</w:t>
      </w:r>
    </w:p>
    <w:p>
      <w:pPr>
        <w:pStyle w:val="ListBullet"/>
      </w:pPr>
      <w:r/>
      <w:r>
        <w:rPr>
          <w:b/>
        </w:rPr>
        <w:t>En cas de neutropénie fébrile</w:t>
      </w:r>
      <w:r>
        <w:t xml:space="preserve"> : hospitalisation URGENCE, antibiothérapie empirique (céphalosporine 3e génération + aminoside ou bétalactame large spectre selon protocole local), G-CSF, délai 2 semaines, réduction de dose à 75 % de la dose initiale à la cure suivante.</w:t>
      </w:r>
    </w:p>
    <w:p>
      <w:pPr>
        <w:pStyle w:val="ListBullet"/>
      </w:pPr>
      <w:r/>
      <w:r>
        <w:rPr>
          <w:b/>
        </w:rPr>
        <w:t>En cas d'hypersensibilité</w:t>
      </w:r>
      <w:r>
        <w:t xml:space="preserve"> : arrêt IMMÉDIAT de la perfusion, antihistaminique IV (dexchlorphéniramine 5-10 mg), corticothérapie IV (méthylprednisolone 40-80 mg), surveillance scope cardiorespiratoire 30 min, réadministration prudente à vitesse réduite (50 %) après disparition des symptômes — si grade 3-4 : arrêt définitif.</w:t>
      </w:r>
    </w:p>
    <w:p>
      <w:pPr>
        <w:pStyle w:val="ListBullet"/>
      </w:pPr>
      <w:r/>
      <w:r>
        <w:rPr>
          <w:b/>
        </w:rPr>
        <w:t>En cas d'hypotension à la perfusion rapide</w:t>
      </w:r>
      <w:r>
        <w:t xml:space="preserve"> : ralentir la perfusion (vitesse × 0,5), surveillance tensionnelle toutes les 5 min ; si hypotension sévère (PAS &lt; 90 mmHg) : arrêt temporaire, remplissage IV (NaCl 0,9 % 500 mL), reprise à vitesse réduite.</w:t>
      </w:r>
    </w:p>
    <w:p>
      <w:pPr>
        <w:pStyle w:val="ListBullet"/>
      </w:pPr>
      <w:r/>
      <w:r>
        <w:rPr>
          <w:b/>
        </w:rPr>
        <w:t>En cas de mucite grade ≥ 2</w:t>
      </w:r>
      <w:r>
        <w:t xml:space="preserve"> : antiseptique buccal (bicarbonate 1,2 % + chlorhexidine 0,12 %), anesthésique local (lidocaïne visqueuse 2 %), alimentation mixée tiède froide, arrêt transitoire si grade 3-4.</w:t>
      </w:r>
    </w:p>
    <w:p>
      <w:pPr>
        <w:pStyle w:val="ListBullet"/>
      </w:pPr>
      <w:r/>
      <w:r>
        <w:rPr>
          <w:b/>
        </w:rPr>
        <w:t>En cas de leucémie secondaire</w:t>
      </w:r>
      <w:r>
        <w:t xml:space="preserve"> : orientation hématologique — allogreffe de cellules souches si donneur disponible ; chimiothérapie intensive type FLAG-IDA + ARA-C high dose.</w:t>
      </w:r>
    </w:p>
    <w:p>
      <w:r/>
      <w:r>
        <w:rPr>
          <w:b/>
        </w:rPr>
        <w:t>Interactions Importantes :</w:t>
      </w:r>
      <w:r/>
    </w:p>
    <w:p>
      <w:pPr>
        <w:pStyle w:val="ListBullet"/>
      </w:pPr>
      <w:r/>
      <w:r>
        <w:rPr>
          <w:b/>
        </w:rPr>
        <w:t>Étoposide + inhibiteurs du CYP3A4</w:t>
      </w:r>
      <w:r>
        <w:t xml:space="preserve"> (azolés — kétoconazole, itraconazole, voriconazole, fluconazole, posaconazole ; antiprotéases — ritonavir, atazanavir, lopinavir ; macrolides — érythromycine, clarithromycine, télithromycine ; grapefruit) : augmentation majeure de l'AUC étoposide (× 2-3) — risque de myélosuppression sévère. Éviter ou réduire la dose à 50 %.</w:t>
      </w:r>
    </w:p>
    <w:p>
      <w:pPr>
        <w:pStyle w:val="ListBullet"/>
      </w:pPr>
      <w:r/>
      <w:r>
        <w:rPr>
          <w:b/>
        </w:rPr>
        <w:t>Étoposide + inducteurs du CYP3A4</w:t>
      </w:r>
      <w:r>
        <w:t xml:space="preserve"> (rifampicine, phénytoïne, carbamazépine, phénobarbital, millepertuis) : baisse de l'AUC étoposide — risque d'efficacité réduite. Éviter si possible.</w:t>
      </w:r>
    </w:p>
    <w:p>
      <w:pPr>
        <w:pStyle w:val="ListBullet"/>
      </w:pPr>
      <w:r/>
      <w:r>
        <w:rPr>
          <w:b/>
        </w:rPr>
        <w:t>Étoposide + cyclosporine</w:t>
      </w:r>
      <w:r>
        <w:t xml:space="preserve"> : augmentation de l'AUC étoposide (effet inhibiteur sur la P-gp et le CYP3A4) — surveillance clinique et biologique accrue ; risque de myélosuppression accrue.</w:t>
      </w:r>
    </w:p>
    <w:p>
      <w:pPr>
        <w:pStyle w:val="ListBullet"/>
      </w:pPr>
      <w:r/>
      <w:r>
        <w:rPr>
          <w:b/>
        </w:rPr>
        <w:t>Étoposide + cisplatine</w:t>
      </w:r>
      <w:r>
        <w:t xml:space="preserve"> : protocole EP, BEP, ESHAP — synergie thérapeutique ; toxicité rénale et neurotoxicité du cisplatine additif.</w:t>
      </w:r>
    </w:p>
    <w:p>
      <w:pPr>
        <w:pStyle w:val="ListBullet"/>
      </w:pPr>
      <w:r/>
      <w:r>
        <w:rPr>
          <w:b/>
        </w:rPr>
        <w:t>Étoposide + warfarine</w:t>
      </w:r>
      <w:r>
        <w:t xml:space="preserve"> : augmentation de l'INR (déplacement de la liaison protéique + baisse du facteur VII par toxicité hépatique) — surveillance INR, adaptation posologique.</w:t>
      </w:r>
    </w:p>
    <w:p>
      <w:pPr>
        <w:pStyle w:val="ListBullet"/>
      </w:pPr>
      <w:r/>
      <w:r>
        <w:rPr>
          <w:b/>
        </w:rPr>
        <w:t>Étoposide + vaccins vivants atténués</w:t>
      </w:r>
      <w:r>
        <w:t xml:space="preserve"> (BCG, fièvre jaune, ROR, varicelle, rotavirus) : contre-indication pendant et jusqu'à 3 mois après arrêt.</w:t>
      </w:r>
    </w:p>
    <w:p>
      <w:pPr>
        <w:pStyle w:val="ListBullet"/>
      </w:pPr>
      <w:r/>
      <w:r>
        <w:rPr>
          <w:b/>
        </w:rPr>
        <w:t>Étoposide + cyclophosphamide/ifosfamide</w:t>
      </w:r>
      <w:r>
        <w:t xml:space="preserve"> : protocoles BEACOPP, VIP, ICE — synergie thérapeutique ; toxicité hématologique et carcinogénique (LAM secondaire) additive — surveillance prolongée.</w:t>
      </w:r>
    </w:p>
    <w:p>
      <w:pPr>
        <w:pStyle w:val="ListBullet"/>
      </w:pPr>
      <w:r/>
      <w:r>
        <w:rPr>
          <w:b/>
        </w:rPr>
        <w:t>Étoposide + radiothérapie</w:t>
      </w:r>
      <w:r>
        <w:t xml:space="preserve"> (surtout médiastinale ou corporelle totale) : majoration du risque de leucémie secondaire et de pneumopathie radique — éviter si possible.</w:t>
      </w:r>
    </w:p>
    <w:p>
      <w:r/>
      <w:r>
        <w:rPr>
          <w:b/>
        </w:rPr>
        <w:t>Grossesse et Allaitement :</w:t>
      </w:r>
      <w:r/>
    </w:p>
    <w:p>
      <w:pPr>
        <w:pStyle w:val="ListBullet"/>
      </w:pPr>
      <w:r>
        <w:t xml:space="preserve">Grossesse : selon le CRAT, l'étoposide est classé « à éviter » (catégorie D — tératogène — études animales : embryo-létalité, foetotoxicité, tératogénicité squelettique). Contraception efficace obligatoire pendant le traitement et </w:t>
      </w:r>
      <w:r>
        <w:rPr>
          <w:b/>
        </w:rPr>
        <w:t>6 mois</w:t>
      </w:r>
      <w:r>
        <w:t xml:space="preserve"> après la dernière cure chez la femme et le partenaire masculin (données animales : toxicité testiculaire — spermatogenèse altérée). Test de grossesse pré-thérapeutique obligatoire. </w:t>
      </w:r>
      <w:r>
        <w:rPr>
          <w:b/>
        </w:rPr>
        <w:t>Conservation de gamètes</w:t>
      </w:r>
      <w:r>
        <w:t xml:space="preserve"> (cryopréservation ovocytaire ou spermatique) à discuter préalablement — particulièrement chez l'homme jeune (testicule — protocole BEP — risque stérilité définitive).</w:t>
      </w:r>
    </w:p>
    <w:p>
      <w:pPr>
        <w:pStyle w:val="ListBullet"/>
      </w:pPr>
      <w:r>
        <w:t>Allaitement : contre-indication ABSOLUE (passage dans le lait maternel — toxicité pour le nouveau-né). Arrêt de l'allaitement avant la 1re cure.</w:t>
      </w:r>
    </w:p>
    <w:p>
      <w:r/>
      <w:r>
        <w:rPr>
          <w:b/>
        </w:rPr>
        <w:t>Posologie et Mode d'Administration :</w:t>
      </w:r>
      <w:r/>
    </w:p>
    <w:p>
      <w:pPr>
        <w:pStyle w:val="ListBullet"/>
      </w:pPr>
      <w:r>
        <w:t>Adulte (cancer du testicule — BEP) :</w:t>
      </w:r>
    </w:p>
    <w:p>
      <w:pPr>
        <w:pStyle w:val="ListBullet"/>
      </w:pPr>
      <w:r/>
      <w:r>
        <w:rPr>
          <w:b/>
        </w:rPr>
        <w:t>Schéma standard</w:t>
      </w:r>
      <w:r>
        <w:t xml:space="preserve"> : 100 mg/m² J1-J5 en perfusion IV de 60 min, toutes les 3 semaines, 4 cures.</w:t>
      </w:r>
    </w:p>
    <w:p>
      <w:pPr>
        <w:pStyle w:val="ListBullet"/>
      </w:pPr>
      <w:r>
        <w:t>Adulte (CPP — EP) :</w:t>
      </w:r>
    </w:p>
    <w:p>
      <w:pPr>
        <w:pStyle w:val="ListBullet"/>
      </w:pPr>
      <w:r/>
      <w:r>
        <w:rPr>
          <w:b/>
        </w:rPr>
        <w:t>Schéma standard</w:t>
      </w:r>
      <w:r>
        <w:t xml:space="preserve"> : 100 mg/m² J1-J3 en perfusion IV de 60 min + cisplatine 75 mg/m² J1, toutes les 3 semaines, 4-6 cures.</w:t>
      </w:r>
    </w:p>
    <w:p>
      <w:pPr>
        <w:pStyle w:val="ListBullet"/>
      </w:pPr>
      <w:r>
        <w:t>Adulte (Hodgkin — BEACOPP escalated) :</w:t>
      </w:r>
    </w:p>
    <w:p>
      <w:pPr>
        <w:pStyle w:val="ListBullet"/>
      </w:pPr>
      <w:r/>
      <w:r>
        <w:rPr>
          <w:b/>
        </w:rPr>
        <w:t>Schéma standard</w:t>
      </w:r>
      <w:r>
        <w:t xml:space="preserve"> : 200 mg/m² J1-J3 en perfusion IV de 60 min, toutes les 3 semaines, 8 cures (escalated dose).</w:t>
      </w:r>
    </w:p>
    <w:p>
      <w:pPr>
        <w:pStyle w:val="ListBullet"/>
      </w:pPr>
      <w:r>
        <w:t>Adulte (LNH — ESHAP) :</w:t>
      </w:r>
    </w:p>
    <w:p>
      <w:pPr>
        <w:pStyle w:val="ListBullet"/>
      </w:pPr>
      <w:r/>
      <w:r>
        <w:rPr>
          <w:b/>
        </w:rPr>
        <w:t>Schéma standard</w:t>
      </w:r>
      <w:r>
        <w:t xml:space="preserve"> : 40 mg/m² J1-J4 en perfusion IV de 60 min + cisplatine 25 mg/m² J1-J4 + cytarabine 2 g/m² J5 + méthylprednisolone 500 mg J1-J5, toutes les 3-4 semaines, 3-4 cures.</w:t>
      </w:r>
    </w:p>
    <w:p>
      <w:pPr>
        <w:pStyle w:val="ListBullet"/>
      </w:pPr>
      <w:r>
        <w:t>Adulte (forme orale capsule 50 mg — INDISPONIBLE en Algérie) :</w:t>
      </w:r>
    </w:p>
    <w:p>
      <w:pPr>
        <w:pStyle w:val="ListBullet"/>
      </w:pPr>
      <w:r/>
      <w:r>
        <w:rPr>
          <w:b/>
        </w:rPr>
        <w:t>Schéma oral</w:t>
      </w:r>
      <w:r>
        <w:t xml:space="preserve"> : 50 mg/m² J1-J21 en prise quotidienne per os (3 capsules × 50 mg = 150 mg/jour pour 1,7 m²) — palliation CPP extensif ; ou 100 mg/m² J1-J14 tous les 28 jours.</w:t>
      </w:r>
    </w:p>
    <w:p>
      <w:pPr>
        <w:pStyle w:val="ListBullet"/>
      </w:pPr>
      <w:r>
        <w:t>Pédiatrie (sarcomes, neuroblastome) :</w:t>
      </w:r>
    </w:p>
    <w:p>
      <w:pPr>
        <w:pStyle w:val="ListBullet"/>
      </w:pPr>
      <w:r/>
      <w:r>
        <w:rPr>
          <w:b/>
        </w:rPr>
        <w:t>Schéma standard</w:t>
      </w:r>
      <w:r>
        <w:t xml:space="preserve"> : 100-150 mg/m² J1-J3 en perfusion IV de 60 min, toutes les 3 semaines.</w:t>
      </w:r>
    </w:p>
    <w:p>
      <w:pPr>
        <w:pStyle w:val="ListBullet"/>
      </w:pPr>
      <w:r>
        <w:t>Adaptation posologique :</w:t>
      </w:r>
    </w:p>
    <w:p>
      <w:pPr>
        <w:pStyle w:val="ListBullet"/>
      </w:pPr>
      <w:r>
        <w:t>Insuffisance rénale modérée (DFG 15-60 mL/min) : réduction à 75 % de la dose.</w:t>
      </w:r>
    </w:p>
    <w:p>
      <w:pPr>
        <w:pStyle w:val="ListBullet"/>
      </w:pPr>
      <w:r>
        <w:t>Insuffisance rénale sévère (DFG &lt; 15 mL/min) : contre-indication (sauf dialyse).</w:t>
      </w:r>
    </w:p>
    <w:p>
      <w:pPr>
        <w:pStyle w:val="ListBullet"/>
      </w:pPr>
      <w:r>
        <w:t>Insuffisance hépatique modérée (bilirubine 1,5-3 × LSN) : réduction à 50 %.</w:t>
      </w:r>
    </w:p>
    <w:p>
      <w:pPr>
        <w:pStyle w:val="ListBullet"/>
      </w:pPr>
      <w:r>
        <w:t>Insuffisance hépatique sévère (bilirubine 3-5 × LSN) : réduction à 25 %.</w:t>
      </w:r>
    </w:p>
    <w:p>
      <w:pPr>
        <w:pStyle w:val="ListBullet"/>
      </w:pPr>
      <w:r>
        <w:t>Insuffisance hépatique très sévère (bilirubine &gt; 5 × LSN) : contre-indication.</w:t>
      </w:r>
    </w:p>
    <w:p>
      <w:pPr>
        <w:pStyle w:val="ListBullet"/>
      </w:pPr>
      <w:r>
        <w:t>Préparation et perfusion :</w:t>
      </w:r>
    </w:p>
    <w:p>
      <w:pPr>
        <w:pStyle w:val="ListBullet"/>
      </w:pPr>
      <w:r/>
      <w:r>
        <w:rPr>
          <w:b/>
        </w:rPr>
        <w:t>Dilution</w:t>
      </w:r>
      <w:r>
        <w:t xml:space="preserve"> : la solution d'étoposide (20 mg/mL — flacons 5 mL = 100 mg) est diluée dans un minibag de 250-500 mL </w:t>
      </w:r>
      <w:r>
        <w:rPr>
          <w:b/>
        </w:rPr>
        <w:t>NaCl 0,9 %</w:t>
      </w:r>
      <w:r>
        <w:t xml:space="preserve"> (concentration finale ≤ 0,4 mg/mL — précipitation en G5 %). Dose standard pour un adulte de 1,7 m² : 100 mg/m² × 1,7 = 170 mg — soit 2 flacons de 100 mg/5 mL (200 mg).</w:t>
      </w:r>
    </w:p>
    <w:p>
      <w:pPr>
        <w:pStyle w:val="ListBullet"/>
      </w:pPr>
      <w:r/>
      <w:r>
        <w:rPr>
          <w:b/>
        </w:rPr>
        <w:t>Surveillance pendant la perfusion</w:t>
      </w:r>
      <w:r>
        <w:t xml:space="preserve"> : scope cardiorespiratoire, PAs toutes les 15 min (hypotension à la perfusion rapide), surveillance réaction d'hypersensibilité (flush, prurit, urticaire, bronchospasme).</w:t>
      </w:r>
    </w:p>
    <w:p>
      <w:pPr>
        <w:pStyle w:val="ListBullet"/>
      </w:pPr>
      <w:r/>
      <w:r>
        <w:rPr>
          <w:b/>
        </w:rPr>
        <w:t>Durée de perfusion</w:t>
      </w:r>
      <w:r>
        <w:t xml:space="preserve"> : 30-60 min (perfusion lente stricte — ne pas dépasser 4 mg/mL et 60 min).</w:t>
      </w:r>
    </w:p>
    <w:p>
      <w:pPr>
        <w:pStyle w:val="ListBullet"/>
      </w:pPr>
      <w:r/>
      <w:r>
        <w:rPr>
          <w:b/>
        </w:rPr>
        <w:t>Voie veineuse</w:t>
      </w:r>
      <w:r>
        <w:t xml:space="preserve"> : périphérique suffisante (l'étoposide est un vesicant modéré — surveillance du point de perfusion) ; voie centrale si traitement prolongé ou protocole complexe.</w:t>
      </w:r>
    </w:p>
    <w:p>
      <w:pPr>
        <w:pStyle w:val="ListBullet"/>
      </w:pPr>
      <w:r>
        <w:t>Conditions de conservation : flacons de solution à conserver à température ambiante ≤ 25 °C (ne pas congeler — précipitation). Après dilution en minibag : stabilité 4 h à température ambiante, 24 h à 2-8 °C (précipitation possible au-delà).</w:t>
      </w:r>
    </w:p>
    <w:p>
      <w:r/>
      <w:r>
        <w:rPr>
          <w:b/>
        </w:rPr>
        <w:t>Arbitrage et Bénéfices des Formes Galéniques :</w:t>
      </w:r>
      <w:r/>
    </w:p>
    <w:p>
      <w:pPr>
        <w:pStyle w:val="ListBullet"/>
      </w:pPr>
      <w:r/>
      <w:r>
        <w:rPr>
          <w:b/>
        </w:rPr>
        <w:t>Solution à diluer pour perfusion IV — 20 mg/mL (100 mg/5 mL)</w:t>
      </w:r>
      <w:r>
        <w:t xml:space="preserve"> (Etoposide Mylan — seule marque active) : galénique unique — solution prête à diluer, un seul dosage (20 mg/mL — flacons 5 mL = 100 mg). Le choix du dosage reflète les besoins typiques d'une cure (100 mg/m² × 1,7 m² = 170 mg — soit 2 flacons de 100 mg/5 mL = 200 mg). Pas d'alternative générique active — princeps exclusif.</w:t>
      </w:r>
    </w:p>
    <w:p>
      <w:pPr>
        <w:pStyle w:val="ListBullet"/>
      </w:pPr>
      <w:r/>
      <w:r>
        <w:rPr>
          <w:b/>
        </w:rPr>
        <w:t>Forme orale capsule 50 mg — INDISPONIBLE en Algérie</w:t>
      </w:r>
      <w:r>
        <w:t xml:space="preserve"> : historiquement Vepéside-Sandoz 50 mg capsules et Etosid 50 mg capsules Cipla — toutes retirées du marché algérien. Cette absence complique la prise en charge ambulatoire (cancer du poumon à petites cellules extensif en traitement d'entretien) et pédiatrique (sarcomes, neuroblastome). Alternatives : switch vers vinorelbine orale (Navelbine 30 mg capsule) ou capecitabine selon l'avis oncologique.</w:t>
      </w:r>
    </w:p>
    <w:p>
      <w:pPr>
        <w:pStyle w:val="ListBullet"/>
      </w:pPr>
      <w:r/>
      <w:r>
        <w:rPr>
          <w:b/>
        </w:rPr>
        <w:t>Conditionnement</w:t>
      </w:r>
      <w:r>
        <w:t xml:space="preserve"> : flacons unidoses — manipulation en ZAC ou hotte à flux laminaire vertical, équipements de protection individuelle obligatoires (gants nitrile double, charlotte, masque FFP2, blouse chimio).</w:t>
      </w:r>
    </w:p>
    <w:p>
      <w:pPr>
        <w:pStyle w:val="ListBullet"/>
      </w:pPr>
      <w:r/>
      <w:r>
        <w:rPr>
          <w:b/>
        </w:rPr>
        <w:t>Choix de la marque</w:t>
      </w:r>
      <w:r>
        <w:t xml:space="preserve"> : en pratique, seule Etoposide Mylan est disponible en Algérie — pas de choix possible. Anticipation indispensable en cas de rupture (communication avec Mylan Algérie — stock minimum 2 mois recommandé).</w:t>
      </w:r>
    </w:p>
    <w:p>
      <w:r/>
      <w:r>
        <w:rPr>
          <w:b/>
        </w:rPr>
        <w:t>Instructions et Conseils au Patient :</w:t>
      </w:r>
      <w:r/>
    </w:p>
    <w:p>
      <w:pPr>
        <w:pStyle w:val="ListBullet"/>
      </w:pPr>
      <w:r>
        <w:t>Communication avant la cure :</w:t>
      </w:r>
    </w:p>
    <w:p>
      <w:pPr>
        <w:pStyle w:val="ListBullet"/>
      </w:pPr>
      <w:r>
        <w:t>« Ce médicament est un anticancéreux puissant administré à l'hôpital uniquement, en perfusion veineuse de 30 à 60 minutes, sur 3 à 5 jours consécutifs, toutes les 3 semaines. Le traitement complet comporte 4 à 8 cures selon votre cancer. »</w:t>
      </w:r>
    </w:p>
    <w:p>
      <w:pPr>
        <w:pStyle w:val="ListBullet"/>
      </w:pPr>
      <w:r>
        <w:t>« Vous risquez une baisse des globules blancs (neutropénie) — surveillance par prise de sang avant chaque cure et vers le 10e-14e jour après la cure. Signalez IMMÉDIATEMENT une fièvre (≥ 38,5 °C) — urgence médicale. »</w:t>
      </w:r>
    </w:p>
    <w:p>
      <w:pPr>
        <w:pStyle w:val="ListBullet"/>
      </w:pPr>
      <w:r>
        <w:t>« Vous risquez une perte de cheveux quasi-constante mais réversible après l'arrêt du traitement. »</w:t>
      </w:r>
    </w:p>
    <w:p>
      <w:pPr>
        <w:pStyle w:val="ListBullet"/>
      </w:pPr>
      <w:r>
        <w:t>« Vous risquez des nausées (antiémétique prescrit), de la fatigue, des troubles du goût, une mucite buccale. »</w:t>
      </w:r>
    </w:p>
    <w:p>
      <w:pPr>
        <w:pStyle w:val="ListBullet"/>
      </w:pPr>
      <w:r>
        <w:t>« Signalez tout essoufflement, palpitations, vertiges, ou réaction allergique pendant la perfusion (flush, prurit, urticaire, bronchospasme). »</w:t>
      </w:r>
    </w:p>
    <w:p>
      <w:pPr>
        <w:pStyle w:val="ListBullet"/>
      </w:pPr>
      <w:r>
        <w:t>« Ce médicament augmente le risque à long terme (2 à 5 ans après) de développer une leucémie — surveillance par prise de sang annuelle pendant 5 à 10 ans après le traitement. »</w:t>
      </w:r>
    </w:p>
    <w:p>
      <w:pPr>
        <w:pStyle w:val="ListBullet"/>
      </w:pPr>
      <w:r>
        <w:t>« Si vous êtes une femme en âge de procréer, une contraception efficace est OBLIGATOIRE pendant tout le traitement et 6 mois après la dernière cure. Test de grossesse préalable obligatoire. »</w:t>
      </w:r>
    </w:p>
    <w:p>
      <w:pPr>
        <w:pStyle w:val="ListBullet"/>
      </w:pPr>
      <w:r>
        <w:t>« Évitez les vaccins vivants pendant le traitement et 3 mois après. »</w:t>
      </w:r>
    </w:p>
    <w:p>
      <w:pPr>
        <w:pStyle w:val="ListBullet"/>
      </w:pPr>
      <w:r>
        <w:t>« Évitez le pamplemousse pendant le traitement. »</w:t>
      </w:r>
    </w:p>
    <w:p>
      <w:pPr>
        <w:pStyle w:val="ListBullet"/>
      </w:pPr>
      <w:r>
        <w:t>Surveillance à domicile :</w:t>
      </w:r>
    </w:p>
    <w:p>
      <w:pPr>
        <w:pStyle w:val="ListBullet"/>
      </w:pPr>
      <w:r>
        <w:t>Prendre la température 2 fois/jour pendant 3 semaines après chaque cure.</w:t>
      </w:r>
    </w:p>
    <w:p>
      <w:pPr>
        <w:pStyle w:val="ListBullet"/>
      </w:pPr>
      <w:r>
        <w:t>Surveiller les selles (constipation).</w:t>
      </w:r>
    </w:p>
    <w:p>
      <w:pPr>
        <w:pStyle w:val="ListBullet"/>
      </w:pPr>
      <w:r>
        <w:t>Hydratation PO abondante (1,5-2 L/j).</w:t>
      </w:r>
    </w:p>
    <w:p>
      <w:pPr>
        <w:pStyle w:val="ListBullet"/>
      </w:pPr>
      <w:r>
        <w:t>Alimentation équilibrée — supplémentation vitaminique si anorexie.</w:t>
      </w:r>
    </w:p>
    <w:p>
      <w:pPr>
        <w:pStyle w:val="ListBullet"/>
      </w:pPr>
      <w:r>
        <w:t>Éviter les contacts avec personnes malades (infections) pendant les 2 semaines suivant la cure.</w:t>
      </w:r>
    </w:p>
    <w:p>
      <w:pPr>
        <w:pStyle w:val="ListBullet"/>
      </w:pPr>
      <w:r>
        <w:t>NFS annuelle pendant 5-10 ans post-traitement (recherche de leucémie secondaire).</w:t>
      </w:r>
    </w:p>
    <w:p>
      <w:r/>
      <w:r>
        <w:rPr>
          <w:b/>
        </w:rPr>
        <w:t>Notes, Règles d'Or &amp; Pièges au Comptoir :</w:t>
      </w:r>
      <w:r/>
    </w:p>
    <w:p>
      <w:pPr>
        <w:pStyle w:val="ListBullet"/>
      </w:pPr>
      <w:r>
        <w:t xml:space="preserve">Piège classique : </w:t>
      </w:r>
      <w:r>
        <w:rPr>
          <w:b/>
        </w:rPr>
        <w:t>perfusion trop rapide</w:t>
      </w:r>
      <w:r>
        <w:t xml:space="preserve"> — hypotension brutale si perfusion IV &lt; 30 min (concentration &gt; 0,4 mg/mL ou vitesse &gt; 4 mg/mL/h) — perfusion stricte sur 30-60 min — surveillance tensionnelle toutes les 15 min.</w:t>
      </w:r>
    </w:p>
    <w:p>
      <w:pPr>
        <w:pStyle w:val="ListBullet"/>
      </w:pPr>
      <w:r>
        <w:t xml:space="preserve">Piège classique : </w:t>
      </w:r>
      <w:r>
        <w:rPr>
          <w:b/>
        </w:rPr>
        <w:t>dilution en G5 %</w:t>
      </w:r>
      <w:r>
        <w:t xml:space="preserve"> — précipitation immédiate de l'étoposide — dilution obligatoire en NaCl 0,9 % avec concentration finale ≤ 0,4 mg/mL.</w:t>
      </w:r>
    </w:p>
    <w:p>
      <w:pPr>
        <w:pStyle w:val="ListBullet"/>
      </w:pPr>
      <w:r>
        <w:t xml:space="preserve">Piège classique : </w:t>
      </w:r>
      <w:r>
        <w:rPr>
          <w:b/>
        </w:rPr>
        <w:t>oubli de la prémédication anti-histaminique</w:t>
      </w:r>
      <w:r>
        <w:t xml:space="preserve"> — hypersensibilité anaphylactoïde (polysorbate 80, éthanol, glycofurol) — prémédication systématique proposée.</w:t>
      </w:r>
    </w:p>
    <w:p>
      <w:pPr>
        <w:pStyle w:val="ListBullet"/>
      </w:pPr>
      <w:r>
        <w:t xml:space="preserve">Piège classique : </w:t>
      </w:r>
      <w:r>
        <w:rPr>
          <w:b/>
        </w:rPr>
        <w:t>tubulure en PVC avec DEHP</w:t>
      </w:r>
      <w:r>
        <w:t xml:space="preserve"> — le DEHP est lessivé par le polysorbate 80 — risque de relargage toxique — tubulure en polyéthylène ou polyoléfine obligatoire.</w:t>
      </w:r>
    </w:p>
    <w:p>
      <w:pPr>
        <w:pStyle w:val="ListBullet"/>
      </w:pPr>
      <w:r>
        <w:t xml:space="preserve">Piège classique : </w:t>
      </w:r>
      <w:r>
        <w:rPr>
          <w:b/>
        </w:rPr>
        <w:t>oubli de la surveillance prolongée NFS annuelle</w:t>
      </w:r>
      <w:r>
        <w:t xml:space="preserve"> — leucémie secondaire 2-5 ans post-traitement (translocation 11q23/MLL) — information patient obligatoire.</w:t>
      </w:r>
    </w:p>
    <w:p>
      <w:pPr>
        <w:pStyle w:val="ListBullet"/>
      </w:pPr>
      <w:r>
        <w:t xml:space="preserve">Piège classique : </w:t>
      </w:r>
      <w:r>
        <w:rPr>
          <w:b/>
        </w:rPr>
        <w:t>forme orale capsule INDISPONIBLE</w:t>
      </w:r>
      <w:r>
        <w:t xml:space="preserve"> — toutes les marques de capsules 50 mg retirées du marché algérien — alternatives : vinorelbine orale ou capecitabine selon avis oncologique.</w:t>
      </w:r>
    </w:p>
    <w:p>
      <w:pPr>
        <w:pStyle w:val="ListBullet"/>
      </w:pPr>
      <w:r>
        <w:t xml:space="preserve">Piège classique : </w:t>
      </w:r>
      <w:r>
        <w:rPr>
          <w:b/>
        </w:rPr>
        <w:t>adaptation hépatique oubliée</w:t>
      </w:r>
      <w:r>
        <w:t xml:space="preserve"> — bilirubine 1,5-3 × LSN : réduction à 50 % ; bilirubine 3-5 × LSN : réduction à 25 % ; bilirubine &gt; 5 × LSN : contre-indication.</w:t>
      </w:r>
    </w:p>
    <w:p>
      <w:pPr>
        <w:pStyle w:val="ListBullet"/>
      </w:pPr>
      <w:r>
        <w:t xml:space="preserve">Piège classique : </w:t>
      </w:r>
      <w:r>
        <w:rPr>
          <w:b/>
        </w:rPr>
        <w:t>extravasation</w:t>
      </w:r>
      <w:r>
        <w:t xml:space="preserve"> — l'étoposide est un vesicant modéré — surveillance du point de perfusion ; en cas d'extravasation : arrêt immédiat, aspiration, compresses chaudes + hyaluronidase 150-300 UI SC.</w:t>
      </w:r>
    </w:p>
    <w:p>
      <w:pPr>
        <w:pStyle w:val="ListBullet"/>
      </w:pPr>
      <w:r>
        <w:t>Règle d'or : perfusion IV stricte sur 30-60 min — surveillance tensionnelle toutes les 15 min.</w:t>
      </w:r>
    </w:p>
    <w:p>
      <w:pPr>
        <w:pStyle w:val="ListBullet"/>
      </w:pPr>
      <w:r>
        <w:t>Règle d'or : dilution en NaCl 0,9 % (concentration finale ≤ 0,4 mg/mL) — ne jamais diluer en G5 %.</w:t>
      </w:r>
    </w:p>
    <w:p>
      <w:pPr>
        <w:pStyle w:val="ListBullet"/>
      </w:pPr>
      <w:r>
        <w:t>Règle d'or : prémédication anti-histaminique systématique proposée.</w:t>
      </w:r>
    </w:p>
    <w:p>
      <w:pPr>
        <w:pStyle w:val="ListBullet"/>
      </w:pPr>
      <w:r>
        <w:t>Règle d'or : tubulure sans DEHP (polyéthylène ou polyoléfine).</w:t>
      </w:r>
    </w:p>
    <w:p>
      <w:pPr>
        <w:pStyle w:val="ListBullet"/>
      </w:pPr>
      <w:r>
        <w:t>Règle d'or : NFS avant chaque cure — pas de cure si PNN &lt; 1 500/mm³.</w:t>
      </w:r>
    </w:p>
    <w:p>
      <w:pPr>
        <w:pStyle w:val="ListBullet"/>
      </w:pPr>
      <w:r>
        <w:t>Règle d'or : information patient sur le risque de leucémie secondaire (2-5 ans post-traitement) — NFS annuelle 5-10 ans.</w:t>
      </w:r>
    </w:p>
    <w:p>
      <w:pPr>
        <w:pStyle w:val="ListBullet"/>
      </w:pPr>
      <w:r>
        <w:t>Règle d'or : contraception efficace obligatoire (6 mois post-traitement).</w:t>
      </w:r>
    </w:p>
    <w:p>
      <w:pPr>
        <w:pStyle w:val="ListBullet"/>
      </w:pPr>
      <w:r>
        <w:t>Règle d'or : conservation de gamètes préalable (spermatique surtout chez l'homme jeune — protocole BEP — risque stérilité).</w:t>
      </w:r>
    </w:p>
    <w:p>
      <w:pPr>
        <w:pStyle w:val="ListBullet"/>
      </w:pPr>
      <w:r>
        <w:t>Préparation et Conservation : flacons de solution à conserver à température ambiante ≤ 25 °C (ne pas congeler — précipitation). Après dilution en minibag : stabilité 4 h à température ambiante, 24 h à 2-8 °C.</w:t>
      </w:r>
    </w:p>
    <w:p>
      <w:pPr>
        <w:pStyle w:val="Heading2"/>
      </w:pPr>
      <w:r>
        <w:t>Sous-classe 5 — Inhibiteurs de la topoisomérase I (Irinotécan)</w:t>
      </w:r>
    </w:p>
    <w:p>
      <w:r>
        <w:t xml:space="preserve">La topoisomérase I (topo I) est une enzyme nucléaire ubiquitaire qui règle le niveau de super-enroulement de l'ADN au cours de la transcription et de la réplication. À la différence de la topoisomérase II qui coupe transitoirement les </w:t>
      </w:r>
      <w:r>
        <w:rPr>
          <w:b/>
        </w:rPr>
        <w:t>deux brins</w:t>
      </w:r>
      <w:r>
        <w:t xml:space="preserve"> de l'ADN double-hélice (DSB), la topo I ne coupe qu'</w:t>
      </w:r>
      <w:r>
        <w:rPr>
          <w:b/>
        </w:rPr>
        <w:t>un seul brin</w:t>
      </w:r>
      <w:r>
        <w:t xml:space="preserve"> (SSB — cassure simple-brin transitoire) — par formation d'une liaison covalente 3′-phospho-tyrosyl entre le résidu Tyr723 de l'enzyme et l'extrémité 3′-OH du brin coupé. L'autre brin d'ADN passe à travers la coupure (rotation controlée par l'enzyme — strand rotation) pour relâcher la tension de super-enroulement, puis la topo I </w:t>
      </w:r>
      <w:r>
        <w:rPr>
          <w:b/>
        </w:rPr>
        <w:t>relige</w:t>
      </w:r>
      <w:r>
        <w:t xml:space="preserve"> le brin coupé (« réligation ») — opération appelée « cycle catalytique » (4 étapes conformationnelles : liaison, coupure, rotation, réligation). Les inhibiteurs de topo I sont des </w:t>
      </w:r>
      <w:r>
        <w:rPr>
          <w:b/>
        </w:rPr>
        <w:t>poisons</w:t>
      </w:r>
      <w:r>
        <w:t xml:space="preserve"> (et non des inhibiteurs catalytiques) : ils se fixent au complexe ADN–topo I </w:t>
      </w:r>
      <w:r>
        <w:rPr>
          <w:b/>
        </w:rPr>
        <w:t>après la coupure mais avant la réligation</w:t>
      </w:r>
      <w:r>
        <w:t xml:space="preserve">, stabilisant ainsi un intermédiaire covalent normalement transitoire dit </w:t>
      </w:r>
      <w:r>
        <w:rPr>
          <w:b/>
        </w:rPr>
        <w:t>« complexe clivable »</w:t>
      </w:r>
      <w:r>
        <w:t xml:space="preserve"> (cleavable complex). L'accumulation de ces complexes clivables aboutit, lors du passage des fourches de réplication en phase S, à la conversion des cassures simple-brin transitoires en </w:t>
      </w:r>
      <w:r>
        <w:rPr>
          <w:b/>
        </w:rPr>
        <w:t>cassures double-brin permanentes</w:t>
      </w:r>
      <w:r>
        <w:t xml:space="preserve"> (DSB — collision entre le complexe clivable stabilisé et la fourche de réplication) — événement létal pour la cellule (apoptose).</w:t>
      </w:r>
    </w:p>
    <w:p>
      <w:r/>
      <w:r>
        <w:rPr>
          <w:b/>
        </w:rPr>
        <w:t>Histoire naturelle et chimique de l'irinotécan :</w:t>
      </w:r>
      <w:r>
        <w:t xml:space="preserve"> l'histoire de cette classe est indissociable de celle de la </w:t>
      </w:r>
      <w:r>
        <w:rPr>
          <w:b/>
        </w:rPr>
        <w:t>camptothécine</w:t>
      </w:r>
      <w:r>
        <w:t xml:space="preserve">, un alcaloïde monoterpène-indolique pentacyclique isolé en 1966 par les Drs Wall et Wani (Research Triangle Institute, Caroline du Nord — les mêmes chercheurs qui isolèrent le paclitaxel) à partir de l'écorce et du bois de </w:t>
      </w:r>
      <w:r>
        <w:rPr>
          <w:i/>
        </w:rPr>
        <w:t>Camptotheca acuminata</w:t>
      </w:r>
      <w:r>
        <w:t xml:space="preserve"> Decaisne (Nyssacées — arbre originaire de Chine, dit « Happy Tree » ou « arbre du bonheur » en raison de son usage traditionnel contre diverses affections en médecine chinoise — également appelé </w:t>
      </w:r>
      <w:r>
        <w:rPr>
          <w:i/>
        </w:rPr>
        <w:t>Xi shu</w:t>
      </w:r>
      <w:r>
        <w:t xml:space="preserve"> « arbre de l'aisance »). La camptothécine fut initialement identifiée par son activité cytotoxique remarquable (IC50 sub-nanomolaire) sur cellules L1210. Le mécanisme d'action (inhibition de la topoisomérase I) fut élucidé en 1985 par Hsiang et Liu (université Johns Hopkins). La camptothécine naturelle fut testée en clinique dans les années 1970 (NCI), mais son utilisation fut compromise par deux obstacles majeurs : (i) sa </w:t>
      </w:r>
      <w:r>
        <w:rPr>
          <w:b/>
        </w:rPr>
        <w:t>faible solubilité aqueuse</w:t>
      </w:r>
      <w:r>
        <w:t xml:space="preserve"> (extrêmement insoluble — nécessité de formuler en sel de sodium ouvert d'anneau — forme inactive car le cycle lactone E est ouvert en hydroxy-acide à pH physiologique, avec perte de l'activité cytotoxique) ; (ii) une </w:t>
      </w:r>
      <w:r>
        <w:rPr>
          <w:b/>
        </w:rPr>
        <w:t>toxicité hématologique et digestive sévère</w:t>
      </w:r>
      <w:r>
        <w:t xml:space="preserve"> (myélosuppression profonde, diarrhée profuse, hémorragies) à des doses non reproductibles. Le programme clinique de la camptothécine fut interrompu en 1972.</w:t>
      </w:r>
    </w:p>
    <w:p>
      <w:r/>
      <w:r>
        <w:rPr>
          <w:b/>
        </w:rPr>
        <w:t>Le développement des analogues semi-synthétiques (1980-1990) :</w:t>
      </w:r>
      <w:r>
        <w:t xml:space="preserve"> à la suite de l'échec clinique de la camptothécine native, plusieurs laboratoires entreprirent la synthèse d'analogues semi-synthétiques conservant le cycle lactone E (essentiel pour l'activité — la forme ouverte hydroxy-acide est inactive) et améliorant la solubilité aqueuse. Trois composés émergèrent et furent commercialisés :</w:t>
      </w:r>
    </w:p>
    <w:p>
      <w:pPr>
        <w:pStyle w:val="ListNumber"/>
      </w:pPr>
      <w:r/>
      <w:r>
        <w:rPr>
          <w:b/>
        </w:rPr>
        <w:t>Irinotécan</w:t>
      </w:r>
      <w:r>
        <w:t xml:space="preserve"> (CPT-11 — Pharmacia &amp; Upjohn, devenue Pfizer — synthétisé en 1985 par Sawada et al. à partir de la camptothécine par adjonction d'un groupe </w:t>
      </w:r>
      <w:r>
        <w:rPr>
          <w:b/>
        </w:rPr>
        <w:t>diphényl-amino-éthyl-pipéridino</w:t>
      </w:r>
      <w:r>
        <w:t xml:space="preserve"> en position 10). Prodrogue hydrophile, convertie *in vivo* par la </w:t>
      </w:r>
      <w:r>
        <w:rPr>
          <w:b/>
        </w:rPr>
        <w:t>carboxylestérase 2 (CES2)</w:t>
      </w:r>
      <w:r>
        <w:t xml:space="preserve"> hépatique et intestinale en métabolite actif </w:t>
      </w:r>
      <w:r>
        <w:rPr>
          <w:b/>
        </w:rPr>
        <w:t>SN-38</w:t>
      </w:r>
      <w:r>
        <w:t xml:space="preserve"> (7-éthyl-10-hydroxy-camptothécine — 100 à 1 000 fois plus actif que l'irinotécan parent). Le SN-38 est lui-même inactivé par glucuroconjugaison par l'</w:t>
      </w:r>
      <w:r>
        <w:rPr>
          <w:b/>
        </w:rPr>
        <w:t>UGT1A1</w:t>
      </w:r>
      <w:r>
        <w:t xml:space="preserve"> — d'où le rôle critique du polymorphisme *UGT1A1\*28* dans la prédiction de la toxicité sévère (syndrome de Gilbert — 8-10 % de la population caucasienne homozygote). Commercialisé en 1994 au Japon (Yakult) et aux États-Unis (Pharmacia &amp; Upjohn, 1996), puis en Europe (1995). Médicament princeps : Campto® (Pfizer).</w:t>
      </w:r>
    </w:p>
    <w:p>
      <w:pPr>
        <w:pStyle w:val="ListNumber"/>
      </w:pPr>
      <w:r/>
      <w:r>
        <w:rPr>
          <w:b/>
        </w:rPr>
        <w:t>Topotécan</w:t>
      </w:r>
      <w:r>
        <w:t xml:space="preserve"> (SK&amp;F 104864 — GlaxoSmithKline — synthétisé en 1987 — dérivé </w:t>
      </w:r>
      <w:r>
        <w:rPr>
          <w:b/>
        </w:rPr>
        <w:t>diméthyl-hydroxyl</w:t>
      </w:r>
      <w:r>
        <w:t xml:space="preserve"> de la camptothécine). Commercialisé en 1996 — indication : cancer de l'ovaire en 2e ligne, CBNPC en 2e ligne — non disponible en Algérie (à vérifier dans nomenclature).</w:t>
      </w:r>
    </w:p>
    <w:p>
      <w:pPr>
        <w:pStyle w:val="ListNumber"/>
      </w:pPr>
      <w:r/>
      <w:r>
        <w:rPr>
          <w:b/>
        </w:rPr>
        <w:t>Bélotécan</w:t>
      </w:r>
      <w:r>
        <w:t xml:space="preserve"> (CKD-602 — Chong Kun Dang, Corée) — commercialisé en Corée uniquement.</w:t>
      </w:r>
    </w:p>
    <w:p>
      <w:r>
        <w:t>Le développement de l'irinotécan a été marqué par deux essais cliniques pivot : (i) l'essai de Saltz et al. (</w:t>
      </w:r>
      <w:r>
        <w:rPr>
          <w:i/>
        </w:rPr>
        <w:t>NEJM</w:t>
      </w:r>
      <w:r>
        <w:t xml:space="preserve"> 2000) démontrant la supériorité de l'irinotécan + 5-FU/acide folinique (protocole </w:t>
      </w:r>
      <w:r>
        <w:rPr>
          <w:b/>
        </w:rPr>
        <w:t>FOLFIRI</w:t>
      </w:r>
      <w:r>
        <w:t xml:space="preserve"> ou IFL) vs 5-FU/acide folinique seul en 1re ligne du cancer colorectal métastatique — survie globale 14,8 mois vs 12,6 mois ; (ii) l'essai de Douillard et al. (</w:t>
      </w:r>
      <w:r>
        <w:rPr>
          <w:i/>
        </w:rPr>
        <w:t>Lancet</w:t>
      </w:r>
      <w:r>
        <w:t xml:space="preserve"> 2000) — protocole FOLFIRI en 1re ligne vs 5-FU seul — survie globale 17,4 mois vs 14,1 mois. L'irinotécan devint un pilier des protocoles colorectaux (FOLFIRI, FOLFIRINOX, FOLFIRI + bevacizumab/cétuximab/panitumumab) et, plus récemment, des protocoles pancréatiques (</w:t>
      </w:r>
      <w:r>
        <w:rPr>
          <w:b/>
        </w:rPr>
        <w:t>FOLFIRINOX</w:t>
      </w:r>
      <w:r>
        <w:t xml:space="preserve"> — Conroy et al., </w:t>
      </w:r>
      <w:r>
        <w:rPr>
          <w:i/>
        </w:rPr>
        <w:t>NEJM</w:t>
      </w:r>
      <w:r>
        <w:t xml:space="preserve"> 2011 — premier protocole à surpasser la gemcitabine en 1re ligne du cancer pancréatique métastatique — survie globale 11,1 mois vs 6,8 mois). L'irinotécan est également indiqué en 2e ligne du cancer colorectal métastatique en monothérapie (protocole irinotécan 350 mg/m² J1 toutes les 3 semaines) après échec d'un protocole à base de 5-FU (essai Cunningham et al., </w:t>
      </w:r>
      <w:r>
        <w:rPr>
          <w:i/>
        </w:rPr>
        <w:t>Lancet</w:t>
      </w:r>
      <w:r>
        <w:t xml:space="preserve"> 1998 — survie globale 9,2 mois vs 6,5 mois pour BSC).</w:t>
      </w:r>
    </w:p>
    <w:p>
      <w:r/>
      <w:r>
        <w:rPr>
          <w:b/>
        </w:rPr>
        <w:t>Mécanisme moléculaire détaillé de l'irinotécan :</w:t>
      </w:r>
      <w:r>
        <w:t xml:space="preserve"> l'irinotécan est une </w:t>
      </w:r>
      <w:r>
        <w:rPr>
          <w:b/>
        </w:rPr>
        <w:t>prodrogue</w:t>
      </w:r>
      <w:r>
        <w:t xml:space="preserve"> — son activité cytotoxique provient du métabolite actif </w:t>
      </w:r>
      <w:r>
        <w:rPr>
          <w:b/>
        </w:rPr>
        <w:t>SN-38</w:t>
      </w:r>
      <w:r>
        <w:t xml:space="preserve"> (7-éthyl-10-hydroxy-camptothécine) généré par hydrolyse par la </w:t>
      </w:r>
      <w:r>
        <w:rPr>
          <w:b/>
        </w:rPr>
        <w:t>carboxylestérase 2 (CES2)</w:t>
      </w:r>
      <w:r>
        <w:t xml:space="preserve"> — enzyme principalement hépatique (microsomes) et intestinale (entérocytes). Le SN-38 est 100 à 1 000 fois plus actif que l'irinotécan parent (IC50 SN-38 ~ 1 nM vs IC50 irinotécan ~ 1 µM). Le SN-38 se fixe au complexe ADN–topo I (après la coupure simple-brin transitoire du brin ADN) </w:t>
      </w:r>
      <w:r>
        <w:rPr>
          <w:b/>
        </w:rPr>
        <w:t>empêchant la réligation</w:t>
      </w:r>
      <w:r>
        <w:t xml:space="preserve"> du complexe clivable. L'accumulation des complexes clivables aboutit, lors du passage des fourches de réplication (phase S), à la conversion des cassures simple-brin transitoires en </w:t>
      </w:r>
      <w:r>
        <w:rPr>
          <w:b/>
        </w:rPr>
        <w:t>cassures double-brin permanentes</w:t>
      </w:r>
      <w:r>
        <w:t xml:space="preserve"> — événement létal (apoptose). L'effet est donc </w:t>
      </w:r>
      <w:r>
        <w:rPr>
          <w:b/>
        </w:rPr>
        <w:t>phase-spécifique S</w:t>
      </w:r>
      <w:r>
        <w:t xml:space="preserve"> (mais aussi G2/M). Le SN-38 est lui-même inactivé par </w:t>
      </w:r>
      <w:r>
        <w:rPr>
          <w:b/>
        </w:rPr>
        <w:t>glucuroconjugaison</w:t>
      </w:r>
      <w:r>
        <w:t xml:space="preserve"> par l'</w:t>
      </w:r>
      <w:r>
        <w:rPr>
          <w:b/>
        </w:rPr>
        <w:t>UGT1A1</w:t>
      </w:r>
      <w:r>
        <w:t xml:space="preserve"> (UDP-glucuronosyltransférase 1A1 — enzyme hépatique responsable de la glucuroconjugaison de la bilirubine) en </w:t>
      </w:r>
      <w:r>
        <w:rPr>
          <w:b/>
        </w:rPr>
        <w:t>SN-38 glucuronide</w:t>
      </w:r>
      <w:r>
        <w:t xml:space="preserve"> (SN-38G — inactif, excrété dans la bile). Le SN-38G est ensuite réactivé en SN-38 dans l'intestin par la </w:t>
      </w:r>
      <w:r>
        <w:rPr>
          <w:b/>
        </w:rPr>
        <w:t>β-glucuronidase bactérienne</w:t>
      </w:r>
      <w:r>
        <w:t xml:space="preserve"> intestinale (Clostridium, E. coli, Bacteroides) — d'où le rôle clé de la déconjugaison intestinale dans la </w:t>
      </w:r>
      <w:r>
        <w:rPr>
          <w:b/>
        </w:rPr>
        <w:t>diarrhée tardive</w:t>
      </w:r>
      <w:r>
        <w:t xml:space="preserve"> (effet « entéro-hépatique » toxique).</w:t>
      </w:r>
    </w:p>
    <w:p>
      <w:r>
        <w:t>*</w:t>
      </w:r>
      <w:r>
        <w:rPr>
          <w:i/>
        </w:rPr>
        <w:t>Le polymorphisme UGT1A1\</w:t>
      </w:r>
      <w:r>
        <w:t>28 — clé de la toxicité :*</w:t>
      </w:r>
      <w:r>
        <w:rPr>
          <w:i/>
        </w:rPr>
        <w:t xml:space="preserve"> le gène </w:t>
      </w:r>
      <w:r>
        <w:t>UGT1A1</w:t>
      </w:r>
      <w:r>
        <w:rPr>
          <w:i/>
        </w:rPr>
        <w:t xml:space="preserve"> présente un polymorphisme génétique fréquent dans le promoteur — la mutation </w:t>
      </w:r>
      <w:r>
        <w:t>UGT1A1\</w:t>
      </w:r>
      <w:r>
        <w:rPr>
          <w:i/>
        </w:rPr>
        <w:t>28</w:t>
      </w:r>
      <w:r>
        <w:t xml:space="preserve"> (TA indel — 7 répétitions TA au lieu de 6 dans la séquence TATA-box du promoteur — également appelée (TA)7TAA vs (TA)6TAA — aussi connu comme variant Gilbert TATA-box). Ce polymorphisme réduit l'expression de l'UGT1A1 de ~ 70 % chez les homozygotes </w:t>
      </w:r>
      <w:r>
        <w:rPr>
          <w:i/>
        </w:rPr>
        <w:t>28/</w:t>
      </w:r>
      <w:r>
        <w:t xml:space="preserve">28 (fréquence ~ 8-10 % chez les Caucasiens, ~ 4-6 % chez les Asiatiques, ~ 15-20 % chez les Africains sub-sahariens). Les homozygotes </w:t>
      </w:r>
      <w:r>
        <w:rPr>
          <w:i/>
        </w:rPr>
        <w:t>28/</w:t>
      </w:r>
      <w:r>
        <w:t xml:space="preserve">28 (syndrome de Gilbert — hyperbilirubinémie non conjuguée modérée asymptomatique) ont une capacité réduite de glucuroconjugaison du SN-38 → </w:t>
      </w:r>
      <w:r>
        <w:rPr>
          <w:b/>
        </w:rPr>
        <w:t>augmentation de l'exposition au SN-38</w:t>
      </w:r>
      <w:r>
        <w:t xml:space="preserve"> (× 3 à × 5) → </w:t>
      </w:r>
      <w:r>
        <w:rPr>
          <w:b/>
        </w:rPr>
        <w:t>risque majeur de toxicité sévère</w:t>
      </w:r>
      <w:r>
        <w:t xml:space="preserve"> : neutropénie fébrile (× 3-5), diarrhée tardive grade 3-4 (× 2-3). La FDA a approuvé en 2005 un test pharmacogénétique (test UGT1A1</w:t>
      </w:r>
      <w:r>
        <w:rPr>
          <w:i/>
        </w:rPr>
        <w:t xml:space="preserve">28 — kits Invader® Third Wave Technologies) et recommande une </w:t>
      </w:r>
      <w:r/>
      <w:r>
        <w:rPr>
          <w:i/>
        </w:rPr>
        <w:t>réduction de dose initiale à 75 % de la dose standard</w:t>
      </w:r>
      <w:r/>
      <w:r>
        <w:rPr>
          <w:i/>
        </w:rPr>
        <w:t xml:space="preserve"> (soit irinotécan 180 mg/m² au lieu de 240 mg/m² en protocole FOLFIRI) chez les homozygotes </w:t>
      </w:r>
      <w:r>
        <w:t>28/*28. L'EMA européenne a suivi. Ce test pharmacogénétique est encore peu utilisé en pratique clinique algérienne — il devrait systématiquement être proposé avant la 1re cure d'irinotécan (en particulier en FOLFIRI, FOLFIRINOX, ou monothérapie 350 mg/m²).</w:t>
      </w:r>
    </w:p>
    <w:p>
      <w:r/>
      <w:r>
        <w:rPr>
          <w:b/>
        </w:rPr>
        <w:t>Particularités algériennes :</w:t>
      </w:r>
      <w:r>
        <w:t xml:space="preserve"> l'irinotécan est disponible en Algérie sous 6 spécialités, dont </w:t>
      </w:r>
      <w:r>
        <w:rPr>
          <w:b/>
        </w:rPr>
        <w:t>5 actives</w:t>
      </w:r>
      <w:r>
        <w:t xml:space="preserve"> — Ertican (Cipla Limited), Iricol (Accord Healthcare Limited), Irinotecan Mylan (Mylan SAS), Pipetecan (Richmond S.A.C.I.F), Tekamen (Mustafa Nevzat Ilac Sanayii AS — Turkish) — et </w:t>
      </w:r>
      <w:r>
        <w:rPr>
          <w:b/>
        </w:rPr>
        <w:t>1 NON_RENOUVELABLE</w:t>
      </w:r>
      <w:r>
        <w:t xml:space="preserve"> — Campto (Pfizer Holding France — médicament princeps). Tous les dosages sont à 20 mg/mL (40 mg/2 mL et 100 mg/5 mL). Cette diversité de marques actives est exceptionnelle comparée aux autres cytotoxiques — reflet du succès clinique de l'irinotécan dans les protocoles FOLFIRI et FOLFIRINOX et de la multiplicité des génériqueurs internationaux présents en Algérie (Indien, Turc, Espagnol, Français, Argentin).</w:t>
      </w:r>
    </w:p>
    <w:p>
      <w:pPr>
        <w:pStyle w:val="Heading3"/>
      </w:pPr>
      <w:r>
        <w:t>11. DCI : Irinotécan (Seul)</w:t>
      </w:r>
    </w:p>
    <w:p>
      <w:r/>
      <w:r>
        <w:rPr>
          <w:b/>
        </w:rPr>
        <w:t>Liste des Catégories :</w:t>
      </w:r>
      <w:r>
        <w:t xml:space="preserve"> Cytotoxique — Camptothécine semi-synthétique (dérivé de </w:t>
      </w:r>
      <w:r>
        <w:rPr>
          <w:i/>
        </w:rPr>
        <w:t>Camptotheca acuminata</w:t>
      </w:r>
      <w:r>
        <w:t xml:space="preserve"> — « Happy Tree ») ; Prodrogue métabolisée par la carboxylestérase 2 (CES2) en métabolite actif SN-38 (100-1000× plus actif) ; Poison de la topoisomérase I (stabilisateur du complexe clivable ADN–topo I — coupures double-brin ADN) ; Médicament à surveillance pharmacogénétique UGT1A1*28 (syndrome de Gilbert) ; Syndrome cholinergique précoce (≤ 24 h — atropine) ; Diarrhée tardive sévère (J+3 à J+10 — lopéramide d'emblée) ; Médicament à surveillance hématologique stricte (neutropénie très fréquente) ; Forme IV stricte — par perfusion IV de 30-90 min ; Tératogène (catégorie D — CRAT : « à éviter ») ; Prescription réservée aux spécialistes en oncologie médicale digestive ; Liste I ; médication hospitalière stricte.</w:t>
      </w:r>
    </w:p>
    <w:p>
      <w:r>
        <w:t xml:space="preserve">L'irinotécan (chlorhydrate trihydrate d'irinotécan, dénomination commune internationale : irinotecan — masse molaire 677 g/mol pour le chlorhydrate trihydrate, formule brute C33H38N4O6 · HCl · 3H2O) est un alcaloïde pentacyclique semi-synthétique dérivé de la </w:t>
      </w:r>
      <w:r>
        <w:rPr>
          <w:b/>
        </w:rPr>
        <w:t>camptothécine</w:t>
      </w:r>
      <w:r>
        <w:t xml:space="preserve"> (métabolite secondaire extrait de l'écorce et du bois de </w:t>
      </w:r>
      <w:r>
        <w:rPr>
          <w:i/>
        </w:rPr>
        <w:t>Camptotheca acuminata</w:t>
      </w:r>
      <w:r>
        <w:t xml:space="preserve"> Decaisne — Nyssacée, arbre chinois dit « Happy Tree » ou « arbre du bonheur »). Sa structure diffère de la camptothécine native par l'adjonction d'un groupe </w:t>
      </w:r>
      <w:r>
        <w:rPr>
          <w:b/>
        </w:rPr>
        <w:t>bispipéridino-diphényl-éthyl</w:t>
      </w:r>
      <w:r>
        <w:t xml:space="preserve"> en position C10 (10-[4-(1-pipéridino)-1-pipéridino-carbonyloxyl]-camptothécine) — qui rend la molécule hydrosoluble (sel de chlorhydrate) et permet une administration IV simple (sans solvant lourd). L'irinotécan est une </w:t>
      </w:r>
      <w:r>
        <w:rPr>
          <w:b/>
        </w:rPr>
        <w:t>prodrogue</w:t>
      </w:r>
      <w:r>
        <w:t xml:space="preserve"> — son activité cytotoxique provient du métabolite actif </w:t>
      </w:r>
      <w:r>
        <w:rPr>
          <w:b/>
        </w:rPr>
        <w:t>SN-38</w:t>
      </w:r>
      <w:r>
        <w:t xml:space="preserve"> (7-éthyl-10-hydroxy-camptothécine) généré par hydrolyse par la </w:t>
      </w:r>
      <w:r>
        <w:rPr>
          <w:b/>
        </w:rPr>
        <w:t>carboxylestérase 2 (CES2)</w:t>
      </w:r>
      <w:r>
        <w:t xml:space="preserve"> hépatique et intestinale. Le SN-38 est 100 à 1 000 fois plus cytotoxique que l'irinotécan parent. Le SN-38 est lui-même inactivé par glucuroconjugaison par l'</w:t>
      </w:r>
      <w:r>
        <w:rPr>
          <w:b/>
        </w:rPr>
        <w:t>UGT1A1</w:t>
      </w:r>
      <w:r>
        <w:t xml:space="preserve"> — enzyme présentant un polymorphisme génétique critique (UGT1A1*28 — syndrome de Gilbert) qui conditionne la toxicité sévère. L'irinotécan fut synthétisé en 1985 par Sawada et al. (Yakult Honsha, Japon) et commercialisé en 1994 au Japon, en 1995 en Europe, et en 1996 aux États-Unis. Il est devenu un pilier de la chimiothérapie colorectale (FOLFIRI, FOLFIRINOX) et pancréatique (FOLFIRINOX). Le médicament princeps est Campto® (Pfizer ex-Rhône-Poulenc Rorer).</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ERTICAN</w:t>
            </w:r>
          </w:p>
        </w:tc>
        <w:tc>
          <w:tcPr>
            <w:tcW w:type="dxa" w:w="1559"/>
          </w:tcPr>
          <w:p>
            <w:r>
              <w:rPr>
                <w:sz w:val="20"/>
              </w:rPr>
              <w:t>CIPLA LIMITED</w:t>
            </w:r>
          </w:p>
        </w:tc>
        <w:tc>
          <w:tcPr>
            <w:tcW w:type="dxa" w:w="1559"/>
          </w:tcPr>
          <w:p>
            <w:r>
              <w:rPr>
                <w:sz w:val="20"/>
              </w:rPr>
              <w:t>Solution injectable pour perfusion IV — 20 mg/mL (40 mg/2 mL et 100 mg/5 mL)</w:t>
            </w:r>
          </w:p>
        </w:tc>
        <w:tc>
          <w:tcPr>
            <w:tcW w:type="dxa" w:w="1559"/>
          </w:tcPr>
          <w:p>
            <w:r>
              <w:rPr>
                <w:sz w:val="20"/>
              </w:rPr>
              <w:t>B/1 flacon de 2 mL et B/1 flacon de 5 mL</w:t>
            </w:r>
          </w:p>
        </w:tc>
        <w:tc>
          <w:tcPr>
            <w:tcW w:type="dxa" w:w="1559"/>
          </w:tcPr>
          <w:p>
            <w:r>
              <w:rPr>
                <w:sz w:val="20"/>
              </w:rPr>
              <w:t>Liste I</w:t>
            </w:r>
          </w:p>
        </w:tc>
        <w:tc>
          <w:tcPr>
            <w:tcW w:type="dxa" w:w="1559"/>
          </w:tcPr>
          <w:p>
            <w:r>
              <w:rPr>
                <w:sz w:val="20"/>
              </w:rPr>
              <w:t>**Actif**</w:t>
            </w:r>
          </w:p>
        </w:tc>
      </w:tr>
      <w:tr>
        <w:tc>
          <w:tcPr>
            <w:tcW w:type="dxa" w:w="1559"/>
          </w:tcPr>
          <w:p>
            <w:r>
              <w:rPr>
                <w:sz w:val="20"/>
              </w:rPr>
              <w:t>IRICOL</w:t>
            </w:r>
          </w:p>
        </w:tc>
        <w:tc>
          <w:tcPr>
            <w:tcW w:type="dxa" w:w="1559"/>
          </w:tcPr>
          <w:p>
            <w:r>
              <w:rPr>
                <w:sz w:val="20"/>
              </w:rPr>
              <w:t>ACCORD HEALTHCARE LIMITED</w:t>
            </w:r>
          </w:p>
        </w:tc>
        <w:tc>
          <w:tcPr>
            <w:tcW w:type="dxa" w:w="1559"/>
          </w:tcPr>
          <w:p>
            <w:r>
              <w:rPr>
                <w:sz w:val="20"/>
              </w:rPr>
              <w:t>Solution à diluer pour perfusion IV — 20 mg/mL (40 mg/2 mL et 100 mg/5 mL)</w:t>
            </w:r>
          </w:p>
        </w:tc>
        <w:tc>
          <w:tcPr>
            <w:tcW w:type="dxa" w:w="1559"/>
          </w:tcPr>
          <w:p>
            <w:r>
              <w:rPr>
                <w:sz w:val="20"/>
              </w:rPr>
              <w:t>B/1 flacon de 2 mL et B/1 flacon de 5 mL</w:t>
            </w:r>
          </w:p>
        </w:tc>
        <w:tc>
          <w:tcPr>
            <w:tcW w:type="dxa" w:w="1559"/>
          </w:tcPr>
          <w:p>
            <w:r>
              <w:rPr>
                <w:sz w:val="20"/>
              </w:rPr>
              <w:t>Liste I</w:t>
            </w:r>
          </w:p>
        </w:tc>
        <w:tc>
          <w:tcPr>
            <w:tcW w:type="dxa" w:w="1559"/>
          </w:tcPr>
          <w:p>
            <w:r>
              <w:rPr>
                <w:sz w:val="20"/>
              </w:rPr>
              <w:t>**Actif**</w:t>
            </w:r>
          </w:p>
        </w:tc>
      </w:tr>
      <w:tr>
        <w:tc>
          <w:tcPr>
            <w:tcW w:type="dxa" w:w="1559"/>
          </w:tcPr>
          <w:p>
            <w:r>
              <w:rPr>
                <w:sz w:val="20"/>
              </w:rPr>
              <w:t>IRINOTECAN MYLAN</w:t>
            </w:r>
          </w:p>
        </w:tc>
        <w:tc>
          <w:tcPr>
            <w:tcW w:type="dxa" w:w="1559"/>
          </w:tcPr>
          <w:p>
            <w:r>
              <w:rPr>
                <w:sz w:val="20"/>
              </w:rPr>
              <w:t>MYLAN SAS</w:t>
            </w:r>
          </w:p>
        </w:tc>
        <w:tc>
          <w:tcPr>
            <w:tcW w:type="dxa" w:w="1559"/>
          </w:tcPr>
          <w:p>
            <w:r>
              <w:rPr>
                <w:sz w:val="20"/>
              </w:rPr>
              <w:t>Solution à diluer pour perfusion IV — 20 mg/mL (40 mg/2 mL et 100 mg/5 mL)</w:t>
            </w:r>
          </w:p>
        </w:tc>
        <w:tc>
          <w:tcPr>
            <w:tcW w:type="dxa" w:w="1559"/>
          </w:tcPr>
          <w:p>
            <w:r>
              <w:rPr>
                <w:sz w:val="20"/>
              </w:rPr>
              <w:t>B/1 flacon de 5 mL et B/1 flacon de 2 mL</w:t>
            </w:r>
          </w:p>
        </w:tc>
        <w:tc>
          <w:tcPr>
            <w:tcW w:type="dxa" w:w="1559"/>
          </w:tcPr>
          <w:p>
            <w:r>
              <w:rPr>
                <w:sz w:val="20"/>
              </w:rPr>
              <w:t>Liste I</w:t>
            </w:r>
          </w:p>
        </w:tc>
        <w:tc>
          <w:tcPr>
            <w:tcW w:type="dxa" w:w="1559"/>
          </w:tcPr>
          <w:p>
            <w:r>
              <w:rPr>
                <w:sz w:val="20"/>
              </w:rPr>
              <w:t>**Actif**</w:t>
            </w:r>
          </w:p>
        </w:tc>
      </w:tr>
      <w:tr>
        <w:tc>
          <w:tcPr>
            <w:tcW w:type="dxa" w:w="1559"/>
          </w:tcPr>
          <w:p>
            <w:r>
              <w:rPr>
                <w:sz w:val="20"/>
              </w:rPr>
              <w:t>PIPETECAN</w:t>
            </w:r>
          </w:p>
        </w:tc>
        <w:tc>
          <w:tcPr>
            <w:tcW w:type="dxa" w:w="1559"/>
          </w:tcPr>
          <w:p>
            <w:r>
              <w:rPr>
                <w:sz w:val="20"/>
              </w:rPr>
              <w:t>RICHMOND S.A.C.I.F</w:t>
            </w:r>
          </w:p>
        </w:tc>
        <w:tc>
          <w:tcPr>
            <w:tcW w:type="dxa" w:w="1559"/>
          </w:tcPr>
          <w:p>
            <w:r>
              <w:rPr>
                <w:sz w:val="20"/>
              </w:rPr>
              <w:t>Solution injectable — 20 mg/mL (40 mg/2 mL et 100 mg/5 mL)</w:t>
            </w:r>
          </w:p>
        </w:tc>
        <w:tc>
          <w:tcPr>
            <w:tcW w:type="dxa" w:w="1559"/>
          </w:tcPr>
          <w:p>
            <w:r>
              <w:rPr>
                <w:sz w:val="20"/>
              </w:rPr>
              <w:t>B/1 ampoule de 5 mL</w:t>
            </w:r>
          </w:p>
        </w:tc>
        <w:tc>
          <w:tcPr>
            <w:tcW w:type="dxa" w:w="1559"/>
          </w:tcPr>
          <w:p>
            <w:r>
              <w:rPr>
                <w:sz w:val="20"/>
              </w:rPr>
              <w:t>Liste I</w:t>
            </w:r>
          </w:p>
        </w:tc>
        <w:tc>
          <w:tcPr>
            <w:tcW w:type="dxa" w:w="1559"/>
          </w:tcPr>
          <w:p>
            <w:r>
              <w:rPr>
                <w:sz w:val="20"/>
              </w:rPr>
              <w:t>**Actif**</w:t>
            </w:r>
          </w:p>
        </w:tc>
      </w:tr>
      <w:tr>
        <w:tc>
          <w:tcPr>
            <w:tcW w:type="dxa" w:w="1559"/>
          </w:tcPr>
          <w:p>
            <w:r>
              <w:rPr>
                <w:sz w:val="20"/>
              </w:rPr>
              <w:t>TEKAMEN</w:t>
            </w:r>
          </w:p>
        </w:tc>
        <w:tc>
          <w:tcPr>
            <w:tcW w:type="dxa" w:w="1559"/>
          </w:tcPr>
          <w:p>
            <w:r>
              <w:rPr>
                <w:sz w:val="20"/>
              </w:rPr>
              <w:t>MUSTAFA NEVZAT ILAÇ SANAYII A.Ş</w:t>
            </w:r>
          </w:p>
        </w:tc>
        <w:tc>
          <w:tcPr>
            <w:tcW w:type="dxa" w:w="1559"/>
          </w:tcPr>
          <w:p>
            <w:r>
              <w:rPr>
                <w:sz w:val="20"/>
              </w:rPr>
              <w:t>Solution pour perfusion IV — 20 mg/mL (40 mg/2 mL et 100 mg/5 mL)</w:t>
            </w:r>
          </w:p>
        </w:tc>
        <w:tc>
          <w:tcPr>
            <w:tcW w:type="dxa" w:w="1559"/>
          </w:tcPr>
          <w:p>
            <w:r>
              <w:rPr>
                <w:sz w:val="20"/>
              </w:rPr>
              <w:t>B/1 flacon de 2 mL et B/1 flacon de 5 mL</w:t>
            </w:r>
          </w:p>
        </w:tc>
        <w:tc>
          <w:tcPr>
            <w:tcW w:type="dxa" w:w="1559"/>
          </w:tcPr>
          <w:p>
            <w:r>
              <w:rPr>
                <w:sz w:val="20"/>
              </w:rPr>
              <w:t>Liste I</w:t>
            </w:r>
          </w:p>
        </w:tc>
        <w:tc>
          <w:tcPr>
            <w:tcW w:type="dxa" w:w="1559"/>
          </w:tcPr>
          <w:p>
            <w:r>
              <w:rPr>
                <w:sz w:val="20"/>
              </w:rPr>
              <w:t>**Actif**</w:t>
            </w:r>
          </w:p>
        </w:tc>
      </w:tr>
    </w:tbl>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CAMPTO</w:t>
            </w:r>
          </w:p>
        </w:tc>
        <w:tc>
          <w:tcPr>
            <w:tcW w:type="dxa" w:w="1559"/>
          </w:tcPr>
          <w:p>
            <w:r>
              <w:rPr>
                <w:sz w:val="20"/>
              </w:rPr>
              <w:t>PFIZER HOLDING FRANCE</w:t>
            </w:r>
          </w:p>
        </w:tc>
        <w:tc>
          <w:tcPr>
            <w:tcW w:type="dxa" w:w="1559"/>
          </w:tcPr>
          <w:p>
            <w:r>
              <w:rPr>
                <w:sz w:val="20"/>
              </w:rPr>
              <w:t>Solution à diluer pour perfusion IV stricte — 20 mg/mL (40 mg/2 mL et 100 mg/5 mL)</w:t>
            </w:r>
          </w:p>
        </w:tc>
        <w:tc>
          <w:tcPr>
            <w:tcW w:type="dxa" w:w="1559"/>
          </w:tcPr>
          <w:p>
            <w:r>
              <w:rPr>
                <w:sz w:val="20"/>
              </w:rPr>
              <w:t>B/1 flacon de 2 mL et B/1 flacon de 5 mL</w:t>
            </w:r>
          </w:p>
        </w:tc>
        <w:tc>
          <w:tcPr>
            <w:tcW w:type="dxa" w:w="1559"/>
          </w:tcPr>
          <w:p>
            <w:r>
              <w:rPr>
                <w:sz w:val="20"/>
              </w:rPr>
              <w:t>Liste I</w:t>
            </w:r>
          </w:p>
        </w:tc>
        <w:tc>
          <w:tcPr>
            <w:tcW w:type="dxa" w:w="1559"/>
          </w:tcPr>
          <w:p>
            <w:r>
              <w:rPr>
                <w:sz w:val="20"/>
              </w:rPr>
              <w:t>Non Renouvelable</w:t>
            </w:r>
          </w:p>
        </w:tc>
      </w:tr>
    </w:tbl>
    <w:p/>
    <w:p>
      <w:r/>
      <w:r>
        <w:rPr>
          <w:i/>
        </w:rPr>
        <w:t>Note : l'irinotécan bénéficie d'une diversité remarquable en Algérie — 5 marques actives (Ertican Cipla Indien ; Iricol Accord Healthcare Britannique ; Irinotecan Mylan Français ; Pipetecan Richmond Argentin ; Tekamen Mustafa Nevzat Turc) — plus le princeps Campto® (Pfizer) en statut non renouvelable. Tous les dosages sont à 20 mg/mL, disponibles en flacons 2 mL (40 mg) et 5 mL (100 mg). Cette diversité garantit un approvisionnement stable et permet une rotation en cas de rupture d'une marque. Les formes sont bioéquivalentes — substitution possible entre marques selon disponibilité.</w:t>
      </w:r>
      <w:r/>
    </w:p>
    <w:p>
      <w:r/>
      <w:r>
        <w:rPr>
          <w:b/>
        </w:rPr>
        <w:t>Sous-classe et Mécanisme d'action :</w:t>
      </w:r>
      <w:r/>
    </w:p>
    <w:p>
      <w:pPr>
        <w:pStyle w:val="ListBullet"/>
      </w:pPr>
      <w:r>
        <w:t>Sous-classe : Inhibiteurs de la topoisomérase I (poisons de la topo I — camptothécines semi-synthétiques). Classification ATC : L01XX19. L'irinotécan est, avec le topotécan (commercialisé en Europe par GlaxoSmithKline — non disponible en Algérie), l'une des deux camptothécines semi-synthétiques commercialisées. À distinguer des poisons de la topo II (étoposide, anthracyclines, mitoxantrone).</w:t>
      </w:r>
    </w:p>
    <w:p>
      <w:pPr>
        <w:pStyle w:val="ListBullet"/>
      </w:pPr>
      <w:r>
        <w:t xml:space="preserve">Mécanisme d'action détaillé : la topo I est une enzyme nucléaire ubiquitaire qui règle le niveau de super-enroulement de l'ADN en coupant transitoirement </w:t>
      </w:r>
      <w:r>
        <w:rPr>
          <w:b/>
        </w:rPr>
        <w:t>un seul brin</w:t>
      </w:r>
      <w:r>
        <w:t xml:space="preserve"> (cassure simple-brin — SSB — par formation d'une liaison covalente 3′-phospho-tyrosyl entre le résidu Tyr723 de l'enzyme et l'extrémité 3′-OH du brin coupé). L'autre brin passe à travers la coupure (rotation controlée — strand rotation) pour relâcher la tension de super-enroulement, puis la topo I </w:t>
      </w:r>
      <w:r>
        <w:rPr>
          <w:b/>
        </w:rPr>
        <w:t>relige</w:t>
      </w:r>
      <w:r>
        <w:t xml:space="preserve"> le brin coupé. Le métabolite actif </w:t>
      </w:r>
      <w:r>
        <w:rPr>
          <w:b/>
        </w:rPr>
        <w:t>SN-38</w:t>
      </w:r>
      <w:r>
        <w:t xml:space="preserve"> se fixe au complexe ADN–topo I </w:t>
      </w:r>
      <w:r>
        <w:rPr>
          <w:b/>
        </w:rPr>
        <w:t>après la coupure mais avant la réligation</w:t>
      </w:r>
      <w:r>
        <w:t xml:space="preserve">, stabilisant ainsi un intermédiaire covalent normalement transitoire dit </w:t>
      </w:r>
      <w:r>
        <w:rPr>
          <w:b/>
        </w:rPr>
        <w:t>« complexe clivable »</w:t>
      </w:r>
      <w:r>
        <w:t xml:space="preserve"> (cleavable complex). L'accumulation de ces complexes clivables aboutit, lors du passage des fourches de réplication (phase S), à la conversion des cassures simple-brin transitoires en </w:t>
      </w:r>
      <w:r>
        <w:rPr>
          <w:b/>
        </w:rPr>
        <w:t>cassures double-brin permanentes</w:t>
      </w:r>
      <w:r>
        <w:t xml:space="preserve"> (collision entre le complexe clivable stabilisé et la fourche de réplication) — événement létal (apoptose). L'effet est donc </w:t>
      </w:r>
      <w:r>
        <w:rPr>
          <w:b/>
        </w:rPr>
        <w:t>phase-spécifique S</w:t>
      </w:r>
      <w:r>
        <w:t xml:space="preserve"> (mais aussi G2/M). L'irinotécan lui-même a une activité faible (IC50 ~ 1 µM) ; le SN-38 (métabolite actif) a une activité 100 à 1 000 fois supérieure (IC50 ~ 1 nM).</w:t>
      </w:r>
    </w:p>
    <w:p>
      <w:r/>
      <w:r>
        <w:rPr>
          <w:b/>
        </w:rPr>
        <w:t>Profil Pharmacologique et Indications :</w:t>
      </w:r>
      <w:r/>
    </w:p>
    <w:p>
      <w:pPr>
        <w:pStyle w:val="ListBullet"/>
      </w:pPr>
      <w:r>
        <w:t>Indications (selon AMM française et algérienne — RCP VIDAL 2026) :</w:t>
      </w:r>
    </w:p>
    <w:p>
      <w:pPr>
        <w:pStyle w:val="ListBullet"/>
      </w:pPr>
      <w:r/>
      <w:r>
        <w:rPr>
          <w:b/>
        </w:rPr>
        <w:t>Cancer colorectal métastatique (CCR) en 1re ligne</w:t>
      </w:r>
      <w:r>
        <w:t xml:space="preserve"> — protocole </w:t>
      </w:r>
      <w:r>
        <w:rPr>
          <w:b/>
        </w:rPr>
        <w:t>FOLFIRI</w:t>
      </w:r>
      <w:r>
        <w:t xml:space="preserve"> (irinotécan 180 mg/m² J1 + acide folinique 400 mg/m² J1 + 5-FU bolus 400 mg/m² J1 + 5-FU perfusion continue 2400 mg/m²/46 h, toutes les 2 semaines) — en association avec un anticorps monoclonal anti-VEGF (bevacizumab 5 mg/kg J1) ou anti-EGFR (cétuximab 400 mg/m² sem 1 puis 250 mg/m²/sem, ou panitumumab 6 mg/kg toutes les 2 semaines — uniquement si tumeur RAS sauvage) — 1re ligne standard du CCR métastatique (essai CALGB/SWOG 80405 — survie globale 29-30 mois avec anti-EGFR chez RAS WT).</w:t>
      </w:r>
    </w:p>
    <w:p>
      <w:pPr>
        <w:pStyle w:val="ListBullet"/>
      </w:pPr>
      <w:r/>
      <w:r>
        <w:rPr>
          <w:b/>
        </w:rPr>
        <w:t>Cancer colorectal métastatique (CCR) en 2e ligne</w:t>
      </w:r>
      <w:r>
        <w:t xml:space="preserve"> — après progression sous FOLFOX ou CAPOX — protocole FOLFIRI (essai Tournigand et al., *JCO* 2004 — FOLFIRI vs FOLFOX en séquence — non-infériorité). Alternative : irinotécan monothérapie 350 mg/m² J1 toutes les 3 semaines (essai Cunningham et al., *Lancet* 1998 — survie globale 9,2 mois vs 6,5 mois pour BSC).</w:t>
      </w:r>
    </w:p>
    <w:p>
      <w:pPr>
        <w:pStyle w:val="ListBullet"/>
      </w:pPr>
      <w:r/>
      <w:r>
        <w:rPr>
          <w:b/>
        </w:rPr>
        <w:t>Cancer colorectal métastatique (CCR) en 2e ligne après progression sous FOLFIRI</w:t>
      </w:r>
      <w:r>
        <w:t xml:space="preserve"> — protocole </w:t>
      </w:r>
      <w:r>
        <w:rPr>
          <w:b/>
        </w:rPr>
        <w:t>FOLFIRI + aflibercept</w:t>
      </w:r>
      <w:r>
        <w:t xml:space="preserve"> (ZALTRAP — anti-VEGF/Ang2 — 4 mg/kg J1) ou </w:t>
      </w:r>
      <w:r>
        <w:rPr>
          <w:b/>
        </w:rPr>
        <w:t>FOLFIRI + ramucirumab</w:t>
      </w:r>
      <w:r>
        <w:t xml:space="preserve"> (CYRAMZA — anti-VEGFR2 — 8 mg/kg J1).</w:t>
      </w:r>
    </w:p>
    <w:p>
      <w:pPr>
        <w:pStyle w:val="ListBullet"/>
      </w:pPr>
      <w:r/>
      <w:r>
        <w:rPr>
          <w:b/>
        </w:rPr>
        <w:t>Cancer du pancréas métastatique en 1re ligne</w:t>
      </w:r>
      <w:r>
        <w:t xml:space="preserve"> — protocole </w:t>
      </w:r>
      <w:r>
        <w:rPr>
          <w:b/>
        </w:rPr>
        <w:t>FOLFIRINOX</w:t>
      </w:r>
      <w:r>
        <w:t xml:space="preserve"> (irinotécan 180 mg/m² J1 + oxaliplatine 85 mg/m² J1 + acide folinique 400 mg/m² J1 + 5-FU bolus 400 mg/m² J1 + 5-FU perfusion continue 2400 mg/m²/46 h, toutes les 2 semaines) — essai Conroy et al., *NEJM* 2011 — survie globale 11,1 mois vs 6,8 mois pour gemcitabine (HR 0,57) — 1re ligne de référence du cancer pancréatique métastatique PS 0-1.</w:t>
      </w:r>
    </w:p>
    <w:p>
      <w:pPr>
        <w:pStyle w:val="ListBullet"/>
      </w:pPr>
      <w:r/>
      <w:r>
        <w:rPr>
          <w:b/>
        </w:rPr>
        <w:t>Cancer gastrique avancé en 2e ligne</w:t>
      </w:r>
      <w:r>
        <w:t xml:space="preserve"> — protocole </w:t>
      </w:r>
      <w:r>
        <w:rPr>
          <w:b/>
        </w:rPr>
        <w:t>FOLFIRI</w:t>
      </w:r>
      <w:r>
        <w:t xml:space="preserve"> en monothérapie ou associé à ramucirumab (essai RAINBOW).</w:t>
      </w:r>
    </w:p>
    <w:p>
      <w:pPr>
        <w:pStyle w:val="ListBullet"/>
      </w:pPr>
      <w:r/>
      <w:r>
        <w:rPr>
          <w:b/>
        </w:rPr>
        <w:t>Cancer des voies biliaires avancés</w:t>
      </w:r>
      <w:r>
        <w:t xml:space="preserve"> — protocole </w:t>
      </w:r>
      <w:r>
        <w:rPr>
          <w:b/>
        </w:rPr>
        <w:t>FOLFIRINOX</w:t>
      </w:r>
      <w:r>
        <w:t xml:space="preserve"> ou </w:t>
      </w:r>
      <w:r>
        <w:rPr>
          <w:b/>
        </w:rPr>
        <w:t>FOLFIRI</w:t>
      </w:r>
      <w:r>
        <w:t xml:space="preserve"> — 2e ligne.</w:t>
      </w:r>
    </w:p>
    <w:p>
      <w:pPr>
        <w:pStyle w:val="ListBullet"/>
      </w:pPr>
      <w:r/>
      <w:r>
        <w:rPr>
          <w:b/>
        </w:rPr>
        <w:t>Cancer de l'œsophage avancé</w:t>
      </w:r>
      <w:r>
        <w:t xml:space="preserve"> — protocole </w:t>
      </w:r>
      <w:r>
        <w:rPr>
          <w:b/>
        </w:rPr>
        <w:t>FOLFIRI</w:t>
      </w:r>
      <w:r>
        <w:t xml:space="preserve"> — 2e ligne.</w:t>
      </w:r>
    </w:p>
    <w:p>
      <w:pPr>
        <w:pStyle w:val="ListBullet"/>
      </w:pPr>
      <w:r/>
      <w:r>
        <w:rPr>
          <w:b/>
        </w:rPr>
        <w:t>Cancer du poumon à petites cellules (CPP)</w:t>
      </w:r>
      <w:r>
        <w:t xml:space="preserve"> — protocole </w:t>
      </w:r>
      <w:r>
        <w:rPr>
          <w:b/>
        </w:rPr>
        <w:t>irinotécan + cisplatine</w:t>
      </w:r>
      <w:r>
        <w:t xml:space="preserve"> (essai Noda et al., *NEJM* 2002 — supériorité vs étoposide + cisplatine dans la population japonaise — pas confirmée dans la population caucasienne).</w:t>
      </w:r>
    </w:p>
    <w:p>
      <w:pPr>
        <w:pStyle w:val="ListBullet"/>
      </w:pPr>
      <w:r/>
      <w:r>
        <w:rPr>
          <w:b/>
        </w:rPr>
        <w:t>Cancer du col de l'utérus récidivant</w:t>
      </w:r>
      <w:r>
        <w:t xml:space="preserve"> — protocole </w:t>
      </w:r>
      <w:r>
        <w:rPr>
          <w:b/>
        </w:rPr>
        <w:t>irinotécan + cisplatine</w:t>
      </w:r>
      <w:r>
        <w:t xml:space="preserve"> ou </w:t>
      </w:r>
      <w:r>
        <w:rPr>
          <w:b/>
        </w:rPr>
        <w:t>irinotécan monothérapie</w:t>
      </w:r>
      <w:r>
        <w:t>.</w:t>
      </w:r>
    </w:p>
    <w:p>
      <w:pPr>
        <w:pStyle w:val="ListBullet"/>
      </w:pPr>
      <w:r>
        <w:t>Particularités pharmacologiques :</w:t>
      </w:r>
    </w:p>
    <w:p>
      <w:pPr>
        <w:pStyle w:val="ListBullet"/>
      </w:pPr>
      <w:r>
        <w:t>Cinétique tri-compartimentale — clairance 13,3 L/h/m² (CV ~ 40 % — variabilité interindividuelle importante).</w:t>
      </w:r>
    </w:p>
    <w:p>
      <w:pPr>
        <w:pStyle w:val="ListBullet"/>
      </w:pPr>
      <w:r>
        <w:t>Distribution large — Vd 110 L/m² ; liaison protéique modérée (30-60 % pour l'irinotécan, 95 % pour le SN-38 — principalement à l'albumine).</w:t>
      </w:r>
    </w:p>
    <w:p>
      <w:pPr>
        <w:pStyle w:val="ListBullet"/>
      </w:pPr>
      <w:r>
        <w:t xml:space="preserve">Métabolisme : conversion en SN-38 par la </w:t>
      </w:r>
      <w:r>
        <w:rPr>
          <w:b/>
        </w:rPr>
        <w:t>carboxylestérase 2 (CES2)</w:t>
      </w:r>
      <w:r>
        <w:t xml:space="preserve"> hépatique et intestinale (~ 2-5 % de la dose convertie — réaction limitante) ; le SN-38 est inactivé par </w:t>
      </w:r>
      <w:r>
        <w:rPr>
          <w:b/>
        </w:rPr>
        <w:t>glucuroconjugaison par l'UGT1A1</w:t>
      </w:r>
      <w:r>
        <w:t xml:space="preserve"> (UDP-glucuronosyltransférase 1A1) en SN-38G (inactif, excrété dans la bile) ; autre métabolite inactif : APC (7-éthyl-10-[4-N-(5-aminopentanoic acid)-1-pipéridino-carbonyloxyl]-camptothécine — par CYP3A4) ; NPC (par CYP3A4). Élimination biliaire principale (~ 60-70 % dans les fèces) ; ~ 25-30 % urinaire (sous forme de SN-38G — réactivé dans l'intestin par β-glucuronidase bactérienne).</w:t>
      </w:r>
    </w:p>
    <w:p>
      <w:pPr>
        <w:pStyle w:val="ListBullet"/>
      </w:pPr>
      <w:r>
        <w:t xml:space="preserve">Demi-vie d'élimination : irinotécan </w:t>
      </w:r>
      <w:r>
        <w:rPr>
          <w:b/>
        </w:rPr>
        <w:t>6-12 h</w:t>
      </w:r>
      <w:r>
        <w:t xml:space="preserve"> ; SN-38 </w:t>
      </w:r>
      <w:r>
        <w:rPr>
          <w:b/>
        </w:rPr>
        <w:t>10-20 h</w:t>
      </w:r>
      <w:r>
        <w:t xml:space="preserve"> (prolongée — d'où toxicité tardive) ; SN-38G </w:t>
      </w:r>
      <w:r>
        <w:rPr>
          <w:b/>
        </w:rPr>
        <w:t>20-50 h</w:t>
      </w:r>
      <w:r>
        <w:t>.</w:t>
      </w:r>
    </w:p>
    <w:p>
      <w:pPr>
        <w:pStyle w:val="ListBullet"/>
      </w:pPr>
      <w:r/>
      <w:r>
        <w:rPr>
          <w:b/>
        </w:rPr>
        <w:t>Cycle entéro-hépatique du SN-38</w:t>
      </w:r>
      <w:r>
        <w:t xml:space="preserve"> : le SN-38G excrété dans la bile est réactivé en SN-38 par la </w:t>
      </w:r>
      <w:r>
        <w:rPr>
          <w:b/>
        </w:rPr>
        <w:t>β-glucuronidase bactérienne intestinale</w:t>
      </w:r>
      <w:r>
        <w:t xml:space="preserve"> (Clostridium, E. coli, Bacteroides) — d'où le rôle clé de la déconjugaison intestinale dans la </w:t>
      </w:r>
      <w:r>
        <w:rPr>
          <w:b/>
        </w:rPr>
        <w:t>diarrhée tardive</w:t>
      </w:r>
      <w:r>
        <w:t xml:space="preserve"> (effet « entéro-hépatique » toxique).</w:t>
      </w:r>
    </w:p>
    <w:p>
      <w:pPr>
        <w:pStyle w:val="ListBullet"/>
      </w:pPr>
      <w:r>
        <w:t>Adaptation hépatique : (i) fonction hépatique normale : dose pleine ; (ii) bilirubine 1-1,5 × LSN : dose pleine mais surveillance accrue ; (iii) bilirubine 1,5-3 × LSN : réduction à 75 % de la dose ; (iv) bilirubine &gt; 3 × LSN : contre-indication.</w:t>
      </w:r>
    </w:p>
    <w:p>
      <w:pPr>
        <w:pStyle w:val="ListBullet"/>
      </w:pPr>
      <w:r>
        <w:t>Adaptation rénale : pas d'adaptation formelle (élimination principalement biliaire) ; surveillance accrue en cas d'insuffisance rénale modérée.</w:t>
      </w:r>
    </w:p>
    <w:p>
      <w:pPr>
        <w:pStyle w:val="ListBullet"/>
      </w:pPr>
      <w:r>
        <w:t xml:space="preserve">Adaptation pharmacogénétique **UGT1A1\*28** : (i) homozygote sauvage *1/*1 (60-70 % de la population) : dose pleine ; (ii) hétérozygote *1/*28 (30-40 %) : dose pleine mais surveillance accrue ; (iii) homozygote *28/*28 (8-10 % — syndrome de Gilbert — réduction de 70 % de l'expression UGT1A1) : </w:t>
      </w:r>
      <w:r>
        <w:rPr>
          <w:b/>
        </w:rPr>
        <w:t>réduction de dose initiale à 75 % de la dose standard</w:t>
      </w:r>
      <w:r>
        <w:t xml:space="preserve"> (soit irinotécan 180 mg/m² en FOLFIRI au lieu de 240 mg/m² — selon les protocoles — ou 130 mg/m² en FOLFIRINOX au lieu de 180 mg/m² — selon les protocoles).</w:t>
      </w:r>
    </w:p>
    <w:p>
      <w:pPr>
        <w:pStyle w:val="ListBullet"/>
      </w:pPr>
      <w:r>
        <w:t>Schémas usuels : (i) FOLFIRI : 180 mg/m² J1 toutes les 2 semaines ; (ii) FOLFIRINOX : 180 mg/m² J1 toutes les 2 semaines (réduction à 150 mg/m² en cas de PS 1 ou âge &gt; 75 ans) ; (iii) monothérapie 2e ligne : 350 mg/m² J1 toutes les 3 semaines (réduction à 300 mg/m² si âge &gt; 70 ans ou PS ≥ 2) ; (iv) pédiatrie : 250-300 mg/m²/J en perfusion de 90 min (essais cliniques).</w:t>
      </w:r>
    </w:p>
    <w:p>
      <w:r/>
      <w:r>
        <w:rPr>
          <w:b/>
        </w:rPr>
        <w:t>Contre-indications et Précautions d'Emploi :</w:t>
      </w:r>
      <w:r/>
    </w:p>
    <w:p>
      <w:pPr>
        <w:pStyle w:val="ListBullet"/>
      </w:pPr>
      <w:r>
        <w:t>Contre-indications ABSOLUES :</w:t>
      </w:r>
    </w:p>
    <w:p>
      <w:pPr>
        <w:pStyle w:val="ListBullet"/>
      </w:pPr>
      <w:r>
        <w:t>Hypersensibilité connue à l'irinotécan ou à l'un des excipients.</w:t>
      </w:r>
    </w:p>
    <w:p>
      <w:pPr>
        <w:pStyle w:val="ListBullet"/>
      </w:pPr>
      <w:r/>
      <w:r>
        <w:rPr>
          <w:b/>
        </w:rPr>
        <w:t>Neutropénie sévère</w:t>
      </w:r>
      <w:r>
        <w:t xml:space="preserve"> (&lt; 1 500/mm³) ou thrombopénie sévère (&lt; 100 000/mm³) pré-existantes — attendre récupération.</w:t>
      </w:r>
    </w:p>
    <w:p>
      <w:pPr>
        <w:pStyle w:val="ListBullet"/>
      </w:pPr>
      <w:r/>
      <w:r>
        <w:rPr>
          <w:b/>
        </w:rPr>
        <w:t>Insuffisance hépatique sévère</w:t>
      </w:r>
      <w:r>
        <w:t xml:space="preserve"> (bilirubine &gt; 3 × LSN).</w:t>
      </w:r>
    </w:p>
    <w:p>
      <w:pPr>
        <w:pStyle w:val="ListBullet"/>
      </w:pPr>
      <w:r/>
      <w:r>
        <w:rPr>
          <w:b/>
        </w:rPr>
        <w:t>Syndrome inflammatoire chronique de l'intestin</w:t>
      </w:r>
      <w:r>
        <w:t xml:space="preserve"> (maladie de Crohn, rectocolite hémorragique) — risque de diarrhée sévère aggravée.</w:t>
      </w:r>
    </w:p>
    <w:p>
      <w:pPr>
        <w:pStyle w:val="ListBullet"/>
      </w:pPr>
      <w:r/>
      <w:r>
        <w:rPr>
          <w:b/>
        </w:rPr>
        <w:t>Occlusion intestinale ou sub-occlusion</w:t>
      </w:r>
      <w:r>
        <w:t>.</w:t>
      </w:r>
    </w:p>
    <w:p>
      <w:pPr>
        <w:pStyle w:val="ListBullet"/>
      </w:pPr>
      <w:r/>
      <w:r>
        <w:rPr>
          <w:b/>
        </w:rPr>
        <w:t>Ilein paralytique</w:t>
      </w:r>
      <w:r>
        <w:t xml:space="preserve"> post-opératoire non résolutif.</w:t>
      </w:r>
    </w:p>
    <w:p>
      <w:pPr>
        <w:pStyle w:val="ListBullet"/>
      </w:pPr>
      <w:r/>
      <w:r>
        <w:rPr>
          <w:b/>
        </w:rPr>
        <w:t>Grossesse et allaitement</w:t>
      </w:r>
      <w:r>
        <w:t xml:space="preserve"> (catégorie D — tératogène — contraception obligatoire).</w:t>
      </w:r>
    </w:p>
    <w:p>
      <w:pPr>
        <w:pStyle w:val="ListBullet"/>
      </w:pPr>
      <w:r/>
      <w:r>
        <w:rPr>
          <w:b/>
        </w:rPr>
        <w:t>Vaccination par vaccin vivant atténué</w:t>
      </w:r>
      <w:r>
        <w:t xml:space="preserve"> pendant et jusqu'à 3 mois après arrêt.</w:t>
      </w:r>
    </w:p>
    <w:p>
      <w:pPr>
        <w:pStyle w:val="ListBullet"/>
      </w:pPr>
      <w:r>
        <w:t>Précautions d'emploi :</w:t>
      </w:r>
    </w:p>
    <w:p>
      <w:pPr>
        <w:pStyle w:val="ListBullet"/>
      </w:pPr>
      <w:r>
        <w:t>**Test pharmacogénétique UGT1A1\*28 systématique avant la 1re cure** (en particulier en FOLFIRI, FOLFIRINOX, ou monothérapie 350 mg/m²) — réduction de dose initiale à 75 % chez les homozygotes *28/*28.</w:t>
      </w:r>
    </w:p>
    <w:p>
      <w:pPr>
        <w:pStyle w:val="ListBullet"/>
      </w:pPr>
      <w:r/>
      <w:r>
        <w:rPr>
          <w:b/>
        </w:rPr>
        <w:t>Surveillance hématologique stricte</w:t>
      </w:r>
      <w:r>
        <w:t xml:space="preserve"> : NFS avant chaque cure (PNN ≥ 1 500/mm³, plaquettes ≥ 100 000/mm³) ; nadir J7-J14, récupération J21. NFS de contrôle J7-J10.</w:t>
      </w:r>
    </w:p>
    <w:p>
      <w:pPr>
        <w:pStyle w:val="ListBullet"/>
      </w:pPr>
      <w:r/>
      <w:r>
        <w:rPr>
          <w:b/>
        </w:rPr>
        <w:t>Surveillance de la diarrhée</w:t>
      </w:r>
      <w:r>
        <w:t xml:space="preserve"> : information patient obligatoire — débuter le lopéramide d'EMBLÉE dès la 1re selle liquide (4 mg puis 2 mg toutes les 2 h — maximum 16 mg/j — pendant au moins 12 h après la dernière selle liquide) — hospitalisation si signes de gravité (diarrhée &gt; 6/j, fièvre, hypovolémie).</w:t>
      </w:r>
    </w:p>
    <w:p>
      <w:pPr>
        <w:pStyle w:val="ListBullet"/>
      </w:pPr>
      <w:r/>
      <w:r>
        <w:rPr>
          <w:b/>
        </w:rPr>
        <w:t>Surveillance du syndrome cholinergique précoce</w:t>
      </w:r>
      <w:r>
        <w:t xml:space="preserve"> (≤ 24 h — flush, diarrhée précoce, crampes abdominales, rhinorrhée, larmoiements, myosis, hypersialorrhée, bradycardie) — à traiter par atropine IV (0,25-1 mg sous-cutané ou IV) ; prémédication atropine systématique si syndrome cholinergique à la cure précédente.</w:t>
      </w:r>
    </w:p>
    <w:p>
      <w:pPr>
        <w:pStyle w:val="ListBullet"/>
      </w:pPr>
      <w:r/>
      <w:r>
        <w:rPr>
          <w:b/>
        </w:rPr>
        <w:t>Surveillance hépatique</w:t>
      </w:r>
      <w:r>
        <w:t xml:space="preserve"> : bilan hépatique (bilirubine, ASAT, ALAT, PAL, GGT) avant chaque cure — adapter la dose selon la bilirubine.</w:t>
      </w:r>
    </w:p>
    <w:p>
      <w:pPr>
        <w:pStyle w:val="ListBullet"/>
      </w:pPr>
      <w:r/>
      <w:r>
        <w:rPr>
          <w:b/>
        </w:rPr>
        <w:t>Surveillance de l'extravasation</w:t>
      </w:r>
      <w:r>
        <w:t xml:space="preserve"> : l'irinotécan est un irritant modéré — voie veineuse périphérique de bonne qualité ou voie centrale.</w:t>
      </w:r>
    </w:p>
    <w:p>
      <w:pPr>
        <w:pStyle w:val="ListBullet"/>
      </w:pPr>
      <w:r>
        <w:t>Sujet âgé &gt; 70 ans : surveillance hématologique accrue — réduction à 300 mg/m² en monothérapie 2e ligne.</w:t>
      </w:r>
    </w:p>
    <w:p>
      <w:pPr>
        <w:pStyle w:val="ListBullet"/>
      </w:pPr>
      <w:r>
        <w:t>Précautions de manipulation : cytotoxique — manipulation exclusivement par personnel formé.</w:t>
      </w:r>
    </w:p>
    <w:p>
      <w:pPr>
        <w:pStyle w:val="ListBullet"/>
      </w:pPr>
      <w:r>
        <w:t>Précautions de perfusion : tubulure sans DEHP (le DEHP est lessivé par les solvants — polysorbate 80 — risque de relargage toxique) ; tubulure en polyéthylène ou polyoléfine.</w:t>
      </w:r>
    </w:p>
    <w:p>
      <w:r/>
      <w:r>
        <w:rPr>
          <w:b/>
        </w:rPr>
        <w:t>Effets Indésirables :</w:t>
      </w:r>
      <w:r/>
    </w:p>
    <w:p>
      <w:pPr>
        <w:pStyle w:val="ListBullet"/>
      </w:pPr>
      <w:r/>
      <w:r>
        <w:rPr>
          <w:b/>
        </w:rPr>
        <w:t>Myélosuppression</w:t>
      </w:r>
      <w:r>
        <w:t xml:space="preserve"> (effet dose-limitant) :</w:t>
      </w:r>
    </w:p>
    <w:p>
      <w:pPr>
        <w:pStyle w:val="ListBullet"/>
      </w:pPr>
      <w:r/>
      <w:r>
        <w:rPr>
          <w:b/>
        </w:rPr>
        <w:t>Neutropénie</w:t>
      </w:r>
      <w:r>
        <w:t xml:space="preserve"> : quasi-constante (grade 3-4 : 30-50 % selon protocole — en cas d'UGT1A1*28/*28 : jusqu'à 80 %) — nadir J7-J14, récupération J14-J21. Neutropénie fébrile : 5-15 % (jusqu'à 30 % en UGT1A1*28/*28).</w:t>
      </w:r>
    </w:p>
    <w:p>
      <w:pPr>
        <w:pStyle w:val="ListBullet"/>
      </w:pPr>
      <w:r>
        <w:t>Thrombopénie : 5-10 % (grade 3-4 : 2 %).</w:t>
      </w:r>
    </w:p>
    <w:p>
      <w:pPr>
        <w:pStyle w:val="ListBullet"/>
      </w:pPr>
      <w:r>
        <w:t>Anémie : 30-50 % (grade 3-4 : 5-10 %).</w:t>
      </w:r>
    </w:p>
    <w:p>
      <w:pPr>
        <w:pStyle w:val="ListBullet"/>
      </w:pPr>
      <w:r/>
      <w:r>
        <w:rPr>
          <w:b/>
        </w:rPr>
        <w:t>Syndrome cholinergique précoce</w:t>
      </w:r>
      <w:r>
        <w:t xml:space="preserve"> (≤ 24 h — 10-30 %) : flush, </w:t>
      </w:r>
      <w:r>
        <w:rPr>
          <w:b/>
        </w:rPr>
        <w:t>diarrhée précoce</w:t>
      </w:r>
      <w:r>
        <w:t xml:space="preserve"> (≤ 24 h), crampes abdominales, rhinorrhée, larmoiements, myosis, hypersialorrhée, bradycardie, hypotension — lié à l'inhibition de l'acétylcholinestérase par l'irinotécan parent (effet anti-AChE). À traiter par </w:t>
      </w:r>
      <w:r>
        <w:rPr>
          <w:b/>
        </w:rPr>
        <w:t>atropine</w:t>
      </w:r>
      <w:r>
        <w:t xml:space="preserve"> IV (0,25-1 mg sous-cutané ou IV). Prémédication atropine systématique si syndrome cholinergique à la cure précédente.</w:t>
      </w:r>
    </w:p>
    <w:p>
      <w:pPr>
        <w:pStyle w:val="ListBullet"/>
      </w:pPr>
      <w:r/>
      <w:r>
        <w:rPr>
          <w:b/>
        </w:rPr>
        <w:t>Diarrhée tardive</w:t>
      </w:r>
      <w:r>
        <w:t xml:space="preserve"> (J+3 à J+10 — effet dose-limitant) — 20-40 % (grade 3-4 : 5-15 % — jusqu'à 30 % en UGT1A1*28/*28) : liée à la déconjugaison intestinale du SN-38G en SN-38 par la β-glucuronidase bactérienne — toxicité entéro-hépatique. À traiter d'EMBLÉE par lopéramide (4 mg puis 2 mg toutes les 2 h, maximum 16 mg/j, pendant au moins 12 h après la dernière selle liquide) — hospitalisation si signes de gravité (diarrhée &gt; 6/j, fièvre, hypovolémie).</w:t>
      </w:r>
    </w:p>
    <w:p>
      <w:pPr>
        <w:pStyle w:val="ListBullet"/>
      </w:pPr>
      <w:r/>
      <w:r>
        <w:rPr>
          <w:b/>
        </w:rPr>
        <w:t>Alopécie</w:t>
      </w:r>
      <w:r>
        <w:t xml:space="preserve"> (très fréquente — 60-90 % — habituellement réversible après arrêt).</w:t>
      </w:r>
    </w:p>
    <w:p>
      <w:pPr>
        <w:pStyle w:val="ListBullet"/>
      </w:pPr>
      <w:r/>
      <w:r>
        <w:rPr>
          <w:b/>
        </w:rPr>
        <w:t>Toxicité digestive</w:t>
      </w:r>
      <w:r>
        <w:t xml:space="preserve"> :</w:t>
      </w:r>
    </w:p>
    <w:p>
      <w:pPr>
        <w:pStyle w:val="ListBullet"/>
      </w:pPr>
      <w:r>
        <w:t>Nausées/vomissements (modérés — 30-50 % — grade 3-4 : 5 %).</w:t>
      </w:r>
    </w:p>
    <w:p>
      <w:pPr>
        <w:pStyle w:val="ListBullet"/>
      </w:pPr>
      <w:r>
        <w:t>Mucite (10-20 % — grade 3-4 : 5 %).</w:t>
      </w:r>
    </w:p>
    <w:p>
      <w:pPr>
        <w:pStyle w:val="ListBullet"/>
      </w:pPr>
      <w:r>
        <w:t>Anorexie (20-30 %).</w:t>
      </w:r>
    </w:p>
    <w:p>
      <w:pPr>
        <w:pStyle w:val="ListBullet"/>
      </w:pPr>
      <w:r/>
      <w:r>
        <w:rPr>
          <w:b/>
        </w:rPr>
        <w:t>Toxicité hépatique</w:t>
      </w:r>
      <w:r>
        <w:t xml:space="preserve"> : cytolyse (10-20 % — grade 3-4 : 5 %), cholestase intra-hépatique (rare), élévation de la bilirubine (effet UGT1A1).</w:t>
      </w:r>
    </w:p>
    <w:p>
      <w:pPr>
        <w:pStyle w:val="ListBullet"/>
      </w:pPr>
      <w:r/>
      <w:r>
        <w:rPr>
          <w:b/>
        </w:rPr>
        <w:t>Toxicité cardiovasculaire</w:t>
      </w:r>
      <w:r>
        <w:t xml:space="preserve"> : bradycardie (syndrome cholinergique — 5-10 %), hypotension (5 %), troubles du rythme (rare).</w:t>
      </w:r>
    </w:p>
    <w:p>
      <w:pPr>
        <w:pStyle w:val="ListBullet"/>
      </w:pPr>
      <w:r/>
      <w:r>
        <w:rPr>
          <w:b/>
        </w:rPr>
        <w:t>Neurotoxicité</w:t>
      </w:r>
      <w:r>
        <w:t xml:space="preserve"> : rares (somnolence, fatigue, vertiges — 5-10 %).</w:t>
      </w:r>
    </w:p>
    <w:p>
      <w:pPr>
        <w:pStyle w:val="ListBullet"/>
      </w:pPr>
      <w:r/>
      <w:r>
        <w:rPr>
          <w:b/>
        </w:rPr>
        <w:t>Toxicité locale au point d'injection</w:t>
      </w:r>
      <w:r>
        <w:t xml:space="preserve"> : réaction locale ; extravasation → nécrose tissulaire possible (vesicant modéré).</w:t>
      </w:r>
    </w:p>
    <w:p>
      <w:pPr>
        <w:pStyle w:val="ListBullet"/>
      </w:pPr>
      <w:r/>
      <w:r>
        <w:rPr>
          <w:b/>
        </w:rPr>
        <w:t>Infections</w:t>
      </w:r>
      <w:r>
        <w:t xml:space="preserve"> (10-15 % — secondaires à la neutropénie).</w:t>
      </w:r>
    </w:p>
    <w:p>
      <w:pPr>
        <w:pStyle w:val="ListBullet"/>
      </w:pPr>
      <w:r/>
      <w:r>
        <w:rPr>
          <w:b/>
        </w:rPr>
        <w:t>Asthenia</w:t>
      </w:r>
      <w:r>
        <w:t xml:space="preserve"> (60-80 % — grade 3-4 : 10-15 %).</w:t>
      </w:r>
    </w:p>
    <w:p>
      <w:pPr>
        <w:pStyle w:val="ListBullet"/>
      </w:pPr>
      <w:r/>
      <w:r>
        <w:rPr>
          <w:b/>
        </w:rPr>
        <w:t>Cancers secondaires</w:t>
      </w:r>
      <w:r>
        <w:t xml:space="preserve"> (rares — cas isolés de LAM secondaires — principalement en association avec les alkylants).</w:t>
      </w:r>
    </w:p>
    <w:p>
      <w:r/>
      <w:r>
        <w:rPr>
          <w:b/>
        </w:rPr>
        <w:t>Prévention et Gestion des Effets Indésirables :</w:t>
      </w:r>
      <w:r/>
    </w:p>
    <w:p>
      <w:pPr>
        <w:pStyle w:val="ListBullet"/>
      </w:pPr>
      <w:r>
        <w:t>Prévention systématique :</w:t>
      </w:r>
    </w:p>
    <w:p>
      <w:pPr>
        <w:pStyle w:val="ListBullet"/>
      </w:pPr>
      <w:r>
        <w:t>**Test pharmacogénétique UGT1A1\*28** : recommandé avant la 1re cure d'irinotécan — réduction de dose initiale à 75 % de la dose standard chez les homozygotes *28/*28.</w:t>
      </w:r>
    </w:p>
    <w:p>
      <w:pPr>
        <w:pStyle w:val="ListBullet"/>
      </w:pPr>
      <w:r/>
      <w:r>
        <w:rPr>
          <w:b/>
        </w:rPr>
        <w:t>Prévention du syndrome cholinergique</w:t>
      </w:r>
      <w:r>
        <w:t xml:space="preserve"> : prémédication atropine (0,25-1 mg sous-cutané) systématique si syndrome cholinergique à la cure précédente ; sinon — administration d'atropine à disposition immédiate.</w:t>
      </w:r>
    </w:p>
    <w:p>
      <w:pPr>
        <w:pStyle w:val="ListBullet"/>
      </w:pPr>
      <w:r/>
      <w:r>
        <w:rPr>
          <w:b/>
        </w:rPr>
        <w:t>Prévention de la diarrhée tardive</w:t>
      </w:r>
      <w:r>
        <w:t xml:space="preserve"> : information patient obligatoire — débuter le lopéramide d'EMBLÉE dès la 1re selle liquide (4 mg puis 2 mg toutes les 2 h — maximum 16 mg/j — pendant au moins 12 h après la dernière selle liquide) — ne pas attendre l'aggravation. </w:t>
      </w:r>
      <w:r>
        <w:rPr>
          <w:b/>
        </w:rPr>
        <w:t>Antibiothérapie prophylactique</w:t>
      </w:r>
      <w:r>
        <w:t xml:space="preserve"> par fluoroquinolone (ciprofloxacine 500 mg × 2/j per os pendant 7 jours) à discuter en cas de diarrhée grade ≥ 3 à la cure précédente ou en cas de risque élevé (UGT1A1*28/*28, âge &gt; 70 ans, PS ≥ 2).</w:t>
      </w:r>
    </w:p>
    <w:p>
      <w:pPr>
        <w:pStyle w:val="ListBullet"/>
      </w:pPr>
      <w:r/>
      <w:r>
        <w:rPr>
          <w:b/>
        </w:rPr>
        <w:t>Prévention hématologique</w:t>
      </w:r>
      <w:r>
        <w:t xml:space="preserve"> : NFS avant chaque cure, délai à J8 si PNN &lt; 1 500/mm³, G-CSF prophylactique secondaire ou primaire (selon protocole — particulièrement en FOLFIRINOX, en contexte d'allogreffe, ou chez le sujet âgé).</w:t>
      </w:r>
    </w:p>
    <w:p>
      <w:pPr>
        <w:pStyle w:val="ListBullet"/>
      </w:pPr>
      <w:r/>
      <w:r>
        <w:rPr>
          <w:b/>
        </w:rPr>
        <w:t>Prévention digestive</w:t>
      </w:r>
      <w:r>
        <w:t xml:space="preserve"> : antiémétique prophylactique (sétron 5-HT3 + dexaméthasone). Laxatif si constipation (attention : risque de majorer la diarrhée tardive — à discuter).</w:t>
      </w:r>
    </w:p>
    <w:p>
      <w:pPr>
        <w:pStyle w:val="ListBullet"/>
      </w:pPr>
      <w:r/>
      <w:r>
        <w:rPr>
          <w:b/>
        </w:rPr>
        <w:t>Prévention de l'extravasation</w:t>
      </w:r>
      <w:r>
        <w:t xml:space="preserve"> : voie veineuse périphérique de bonne qualité (ou voie centrale si traitement prolongé) ; surveillance du point de perfusion.</w:t>
      </w:r>
    </w:p>
    <w:p>
      <w:pPr>
        <w:pStyle w:val="ListBullet"/>
      </w:pPr>
      <w:r>
        <w:t>Conduite à tenir :</w:t>
      </w:r>
    </w:p>
    <w:p>
      <w:pPr>
        <w:pStyle w:val="ListBullet"/>
      </w:pPr>
      <w:r/>
      <w:r>
        <w:rPr>
          <w:b/>
        </w:rPr>
        <w:t>En cas de syndrome cholinergique précoce</w:t>
      </w:r>
      <w:r>
        <w:t xml:space="preserve"> : atropine IV 0,25-1 mg sous-cutané ou IV (à renouveler si nécessaire — maximum 2 mg/j) — régression rapide en 30-60 min.</w:t>
      </w:r>
    </w:p>
    <w:p>
      <w:pPr>
        <w:pStyle w:val="ListBullet"/>
      </w:pPr>
      <w:r/>
      <w:r>
        <w:rPr>
          <w:b/>
        </w:rPr>
        <w:t>En cas de diarrhée tardive</w:t>
      </w:r>
      <w:r>
        <w:t xml:space="preserve"> : lopéramide d'EMBLÉE (4 mg puis 2 mg toutes les 2 h — maximum 16 mg/j — pendant au moins 12 h après la dernière selle liquide) ; </w:t>
      </w:r>
      <w:r>
        <w:rPr>
          <w:b/>
        </w:rPr>
        <w:t>hospitalisation URGENCE</w:t>
      </w:r>
      <w:r>
        <w:t xml:space="preserve"> si signes de gravité (diarrhée &gt; 6/j, fièvre ≥ 38,5 °C, hypovolémie, insuffisance rénale, neutropénie fébrile associée) — antibiothérapie empirique (fluoroquinolone + métronidazole), réhydratation IV (NaCl 0,9 % + KCl), G-CSF si neutropénie associée.</w:t>
      </w:r>
    </w:p>
    <w:p>
      <w:pPr>
        <w:pStyle w:val="ListBullet"/>
      </w:pPr>
      <w:r/>
      <w:r>
        <w:rPr>
          <w:b/>
        </w:rPr>
        <w:t>En cas de neutropénie fébrile</w:t>
      </w:r>
      <w:r>
        <w:t xml:space="preserve"> : hospitalisation URGENCE, antibiothérapie empirique (céphalosporine 3e génération + aminoside ou bétalactame large spectre selon protocole local), G-CSF, délai 2 semaines, réduction de dose à 75 % de la dose initiale à la cure suivante.</w:t>
      </w:r>
    </w:p>
    <w:p>
      <w:pPr>
        <w:pStyle w:val="ListBullet"/>
      </w:pPr>
      <w:r/>
      <w:r>
        <w:rPr>
          <w:b/>
        </w:rPr>
        <w:t>En cas de mucite grade ≥ 2</w:t>
      </w:r>
      <w:r>
        <w:t xml:space="preserve"> : antiseptique buccal (bicarbonate 1,2 % + chlorhexidine 0,12 %), anesthésique local (lidocaïne visqueuse 2 %), alimentation mixée tiède froide, arrêt transitoire si grade 3-4.</w:t>
      </w:r>
    </w:p>
    <w:p>
      <w:pPr>
        <w:pStyle w:val="ListBullet"/>
      </w:pPr>
      <w:r/>
      <w:r>
        <w:rPr>
          <w:b/>
        </w:rPr>
        <w:t>En cas de neutropénie grade 4 ≥ 7 jours</w:t>
      </w:r>
      <w:r>
        <w:t xml:space="preserve"> : G-CSF prophylactique primaire à la cure suivante.</w:t>
      </w:r>
    </w:p>
    <w:p>
      <w:pPr>
        <w:pStyle w:val="ListBullet"/>
      </w:pPr>
      <w:r/>
      <w:r>
        <w:rPr>
          <w:b/>
        </w:rPr>
        <w:t>En cas d'extravasation</w:t>
      </w:r>
      <w:r>
        <w:t xml:space="preserve"> : arrêt immédiat, aspiration, compresses chaudes + hyaluronidase 150-300 UI SC.</w:t>
      </w:r>
    </w:p>
    <w:p>
      <w:r/>
      <w:r>
        <w:rPr>
          <w:b/>
        </w:rPr>
        <w:t>Interactions Importantes :</w:t>
      </w:r>
      <w:r/>
    </w:p>
    <w:p>
      <w:pPr>
        <w:pStyle w:val="ListBullet"/>
      </w:pPr>
      <w:r/>
      <w:r>
        <w:rPr>
          <w:b/>
        </w:rPr>
        <w:t>Irinotécan + inhibiteurs du CYP3A4</w:t>
      </w:r>
      <w:r>
        <w:t xml:space="preserve"> (azolés — kétoconazole, itraconazole, voriconazole, fluconazole, posaconazole ; antiprotéases — ritonavir, atazanavir, lopinavir ; macrolides — érythromycine, clarithromycine, télithromycine ; grapefruit) : augmentation majeure de l'AUC irinotécan et SN-38 (× 2-3) — risque de myélosuppression sévère et de diarrhée tardive. Éviter ou réduire la dose à 75 %.</w:t>
      </w:r>
    </w:p>
    <w:p>
      <w:pPr>
        <w:pStyle w:val="ListBullet"/>
      </w:pPr>
      <w:r/>
      <w:r>
        <w:rPr>
          <w:b/>
        </w:rPr>
        <w:t>Irinotécan + inducteurs du CYP3A4</w:t>
      </w:r>
      <w:r>
        <w:t xml:space="preserve"> (rifampicine, phénytoïne, carbamazépine, phénobarbital, millepertuis) : baisse de l'AUC irinotécan et SN-38 — risque d'efficacité réduite. Éviter si possible.</w:t>
      </w:r>
    </w:p>
    <w:p>
      <w:pPr>
        <w:pStyle w:val="ListBullet"/>
      </w:pPr>
      <w:r/>
      <w:r>
        <w:rPr>
          <w:b/>
        </w:rPr>
        <w:t>Irinotécan + inhibiteurs de l'UGT1A1</w:t>
      </w:r>
      <w:r>
        <w:t xml:space="preserve"> (atazanavir, glyphosate — non significatif) : augmentation du SN-38 — surveillance clinique.</w:t>
      </w:r>
    </w:p>
    <w:p>
      <w:pPr>
        <w:pStyle w:val="ListBullet"/>
      </w:pPr>
      <w:r/>
      <w:r>
        <w:rPr>
          <w:b/>
        </w:rPr>
        <w:t>Irinotécan + inhibiteurs de la P-gp / BCRP</w:t>
      </w:r>
      <w:r>
        <w:t xml:space="preserve"> (ciclosporine, quinidine, vérapamil, amiodarone, dronédarone) : augmentation de l'AUC irinotécan et SN-38 — surveillance clinique.</w:t>
      </w:r>
    </w:p>
    <w:p>
      <w:pPr>
        <w:pStyle w:val="ListBullet"/>
      </w:pPr>
      <w:r/>
      <w:r>
        <w:rPr>
          <w:b/>
        </w:rPr>
        <w:t>Irinotécan + autres anticancéreux</w:t>
      </w:r>
      <w:r>
        <w:t xml:space="preserve"> : 5-FU/acide folinique (protocole FOLFIRI — synergie thérapeutique standard) ; oxaliplatine (protocole FOLFIRINOX — synergie thérapeutique) ; bevacizumab (anti-VEGF — synergie) ; cétuximab/panitumumab (anti-EGFR — uniquement si tumeur RAS sauvage — synergie) ; aflibercept/ramucirumab (anti-VEGF/Ang2 — 2e ligne) — synergie thérapeutique ; toxicité hématologique additive.</w:t>
      </w:r>
    </w:p>
    <w:p>
      <w:pPr>
        <w:pStyle w:val="ListBullet"/>
      </w:pPr>
      <w:r/>
      <w:r>
        <w:rPr>
          <w:b/>
        </w:rPr>
        <w:t>Irinotécan + warfarine</w:t>
      </w:r>
      <w:r>
        <w:t xml:space="preserve"> : augmentation de l'INR (modification de la flore intestinale — synthèse vitamine K) — surveillance INR, adaptation posologique.</w:t>
      </w:r>
    </w:p>
    <w:p>
      <w:pPr>
        <w:pStyle w:val="ListBullet"/>
      </w:pPr>
      <w:r/>
      <w:r>
        <w:rPr>
          <w:b/>
        </w:rPr>
        <w:t>Irinotécan + laxatifs stimulants</w:t>
      </w:r>
      <w:r>
        <w:t xml:space="preserve"> (séné, bisacodyl) : risque de majoration de la diarrhée tardive — éviter.</w:t>
      </w:r>
    </w:p>
    <w:p>
      <w:pPr>
        <w:pStyle w:val="ListBullet"/>
      </w:pPr>
      <w:r/>
      <w:r>
        <w:rPr>
          <w:b/>
        </w:rPr>
        <w:t>Irinotécan + vaccins vivants atténués</w:t>
      </w:r>
      <w:r>
        <w:t xml:space="preserve"> (BCG, fièvre jaune, ROR, varicelle, rotavirus) : contre-indication pendant et jusqu'à 3 mois après arrêt.</w:t>
      </w:r>
    </w:p>
    <w:p>
      <w:pPr>
        <w:pStyle w:val="ListBullet"/>
      </w:pPr>
      <w:r/>
      <w:r>
        <w:rPr>
          <w:b/>
        </w:rPr>
        <w:t>Irinotécan + radiothérapie</w:t>
      </w:r>
      <w:r>
        <w:t xml:space="preserve"> (surtout abdomino-pelvienne) : majoration du risque de diarrhée tardive sévère — éviter si possible.</w:t>
      </w:r>
    </w:p>
    <w:p>
      <w:pPr>
        <w:pStyle w:val="ListBullet"/>
      </w:pPr>
      <w:r/>
      <w:r>
        <w:rPr>
          <w:b/>
        </w:rPr>
        <w:t>Irinotécan + St-John's Wort (millepertuis)</w:t>
      </w:r>
      <w:r>
        <w:t xml:space="preserve"> : induction enzymatique majeure (CYP3A4 + P-gp) — baisse d'efficacité — contre-indication formelle.</w:t>
      </w:r>
    </w:p>
    <w:p>
      <w:r/>
      <w:r>
        <w:rPr>
          <w:b/>
        </w:rPr>
        <w:t>Grossesse et Allaitement :</w:t>
      </w:r>
      <w:r/>
    </w:p>
    <w:p>
      <w:pPr>
        <w:pStyle w:val="ListBullet"/>
      </w:pPr>
      <w:r>
        <w:t xml:space="preserve">Grossesse : selon le CRAT, l'irinotécan est classé « à éviter » (catégorie D — tératogène — études animales : embryo-létalité, foetotoxicité, tératogénicité). Contraception efficace obligatoire pendant le traitement et </w:t>
      </w:r>
      <w:r>
        <w:rPr>
          <w:b/>
        </w:rPr>
        <w:t>6 mois</w:t>
      </w:r>
      <w:r>
        <w:t xml:space="preserve"> après la dernière cure chez la femme et le partenaire masculin (données animales : toxicité testiculaire — spermatogenèse altérée). Test de grossesse pré-thérapeutique obligatoire. </w:t>
      </w:r>
      <w:r>
        <w:rPr>
          <w:b/>
        </w:rPr>
        <w:t>Conservation de gamètes</w:t>
      </w:r>
      <w:r>
        <w:t xml:space="preserve"> (cryopréservation ovocytaire ou spermatique) à discuter préalablement.</w:t>
      </w:r>
    </w:p>
    <w:p>
      <w:pPr>
        <w:pStyle w:val="ListBullet"/>
      </w:pPr>
      <w:r>
        <w:t>Allaitement : contre-indication ABSOLUE (passage dans le lait maternel — toxicité pour le nouveau-né). Arrêt de l'allaitement avant la 1re cure.</w:t>
      </w:r>
    </w:p>
    <w:p>
      <w:r/>
      <w:r>
        <w:rPr>
          <w:b/>
        </w:rPr>
        <w:t>Posologie et Mode d'Administration :</w:t>
      </w:r>
      <w:r/>
    </w:p>
    <w:p>
      <w:pPr>
        <w:pStyle w:val="ListBullet"/>
      </w:pPr>
      <w:r>
        <w:t>Adulte (cancer colorectal métastatique 1re ligne — FOLFIRI) :</w:t>
      </w:r>
    </w:p>
    <w:p>
      <w:pPr>
        <w:pStyle w:val="ListBullet"/>
      </w:pPr>
      <w:r/>
      <w:r>
        <w:rPr>
          <w:b/>
        </w:rPr>
        <w:t>Schéma standard</w:t>
      </w:r>
      <w:r>
        <w:t xml:space="preserve"> : irinotécan 180 mg/m² J1 + acide folinique 400 mg/m² J1 + 5-FU bolus 400 mg/m² J1 + 5-FU perfusion continue 2400 mg/m²/46 h, toutes les 2 semaines — jusqu'à progression ou toxicité inacceptable.</w:t>
      </w:r>
    </w:p>
    <w:p>
      <w:pPr>
        <w:pStyle w:val="ListBullet"/>
      </w:pPr>
      <w:r/>
      <w:r>
        <w:rPr>
          <w:b/>
        </w:rPr>
        <w:t>Réduction à 150 mg/m²</w:t>
      </w:r>
      <w:r>
        <w:t xml:space="preserve"> : si neutropénie grade ≥ 3 à la cure précédente, ou diarrhée grade ≥ 3 à la cure précédente.</w:t>
      </w:r>
    </w:p>
    <w:p>
      <w:pPr>
        <w:pStyle w:val="ListBullet"/>
      </w:pPr>
      <w:r/>
      <w:r>
        <w:rPr>
          <w:b/>
        </w:rPr>
        <w:t>Réduction à 120 mg/m²</w:t>
      </w:r>
      <w:r>
        <w:t xml:space="preserve"> : si toxicité grade 4 répétée — switch thérapeutique si réduction supplémentaire.</w:t>
      </w:r>
    </w:p>
    <w:p>
      <w:pPr>
        <w:pStyle w:val="ListBullet"/>
      </w:pPr>
      <w:r>
        <w:t>Adulte (cancer pancréatique métastatique 1re ligne — FOLFIRINOX) :</w:t>
      </w:r>
    </w:p>
    <w:p>
      <w:pPr>
        <w:pStyle w:val="ListBullet"/>
      </w:pPr>
      <w:r/>
      <w:r>
        <w:rPr>
          <w:b/>
        </w:rPr>
        <w:t>Schéma standard</w:t>
      </w:r>
      <w:r>
        <w:t xml:space="preserve"> : irinotécan 180 mg/m² J1 + oxaliplatine 85 mg/m² J1 + acide folinique 400 mg/m² J1 + 5-FU bolus 400 mg/m² J1 + 5-FU perfusion continue 2400 mg/m²/46 h, toutes les 2 semaines.</w:t>
      </w:r>
    </w:p>
    <w:p>
      <w:pPr>
        <w:pStyle w:val="ListBullet"/>
      </w:pPr>
      <w:r/>
      <w:r>
        <w:rPr>
          <w:b/>
        </w:rPr>
        <w:t>Réduction à 150 mg/m²</w:t>
      </w:r>
      <w:r>
        <w:t xml:space="preserve"> : si PS 1, ou âge &gt; 75 ans, ou toxicité grade ≥ 3 à la cure précédente.</w:t>
      </w:r>
    </w:p>
    <w:p>
      <w:pPr>
        <w:pStyle w:val="ListBullet"/>
      </w:pPr>
      <w:r/>
      <w:r>
        <w:rPr>
          <w:b/>
        </w:rPr>
        <w:t>Réduction à 120 mg/m²</w:t>
      </w:r>
      <w:r>
        <w:t xml:space="preserve"> : si toxicité grade 4 répétée — switch thérapeutique.</w:t>
      </w:r>
    </w:p>
    <w:p>
      <w:pPr>
        <w:pStyle w:val="ListBullet"/>
      </w:pPr>
      <w:r>
        <w:t>Adulte (cancer colorectal métastatique 2e ligne — monothérapie) :</w:t>
      </w:r>
    </w:p>
    <w:p>
      <w:pPr>
        <w:pStyle w:val="ListBullet"/>
      </w:pPr>
      <w:r/>
      <w:r>
        <w:rPr>
          <w:b/>
        </w:rPr>
        <w:t>Schéma standard</w:t>
      </w:r>
      <w:r>
        <w:t xml:space="preserve"> : 350 mg/m² J1 toutes les 3 semaines — jusqu'à progression ou toxicité inacceptable.</w:t>
      </w:r>
    </w:p>
    <w:p>
      <w:pPr>
        <w:pStyle w:val="ListBullet"/>
      </w:pPr>
      <w:r/>
      <w:r>
        <w:rPr>
          <w:b/>
        </w:rPr>
        <w:t>Réduction à 300 mg/m²</w:t>
      </w:r>
      <w:r>
        <w:t xml:space="preserve"> : si âge &gt; 70 ans, ou PS ≥ 2, ou antécédents de radiothérapie pelvienne.</w:t>
      </w:r>
    </w:p>
    <w:p>
      <w:pPr>
        <w:pStyle w:val="ListBullet"/>
      </w:pPr>
      <w:r/>
      <w:r>
        <w:rPr>
          <w:b/>
        </w:rPr>
        <w:t>Réduction à 200 mg/m²</w:t>
      </w:r>
      <w:r>
        <w:t xml:space="preserve"> : si bilirubine 1,5-3 × LSN.</w:t>
      </w:r>
    </w:p>
    <w:p>
      <w:pPr>
        <w:pStyle w:val="ListBullet"/>
      </w:pPr>
      <w:r>
        <w:t>Adaptation pharmacogénétique **UGT1A1\*28** :</w:t>
      </w:r>
    </w:p>
    <w:p>
      <w:pPr>
        <w:pStyle w:val="ListBullet"/>
      </w:pPr>
      <w:r>
        <w:t xml:space="preserve">Homozygote *28/*28 (syndrome de Gilbert — 8-10 % de la population) : </w:t>
      </w:r>
      <w:r>
        <w:rPr>
          <w:b/>
        </w:rPr>
        <w:t>réduction de dose initiale à 75 % de la dose standard</w:t>
      </w:r>
      <w:r>
        <w:t xml:space="preserve"> — soit irinotécan 130 mg/m² en FOLFIRI au lieu de 180 mg/m², ou 130 mg/m² en FOLFIRINOX au lieu de 180 mg/m², ou 260 mg/m² en monothérapie au lieu de 350 mg/m².</w:t>
      </w:r>
    </w:p>
    <w:p>
      <w:pPr>
        <w:pStyle w:val="ListBullet"/>
      </w:pPr>
      <w:r>
        <w:t>Adaptation hépatique :</w:t>
      </w:r>
    </w:p>
    <w:p>
      <w:pPr>
        <w:pStyle w:val="ListBullet"/>
      </w:pPr>
      <w:r>
        <w:t>Bilirubine 1-1,5 × LSN : dose pleine mais surveillance accrue.</w:t>
      </w:r>
    </w:p>
    <w:p>
      <w:pPr>
        <w:pStyle w:val="ListBullet"/>
      </w:pPr>
      <w:r>
        <w:t>Bilirubine 1,5-3 × LSN : réduction à 75 % de la dose (en monothérapie 200 mg/m²).</w:t>
      </w:r>
    </w:p>
    <w:p>
      <w:pPr>
        <w:pStyle w:val="ListBullet"/>
      </w:pPr>
      <w:r>
        <w:t>Bilirubine &gt; 3 × LSN : contre-indication.</w:t>
      </w:r>
    </w:p>
    <w:p>
      <w:pPr>
        <w:pStyle w:val="ListBullet"/>
      </w:pPr>
      <w:r>
        <w:t>Adaptation rénale : pas d'adaptation formelle.</w:t>
      </w:r>
    </w:p>
    <w:p>
      <w:pPr>
        <w:pStyle w:val="ListBullet"/>
      </w:pPr>
      <w:r>
        <w:t>Préparation et perfusion :</w:t>
      </w:r>
    </w:p>
    <w:p>
      <w:pPr>
        <w:pStyle w:val="ListBullet"/>
      </w:pPr>
      <w:r/>
      <w:r>
        <w:rPr>
          <w:b/>
        </w:rPr>
        <w:t>Dilution</w:t>
      </w:r>
      <w:r>
        <w:t xml:space="preserve"> : la solution d'irinotécan (20 mg/mL — flacons 2 mL = 40 mg, 5 mL = 100 mg) est diluée dans un minibag de 250 mL </w:t>
      </w:r>
      <w:r>
        <w:rPr>
          <w:b/>
        </w:rPr>
        <w:t>NaCl 0,9 % ou G5 %</w:t>
      </w:r>
      <w:r>
        <w:t xml:space="preserve"> (concentration finale 0,12-2,8 mg/mL — l'irinotécan est compatible avec les deux solvants — à la différence du paclitaxel et de l'étoposide). Dose standard pour un adulte de 1,7 m² : 180 mg/m² × 1,7 = ~ 310 mg — soit 3 flacons de 100 mg/5 mL + 1 flacon de 40 mg/2 mL (= 340 mg — légère approximation acceptable).</w:t>
      </w:r>
    </w:p>
    <w:p>
      <w:pPr>
        <w:pStyle w:val="ListBullet"/>
      </w:pPr>
      <w:r/>
      <w:r>
        <w:rPr>
          <w:b/>
        </w:rPr>
        <w:t>Surveillance pendant la perfusion</w:t>
      </w:r>
      <w:r>
        <w:t xml:space="preserve"> : scope cardiorespiratoire, PAs toutes les 15 min (syndrome cholinergique précoce — flush, diarrhée précoce, crampes abdominales, rhinorrhée, larmoiements, myosis, hypersialorrhée, bradycardie, hypotension — à traiter par atropine IV 0,25-1 mg).</w:t>
      </w:r>
    </w:p>
    <w:p>
      <w:pPr>
        <w:pStyle w:val="ListBullet"/>
      </w:pPr>
      <w:r/>
      <w:r>
        <w:rPr>
          <w:b/>
        </w:rPr>
        <w:t>Durée de perfusion</w:t>
      </w:r>
      <w:r>
        <w:t xml:space="preserve"> : 30-90 min (perfusion standard — peut être prolongée à 120 min en cas de syndrome cholinergique).</w:t>
      </w:r>
    </w:p>
    <w:p>
      <w:pPr>
        <w:pStyle w:val="ListBullet"/>
      </w:pPr>
      <w:r/>
      <w:r>
        <w:rPr>
          <w:b/>
        </w:rPr>
        <w:t>Voie veineuse</w:t>
      </w:r>
      <w:r>
        <w:t xml:space="preserve"> : périphérique suffisante (l'irinotécan est un vesicant modéré — surveillance du point de perfusion) ; voie centrale si traitement prolongé ou protocole complexe.</w:t>
      </w:r>
    </w:p>
    <w:p>
      <w:pPr>
        <w:pStyle w:val="ListBullet"/>
      </w:pPr>
      <w:r>
        <w:t>Conditions de conservation : flacons de solution à conserver entre 2 et 8 °C à l'abri de la lumière (ne pas congeler). Après dilution en minibag : stabilité 24 h à température ambiante, 48 h à 2-8 °C.</w:t>
      </w:r>
    </w:p>
    <w:p>
      <w:r/>
      <w:r>
        <w:rPr>
          <w:b/>
        </w:rPr>
        <w:t>Arbitrage et Bénéfices des Formes Galéniques :</w:t>
      </w:r>
      <w:r/>
    </w:p>
    <w:p>
      <w:pPr>
        <w:pStyle w:val="ListBullet"/>
      </w:pPr>
      <w:r/>
      <w:r>
        <w:rPr>
          <w:b/>
        </w:rPr>
        <w:t>Solution injectable pour perfusion IV — 20 mg/mL (40 mg/2 mL et 100 mg/5 mL)</w:t>
      </w:r>
      <w:r>
        <w:t xml:space="preserve"> — 5 marques actives en Algérie (Ertican Cipla, Iricol Accord Healthcare, Irinotecan Mylan, Pipetecan Richmond, Tekamen Mustafa Nevzat) + princeps Campto Pfizer en statut non renouvelable. Galénique unique — solution prête à diluer, deux dosages (40 mg/2 mL pour les faibles doses ou réductions de dose ; 100 mg/5 mL pour les doses standards). Les formes sont bioéquivalentes — substitution possible entre marques selon disponibilité. Les 5 marques actives garantissent un approvisionnement stable et permettent une rotation en cas de rupture d'une marque.</w:t>
      </w:r>
    </w:p>
    <w:p>
      <w:pPr>
        <w:pStyle w:val="ListBullet"/>
      </w:pPr>
      <w:r/>
      <w:r>
        <w:rPr>
          <w:b/>
        </w:rPr>
        <w:t>Conditionnement</w:t>
      </w:r>
      <w:r>
        <w:t xml:space="preserve"> : flacons unidoses — manipulation en ZAC (Zone d'Atmosphère Contrôlée) ou hotte à flux laminaire vertical, équipements de protection individuelle obligatoires (gants nitrile double, charlotte, masque FFP2, blouse chimio).</w:t>
      </w:r>
    </w:p>
    <w:p>
      <w:pPr>
        <w:pStyle w:val="ListBullet"/>
      </w:pPr>
      <w:r/>
      <w:r>
        <w:rPr>
          <w:b/>
        </w:rPr>
        <w:t>Choix de la marque</w:t>
      </w:r>
      <w:r>
        <w:t xml:space="preserve"> : en pratique, le choix se fait selon disponibilité du moment et politique d'achat hospitalier — pas de préférence pharmacologique (bioéquivalence démontrée). En cas de rupture d'une marque — switch vers une autre marque active sans adaptation posologique.</w:t>
      </w:r>
    </w:p>
    <w:p>
      <w:r/>
      <w:r>
        <w:rPr>
          <w:b/>
        </w:rPr>
        <w:t>Instructions et Conseils au Patient :</w:t>
      </w:r>
      <w:r/>
    </w:p>
    <w:p>
      <w:pPr>
        <w:pStyle w:val="ListBullet"/>
      </w:pPr>
      <w:r>
        <w:t>Communication avant la cure :</w:t>
      </w:r>
    </w:p>
    <w:p>
      <w:pPr>
        <w:pStyle w:val="ListBullet"/>
      </w:pPr>
      <w:r>
        <w:t>« Ce médicament est un anticancéreux puissant administré à l'hôpital uniquement, en perfusion veineuse de 30 à 90 minutes, toutes les 2 semaines (FOLFIRI, FOLFIRINOX) ou toutes les 3 semaines (monothérapie). Le traitement se poursuit jusqu'à progression ou toxicité. »</w:t>
      </w:r>
    </w:p>
    <w:p>
      <w:pPr>
        <w:pStyle w:val="ListBullet"/>
      </w:pPr>
      <w:r>
        <w:t>« Vous risquez une baisse des globules blancs (neutropénie) — surveillance par prise de sang avant chaque cure et vers le 7e-10e jour après la cure. Signalez IMMÉDIATEMENT une fièvre (≥ 38,5 °C) — urgence médicale. »</w:t>
      </w:r>
    </w:p>
    <w:p>
      <w:pPr>
        <w:pStyle w:val="ListBullet"/>
      </w:pPr>
      <w:r>
        <w:t>« Vous risquez DEUX types de diarrhée :</w:t>
      </w:r>
    </w:p>
    <w:p>
      <w:pPr>
        <w:pStyle w:val="ListBullet"/>
      </w:pPr>
      <w:r>
        <w:t>(i) une diarrhée PRÉCOCE dans les 24 heures après la perfusion (syndrome cholinergique — avec flush, crampes abdominales, rhinorrhée, larmoiements, myosis, hypersialorrhée, bradycardie) — signalez IMMÉDIATEMENT à l'infirmière — médicament antidote disponible (atropine IV).</w:t>
      </w:r>
    </w:p>
    <w:p>
      <w:pPr>
        <w:pStyle w:val="ListBullet"/>
      </w:pPr>
      <w:r>
        <w:t>(ii) une diarrhée TARDIVE à partir du 3e jour et jusqu'au 10e jour après la cure — PRENEZ IMMÉDIATEMENT le lopéramide (4 mg soit 2 capsules d'emblée, puis 2 mg soit 1 capsule toutes les 2 heures — maximum 16 mg/j soit 8 capsules/j — pendant au moins 12 heures après la dernière selle liquide). NE JAMAIS ATTENDRE L'AGGRAVATION. Si diarrhée &gt; 6 selles/j, fièvre ≥ 38,5 °C, vertiges, faiblesse — URGENCE médicale — hospitalisation immédiate. »</w:t>
      </w:r>
    </w:p>
    <w:p>
      <w:pPr>
        <w:pStyle w:val="ListBullet"/>
      </w:pPr>
      <w:r>
        <w:t>« Vous risquez une perte de cheveux quasi-constante mais réversible après l'arrêt du traitement. »</w:t>
      </w:r>
    </w:p>
    <w:p>
      <w:pPr>
        <w:pStyle w:val="ListBullet"/>
      </w:pPr>
      <w:r>
        <w:t>« Vous risquez des nausées (antiémétique prescrit), de la fatigue, des troubles du goût, une mucite buccale. »</w:t>
      </w:r>
    </w:p>
    <w:p>
      <w:pPr>
        <w:pStyle w:val="ListBullet"/>
      </w:pPr>
      <w:r>
        <w:t>« Signalez tout essoufflement, palpitations, vertiges. »</w:t>
      </w:r>
    </w:p>
    <w:p>
      <w:pPr>
        <w:pStyle w:val="ListBullet"/>
      </w:pPr>
      <w:r>
        <w:t>« Si vous êtes une femme en âge de procréer, une contraception efficace est OBLIGATOIRE pendant tout le traitement et 6 mois après la dernière cure. Test de grossesse préalable obligatoire. »</w:t>
      </w:r>
    </w:p>
    <w:p>
      <w:pPr>
        <w:pStyle w:val="ListBullet"/>
      </w:pPr>
      <w:r>
        <w:t>« Évitez les vaccins vivants pendant le traitement et 3 mois après. »</w:t>
      </w:r>
    </w:p>
    <w:p>
      <w:pPr>
        <w:pStyle w:val="ListBullet"/>
      </w:pPr>
      <w:r>
        <w:t>« Évitez le pamplemousse pendant le traitement. »</w:t>
      </w:r>
    </w:p>
    <w:p>
      <w:pPr>
        <w:pStyle w:val="ListBullet"/>
      </w:pPr>
      <w:r>
        <w:t>« Évitez le millepertuis pendant le traitement. »</w:t>
      </w:r>
    </w:p>
    <w:p>
      <w:pPr>
        <w:pStyle w:val="ListBullet"/>
      </w:pPr>
      <w:r>
        <w:t>Surveillance à domicile :</w:t>
      </w:r>
    </w:p>
    <w:p>
      <w:pPr>
        <w:pStyle w:val="ListBullet"/>
      </w:pPr>
      <w:r>
        <w:t>Prendre la température 2 fois/jour pendant 3 semaines après chaque cure.</w:t>
      </w:r>
    </w:p>
    <w:p>
      <w:pPr>
        <w:pStyle w:val="ListBullet"/>
      </w:pPr>
      <w:r>
        <w:t>Surveiller les selles (diarrhée tardive — J+3 à J+10).</w:t>
      </w:r>
    </w:p>
    <w:p>
      <w:pPr>
        <w:pStyle w:val="ListBullet"/>
      </w:pPr>
      <w:r/>
      <w:r>
        <w:rPr>
          <w:b/>
        </w:rPr>
        <w:t>Avoir le lopéramide TOUJOURS à disposition</w:t>
      </w:r>
      <w:r>
        <w:t xml:space="preserve"> — débuter dès la 1re selle liquide.</w:t>
      </w:r>
    </w:p>
    <w:p>
      <w:pPr>
        <w:pStyle w:val="ListBullet"/>
      </w:pPr>
      <w:r>
        <w:t>Hydratation PO abondante (1,5-2 L/j).</w:t>
      </w:r>
    </w:p>
    <w:p>
      <w:pPr>
        <w:pStyle w:val="ListBullet"/>
      </w:pPr>
      <w:r>
        <w:t>Alimentation équilibrée — supplémentation vitaminique si anorexie.</w:t>
      </w:r>
    </w:p>
    <w:p>
      <w:pPr>
        <w:pStyle w:val="ListBullet"/>
      </w:pPr>
      <w:r>
        <w:t>Éviter les contacts avec personnes malades (infections) pendant les 2 semaines suivant la cure.</w:t>
      </w:r>
    </w:p>
    <w:p>
      <w:r/>
      <w:r>
        <w:rPr>
          <w:b/>
        </w:rPr>
        <w:t>Notes, Règles d'Or &amp; Pièges au Comptoir :</w:t>
      </w:r>
      <w:r/>
    </w:p>
    <w:p>
      <w:pPr>
        <w:pStyle w:val="ListBullet"/>
      </w:pPr>
      <w:r>
        <w:t>Piège classique : **oubli du test pharmacogénétique UGT1A1\*28** — test systématique avant la 1re cure d'irinotécan (en FOLFIRI, FOLFIRINOX, ou monothérapie 350 mg/m²) — réduction de dose initiale à 75 % chez les homozygotes *28/*28 (8-10 % de la population — syndrome de Gilbert).</w:t>
      </w:r>
    </w:p>
    <w:p>
      <w:pPr>
        <w:pStyle w:val="ListBullet"/>
      </w:pPr>
      <w:r>
        <w:t xml:space="preserve">Piège classique : </w:t>
      </w:r>
      <w:r>
        <w:rPr>
          <w:b/>
        </w:rPr>
        <w:t>oubli du lopéramide</w:t>
      </w:r>
      <w:r>
        <w:t xml:space="preserve"> — diarrhée tardive (J+3 à J+10) — débuter le lopéramide d'EMBLÉE dès la 1re selle liquide (4 mg puis 2 mg toutes les 2 h — maximum 16 mg/j — pendant au moins 12 h après la dernière selle liquide) — NE JAMAIS ATTENDRE L'AGGRAVATION.</w:t>
      </w:r>
    </w:p>
    <w:p>
      <w:pPr>
        <w:pStyle w:val="ListBullet"/>
      </w:pPr>
      <w:r>
        <w:t xml:space="preserve">Piège classique : </w:t>
      </w:r>
      <w:r>
        <w:rPr>
          <w:b/>
        </w:rPr>
        <w:t>confusion diarrhée précoce (syndrome cholinergique ≤ 24 h — atropine) et diarrhée tardive (J+3 à J+10 — lopéramide)</w:t>
      </w:r>
      <w:r>
        <w:t xml:space="preserve"> — à distinguer absolument — atropine inefficace et CI dans la diarrhée tardive.</w:t>
      </w:r>
    </w:p>
    <w:p>
      <w:pPr>
        <w:pStyle w:val="ListBullet"/>
      </w:pPr>
      <w:r>
        <w:t xml:space="preserve">Piège classique : </w:t>
      </w:r>
      <w:r>
        <w:rPr>
          <w:b/>
        </w:rPr>
        <w:t>oubli de l'atropine à disposition</w:t>
      </w:r>
      <w:r>
        <w:t xml:space="preserve"> — syndrome cholinergique précoce (≤ 24 h — flush, diarrhée précoce, crampes abdominales, rhinorrhée, larmoiements, myosis, hypersialorrhée, bradycardie) — atropine IV 0,25-1 mg sous-cutané ou IV — régression rapide en 30-60 min.</w:t>
      </w:r>
    </w:p>
    <w:p>
      <w:pPr>
        <w:pStyle w:val="ListBullet"/>
      </w:pPr>
      <w:r>
        <w:t xml:space="preserve">Piège classique : </w:t>
      </w:r>
      <w:r>
        <w:rPr>
          <w:b/>
        </w:rPr>
        <w:t>millepertuis</w:t>
      </w:r>
      <w:r>
        <w:t xml:space="preserve"> (St-John's Wort — induction enzymatique CYP3A4 + P-gp majeure) — baisse d'efficacité de l'irinotécan — contre-indication formelle.</w:t>
      </w:r>
    </w:p>
    <w:p>
      <w:pPr>
        <w:pStyle w:val="ListBullet"/>
      </w:pPr>
      <w:r>
        <w:t xml:space="preserve">Piège classique : </w:t>
      </w:r>
      <w:r>
        <w:rPr>
          <w:b/>
        </w:rPr>
        <w:t>pamplemousse</w:t>
      </w:r>
      <w:r>
        <w:t xml:space="preserve"> (inhibition CYP3A4) — augmentation de l'AUC irinotécan et SN-38 — risque de toxicité sévère.</w:t>
      </w:r>
    </w:p>
    <w:p>
      <w:pPr>
        <w:pStyle w:val="ListBullet"/>
      </w:pPr>
      <w:r>
        <w:t xml:space="preserve">Piège classique : </w:t>
      </w:r>
      <w:r>
        <w:rPr>
          <w:b/>
        </w:rPr>
        <w:t>macrolides</w:t>
      </w:r>
      <w:r>
        <w:t xml:space="preserve"> (érythromycine, clarithromycine — inhibition CYP3A4) — augmentation de l'AUC irinotécan et SN-38 — risque de toxicité sévère.</w:t>
      </w:r>
    </w:p>
    <w:p>
      <w:pPr>
        <w:pStyle w:val="ListBullet"/>
      </w:pPr>
      <w:r>
        <w:t xml:space="preserve">Piège classique : </w:t>
      </w:r>
      <w:r>
        <w:rPr>
          <w:b/>
        </w:rPr>
        <w:t>azolés</w:t>
      </w:r>
      <w:r>
        <w:t xml:space="preserve"> (fluconazole, voriconazole, kétoconazole — inhibition CYP3A4) — augmentation de l'AUC irinotécan et SN-38 — risque de toxicité sévère.</w:t>
      </w:r>
    </w:p>
    <w:p>
      <w:pPr>
        <w:pStyle w:val="ListBullet"/>
      </w:pPr>
      <w:r>
        <w:t xml:space="preserve">Piège classique : </w:t>
      </w:r>
      <w:r>
        <w:rPr>
          <w:b/>
        </w:rPr>
        <w:t>syndrome inflammatoire chronique de l'intestin</w:t>
      </w:r>
      <w:r>
        <w:t xml:space="preserve"> (Crohn, RCH) — contre-indication ABSOLUE (risque de diarrhée sévère aggravée).</w:t>
      </w:r>
    </w:p>
    <w:p>
      <w:pPr>
        <w:pStyle w:val="ListBullet"/>
      </w:pPr>
      <w:r>
        <w:t xml:space="preserve">Piège classique : </w:t>
      </w:r>
      <w:r>
        <w:rPr>
          <w:b/>
        </w:rPr>
        <w:t>occlusion intestinale ou sub-occlusion</w:t>
      </w:r>
      <w:r>
        <w:t xml:space="preserve"> — contre-indication ABSOLUE.</w:t>
      </w:r>
    </w:p>
    <w:p>
      <w:pPr>
        <w:pStyle w:val="ListBullet"/>
      </w:pPr>
      <w:r>
        <w:t xml:space="preserve">Piège classique : </w:t>
      </w:r>
      <w:r>
        <w:rPr>
          <w:b/>
        </w:rPr>
        <w:t>radiothérapie abdomino-pelvienne concomitante</w:t>
      </w:r>
      <w:r>
        <w:t xml:space="preserve"> — majoration du risque de diarrhée tardive sévère — éviter si possible.</w:t>
      </w:r>
    </w:p>
    <w:p>
      <w:pPr>
        <w:pStyle w:val="ListBullet"/>
      </w:pPr>
      <w:r>
        <w:t>Règle d'or : test UGT1A1\*28 systématique avant la 1re cure d'irinotécan.</w:t>
      </w:r>
    </w:p>
    <w:p>
      <w:pPr>
        <w:pStyle w:val="ListBullet"/>
      </w:pPr>
      <w:r>
        <w:t>Règle d'or : lopéramide TOUJOURS à disposition à domicile — débuter dès la 1re selle liquide (J+3 à J+10).</w:t>
      </w:r>
    </w:p>
    <w:p>
      <w:pPr>
        <w:pStyle w:val="ListBullet"/>
      </w:pPr>
      <w:r>
        <w:t>Règle d'or : atropine à disposition IMMÉDIATE pendant la perfusion — syndrome cholinergique ≤ 24 h.</w:t>
      </w:r>
    </w:p>
    <w:p>
      <w:pPr>
        <w:pStyle w:val="ListBullet"/>
      </w:pPr>
      <w:r>
        <w:t>Règle d'or : NFS avant chaque cure — pas de cure si PNN &lt; 1 500/mm³. NFS de contrôle J7-J10.</w:t>
      </w:r>
    </w:p>
    <w:p>
      <w:pPr>
        <w:pStyle w:val="ListBullet"/>
      </w:pPr>
      <w:r>
        <w:t>Règle d'or : bilan hépatique (bilirubine, ASAT, ALAT) avant chaque cure — adapter selon bilirubine.</w:t>
      </w:r>
    </w:p>
    <w:p>
      <w:pPr>
        <w:pStyle w:val="ListBullet"/>
      </w:pPr>
      <w:r>
        <w:t>Règle d'or : contraception efficace obligatoire (6 mois post-traitement).</w:t>
      </w:r>
    </w:p>
    <w:p>
      <w:pPr>
        <w:pStyle w:val="ListBullet"/>
      </w:pPr>
      <w:r>
        <w:t>Règle d'or : pas de millepertuis, pas de pamplemousse, pas de macrolides, pas d'azolés.</w:t>
      </w:r>
    </w:p>
    <w:p>
      <w:pPr>
        <w:pStyle w:val="ListBullet"/>
      </w:pPr>
      <w:r>
        <w:t>Préparation et Conservation : flacons de solution à conserver entre 2 et 8 °C à l'abri de la lumière. Après dilution en minibag : stabilité 24 h à température ambiante, 48 h à 2-8 °C.</w:t>
      </w:r>
    </w:p>
    <w:p>
      <w:pPr>
        <w:pStyle w:val="Heading2"/>
      </w:pPr>
      <w:r>
        <w:t>Tableau Comparatif Synoptique des 11 DCIs du Chapitre 103</w:t>
      </w:r>
    </w:p>
    <w:p>
      <w:r>
        <w:t>Le tableau ci-dessous récapitule les caractéristiques essentielles des 11 DCIs présentées dans ce chapitre, en vue d'une comparaison rapide et d'une mémorisation pédagogique pour le pharmacien d'officine et hospitalier algérien.</w:t>
      </w:r>
    </w:p>
    <w:tbl>
      <w:tblPr>
        <w:tblStyle w:val="LightGrid-Accent1"/>
        <w:tblW w:type="auto" w:w="0"/>
        <w:tblLook w:firstColumn="1" w:firstRow="1" w:lastColumn="0" w:lastRow="0" w:noHBand="0" w:noVBand="1" w:val="04A0"/>
      </w:tblPr>
      <w:tblGrid>
        <w:gridCol w:w="850"/>
        <w:gridCol w:w="850"/>
        <w:gridCol w:w="850"/>
        <w:gridCol w:w="850"/>
        <w:gridCol w:w="850"/>
        <w:gridCol w:w="850"/>
        <w:gridCol w:w="850"/>
        <w:gridCol w:w="850"/>
        <w:gridCol w:w="850"/>
        <w:gridCol w:w="850"/>
        <w:gridCol w:w="850"/>
      </w:tblGrid>
      <w:tr>
        <w:tc>
          <w:tcPr>
            <w:tcW w:type="dxa" w:w="850"/>
          </w:tcPr>
          <w:p>
            <w:r>
              <w:rPr>
                <w:b/>
                <w:sz w:val="20"/>
              </w:rPr>
              <w:t>DCI</w:t>
            </w:r>
          </w:p>
        </w:tc>
        <w:tc>
          <w:tcPr>
            <w:tcW w:type="dxa" w:w="850"/>
          </w:tcPr>
          <w:p>
            <w:r>
              <w:rPr>
                <w:b/>
                <w:sz w:val="20"/>
              </w:rPr>
              <w:t>Sous-classe</w:t>
            </w:r>
          </w:p>
        </w:tc>
        <w:tc>
          <w:tcPr>
            <w:tcW w:type="dxa" w:w="850"/>
          </w:tcPr>
          <w:p>
            <w:r>
              <w:rPr>
                <w:b/>
                <w:sz w:val="20"/>
              </w:rPr>
              <w:t>Mécanisme d'action</w:t>
            </w:r>
          </w:p>
        </w:tc>
        <w:tc>
          <w:tcPr>
            <w:tcW w:type="dxa" w:w="850"/>
          </w:tcPr>
          <w:p>
            <w:r>
              <w:rPr>
                <w:b/>
                <w:sz w:val="20"/>
              </w:rPr>
              <w:t>Phase du cycle</w:t>
            </w:r>
          </w:p>
        </w:tc>
        <w:tc>
          <w:tcPr>
            <w:tcW w:type="dxa" w:w="850"/>
          </w:tcPr>
          <w:p>
            <w:r>
              <w:rPr>
                <w:b/>
                <w:sz w:val="20"/>
              </w:rPr>
              <w:t>Demi-vie (h)</w:t>
            </w:r>
          </w:p>
        </w:tc>
        <w:tc>
          <w:tcPr>
            <w:tcW w:type="dxa" w:w="850"/>
          </w:tcPr>
          <w:p>
            <w:r>
              <w:rPr>
                <w:b/>
                <w:sz w:val="20"/>
              </w:rPr>
              <w:t>Élimination</w:t>
            </w:r>
          </w:p>
        </w:tc>
        <w:tc>
          <w:tcPr>
            <w:tcW w:type="dxa" w:w="850"/>
          </w:tcPr>
          <w:p>
            <w:r>
              <w:rPr>
                <w:b/>
                <w:sz w:val="20"/>
              </w:rPr>
              <w:t>EI majeur signature</w:t>
            </w:r>
          </w:p>
        </w:tc>
        <w:tc>
          <w:tcPr>
            <w:tcW w:type="dxa" w:w="850"/>
          </w:tcPr>
          <w:p>
            <w:r>
              <w:rPr>
                <w:b/>
                <w:sz w:val="20"/>
              </w:rPr>
              <w:t>Prémédication systématique</w:t>
            </w:r>
          </w:p>
        </w:tc>
        <w:tc>
          <w:tcPr>
            <w:tcW w:type="dxa" w:w="850"/>
          </w:tcPr>
          <w:p>
            <w:r>
              <w:rPr>
                <w:b/>
                <w:sz w:val="20"/>
              </w:rPr>
              <w:t>Dose standard</w:t>
            </w:r>
          </w:p>
        </w:tc>
        <w:tc>
          <w:tcPr>
            <w:tcW w:type="dxa" w:w="850"/>
          </w:tcPr>
          <w:p>
            <w:r>
              <w:rPr>
                <w:b/>
                <w:sz w:val="20"/>
              </w:rPr>
              <w:t>Marques Algérie (Actives / Total)</w:t>
            </w:r>
          </w:p>
        </w:tc>
        <w:tc>
          <w:tcPr>
            <w:tcW w:type="dxa" w:w="850"/>
          </w:tcPr>
          <w:p>
            <w:r>
              <w:rPr>
                <w:b/>
                <w:sz w:val="20"/>
              </w:rPr>
              <w:t>Grossesse CRAT</w:t>
            </w:r>
          </w:p>
        </w:tc>
      </w:tr>
      <w:tr>
        <w:tc>
          <w:tcPr>
            <w:tcW w:type="dxa" w:w="850"/>
          </w:tcPr>
          <w:p>
            <w:r>
              <w:rPr>
                <w:sz w:val="20"/>
              </w:rPr>
              <w:t>**Paclitaxel**</w:t>
            </w:r>
          </w:p>
        </w:tc>
        <w:tc>
          <w:tcPr>
            <w:tcW w:type="dxa" w:w="850"/>
          </w:tcPr>
          <w:p>
            <w:r>
              <w:rPr>
                <w:sz w:val="20"/>
              </w:rPr>
              <w:t>Taxane (1re G)</w:t>
            </w:r>
          </w:p>
        </w:tc>
        <w:tc>
          <w:tcPr>
            <w:tcW w:type="dxa" w:w="850"/>
          </w:tcPr>
          <w:p>
            <w:r>
              <w:rPr>
                <w:sz w:val="20"/>
              </w:rPr>
              <w:t>Stabilisation microtubules (gel) — site taxane</w:t>
            </w:r>
          </w:p>
        </w:tc>
        <w:tc>
          <w:tcPr>
            <w:tcW w:type="dxa" w:w="850"/>
          </w:tcPr>
          <w:p>
            <w:r>
              <w:rPr>
                <w:sz w:val="20"/>
              </w:rPr>
              <w:t>M (métaphase)</w:t>
            </w:r>
          </w:p>
        </w:tc>
        <w:tc>
          <w:tcPr>
            <w:tcW w:type="dxa" w:w="850"/>
          </w:tcPr>
          <w:p>
            <w:r>
              <w:rPr>
                <w:sz w:val="20"/>
              </w:rPr>
              <w:t>5-13</w:t>
            </w:r>
          </w:p>
        </w:tc>
        <w:tc>
          <w:tcPr>
            <w:tcW w:type="dxa" w:w="850"/>
          </w:tcPr>
          <w:p>
            <w:r>
              <w:rPr>
                <w:sz w:val="20"/>
              </w:rPr>
              <w:t>Biliaire (~ 70 %) + rénale (~ 10 %)</w:t>
            </w:r>
          </w:p>
        </w:tc>
        <w:tc>
          <w:tcPr>
            <w:tcW w:type="dxa" w:w="850"/>
          </w:tcPr>
          <w:p>
            <w:r>
              <w:rPr>
                <w:sz w:val="20"/>
              </w:rPr>
              <w:t>Neurotoxicité cumulative + choc anaphylactique (Crémophor EL)</w:t>
            </w:r>
          </w:p>
        </w:tc>
        <w:tc>
          <w:tcPr>
            <w:tcW w:type="dxa" w:w="850"/>
          </w:tcPr>
          <w:p>
            <w:r>
              <w:rPr>
                <w:sz w:val="20"/>
              </w:rPr>
              <w:t>**Oui** — anti-H1 + anti-H2 + dexaméthasone</w:t>
            </w:r>
          </w:p>
        </w:tc>
        <w:tc>
          <w:tcPr>
            <w:tcW w:type="dxa" w:w="850"/>
          </w:tcPr>
          <w:p>
            <w:r>
              <w:rPr>
                <w:sz w:val="20"/>
              </w:rPr>
              <w:t>175 mg/m² J1 / 3 sem</w:t>
            </w:r>
          </w:p>
        </w:tc>
        <w:tc>
          <w:tcPr>
            <w:tcW w:type="dxa" w:w="850"/>
          </w:tcPr>
          <w:p>
            <w:r>
              <w:rPr>
                <w:sz w:val="20"/>
              </w:rPr>
              <w:t>3 / 7</w:t>
            </w:r>
          </w:p>
        </w:tc>
        <w:tc>
          <w:tcPr>
            <w:tcW w:type="dxa" w:w="850"/>
          </w:tcPr>
          <w:p>
            <w:r>
              <w:rPr>
                <w:sz w:val="20"/>
              </w:rPr>
              <w:t>À éviter (D)</w:t>
            </w:r>
          </w:p>
        </w:tc>
      </w:tr>
      <w:tr>
        <w:tc>
          <w:tcPr>
            <w:tcW w:type="dxa" w:w="850"/>
          </w:tcPr>
          <w:p>
            <w:r>
              <w:rPr>
                <w:sz w:val="20"/>
              </w:rPr>
              <w:t>**Docetaxel**</w:t>
            </w:r>
          </w:p>
        </w:tc>
        <w:tc>
          <w:tcPr>
            <w:tcW w:type="dxa" w:w="850"/>
          </w:tcPr>
          <w:p>
            <w:r>
              <w:rPr>
                <w:sz w:val="20"/>
              </w:rPr>
              <w:t>Taxane (2e G)</w:t>
            </w:r>
          </w:p>
        </w:tc>
        <w:tc>
          <w:tcPr>
            <w:tcW w:type="dxa" w:w="850"/>
          </w:tcPr>
          <w:p>
            <w:r>
              <w:rPr>
                <w:sz w:val="20"/>
              </w:rPr>
              <w:t>Stabilisation microtubules (gel) — site taxane</w:t>
            </w:r>
          </w:p>
        </w:tc>
        <w:tc>
          <w:tcPr>
            <w:tcW w:type="dxa" w:w="850"/>
          </w:tcPr>
          <w:p>
            <w:r>
              <w:rPr>
                <w:sz w:val="20"/>
              </w:rPr>
              <w:t>M (métaphase)</w:t>
            </w:r>
          </w:p>
        </w:tc>
        <w:tc>
          <w:tcPr>
            <w:tcW w:type="dxa" w:w="850"/>
          </w:tcPr>
          <w:p>
            <w:r>
              <w:rPr>
                <w:sz w:val="20"/>
              </w:rPr>
              <w:t>11-18</w:t>
            </w:r>
          </w:p>
        </w:tc>
        <w:tc>
          <w:tcPr>
            <w:tcW w:type="dxa" w:w="850"/>
          </w:tcPr>
          <w:p>
            <w:r>
              <w:rPr>
                <w:sz w:val="20"/>
              </w:rPr>
              <w:t>Biliaire (~ 75 %)</w:t>
            </w:r>
          </w:p>
        </w:tc>
        <w:tc>
          <w:tcPr>
            <w:tcW w:type="dxa" w:w="850"/>
          </w:tcPr>
          <w:p>
            <w:r>
              <w:rPr>
                <w:sz w:val="20"/>
              </w:rPr>
              <w:t>Rétention hydrosodée cumulative + neurotoxicité</w:t>
            </w:r>
          </w:p>
        </w:tc>
        <w:tc>
          <w:tcPr>
            <w:tcW w:type="dxa" w:w="850"/>
          </w:tcPr>
          <w:p>
            <w:r>
              <w:rPr>
                <w:sz w:val="20"/>
              </w:rPr>
              <w:t>**Oui** — dexaméthasone 8 mg × 2/j J-3 à J-1</w:t>
            </w:r>
          </w:p>
        </w:tc>
        <w:tc>
          <w:tcPr>
            <w:tcW w:type="dxa" w:w="850"/>
          </w:tcPr>
          <w:p>
            <w:r>
              <w:rPr>
                <w:sz w:val="20"/>
              </w:rPr>
              <w:t>75-100 mg/m² J1 / 3 sem</w:t>
            </w:r>
          </w:p>
        </w:tc>
        <w:tc>
          <w:tcPr>
            <w:tcW w:type="dxa" w:w="850"/>
          </w:tcPr>
          <w:p>
            <w:r>
              <w:rPr>
                <w:sz w:val="20"/>
              </w:rPr>
              <w:t>11 / 19</w:t>
            </w:r>
          </w:p>
        </w:tc>
        <w:tc>
          <w:tcPr>
            <w:tcW w:type="dxa" w:w="850"/>
          </w:tcPr>
          <w:p>
            <w:r>
              <w:rPr>
                <w:sz w:val="20"/>
              </w:rPr>
              <w:t>À éviter (D)</w:t>
            </w:r>
          </w:p>
        </w:tc>
      </w:tr>
      <w:tr>
        <w:tc>
          <w:tcPr>
            <w:tcW w:type="dxa" w:w="850"/>
          </w:tcPr>
          <w:p>
            <w:r>
              <w:rPr>
                <w:sz w:val="20"/>
              </w:rPr>
              <w:t>**Cabazitaxel**</w:t>
            </w:r>
          </w:p>
        </w:tc>
        <w:tc>
          <w:tcPr>
            <w:tcW w:type="dxa" w:w="850"/>
          </w:tcPr>
          <w:p>
            <w:r>
              <w:rPr>
                <w:sz w:val="20"/>
              </w:rPr>
              <w:t>Taxane (3e G)</w:t>
            </w:r>
          </w:p>
        </w:tc>
        <w:tc>
          <w:tcPr>
            <w:tcW w:type="dxa" w:w="850"/>
          </w:tcPr>
          <w:p>
            <w:r>
              <w:rPr>
                <w:sz w:val="20"/>
              </w:rPr>
              <w:t>Stabilisation microtubules + faible affinité P-gp (BHE)</w:t>
            </w:r>
          </w:p>
        </w:tc>
        <w:tc>
          <w:tcPr>
            <w:tcW w:type="dxa" w:w="850"/>
          </w:tcPr>
          <w:p>
            <w:r>
              <w:rPr>
                <w:sz w:val="20"/>
              </w:rPr>
              <w:t>M (métaphase)</w:t>
            </w:r>
          </w:p>
        </w:tc>
        <w:tc>
          <w:tcPr>
            <w:tcW w:type="dxa" w:w="850"/>
          </w:tcPr>
          <w:p>
            <w:r>
              <w:rPr>
                <w:sz w:val="20"/>
              </w:rPr>
              <w:t>27-77</w:t>
            </w:r>
          </w:p>
        </w:tc>
        <w:tc>
          <w:tcPr>
            <w:tcW w:type="dxa" w:w="850"/>
          </w:tcPr>
          <w:p>
            <w:r>
              <w:rPr>
                <w:sz w:val="20"/>
              </w:rPr>
              <w:t>Biliaire (~ 80 %)</w:t>
            </w:r>
          </w:p>
        </w:tc>
        <w:tc>
          <w:tcPr>
            <w:tcW w:type="dxa" w:w="850"/>
          </w:tcPr>
          <w:p>
            <w:r>
              <w:rPr>
                <w:sz w:val="20"/>
              </w:rPr>
              <w:t>Neutropénie sévère (grade 4 : 82 %)</w:t>
            </w:r>
          </w:p>
        </w:tc>
        <w:tc>
          <w:tcPr>
            <w:tcW w:type="dxa" w:w="850"/>
          </w:tcPr>
          <w:p>
            <w:r>
              <w:rPr>
                <w:sz w:val="20"/>
              </w:rPr>
              <w:t>**Oui** — dexaméthasone 8 mg × 2/j J-3 à J-1</w:t>
            </w:r>
          </w:p>
        </w:tc>
        <w:tc>
          <w:tcPr>
            <w:tcW w:type="dxa" w:w="850"/>
          </w:tcPr>
          <w:p>
            <w:r>
              <w:rPr>
                <w:sz w:val="20"/>
              </w:rPr>
              <w:t>25 mg/m² J1 / 3 sem</w:t>
            </w:r>
          </w:p>
        </w:tc>
        <w:tc>
          <w:tcPr>
            <w:tcW w:type="dxa" w:w="850"/>
          </w:tcPr>
          <w:p>
            <w:r>
              <w:rPr>
                <w:sz w:val="20"/>
              </w:rPr>
              <w:t>6 / 6</w:t>
            </w:r>
          </w:p>
        </w:tc>
        <w:tc>
          <w:tcPr>
            <w:tcW w:type="dxa" w:w="850"/>
          </w:tcPr>
          <w:p>
            <w:r>
              <w:rPr>
                <w:sz w:val="20"/>
              </w:rPr>
              <w:t>À éviter (D)</w:t>
            </w:r>
          </w:p>
        </w:tc>
      </w:tr>
      <w:tr>
        <w:tc>
          <w:tcPr>
            <w:tcW w:type="dxa" w:w="850"/>
          </w:tcPr>
          <w:p>
            <w:r>
              <w:rPr>
                <w:sz w:val="20"/>
              </w:rPr>
              <w:t>**Vincristine**</w:t>
            </w:r>
          </w:p>
        </w:tc>
        <w:tc>
          <w:tcPr>
            <w:tcW w:type="dxa" w:w="850"/>
          </w:tcPr>
          <w:p>
            <w:r>
              <w:rPr>
                <w:sz w:val="20"/>
              </w:rPr>
              <w:t>Vinca (1re G)</w:t>
            </w:r>
          </w:p>
        </w:tc>
        <w:tc>
          <w:tcPr>
            <w:tcW w:type="dxa" w:w="850"/>
          </w:tcPr>
          <w:p>
            <w:r>
              <w:rPr>
                <w:sz w:val="20"/>
              </w:rPr>
              <w:t>Dépolymérisation microtubules (site vinca — bloc nucléation)</w:t>
            </w:r>
          </w:p>
        </w:tc>
        <w:tc>
          <w:tcPr>
            <w:tcW w:type="dxa" w:w="850"/>
          </w:tcPr>
          <w:p>
            <w:r>
              <w:rPr>
                <w:sz w:val="20"/>
              </w:rPr>
              <w:t>M (métaphase)</w:t>
            </w:r>
          </w:p>
        </w:tc>
        <w:tc>
          <w:tcPr>
            <w:tcW w:type="dxa" w:w="850"/>
          </w:tcPr>
          <w:p>
            <w:r>
              <w:rPr>
                <w:sz w:val="20"/>
              </w:rPr>
              <w:t>19-85</w:t>
            </w:r>
          </w:p>
        </w:tc>
        <w:tc>
          <w:tcPr>
            <w:tcW w:type="dxa" w:w="850"/>
          </w:tcPr>
          <w:p>
            <w:r>
              <w:rPr>
                <w:sz w:val="20"/>
              </w:rPr>
              <w:t>Biliaire (~ 80 %)</w:t>
            </w:r>
          </w:p>
        </w:tc>
        <w:tc>
          <w:tcPr>
            <w:tcW w:type="dxa" w:w="850"/>
          </w:tcPr>
          <w:p>
            <w:r>
              <w:rPr>
                <w:sz w:val="20"/>
              </w:rPr>
              <w:t>**Neurotoxicité dose-limitante** (axonale — sensitivo-motrice + autonome) + **injection intrathécale FATALE**</w:t>
            </w:r>
          </w:p>
        </w:tc>
        <w:tc>
          <w:tcPr>
            <w:tcW w:type="dxa" w:w="850"/>
          </w:tcPr>
          <w:p>
            <w:r>
              <w:rPr>
                <w:sz w:val="20"/>
              </w:rPr>
              <w:t>Non (sauf SI)</w:t>
            </w:r>
          </w:p>
        </w:tc>
        <w:tc>
          <w:tcPr>
            <w:tcW w:type="dxa" w:w="850"/>
          </w:tcPr>
          <w:p>
            <w:r>
              <w:rPr>
                <w:sz w:val="20"/>
              </w:rPr>
              <w:t>1,4 mg/m² J1 / sem (cap 2 mg)</w:t>
            </w:r>
          </w:p>
        </w:tc>
        <w:tc>
          <w:tcPr>
            <w:tcW w:type="dxa" w:w="850"/>
          </w:tcPr>
          <w:p>
            <w:r>
              <w:rPr>
                <w:sz w:val="20"/>
              </w:rPr>
              <w:t>1 / 6</w:t>
            </w:r>
          </w:p>
        </w:tc>
        <w:tc>
          <w:tcPr>
            <w:tcW w:type="dxa" w:w="850"/>
          </w:tcPr>
          <w:p>
            <w:r>
              <w:rPr>
                <w:sz w:val="20"/>
              </w:rPr>
              <w:t>À éviter (D)</w:t>
            </w:r>
          </w:p>
        </w:tc>
      </w:tr>
      <w:tr>
        <w:tc>
          <w:tcPr>
            <w:tcW w:type="dxa" w:w="850"/>
          </w:tcPr>
          <w:p>
            <w:r>
              <w:rPr>
                <w:sz w:val="20"/>
              </w:rPr>
              <w:t>**Vinblastine**</w:t>
            </w:r>
          </w:p>
        </w:tc>
        <w:tc>
          <w:tcPr>
            <w:tcW w:type="dxa" w:w="850"/>
          </w:tcPr>
          <w:p>
            <w:r>
              <w:rPr>
                <w:sz w:val="20"/>
              </w:rPr>
              <w:t>Vinca (1re G)</w:t>
            </w:r>
          </w:p>
        </w:tc>
        <w:tc>
          <w:tcPr>
            <w:tcW w:type="dxa" w:w="850"/>
          </w:tcPr>
          <w:p>
            <w:r>
              <w:rPr>
                <w:sz w:val="20"/>
              </w:rPr>
              <w:t>Dépolymérisation microtubules (site vinca)</w:t>
            </w:r>
          </w:p>
        </w:tc>
        <w:tc>
          <w:tcPr>
            <w:tcW w:type="dxa" w:w="850"/>
          </w:tcPr>
          <w:p>
            <w:r>
              <w:rPr>
                <w:sz w:val="20"/>
              </w:rPr>
              <w:t>M (métaphase)</w:t>
            </w:r>
          </w:p>
        </w:tc>
        <w:tc>
          <w:tcPr>
            <w:tcW w:type="dxa" w:w="850"/>
          </w:tcPr>
          <w:p>
            <w:r>
              <w:rPr>
                <w:sz w:val="20"/>
              </w:rPr>
              <w:t>25-80</w:t>
            </w:r>
          </w:p>
        </w:tc>
        <w:tc>
          <w:tcPr>
            <w:tcW w:type="dxa" w:w="850"/>
          </w:tcPr>
          <w:p>
            <w:r>
              <w:rPr>
                <w:sz w:val="20"/>
              </w:rPr>
              <w:t>Biliaire (~ 75 %)</w:t>
            </w:r>
          </w:p>
        </w:tc>
        <w:tc>
          <w:tcPr>
            <w:tcW w:type="dxa" w:w="850"/>
          </w:tcPr>
          <w:p>
            <w:r>
              <w:rPr>
                <w:sz w:val="20"/>
              </w:rPr>
              <w:t>Myélosuppression + neurotoxicité (moindre que vincristine)</w:t>
            </w:r>
          </w:p>
        </w:tc>
        <w:tc>
          <w:tcPr>
            <w:tcW w:type="dxa" w:w="850"/>
          </w:tcPr>
          <w:p>
            <w:r>
              <w:rPr>
                <w:sz w:val="20"/>
              </w:rPr>
              <w:t>Non</w:t>
            </w:r>
          </w:p>
        </w:tc>
        <w:tc>
          <w:tcPr>
            <w:tcW w:type="dxa" w:w="850"/>
          </w:tcPr>
          <w:p>
            <w:r>
              <w:rPr>
                <w:sz w:val="20"/>
              </w:rPr>
              <w:t>6-10 mg/m² J1 / 1-2 sem</w:t>
            </w:r>
          </w:p>
        </w:tc>
        <w:tc>
          <w:tcPr>
            <w:tcW w:type="dxa" w:w="850"/>
          </w:tcPr>
          <w:p>
            <w:r>
              <w:rPr>
                <w:sz w:val="20"/>
              </w:rPr>
              <w:t>1 / 3</w:t>
            </w:r>
          </w:p>
        </w:tc>
        <w:tc>
          <w:tcPr>
            <w:tcW w:type="dxa" w:w="850"/>
          </w:tcPr>
          <w:p>
            <w:r>
              <w:rPr>
                <w:sz w:val="20"/>
              </w:rPr>
              <w:t>À éviter (D)</w:t>
            </w:r>
          </w:p>
        </w:tc>
      </w:tr>
      <w:tr>
        <w:tc>
          <w:tcPr>
            <w:tcW w:type="dxa" w:w="850"/>
          </w:tcPr>
          <w:p>
            <w:r>
              <w:rPr>
                <w:sz w:val="20"/>
              </w:rPr>
              <w:t>**Vinorelbine**</w:t>
            </w:r>
          </w:p>
        </w:tc>
        <w:tc>
          <w:tcPr>
            <w:tcW w:type="dxa" w:w="850"/>
          </w:tcPr>
          <w:p>
            <w:r>
              <w:rPr>
                <w:sz w:val="20"/>
              </w:rPr>
              <w:t>Vinca (2e G — orale)</w:t>
            </w:r>
          </w:p>
        </w:tc>
        <w:tc>
          <w:tcPr>
            <w:tcW w:type="dxa" w:w="850"/>
          </w:tcPr>
          <w:p>
            <w:r>
              <w:rPr>
                <w:sz w:val="20"/>
              </w:rPr>
              <w:t>Dépolymérisation microtubules (site vinca)</w:t>
            </w:r>
          </w:p>
        </w:tc>
        <w:tc>
          <w:tcPr>
            <w:tcW w:type="dxa" w:w="850"/>
          </w:tcPr>
          <w:p>
            <w:r>
              <w:rPr>
                <w:sz w:val="20"/>
              </w:rPr>
              <w:t>M (métaphase)</w:t>
            </w:r>
          </w:p>
        </w:tc>
        <w:tc>
          <w:tcPr>
            <w:tcW w:type="dxa" w:w="850"/>
          </w:tcPr>
          <w:p>
            <w:r>
              <w:rPr>
                <w:sz w:val="20"/>
              </w:rPr>
              <w:t>18-50</w:t>
            </w:r>
          </w:p>
        </w:tc>
        <w:tc>
          <w:tcPr>
            <w:tcW w:type="dxa" w:w="850"/>
          </w:tcPr>
          <w:p>
            <w:r>
              <w:rPr>
                <w:sz w:val="20"/>
              </w:rPr>
              <w:t>Biliaire (~ 70 %)</w:t>
            </w:r>
          </w:p>
        </w:tc>
        <w:tc>
          <w:tcPr>
            <w:tcW w:type="dxa" w:w="850"/>
          </w:tcPr>
          <w:p>
            <w:r>
              <w:rPr>
                <w:sz w:val="20"/>
              </w:rPr>
              <w:t>Myélosuppression + neurotoxicité modérée + **forme orale disponible**</w:t>
            </w:r>
          </w:p>
        </w:tc>
        <w:tc>
          <w:tcPr>
            <w:tcW w:type="dxa" w:w="850"/>
          </w:tcPr>
          <w:p>
            <w:r>
              <w:rPr>
                <w:sz w:val="20"/>
              </w:rPr>
              <w:t>Non</w:t>
            </w:r>
          </w:p>
        </w:tc>
        <w:tc>
          <w:tcPr>
            <w:tcW w:type="dxa" w:w="850"/>
          </w:tcPr>
          <w:p>
            <w:r>
              <w:rPr>
                <w:sz w:val="20"/>
              </w:rPr>
              <w:t>25-30 mg/m² J1, J8 / 3 sem</w:t>
            </w:r>
          </w:p>
        </w:tc>
        <w:tc>
          <w:tcPr>
            <w:tcW w:type="dxa" w:w="850"/>
          </w:tcPr>
          <w:p>
            <w:r>
              <w:rPr>
                <w:sz w:val="20"/>
              </w:rPr>
              <w:t>1 / 4</w:t>
            </w:r>
          </w:p>
        </w:tc>
        <w:tc>
          <w:tcPr>
            <w:tcW w:type="dxa" w:w="850"/>
          </w:tcPr>
          <w:p>
            <w:r>
              <w:rPr>
                <w:sz w:val="20"/>
              </w:rPr>
              <w:t>À éviter (D)</w:t>
            </w:r>
          </w:p>
        </w:tc>
      </w:tr>
      <w:tr>
        <w:tc>
          <w:tcPr>
            <w:tcW w:type="dxa" w:w="850"/>
          </w:tcPr>
          <w:p>
            <w:r>
              <w:rPr>
                <w:sz w:val="20"/>
              </w:rPr>
              <w:t>**Vindesine**</w:t>
            </w:r>
          </w:p>
        </w:tc>
        <w:tc>
          <w:tcPr>
            <w:tcW w:type="dxa" w:w="850"/>
          </w:tcPr>
          <w:p>
            <w:r>
              <w:rPr>
                <w:sz w:val="20"/>
              </w:rPr>
              <w:t>Vinca (1re G)</w:t>
            </w:r>
          </w:p>
        </w:tc>
        <w:tc>
          <w:tcPr>
            <w:tcW w:type="dxa" w:w="850"/>
          </w:tcPr>
          <w:p>
            <w:r>
              <w:rPr>
                <w:sz w:val="20"/>
              </w:rPr>
              <w:t>Dépolymérisation microtubules (site vinca)</w:t>
            </w:r>
          </w:p>
        </w:tc>
        <w:tc>
          <w:tcPr>
            <w:tcW w:type="dxa" w:w="850"/>
          </w:tcPr>
          <w:p>
            <w:r>
              <w:rPr>
                <w:sz w:val="20"/>
              </w:rPr>
              <w:t>M (métaphase)</w:t>
            </w:r>
          </w:p>
        </w:tc>
        <w:tc>
          <w:tcPr>
            <w:tcW w:type="dxa" w:w="850"/>
          </w:tcPr>
          <w:p>
            <w:r>
              <w:rPr>
                <w:sz w:val="20"/>
              </w:rPr>
              <w:t>20-75</w:t>
            </w:r>
          </w:p>
        </w:tc>
        <w:tc>
          <w:tcPr>
            <w:tcW w:type="dxa" w:w="850"/>
          </w:tcPr>
          <w:p>
            <w:r>
              <w:rPr>
                <w:sz w:val="20"/>
              </w:rPr>
              <w:t>Biliaire (~ 75 %)</w:t>
            </w:r>
          </w:p>
        </w:tc>
        <w:tc>
          <w:tcPr>
            <w:tcW w:type="dxa" w:w="850"/>
          </w:tcPr>
          <w:p>
            <w:r>
              <w:rPr>
                <w:sz w:val="20"/>
              </w:rPr>
              <w:t>Neurotoxicité + myélosuppression</w:t>
            </w:r>
          </w:p>
        </w:tc>
        <w:tc>
          <w:tcPr>
            <w:tcW w:type="dxa" w:w="850"/>
          </w:tcPr>
          <w:p>
            <w:r>
              <w:rPr>
                <w:sz w:val="20"/>
              </w:rPr>
              <w:t>Non</w:t>
            </w:r>
          </w:p>
        </w:tc>
        <w:tc>
          <w:tcPr>
            <w:tcW w:type="dxa" w:w="850"/>
          </w:tcPr>
          <w:p>
            <w:r>
              <w:rPr>
                <w:sz w:val="20"/>
              </w:rPr>
              <w:t>2-3 mg/m² J1 / sem</w:t>
            </w:r>
          </w:p>
        </w:tc>
        <w:tc>
          <w:tcPr>
            <w:tcW w:type="dxa" w:w="850"/>
          </w:tcPr>
          <w:p>
            <w:r>
              <w:rPr>
                <w:sz w:val="20"/>
              </w:rPr>
              <w:t>**0 / 1 (RETRAIT)**</w:t>
            </w:r>
          </w:p>
        </w:tc>
        <w:tc>
          <w:tcPr>
            <w:tcW w:type="dxa" w:w="850"/>
          </w:tcPr>
          <w:p>
            <w:r>
              <w:rPr>
                <w:sz w:val="20"/>
              </w:rPr>
              <w:t>À éviter (D)</w:t>
            </w:r>
          </w:p>
        </w:tc>
      </w:tr>
      <w:tr>
        <w:tc>
          <w:tcPr>
            <w:tcW w:type="dxa" w:w="850"/>
          </w:tcPr>
          <w:p>
            <w:r>
              <w:rPr>
                <w:sz w:val="20"/>
              </w:rPr>
              <w:t>**Vinflunine**</w:t>
            </w:r>
          </w:p>
        </w:tc>
        <w:tc>
          <w:tcPr>
            <w:tcW w:type="dxa" w:w="850"/>
          </w:tcPr>
          <w:p>
            <w:r>
              <w:rPr>
                <w:sz w:val="20"/>
              </w:rPr>
              <w:t>Vinca (3e G — difluoro)</w:t>
            </w:r>
          </w:p>
        </w:tc>
        <w:tc>
          <w:tcPr>
            <w:tcW w:type="dxa" w:w="850"/>
          </w:tcPr>
          <w:p>
            <w:r>
              <w:rPr>
                <w:sz w:val="20"/>
              </w:rPr>
              <w:t>Dépolymérisation microtubules + affinité tubuline supérieure</w:t>
            </w:r>
          </w:p>
        </w:tc>
        <w:tc>
          <w:tcPr>
            <w:tcW w:type="dxa" w:w="850"/>
          </w:tcPr>
          <w:p>
            <w:r>
              <w:rPr>
                <w:sz w:val="20"/>
              </w:rPr>
              <w:t>M (métaphase)</w:t>
            </w:r>
          </w:p>
        </w:tc>
        <w:tc>
          <w:tcPr>
            <w:tcW w:type="dxa" w:w="850"/>
          </w:tcPr>
          <w:p>
            <w:r>
              <w:rPr>
                <w:sz w:val="20"/>
              </w:rPr>
              <w:t>32-44</w:t>
            </w:r>
          </w:p>
        </w:tc>
        <w:tc>
          <w:tcPr>
            <w:tcW w:type="dxa" w:w="850"/>
          </w:tcPr>
          <w:p>
            <w:r>
              <w:rPr>
                <w:sz w:val="20"/>
              </w:rPr>
              <w:t>Biliaire (~ 65 %) + rénale (~ 25 %)</w:t>
            </w:r>
          </w:p>
        </w:tc>
        <w:tc>
          <w:tcPr>
            <w:tcW w:type="dxa" w:w="850"/>
          </w:tcPr>
          <w:p>
            <w:r>
              <w:rPr>
                <w:sz w:val="20"/>
              </w:rPr>
              <w:t>Neutropénie + QT prolongé</w:t>
            </w:r>
          </w:p>
        </w:tc>
        <w:tc>
          <w:tcPr>
            <w:tcW w:type="dxa" w:w="850"/>
          </w:tcPr>
          <w:p>
            <w:r>
              <w:rPr>
                <w:sz w:val="20"/>
              </w:rPr>
              <w:t>Non</w:t>
            </w:r>
          </w:p>
        </w:tc>
        <w:tc>
          <w:tcPr>
            <w:tcW w:type="dxa" w:w="850"/>
          </w:tcPr>
          <w:p>
            <w:r>
              <w:rPr>
                <w:sz w:val="20"/>
              </w:rPr>
              <w:t>320 mg/m² J1 / 3 sem</w:t>
            </w:r>
          </w:p>
        </w:tc>
        <w:tc>
          <w:tcPr>
            <w:tcW w:type="dxa" w:w="850"/>
          </w:tcPr>
          <w:p>
            <w:r>
              <w:rPr>
                <w:sz w:val="20"/>
              </w:rPr>
              <w:t>1 / 1</w:t>
            </w:r>
          </w:p>
        </w:tc>
        <w:tc>
          <w:tcPr>
            <w:tcW w:type="dxa" w:w="850"/>
          </w:tcPr>
          <w:p>
            <w:r>
              <w:rPr>
                <w:sz w:val="20"/>
              </w:rPr>
              <w:t>À éviter (D)</w:t>
            </w:r>
          </w:p>
        </w:tc>
      </w:tr>
      <w:tr>
        <w:tc>
          <w:tcPr>
            <w:tcW w:type="dxa" w:w="850"/>
          </w:tcPr>
          <w:p>
            <w:r>
              <w:rPr>
                <w:sz w:val="20"/>
              </w:rPr>
              <w:t>**Eribuline**</w:t>
            </w:r>
          </w:p>
        </w:tc>
        <w:tc>
          <w:tcPr>
            <w:tcW w:type="dxa" w:w="850"/>
          </w:tcPr>
          <w:p>
            <w:r>
              <w:rPr>
                <w:sz w:val="20"/>
              </w:rPr>
              <w:t>Halichondrine</w:t>
            </w:r>
          </w:p>
        </w:tc>
        <w:tc>
          <w:tcPr>
            <w:tcW w:type="dxa" w:w="850"/>
          </w:tcPr>
          <w:p>
            <w:r>
              <w:rPr>
                <w:sz w:val="20"/>
              </w:rPr>
              <w:t>Inhibition élongation microtubules (site vinca-overlap)</w:t>
            </w:r>
          </w:p>
        </w:tc>
        <w:tc>
          <w:tcPr>
            <w:tcW w:type="dxa" w:w="850"/>
          </w:tcPr>
          <w:p>
            <w:r>
              <w:rPr>
                <w:sz w:val="20"/>
              </w:rPr>
              <w:t>M (métaphase)</w:t>
            </w:r>
          </w:p>
        </w:tc>
        <w:tc>
          <w:tcPr>
            <w:tcW w:type="dxa" w:w="850"/>
          </w:tcPr>
          <w:p>
            <w:r>
              <w:rPr>
                <w:sz w:val="20"/>
              </w:rPr>
              <w:t>36-48</w:t>
            </w:r>
          </w:p>
        </w:tc>
        <w:tc>
          <w:tcPr>
            <w:tcW w:type="dxa" w:w="850"/>
          </w:tcPr>
          <w:p>
            <w:r>
              <w:rPr>
                <w:sz w:val="20"/>
              </w:rPr>
              <w:t>Biliaire (~ 82 %)</w:t>
            </w:r>
          </w:p>
        </w:tc>
        <w:tc>
          <w:tcPr>
            <w:tcW w:type="dxa" w:w="850"/>
          </w:tcPr>
          <w:p>
            <w:r>
              <w:rPr>
                <w:sz w:val="20"/>
              </w:rPr>
              <w:t>Neutropénie + QT prolongé</w:t>
            </w:r>
          </w:p>
        </w:tc>
        <w:tc>
          <w:tcPr>
            <w:tcW w:type="dxa" w:w="850"/>
          </w:tcPr>
          <w:p>
            <w:r>
              <w:rPr>
                <w:sz w:val="20"/>
              </w:rPr>
              <w:t>Non</w:t>
            </w:r>
          </w:p>
        </w:tc>
        <w:tc>
          <w:tcPr>
            <w:tcW w:type="dxa" w:w="850"/>
          </w:tcPr>
          <w:p>
            <w:r>
              <w:rPr>
                <w:sz w:val="20"/>
              </w:rPr>
              <w:t>1,4 mg/m² J1, J8, J15 / 4 sem</w:t>
            </w:r>
          </w:p>
        </w:tc>
        <w:tc>
          <w:tcPr>
            <w:tcW w:type="dxa" w:w="850"/>
          </w:tcPr>
          <w:p>
            <w:r>
              <w:rPr>
                <w:sz w:val="20"/>
              </w:rPr>
              <w:t>1 / 1</w:t>
            </w:r>
          </w:p>
        </w:tc>
        <w:tc>
          <w:tcPr>
            <w:tcW w:type="dxa" w:w="850"/>
          </w:tcPr>
          <w:p>
            <w:r>
              <w:rPr>
                <w:sz w:val="20"/>
              </w:rPr>
              <w:t>À éviter (D)</w:t>
            </w:r>
          </w:p>
        </w:tc>
      </w:tr>
      <w:tr>
        <w:tc>
          <w:tcPr>
            <w:tcW w:type="dxa" w:w="850"/>
          </w:tcPr>
          <w:p>
            <w:r>
              <w:rPr>
                <w:sz w:val="20"/>
              </w:rPr>
              <w:t>**Étoposide**</w:t>
            </w:r>
          </w:p>
        </w:tc>
        <w:tc>
          <w:tcPr>
            <w:tcW w:type="dxa" w:w="850"/>
          </w:tcPr>
          <w:p>
            <w:r>
              <w:rPr>
                <w:sz w:val="20"/>
              </w:rPr>
              <w:t>Topo II (épipodophyllotoxine)</w:t>
            </w:r>
          </w:p>
        </w:tc>
        <w:tc>
          <w:tcPr>
            <w:tcW w:type="dxa" w:w="850"/>
          </w:tcPr>
          <w:p>
            <w:r>
              <w:rPr>
                <w:sz w:val="20"/>
              </w:rPr>
              <w:t>Stabilisation complexe clivable ADN–topo II → DSB</w:t>
            </w:r>
          </w:p>
        </w:tc>
        <w:tc>
          <w:tcPr>
            <w:tcW w:type="dxa" w:w="850"/>
          </w:tcPr>
          <w:p>
            <w:r>
              <w:rPr>
                <w:sz w:val="20"/>
              </w:rPr>
              <w:t>S/G2</w:t>
            </w:r>
          </w:p>
        </w:tc>
        <w:tc>
          <w:tcPr>
            <w:tcW w:type="dxa" w:w="850"/>
          </w:tcPr>
          <w:p>
            <w:r>
              <w:rPr>
                <w:sz w:val="20"/>
              </w:rPr>
              <w:t>6-8 (IV) ; 5-12 (PO)</w:t>
            </w:r>
          </w:p>
        </w:tc>
        <w:tc>
          <w:tcPr>
            <w:tcW w:type="dxa" w:w="850"/>
          </w:tcPr>
          <w:p>
            <w:r>
              <w:rPr>
                <w:sz w:val="20"/>
              </w:rPr>
              <w:t>Rénale (~ 50 %) + biliaire (~ 30 %)</w:t>
            </w:r>
          </w:p>
        </w:tc>
        <w:tc>
          <w:tcPr>
            <w:tcW w:type="dxa" w:w="850"/>
          </w:tcPr>
          <w:p>
            <w:r>
              <w:rPr>
                <w:sz w:val="20"/>
              </w:rPr>
              <w:t>Myélosuppression (nadir J10-14) + hypotension (perf rapide) + **LAM secondaire (11q23/MLL — groupe 1 CIRC)**</w:t>
            </w:r>
          </w:p>
        </w:tc>
        <w:tc>
          <w:tcPr>
            <w:tcW w:type="dxa" w:w="850"/>
          </w:tcPr>
          <w:p>
            <w:r>
              <w:rPr>
                <w:sz w:val="20"/>
              </w:rPr>
              <w:t>Anti-H1 proposée</w:t>
            </w:r>
          </w:p>
        </w:tc>
        <w:tc>
          <w:tcPr>
            <w:tcW w:type="dxa" w:w="850"/>
          </w:tcPr>
          <w:p>
            <w:r>
              <w:rPr>
                <w:sz w:val="20"/>
              </w:rPr>
              <w:t>100 mg/m² J1-J5 / 3 sem (BEP)</w:t>
            </w:r>
          </w:p>
        </w:tc>
        <w:tc>
          <w:tcPr>
            <w:tcW w:type="dxa" w:w="850"/>
          </w:tcPr>
          <w:p>
            <w:r>
              <w:rPr>
                <w:sz w:val="20"/>
              </w:rPr>
              <w:t>1 / 11</w:t>
            </w:r>
          </w:p>
        </w:tc>
        <w:tc>
          <w:tcPr>
            <w:tcW w:type="dxa" w:w="850"/>
          </w:tcPr>
          <w:p>
            <w:r>
              <w:rPr>
                <w:sz w:val="20"/>
              </w:rPr>
              <w:t>À éviter (D)</w:t>
            </w:r>
          </w:p>
        </w:tc>
      </w:tr>
      <w:tr>
        <w:tc>
          <w:tcPr>
            <w:tcW w:type="dxa" w:w="850"/>
          </w:tcPr>
          <w:p>
            <w:r>
              <w:rPr>
                <w:sz w:val="20"/>
              </w:rPr>
              <w:t>**Irinotécan**</w:t>
            </w:r>
          </w:p>
        </w:tc>
        <w:tc>
          <w:tcPr>
            <w:tcW w:type="dxa" w:w="850"/>
          </w:tcPr>
          <w:p>
            <w:r>
              <w:rPr>
                <w:sz w:val="20"/>
              </w:rPr>
              <w:t>Topo I (camptothécine)</w:t>
            </w:r>
          </w:p>
        </w:tc>
        <w:tc>
          <w:tcPr>
            <w:tcW w:type="dxa" w:w="850"/>
          </w:tcPr>
          <w:p>
            <w:r>
              <w:rPr>
                <w:sz w:val="20"/>
              </w:rPr>
              <w:t>Prodrogue → SN-38 (CES2) → poison topo I → DSB</w:t>
            </w:r>
          </w:p>
        </w:tc>
        <w:tc>
          <w:tcPr>
            <w:tcW w:type="dxa" w:w="850"/>
          </w:tcPr>
          <w:p>
            <w:r>
              <w:rPr>
                <w:sz w:val="20"/>
              </w:rPr>
              <w:t>S</w:t>
            </w:r>
          </w:p>
        </w:tc>
        <w:tc>
          <w:tcPr>
            <w:tcW w:type="dxa" w:w="850"/>
          </w:tcPr>
          <w:p>
            <w:r>
              <w:rPr>
                <w:sz w:val="20"/>
              </w:rPr>
              <w:t>6-12 (parent) ; 10-20 (SN-38)</w:t>
            </w:r>
          </w:p>
        </w:tc>
        <w:tc>
          <w:tcPr>
            <w:tcW w:type="dxa" w:w="850"/>
          </w:tcPr>
          <w:p>
            <w:r>
              <w:rPr>
                <w:sz w:val="20"/>
              </w:rPr>
              <w:t>Biliaire (~ 60-70 %) + rénale (~ 25-30 %)</w:t>
            </w:r>
          </w:p>
        </w:tc>
        <w:tc>
          <w:tcPr>
            <w:tcW w:type="dxa" w:w="850"/>
          </w:tcPr>
          <w:p>
            <w:r>
              <w:rPr>
                <w:sz w:val="20"/>
              </w:rPr>
              <w:t>**Diarrhée tardive (J+3 à J+10 — lopéramide)** + syndrome cholinergique précoce (≤ 24 h — atropine) + UGT1A1*28</w:t>
            </w:r>
          </w:p>
        </w:tc>
        <w:tc>
          <w:tcPr>
            <w:tcW w:type="dxa" w:w="850"/>
          </w:tcPr>
          <w:p>
            <w:r>
              <w:rPr>
                <w:sz w:val="20"/>
              </w:rPr>
              <w:t>Atropine à disposition</w:t>
            </w:r>
          </w:p>
        </w:tc>
        <w:tc>
          <w:tcPr>
            <w:tcW w:type="dxa" w:w="850"/>
          </w:tcPr>
          <w:p>
            <w:r>
              <w:rPr>
                <w:sz w:val="20"/>
              </w:rPr>
              <w:t>180 mg/m² J1 / 2 sem (FOLFIRI, FOLFIRINOX)</w:t>
            </w:r>
          </w:p>
        </w:tc>
        <w:tc>
          <w:tcPr>
            <w:tcW w:type="dxa" w:w="850"/>
          </w:tcPr>
          <w:p>
            <w:r>
              <w:rPr>
                <w:sz w:val="20"/>
              </w:rPr>
              <w:t>5 / 6</w:t>
            </w:r>
          </w:p>
        </w:tc>
        <w:tc>
          <w:tcPr>
            <w:tcW w:type="dxa" w:w="850"/>
          </w:tcPr>
          <w:p>
            <w:r>
              <w:rPr>
                <w:sz w:val="20"/>
              </w:rPr>
              <w:t>À éviter (D)</w:t>
            </w:r>
          </w:p>
        </w:tc>
      </w:tr>
    </w:tbl>
    <w:p/>
    <w:p>
      <w:pPr>
        <w:pStyle w:val="Heading3"/>
      </w:pPr>
      <w:r>
        <w:t>Tableau comparatif des toxicités signature</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b/>
                <w:sz w:val="20"/>
              </w:rPr>
              <w:t>Toxicité</w:t>
            </w:r>
          </w:p>
        </w:tc>
        <w:tc>
          <w:tcPr>
            <w:tcW w:type="dxa" w:w="780"/>
          </w:tcPr>
          <w:p>
            <w:r>
              <w:rPr>
                <w:b/>
                <w:sz w:val="20"/>
              </w:rPr>
              <w:t>Paclitaxel</w:t>
            </w:r>
          </w:p>
        </w:tc>
        <w:tc>
          <w:tcPr>
            <w:tcW w:type="dxa" w:w="780"/>
          </w:tcPr>
          <w:p>
            <w:r>
              <w:rPr>
                <w:b/>
                <w:sz w:val="20"/>
              </w:rPr>
              <w:t>Docetaxel</w:t>
            </w:r>
          </w:p>
        </w:tc>
        <w:tc>
          <w:tcPr>
            <w:tcW w:type="dxa" w:w="780"/>
          </w:tcPr>
          <w:p>
            <w:r>
              <w:rPr>
                <w:b/>
                <w:sz w:val="20"/>
              </w:rPr>
              <w:t>Cabazitaxel</w:t>
            </w:r>
          </w:p>
        </w:tc>
        <w:tc>
          <w:tcPr>
            <w:tcW w:type="dxa" w:w="780"/>
          </w:tcPr>
          <w:p>
            <w:r>
              <w:rPr>
                <w:b/>
                <w:sz w:val="20"/>
              </w:rPr>
              <w:t>Vincristine</w:t>
            </w:r>
          </w:p>
        </w:tc>
        <w:tc>
          <w:tcPr>
            <w:tcW w:type="dxa" w:w="780"/>
          </w:tcPr>
          <w:p>
            <w:r>
              <w:rPr>
                <w:b/>
                <w:sz w:val="20"/>
              </w:rPr>
              <w:t>Vinblastine</w:t>
            </w:r>
          </w:p>
        </w:tc>
        <w:tc>
          <w:tcPr>
            <w:tcW w:type="dxa" w:w="780"/>
          </w:tcPr>
          <w:p>
            <w:r>
              <w:rPr>
                <w:b/>
                <w:sz w:val="20"/>
              </w:rPr>
              <w:t>Vinorelbine</w:t>
            </w:r>
          </w:p>
        </w:tc>
        <w:tc>
          <w:tcPr>
            <w:tcW w:type="dxa" w:w="780"/>
          </w:tcPr>
          <w:p>
            <w:r>
              <w:rPr>
                <w:b/>
                <w:sz w:val="20"/>
              </w:rPr>
              <w:t>Vindesine</w:t>
            </w:r>
          </w:p>
        </w:tc>
        <w:tc>
          <w:tcPr>
            <w:tcW w:type="dxa" w:w="780"/>
          </w:tcPr>
          <w:p>
            <w:r>
              <w:rPr>
                <w:b/>
                <w:sz w:val="20"/>
              </w:rPr>
              <w:t>Vinflunine</w:t>
            </w:r>
          </w:p>
        </w:tc>
        <w:tc>
          <w:tcPr>
            <w:tcW w:type="dxa" w:w="780"/>
          </w:tcPr>
          <w:p>
            <w:r>
              <w:rPr>
                <w:b/>
                <w:sz w:val="20"/>
              </w:rPr>
              <w:t>Eribuline</w:t>
            </w:r>
          </w:p>
        </w:tc>
        <w:tc>
          <w:tcPr>
            <w:tcW w:type="dxa" w:w="780"/>
          </w:tcPr>
          <w:p>
            <w:r>
              <w:rPr>
                <w:b/>
                <w:sz w:val="20"/>
              </w:rPr>
              <w:t>Étoposide</w:t>
            </w:r>
          </w:p>
        </w:tc>
        <w:tc>
          <w:tcPr>
            <w:tcW w:type="dxa" w:w="780"/>
          </w:tcPr>
          <w:p>
            <w:r>
              <w:rPr>
                <w:b/>
                <w:sz w:val="20"/>
              </w:rPr>
              <w:t>Irinotécan</w:t>
            </w:r>
          </w:p>
        </w:tc>
      </w:tr>
      <w:tr>
        <w:tc>
          <w:tcPr>
            <w:tcW w:type="dxa" w:w="780"/>
          </w:tcPr>
          <w:p>
            <w:r>
              <w:rPr>
                <w:sz w:val="20"/>
              </w:rPr>
              <w:t>**Neurotoxicité périphérique**</w:t>
            </w:r>
          </w:p>
        </w:tc>
        <w:tc>
          <w:tcPr>
            <w:tcW w:type="dxa" w:w="780"/>
          </w:tcPr>
          <w:p>
            <w:r>
              <w:rPr>
                <w:sz w:val="20"/>
              </w:rPr>
              <w:t>+++ (cumulative)</w:t>
            </w:r>
          </w:p>
        </w:tc>
        <w:tc>
          <w:tcPr>
            <w:tcW w:type="dxa" w:w="780"/>
          </w:tcPr>
          <w:p>
            <w:r>
              <w:rPr>
                <w:sz w:val="20"/>
              </w:rPr>
              <w:t>++</w:t>
            </w:r>
          </w:p>
        </w:tc>
        <w:tc>
          <w:tcPr>
            <w:tcW w:type="dxa" w:w="780"/>
          </w:tcPr>
          <w:p>
            <w:r>
              <w:rPr>
                <w:sz w:val="20"/>
              </w:rPr>
              <w:t>+</w:t>
            </w:r>
          </w:p>
        </w:tc>
        <w:tc>
          <w:tcPr>
            <w:tcW w:type="dxa" w:w="780"/>
          </w:tcPr>
          <w:p>
            <w:r>
              <w:rPr>
                <w:sz w:val="20"/>
              </w:rPr>
              <w:t>+++ (dose-limitante)</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r>
      <w:tr>
        <w:tc>
          <w:tcPr>
            <w:tcW w:type="dxa" w:w="780"/>
          </w:tcPr>
          <w:p>
            <w:r>
              <w:rPr>
                <w:sz w:val="20"/>
              </w:rPr>
              <w:t>**Myélosuppression**</w:t>
            </w:r>
          </w:p>
        </w:tc>
        <w:tc>
          <w:tcPr>
            <w:tcW w:type="dxa" w:w="780"/>
          </w:tcPr>
          <w:p>
            <w:r>
              <w:rPr>
                <w:sz w:val="20"/>
              </w:rPr>
              <w:t>++</w:t>
            </w:r>
          </w:p>
        </w:tc>
        <w:tc>
          <w:tcPr>
            <w:tcW w:type="dxa" w:w="780"/>
          </w:tcPr>
          <w:p>
            <w:r>
              <w:rPr>
                <w:sz w:val="20"/>
              </w:rPr>
              <w:t>++</w:t>
            </w:r>
          </w:p>
        </w:tc>
        <w:tc>
          <w:tcPr>
            <w:tcW w:type="dxa" w:w="780"/>
          </w:tcPr>
          <w:p>
            <w:r>
              <w:rPr>
                <w:sz w:val="20"/>
              </w:rPr>
              <w:t>+++ (grade 4 : 82 %)</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 (grade 3-4 : 50-60 %)</w:t>
            </w:r>
          </w:p>
        </w:tc>
        <w:tc>
          <w:tcPr>
            <w:tcW w:type="dxa" w:w="780"/>
          </w:tcPr>
          <w:p>
            <w:r>
              <w:rPr>
                <w:sz w:val="20"/>
              </w:rPr>
              <w:t>+++ (nadir J10-14)</w:t>
            </w:r>
          </w:p>
        </w:tc>
        <w:tc>
          <w:tcPr>
            <w:tcW w:type="dxa" w:w="780"/>
          </w:tcPr>
          <w:p>
            <w:r>
              <w:rPr>
                <w:sz w:val="20"/>
              </w:rPr>
              <w:t>++ (nadir J7-J14)</w:t>
            </w:r>
          </w:p>
        </w:tc>
      </w:tr>
      <w:tr>
        <w:tc>
          <w:tcPr>
            <w:tcW w:type="dxa" w:w="780"/>
          </w:tcPr>
          <w:p>
            <w:r>
              <w:rPr>
                <w:sz w:val="20"/>
              </w:rPr>
              <w:t>**Neutropénie fébrile**</w:t>
            </w:r>
          </w:p>
        </w:tc>
        <w:tc>
          <w:tcPr>
            <w:tcW w:type="dxa" w:w="780"/>
          </w:tcPr>
          <w:p>
            <w:r>
              <w:rPr>
                <w:sz w:val="20"/>
              </w:rPr>
              <w:t>+</w:t>
            </w:r>
          </w:p>
        </w:tc>
        <w:tc>
          <w:tcPr>
            <w:tcW w:type="dxa" w:w="780"/>
          </w:tcPr>
          <w:p>
            <w:r>
              <w:rPr>
                <w:sz w:val="20"/>
              </w:rPr>
              <w:t>+</w:t>
            </w:r>
          </w:p>
        </w:tc>
        <w:tc>
          <w:tcPr>
            <w:tcW w:type="dxa" w:w="780"/>
          </w:tcPr>
          <w:p>
            <w:r>
              <w:rPr>
                <w:sz w:val="20"/>
              </w:rPr>
              <w:t>8 %</w:t>
            </w:r>
          </w:p>
        </w:tc>
        <w:tc>
          <w:tcPr>
            <w:tcW w:type="dxa" w:w="780"/>
          </w:tcPr>
          <w:p>
            <w:r>
              <w:rPr>
                <w:sz w:val="20"/>
              </w:rPr>
              <w:t>rare</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5-10 %</w:t>
            </w:r>
          </w:p>
        </w:tc>
        <w:tc>
          <w:tcPr>
            <w:tcW w:type="dxa" w:w="780"/>
          </w:tcPr>
          <w:p>
            <w:r>
              <w:rPr>
                <w:sz w:val="20"/>
              </w:rPr>
              <w:t>5-8 %</w:t>
            </w:r>
          </w:p>
        </w:tc>
        <w:tc>
          <w:tcPr>
            <w:tcW w:type="dxa" w:w="780"/>
          </w:tcPr>
          <w:p>
            <w:r>
              <w:rPr>
                <w:sz w:val="20"/>
              </w:rPr>
              <w:t>5-15 %</w:t>
            </w:r>
          </w:p>
        </w:tc>
        <w:tc>
          <w:tcPr>
            <w:tcW w:type="dxa" w:w="780"/>
          </w:tcPr>
          <w:p>
            <w:r>
              <w:rPr>
                <w:sz w:val="20"/>
              </w:rPr>
              <w:t>5-15 % (jusqu'à 30 % UGT1A1*28/*28)</w:t>
            </w:r>
          </w:p>
        </w:tc>
      </w:tr>
      <w:tr>
        <w:tc>
          <w:tcPr>
            <w:tcW w:type="dxa" w:w="780"/>
          </w:tcPr>
          <w:p>
            <w:r>
              <w:rPr>
                <w:sz w:val="20"/>
              </w:rPr>
              <w:t>**Diarrhée tardive (J+3 à J+10)**</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 (sauf iléus paralytique)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 à +++ (jusqu'à 30 %)**</w:t>
            </w:r>
          </w:p>
        </w:tc>
      </w:tr>
      <w:tr>
        <w:tc>
          <w:tcPr>
            <w:tcW w:type="dxa" w:w="780"/>
          </w:tcPr>
          <w:p>
            <w:r>
              <w:rPr>
                <w:sz w:val="20"/>
              </w:rPr>
              <w:t>**Syndrome cholinergique précoce (≤ 24 h)**</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 à ++ (10-30 %)**</w:t>
            </w:r>
          </w:p>
        </w:tc>
      </w:tr>
      <w:tr>
        <w:tc>
          <w:tcPr>
            <w:tcW w:type="dxa" w:w="780"/>
          </w:tcPr>
          <w:p>
            <w:r>
              <w:rPr>
                <w:sz w:val="20"/>
              </w:rPr>
              <w:t>**Alopécie**</w:t>
            </w:r>
          </w:p>
        </w:tc>
        <w:tc>
          <w:tcPr>
            <w:tcW w:type="dxa" w:w="780"/>
          </w:tcPr>
          <w:p>
            <w:r>
              <w:rPr>
                <w:sz w:val="20"/>
              </w:rPr>
              <w:t>+++ (quasi-constante)</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 (modérée)</w:t>
            </w:r>
          </w:p>
        </w:tc>
        <w:tc>
          <w:tcPr>
            <w:tcW w:type="dxa" w:w="780"/>
          </w:tcPr>
          <w:p>
            <w:r>
              <w:rPr>
                <w:sz w:val="20"/>
              </w:rPr>
              <w:t>++ (45-60 %)</w:t>
            </w:r>
          </w:p>
        </w:tc>
        <w:tc>
          <w:tcPr>
            <w:tcW w:type="dxa" w:w="780"/>
          </w:tcPr>
          <w:p>
            <w:r>
              <w:rPr>
                <w:sz w:val="20"/>
              </w:rPr>
              <w:t>+++ (60-90 %)</w:t>
            </w:r>
          </w:p>
        </w:tc>
        <w:tc>
          <w:tcPr>
            <w:tcW w:type="dxa" w:w="780"/>
          </w:tcPr>
          <w:p>
            <w:r>
              <w:rPr>
                <w:sz w:val="20"/>
              </w:rPr>
              <w:t>+++ (60-90 %)</w:t>
            </w:r>
          </w:p>
        </w:tc>
      </w:tr>
      <w:tr>
        <w:tc>
          <w:tcPr>
            <w:tcW w:type="dxa" w:w="780"/>
          </w:tcPr>
          <w:p>
            <w:r>
              <w:rPr>
                <w:sz w:val="20"/>
              </w:rPr>
              <w:t>**Mucite**</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rare</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r>
      <w:tr>
        <w:tc>
          <w:tcPr>
            <w:tcW w:type="dxa" w:w="780"/>
          </w:tcPr>
          <w:p>
            <w:r>
              <w:rPr>
                <w:sz w:val="20"/>
              </w:rPr>
              <w:t>**Hypersensibilité (solvant)**</w:t>
            </w:r>
          </w:p>
        </w:tc>
        <w:tc>
          <w:tcPr>
            <w:tcW w:type="dxa" w:w="780"/>
          </w:tcPr>
          <w:p>
            <w:r>
              <w:rPr>
                <w:sz w:val="20"/>
              </w:rPr>
              <w:t>**+++ (Crémophor EL)**</w:t>
            </w:r>
          </w:p>
        </w:tc>
        <w:tc>
          <w:tcPr>
            <w:tcW w:type="dxa" w:w="780"/>
          </w:tcPr>
          <w:p>
            <w:r>
              <w:rPr>
                <w:sz w:val="20"/>
              </w:rPr>
              <w:t>++ (polysorbate 80)</w:t>
            </w:r>
          </w:p>
        </w:tc>
        <w:tc>
          <w:tcPr>
            <w:tcW w:type="dxa" w:w="780"/>
          </w:tcPr>
          <w:p>
            <w:r>
              <w:rPr>
                <w:sz w:val="20"/>
              </w:rPr>
              <w:t>++ (polysorbate 80)</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 (polysorbate 80, éthanol, glycofurol)**</w:t>
            </w:r>
          </w:p>
        </w:tc>
        <w:tc>
          <w:tcPr>
            <w:tcW w:type="dxa" w:w="780"/>
          </w:tcPr>
          <w:p>
            <w:r>
              <w:rPr>
                <w:sz w:val="20"/>
              </w:rPr>
              <w:t>rare</w:t>
            </w:r>
          </w:p>
        </w:tc>
      </w:tr>
      <w:tr>
        <w:tc>
          <w:tcPr>
            <w:tcW w:type="dxa" w:w="780"/>
          </w:tcPr>
          <w:p>
            <w:r>
              <w:rPr>
                <w:sz w:val="20"/>
              </w:rPr>
              <w:t>**QT prolongé**</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 (5-10 %)**</w:t>
            </w:r>
          </w:p>
        </w:tc>
        <w:tc>
          <w:tcPr>
            <w:tcW w:type="dxa" w:w="780"/>
          </w:tcPr>
          <w:p>
            <w:r>
              <w:rPr>
                <w:sz w:val="20"/>
              </w:rPr>
              <w:t>**+ (5-10 %)**</w:t>
            </w:r>
          </w:p>
        </w:tc>
        <w:tc>
          <w:tcPr>
            <w:tcW w:type="dxa" w:w="780"/>
          </w:tcPr>
          <w:p>
            <w:r>
              <w:rPr>
                <w:sz w:val="20"/>
              </w:rPr>
              <w:t>rare</w:t>
            </w:r>
          </w:p>
        </w:tc>
        <w:tc>
          <w:tcPr>
            <w:tcW w:type="dxa" w:w="780"/>
          </w:tcPr>
          <w:p>
            <w:r>
              <w:rPr>
                <w:sz w:val="20"/>
              </w:rPr>
              <w:t>rare</w:t>
            </w:r>
          </w:p>
        </w:tc>
      </w:tr>
      <w:tr>
        <w:tc>
          <w:tcPr>
            <w:tcW w:type="dxa" w:w="780"/>
          </w:tcPr>
          <w:p>
            <w:r>
              <w:rPr>
                <w:sz w:val="20"/>
              </w:rPr>
              <w:t>**Hypotension à la perfusion**</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 (perf rapide)**</w:t>
            </w:r>
          </w:p>
        </w:tc>
        <w:tc>
          <w:tcPr>
            <w:tcW w:type="dxa" w:w="780"/>
          </w:tcPr>
          <w:p>
            <w:r>
              <w:rPr>
                <w:sz w:val="20"/>
              </w:rPr>
              <w:t>rare (sauf syndr cholinergique)</w:t>
            </w:r>
          </w:p>
        </w:tc>
      </w:tr>
      <w:tr>
        <w:tc>
          <w:tcPr>
            <w:tcW w:type="dxa" w:w="780"/>
          </w:tcPr>
          <w:p>
            <w:r>
              <w:rPr>
                <w:sz w:val="20"/>
              </w:rPr>
              <w:t>**Rétention hydrosodée**</w:t>
            </w:r>
          </w:p>
        </w:tc>
        <w:tc>
          <w:tcPr>
            <w:tcW w:type="dxa" w:w="780"/>
          </w:tcPr>
          <w:p>
            <w:r>
              <w:rPr>
                <w:sz w:val="20"/>
              </w:rPr>
              <w:t>+</w:t>
            </w:r>
          </w:p>
        </w:tc>
        <w:tc>
          <w:tcPr>
            <w:tcW w:type="dxa" w:w="780"/>
          </w:tcPr>
          <w:p>
            <w:r>
              <w:rPr>
                <w:sz w:val="20"/>
              </w:rPr>
              <w:t>**+++ (cumulative)**</w:t>
            </w:r>
          </w:p>
        </w:tc>
        <w:tc>
          <w:tcPr>
            <w:tcW w:type="dxa" w:w="780"/>
          </w:tcPr>
          <w:p>
            <w:r>
              <w:rPr>
                <w:sz w:val="20"/>
              </w:rPr>
              <w:t>+</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c>
          <w:tcPr>
            <w:tcW w:type="dxa" w:w="780"/>
          </w:tcPr>
          <w:p>
            <w:r>
              <w:rPr>
                <w:sz w:val="20"/>
              </w:rPr>
              <w:t>rare</w:t>
            </w:r>
          </w:p>
        </w:tc>
      </w:tr>
      <w:tr>
        <w:tc>
          <w:tcPr>
            <w:tcW w:type="dxa" w:w="780"/>
          </w:tcPr>
          <w:p>
            <w:r>
              <w:rPr>
                <w:sz w:val="20"/>
              </w:rPr>
              <w:t>**Extravasation (vesicant)**</w:t>
            </w:r>
          </w:p>
        </w:tc>
        <w:tc>
          <w:tcPr>
            <w:tcW w:type="dxa" w:w="780"/>
          </w:tcPr>
          <w:p>
            <w:r>
              <w:rPr>
                <w:sz w:val="20"/>
              </w:rPr>
              <w:t>+ (irritant)</w:t>
            </w:r>
          </w:p>
        </w:tc>
        <w:tc>
          <w:tcPr>
            <w:tcW w:type="dxa" w:w="780"/>
          </w:tcPr>
          <w:p>
            <w:r>
              <w:rPr>
                <w:sz w:val="20"/>
              </w:rPr>
              <w:t>+</w:t>
            </w:r>
          </w:p>
        </w:tc>
        <w:tc>
          <w:tcPr>
            <w:tcW w:type="dxa" w:w="780"/>
          </w:tcPr>
          <w:p>
            <w:r>
              <w:rPr>
                <w:sz w:val="20"/>
              </w:rPr>
              <w:t>+</w:t>
            </w:r>
          </w:p>
        </w:tc>
        <w:tc>
          <w:tcPr>
            <w:tcW w:type="dxa" w:w="780"/>
          </w:tcPr>
          <w:p>
            <w:r>
              <w:rPr>
                <w:sz w:val="20"/>
              </w:rPr>
              <w:t>**+++ (vesicant majeur)**</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w:t>
            </w:r>
          </w:p>
        </w:tc>
        <w:tc>
          <w:tcPr>
            <w:tcW w:type="dxa" w:w="780"/>
          </w:tcPr>
          <w:p>
            <w:r>
              <w:rPr>
                <w:sz w:val="20"/>
              </w:rPr>
              <w:t>rare (non vesicant)</w:t>
            </w:r>
          </w:p>
        </w:tc>
        <w:tc>
          <w:tcPr>
            <w:tcW w:type="dxa" w:w="780"/>
          </w:tcPr>
          <w:p>
            <w:r>
              <w:rPr>
                <w:sz w:val="20"/>
              </w:rPr>
              <w:t>+ (modéré)</w:t>
            </w:r>
          </w:p>
        </w:tc>
        <w:tc>
          <w:tcPr>
            <w:tcW w:type="dxa" w:w="780"/>
          </w:tcPr>
          <w:p>
            <w:r>
              <w:rPr>
                <w:sz w:val="20"/>
              </w:rPr>
              <w:t>+ (modéré)</w:t>
            </w:r>
          </w:p>
        </w:tc>
      </w:tr>
      <w:tr>
        <w:tc>
          <w:tcPr>
            <w:tcW w:type="dxa" w:w="780"/>
          </w:tcPr>
          <w:p>
            <w:r>
              <w:rPr>
                <w:sz w:val="20"/>
              </w:rPr>
              <w:t>**Leucémie secondaire (groupe 1 CIRC)**</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 (LAM 11q23/MLL)**</w:t>
            </w:r>
          </w:p>
        </w:tc>
        <w:tc>
          <w:tcPr>
            <w:tcW w:type="dxa" w:w="780"/>
          </w:tcPr>
          <w:p>
            <w:r>
              <w:rPr>
                <w:sz w:val="20"/>
              </w:rPr>
              <w:t>rare</w:t>
            </w:r>
          </w:p>
        </w:tc>
      </w:tr>
      <w:tr>
        <w:tc>
          <w:tcPr>
            <w:tcW w:type="dxa" w:w="780"/>
          </w:tcPr>
          <w:p>
            <w:r>
              <w:rPr>
                <w:sz w:val="20"/>
              </w:rPr>
              <w:t>**Injection intrathécale FATALE**</w:t>
            </w:r>
          </w:p>
        </w:tc>
        <w:tc>
          <w:tcPr>
            <w:tcW w:type="dxa" w:w="780"/>
          </w:tcPr>
          <w:p>
            <w:r>
              <w:rPr>
                <w:sz w:val="20"/>
              </w:rPr>
              <w:t>non</w:t>
            </w:r>
          </w:p>
        </w:tc>
        <w:tc>
          <w:tcPr>
            <w:tcW w:type="dxa" w:w="780"/>
          </w:tcPr>
          <w:p>
            <w:r>
              <w:rPr>
                <w:sz w:val="20"/>
              </w:rPr>
              <w:t>non</w:t>
            </w:r>
          </w:p>
        </w:tc>
        <w:tc>
          <w:tcPr>
            <w:tcW w:type="dxa" w:w="780"/>
          </w:tcPr>
          <w:p>
            <w:r>
              <w:rPr>
                <w:sz w:val="20"/>
              </w:rPr>
              <w:t>non</w:t>
            </w:r>
          </w:p>
        </w:tc>
        <w:tc>
          <w:tcPr>
            <w:tcW w:type="dxa" w:w="780"/>
          </w:tcPr>
          <w:p>
            <w:r>
              <w:rPr>
                <w:sz w:val="20"/>
              </w:rPr>
              <w:t>**OUI (cataclysmique)**</w:t>
            </w:r>
          </w:p>
        </w:tc>
        <w:tc>
          <w:tcPr>
            <w:tcW w:type="dxa" w:w="780"/>
          </w:tcPr>
          <w:p>
            <w:r>
              <w:rPr>
                <w:sz w:val="20"/>
              </w:rPr>
              <w:t>OUI</w:t>
            </w:r>
          </w:p>
        </w:tc>
        <w:tc>
          <w:tcPr>
            <w:tcW w:type="dxa" w:w="780"/>
          </w:tcPr>
          <w:p>
            <w:r>
              <w:rPr>
                <w:sz w:val="20"/>
              </w:rPr>
              <w:t>OUI</w:t>
            </w:r>
          </w:p>
        </w:tc>
        <w:tc>
          <w:tcPr>
            <w:tcW w:type="dxa" w:w="780"/>
          </w:tcPr>
          <w:p>
            <w:r>
              <w:rPr>
                <w:sz w:val="20"/>
              </w:rPr>
              <w:t>OUI</w:t>
            </w:r>
          </w:p>
        </w:tc>
        <w:tc>
          <w:tcPr>
            <w:tcW w:type="dxa" w:w="780"/>
          </w:tcPr>
          <w:p>
            <w:r>
              <w:rPr>
                <w:sz w:val="20"/>
              </w:rPr>
              <w:t>OUI</w:t>
            </w:r>
          </w:p>
        </w:tc>
        <w:tc>
          <w:tcPr>
            <w:tcW w:type="dxa" w:w="780"/>
          </w:tcPr>
          <w:p>
            <w:r>
              <w:rPr>
                <w:sz w:val="20"/>
              </w:rPr>
              <w:t>non</w:t>
            </w:r>
          </w:p>
        </w:tc>
        <w:tc>
          <w:tcPr>
            <w:tcW w:type="dxa" w:w="780"/>
          </w:tcPr>
          <w:p>
            <w:r>
              <w:rPr>
                <w:sz w:val="20"/>
              </w:rPr>
              <w:t>non</w:t>
            </w:r>
          </w:p>
        </w:tc>
        <w:tc>
          <w:tcPr>
            <w:tcW w:type="dxa" w:w="780"/>
          </w:tcPr>
          <w:p>
            <w:r>
              <w:rPr>
                <w:sz w:val="20"/>
              </w:rPr>
              <w:t>non</w:t>
            </w:r>
          </w:p>
        </w:tc>
      </w:tr>
    </w:tbl>
    <w:p/>
    <w:p>
      <w:pPr>
        <w:pStyle w:val="Heading3"/>
      </w:pPr>
      <w:r>
        <w:t>Tableau comparatif des particularités pharmacogénétiques et prémedications</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DCI</w:t>
            </w:r>
          </w:p>
        </w:tc>
        <w:tc>
          <w:tcPr>
            <w:tcW w:type="dxa" w:w="2339"/>
          </w:tcPr>
          <w:p>
            <w:r>
              <w:rPr>
                <w:b/>
                <w:sz w:val="20"/>
              </w:rPr>
              <w:t>Polymorphisme pharmacogénétique critique</w:t>
            </w:r>
          </w:p>
        </w:tc>
        <w:tc>
          <w:tcPr>
            <w:tcW w:type="dxa" w:w="2339"/>
          </w:tcPr>
          <w:p>
            <w:r>
              <w:rPr>
                <w:b/>
                <w:sz w:val="20"/>
              </w:rPr>
              <w:t>Prémédication obligatoire</w:t>
            </w:r>
          </w:p>
        </w:tc>
        <w:tc>
          <w:tcPr>
            <w:tcW w:type="dxa" w:w="2339"/>
          </w:tcPr>
          <w:p>
            <w:r>
              <w:rPr>
                <w:b/>
                <w:sz w:val="20"/>
              </w:rPr>
              <w:t>Antidote spécifique en cas de toxicité aiguë</w:t>
            </w:r>
          </w:p>
        </w:tc>
      </w:tr>
      <w:tr>
        <w:tc>
          <w:tcPr>
            <w:tcW w:type="dxa" w:w="2339"/>
          </w:tcPr>
          <w:p>
            <w:r>
              <w:rPr>
                <w:sz w:val="20"/>
              </w:rPr>
              <w:t>**Paclitaxel**</w:t>
            </w:r>
          </w:p>
        </w:tc>
        <w:tc>
          <w:tcPr>
            <w:tcW w:type="dxa" w:w="2339"/>
          </w:tcPr>
          <w:p>
            <w:r>
              <w:rPr>
                <w:sz w:val="20"/>
              </w:rPr>
              <w:t>CYP2C8*3, CYP3A4*22 (variabilité clairance)</w:t>
            </w:r>
          </w:p>
        </w:tc>
        <w:tc>
          <w:tcPr>
            <w:tcW w:type="dxa" w:w="2339"/>
          </w:tcPr>
          <w:p>
            <w:r>
              <w:rPr>
                <w:sz w:val="20"/>
              </w:rPr>
              <w:t>Anti-H1 + anti-H2 + dexaméthasone (anti-allergique Crémophor EL)</w:t>
            </w:r>
          </w:p>
        </w:tc>
        <w:tc>
          <w:tcPr>
            <w:tcW w:type="dxa" w:w="2339"/>
          </w:tcPr>
          <w:p>
            <w:r>
              <w:rPr>
                <w:sz w:val="20"/>
              </w:rPr>
              <w:t>Atropine (bradycardie) — arrêt perfusion (choc anaphylactique)</w:t>
            </w:r>
          </w:p>
        </w:tc>
      </w:tr>
      <w:tr>
        <w:tc>
          <w:tcPr>
            <w:tcW w:type="dxa" w:w="2339"/>
          </w:tcPr>
          <w:p>
            <w:r>
              <w:rPr>
                <w:sz w:val="20"/>
              </w:rPr>
              <w:t>**Docetaxel**</w:t>
            </w:r>
          </w:p>
        </w:tc>
        <w:tc>
          <w:tcPr>
            <w:tcW w:type="dxa" w:w="2339"/>
          </w:tcPr>
          <w:p>
            <w:r>
              <w:rPr>
                <w:sz w:val="20"/>
              </w:rPr>
              <w:t>CYP3A4*22, ABCB1 3435C&gt;T</w:t>
            </w:r>
          </w:p>
        </w:tc>
        <w:tc>
          <w:tcPr>
            <w:tcW w:type="dxa" w:w="2339"/>
          </w:tcPr>
          <w:p>
            <w:r>
              <w:rPr>
                <w:sz w:val="20"/>
              </w:rPr>
              <w:t>Dexaméthasone 8 mg × 2/j J-3 à J-1 (prévention rétention hydrosodée)</w:t>
            </w:r>
          </w:p>
        </w:tc>
        <w:tc>
          <w:tcPr>
            <w:tcW w:type="dxa" w:w="2339"/>
          </w:tcPr>
          <w:p>
            <w:r>
              <w:rPr>
                <w:sz w:val="20"/>
              </w:rPr>
              <w:t>Furosémide IV (œdèmes aigus)</w:t>
            </w:r>
          </w:p>
        </w:tc>
      </w:tr>
      <w:tr>
        <w:tc>
          <w:tcPr>
            <w:tcW w:type="dxa" w:w="2339"/>
          </w:tcPr>
          <w:p>
            <w:r>
              <w:rPr>
                <w:sz w:val="20"/>
              </w:rPr>
              <w:t>**Cabazitaxel**</w:t>
            </w:r>
          </w:p>
        </w:tc>
        <w:tc>
          <w:tcPr>
            <w:tcW w:type="dxa" w:w="2339"/>
          </w:tcPr>
          <w:p>
            <w:r>
              <w:rPr>
                <w:sz w:val="20"/>
              </w:rPr>
              <w:t>CYP3A4*22</w:t>
            </w:r>
          </w:p>
        </w:tc>
        <w:tc>
          <w:tcPr>
            <w:tcW w:type="dxa" w:w="2339"/>
          </w:tcPr>
          <w:p>
            <w:r>
              <w:rPr>
                <w:sz w:val="20"/>
              </w:rPr>
              <w:t>Dexaméthasone 8 mg × 2/j J-3 à J-1</w:t>
            </w:r>
          </w:p>
        </w:tc>
        <w:tc>
          <w:tcPr>
            <w:tcW w:type="dxa" w:w="2339"/>
          </w:tcPr>
          <w:p>
            <w:r>
              <w:rPr>
                <w:sz w:val="20"/>
              </w:rPr>
              <w:t>G-CSF (neutropénie fébrile)</w:t>
            </w:r>
          </w:p>
        </w:tc>
      </w:tr>
      <w:tr>
        <w:tc>
          <w:tcPr>
            <w:tcW w:type="dxa" w:w="2339"/>
          </w:tcPr>
          <w:p>
            <w:r>
              <w:rPr>
                <w:sz w:val="20"/>
              </w:rPr>
              <w:t>**Vincristine**</w:t>
            </w:r>
          </w:p>
        </w:tc>
        <w:tc>
          <w:tcPr>
            <w:tcW w:type="dxa" w:w="2339"/>
          </w:tcPr>
          <w:p>
            <w:r>
              <w:rPr>
                <w:sz w:val="20"/>
              </w:rPr>
              <w:t>CYP3A5*3</w:t>
            </w:r>
          </w:p>
        </w:tc>
        <w:tc>
          <w:tcPr>
            <w:tcW w:type="dxa" w:w="2339"/>
          </w:tcPr>
          <w:p>
            <w:r>
              <w:rPr>
                <w:sz w:val="20"/>
              </w:rPr>
              <w:t>Non</w:t>
            </w:r>
          </w:p>
        </w:tc>
        <w:tc>
          <w:tcPr>
            <w:tcW w:type="dxa" w:w="2339"/>
          </w:tcPr>
          <w:p>
            <w:r>
              <w:rPr>
                <w:sz w:val="20"/>
              </w:rPr>
              <w:t>Laxatifs (iléus paralytique) — arrêt IMMÉDIAT en cas d'erreur intrathécale (mortelle)</w:t>
            </w:r>
          </w:p>
        </w:tc>
      </w:tr>
      <w:tr>
        <w:tc>
          <w:tcPr>
            <w:tcW w:type="dxa" w:w="2339"/>
          </w:tcPr>
          <w:p>
            <w:r>
              <w:rPr>
                <w:sz w:val="20"/>
              </w:rPr>
              <w:t>**Vinblastine**</w:t>
            </w:r>
          </w:p>
        </w:tc>
        <w:tc>
          <w:tcPr>
            <w:tcW w:type="dxa" w:w="2339"/>
          </w:tcPr>
          <w:p>
            <w:r>
              <w:rPr>
                <w:sz w:val="20"/>
              </w:rPr>
              <w:t>CYP3A5*3</w:t>
            </w:r>
          </w:p>
        </w:tc>
        <w:tc>
          <w:tcPr>
            <w:tcW w:type="dxa" w:w="2339"/>
          </w:tcPr>
          <w:p>
            <w:r>
              <w:rPr>
                <w:sz w:val="20"/>
              </w:rPr>
              <w:t>Non</w:t>
            </w:r>
          </w:p>
        </w:tc>
        <w:tc>
          <w:tcPr>
            <w:tcW w:type="dxa" w:w="2339"/>
          </w:tcPr>
          <w:p>
            <w:r>
              <w:rPr>
                <w:sz w:val="20"/>
              </w:rPr>
              <w:t>G-CSF (myélosuppression) — arrêt IMMÉDIAT en cas d'erreur intrathécale</w:t>
            </w:r>
          </w:p>
        </w:tc>
      </w:tr>
      <w:tr>
        <w:tc>
          <w:tcPr>
            <w:tcW w:type="dxa" w:w="2339"/>
          </w:tcPr>
          <w:p>
            <w:r>
              <w:rPr>
                <w:sz w:val="20"/>
              </w:rPr>
              <w:t>**Vinorelbine**</w:t>
            </w:r>
          </w:p>
        </w:tc>
        <w:tc>
          <w:tcPr>
            <w:tcW w:type="dxa" w:w="2339"/>
          </w:tcPr>
          <w:p>
            <w:r>
              <w:rPr>
                <w:sz w:val="20"/>
              </w:rPr>
              <w:t>CYP3A5*3</w:t>
            </w:r>
          </w:p>
        </w:tc>
        <w:tc>
          <w:tcPr>
            <w:tcW w:type="dxa" w:w="2339"/>
          </w:tcPr>
          <w:p>
            <w:r>
              <w:rPr>
                <w:sz w:val="20"/>
              </w:rPr>
              <w:t>Non</w:t>
            </w:r>
          </w:p>
        </w:tc>
        <w:tc>
          <w:tcPr>
            <w:tcW w:type="dxa" w:w="2339"/>
          </w:tcPr>
          <w:p>
            <w:r>
              <w:rPr>
                <w:sz w:val="20"/>
              </w:rPr>
              <w:t>G-CSF (myélosuppression) — arrêt IMMÉDIAT en cas d'erreur intrathécale</w:t>
            </w:r>
          </w:p>
        </w:tc>
      </w:tr>
      <w:tr>
        <w:tc>
          <w:tcPr>
            <w:tcW w:type="dxa" w:w="2339"/>
          </w:tcPr>
          <w:p>
            <w:r>
              <w:rPr>
                <w:sz w:val="20"/>
              </w:rPr>
              <w:t>**Vindesine**</w:t>
            </w:r>
          </w:p>
        </w:tc>
        <w:tc>
          <w:tcPr>
            <w:tcW w:type="dxa" w:w="2339"/>
          </w:tcPr>
          <w:p>
            <w:r>
              <w:rPr>
                <w:sz w:val="20"/>
              </w:rPr>
              <w:t>CYP3A5*3</w:t>
            </w:r>
          </w:p>
        </w:tc>
        <w:tc>
          <w:tcPr>
            <w:tcW w:type="dxa" w:w="2339"/>
          </w:tcPr>
          <w:p>
            <w:r>
              <w:rPr>
                <w:sz w:val="20"/>
              </w:rPr>
              <w:t>Non</w:t>
            </w:r>
          </w:p>
        </w:tc>
        <w:tc>
          <w:tcPr>
            <w:tcW w:type="dxa" w:w="2339"/>
          </w:tcPr>
          <w:p>
            <w:r>
              <w:rPr>
                <w:sz w:val="20"/>
              </w:rPr>
              <w:t>Laxatifs — arrêt IMMÉDIAT en cas d'erreur intrathécale</w:t>
            </w:r>
          </w:p>
        </w:tc>
      </w:tr>
      <w:tr>
        <w:tc>
          <w:tcPr>
            <w:tcW w:type="dxa" w:w="2339"/>
          </w:tcPr>
          <w:p>
            <w:r>
              <w:rPr>
                <w:sz w:val="20"/>
              </w:rPr>
              <w:t>**Vinflunine**</w:t>
            </w:r>
          </w:p>
        </w:tc>
        <w:tc>
          <w:tcPr>
            <w:tcW w:type="dxa" w:w="2339"/>
          </w:tcPr>
          <w:p>
            <w:r>
              <w:rPr>
                <w:sz w:val="20"/>
              </w:rPr>
              <w:t>CYP3A5*3</w:t>
            </w:r>
          </w:p>
        </w:tc>
        <w:tc>
          <w:tcPr>
            <w:tcW w:type="dxa" w:w="2339"/>
          </w:tcPr>
          <w:p>
            <w:r>
              <w:rPr>
                <w:sz w:val="20"/>
              </w:rPr>
              <w:t>Non</w:t>
            </w:r>
          </w:p>
        </w:tc>
        <w:tc>
          <w:tcPr>
            <w:tcW w:type="dxa" w:w="2339"/>
          </w:tcPr>
          <w:p>
            <w:r>
              <w:rPr>
                <w:sz w:val="20"/>
              </w:rPr>
              <w:t>Laxatifs — arrêt IMMÉDIAT en cas d'erreur intrathécale</w:t>
            </w:r>
          </w:p>
        </w:tc>
      </w:tr>
      <w:tr>
        <w:tc>
          <w:tcPr>
            <w:tcW w:type="dxa" w:w="2339"/>
          </w:tcPr>
          <w:p>
            <w:r>
              <w:rPr>
                <w:sz w:val="20"/>
              </w:rPr>
              <w:t>**Eribuline**</w:t>
            </w:r>
          </w:p>
        </w:tc>
        <w:tc>
          <w:tcPr>
            <w:tcW w:type="dxa" w:w="2339"/>
          </w:tcPr>
          <w:p>
            <w:r>
              <w:rPr>
                <w:sz w:val="20"/>
              </w:rPr>
              <w:t>Non spécifique</w:t>
            </w:r>
          </w:p>
        </w:tc>
        <w:tc>
          <w:tcPr>
            <w:tcW w:type="dxa" w:w="2339"/>
          </w:tcPr>
          <w:p>
            <w:r>
              <w:rPr>
                <w:sz w:val="20"/>
              </w:rPr>
              <w:t>Non</w:t>
            </w:r>
          </w:p>
        </w:tc>
        <w:tc>
          <w:tcPr>
            <w:tcW w:type="dxa" w:w="2339"/>
          </w:tcPr>
          <w:p>
            <w:r>
              <w:rPr>
                <w:sz w:val="20"/>
              </w:rPr>
              <w:t>G-CSF (neutropénie fébrile) — correction K/Mg (QT)</w:t>
            </w:r>
          </w:p>
        </w:tc>
      </w:tr>
      <w:tr>
        <w:tc>
          <w:tcPr>
            <w:tcW w:type="dxa" w:w="2339"/>
          </w:tcPr>
          <w:p>
            <w:r>
              <w:rPr>
                <w:sz w:val="20"/>
              </w:rPr>
              <w:t>**Étoposide**</w:t>
            </w:r>
          </w:p>
        </w:tc>
        <w:tc>
          <w:tcPr>
            <w:tcW w:type="dxa" w:w="2339"/>
          </w:tcPr>
          <w:p>
            <w:r>
              <w:rPr>
                <w:sz w:val="20"/>
              </w:rPr>
              <w:t>Non spécifique</w:t>
            </w:r>
          </w:p>
        </w:tc>
        <w:tc>
          <w:tcPr>
            <w:tcW w:type="dxa" w:w="2339"/>
          </w:tcPr>
          <w:p>
            <w:r>
              <w:rPr>
                <w:sz w:val="20"/>
              </w:rPr>
              <w:t>Anti-H1 proposée</w:t>
            </w:r>
          </w:p>
        </w:tc>
        <w:tc>
          <w:tcPr>
            <w:tcW w:type="dxa" w:w="2339"/>
          </w:tcPr>
          <w:p>
            <w:r>
              <w:rPr>
                <w:sz w:val="20"/>
              </w:rPr>
              <w:t>Atropine (hypotension bradycardisante à la perf rapide) — arrêt perf (choc anaphylactoïde)</w:t>
            </w:r>
          </w:p>
        </w:tc>
      </w:tr>
      <w:tr>
        <w:tc>
          <w:tcPr>
            <w:tcW w:type="dxa" w:w="2339"/>
          </w:tcPr>
          <w:p>
            <w:r>
              <w:rPr>
                <w:sz w:val="20"/>
              </w:rPr>
              <w:t>**Irinotécan**</w:t>
            </w:r>
          </w:p>
        </w:tc>
        <w:tc>
          <w:tcPr>
            <w:tcW w:type="dxa" w:w="2339"/>
          </w:tcPr>
          <w:p>
            <w:r>
              <w:rPr>
                <w:sz w:val="20"/>
              </w:rPr>
              <w:t>**UGT1A1*28 (syndrome Gilbert)** — test pharmacogénétique systématique avant 1re cure</w:t>
            </w:r>
          </w:p>
        </w:tc>
        <w:tc>
          <w:tcPr>
            <w:tcW w:type="dxa" w:w="2339"/>
          </w:tcPr>
          <w:p>
            <w:r>
              <w:rPr>
                <w:sz w:val="20"/>
              </w:rPr>
              <w:t>Atropine à disposition (syndr cholinergique précoce) ; lopéramide à domicile (diarrhée tardive)</w:t>
            </w:r>
          </w:p>
        </w:tc>
        <w:tc>
          <w:tcPr>
            <w:tcW w:type="dxa" w:w="2339"/>
          </w:tcPr>
          <w:p>
            <w:r>
              <w:rPr>
                <w:sz w:val="20"/>
              </w:rPr>
              <w:t>**Lopéramide** (diarrhée tardive) — **atropine** (syndrome cholinergique précoce)</w:t>
            </w:r>
          </w:p>
        </w:tc>
      </w:tr>
    </w:tbl>
    <w:p/>
    <w:p>
      <w:pPr>
        <w:pStyle w:val="Heading3"/>
      </w:pPr>
      <w:r>
        <w:t>Tableau comparatif des voies d'administration et durées de perfusion</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Voie</w:t>
            </w:r>
          </w:p>
        </w:tc>
        <w:tc>
          <w:tcPr>
            <w:tcW w:type="dxa" w:w="1871"/>
          </w:tcPr>
          <w:p>
            <w:r>
              <w:rPr>
                <w:b/>
                <w:sz w:val="20"/>
              </w:rPr>
              <w:t>Durée de perfusion</w:t>
            </w:r>
          </w:p>
        </w:tc>
        <w:tc>
          <w:tcPr>
            <w:tcW w:type="dxa" w:w="1871"/>
          </w:tcPr>
          <w:p>
            <w:r>
              <w:rPr>
                <w:b/>
                <w:sz w:val="20"/>
              </w:rPr>
              <w:t>Schéma standard</w:t>
            </w:r>
          </w:p>
        </w:tc>
        <w:tc>
          <w:tcPr>
            <w:tcW w:type="dxa" w:w="1871"/>
          </w:tcPr>
          <w:p>
            <w:r>
              <w:rPr>
                <w:b/>
                <w:sz w:val="20"/>
              </w:rPr>
              <w:t>Particularité galénique</w:t>
            </w:r>
          </w:p>
        </w:tc>
      </w:tr>
      <w:tr>
        <w:tc>
          <w:tcPr>
            <w:tcW w:type="dxa" w:w="1871"/>
          </w:tcPr>
          <w:p>
            <w:r>
              <w:rPr>
                <w:sz w:val="20"/>
              </w:rPr>
              <w:t>**Paclitaxel**</w:t>
            </w:r>
          </w:p>
        </w:tc>
        <w:tc>
          <w:tcPr>
            <w:tcW w:type="dxa" w:w="1871"/>
          </w:tcPr>
          <w:p>
            <w:r>
              <w:rPr>
                <w:sz w:val="20"/>
              </w:rPr>
              <w:t>IV stricte</w:t>
            </w:r>
          </w:p>
        </w:tc>
        <w:tc>
          <w:tcPr>
            <w:tcW w:type="dxa" w:w="1871"/>
          </w:tcPr>
          <w:p>
            <w:r>
              <w:rPr>
                <w:sz w:val="20"/>
              </w:rPr>
              <w:t>3 heures (longue — risque hypersensibilité Crémophor EL)</w:t>
            </w:r>
          </w:p>
        </w:tc>
        <w:tc>
          <w:tcPr>
            <w:tcW w:type="dxa" w:w="1871"/>
          </w:tcPr>
          <w:p>
            <w:r>
              <w:rPr>
                <w:sz w:val="20"/>
              </w:rPr>
              <w:t>175 mg/m² J1 / 3 sem</w:t>
            </w:r>
          </w:p>
        </w:tc>
        <w:tc>
          <w:tcPr>
            <w:tcW w:type="dxa" w:w="1871"/>
          </w:tcPr>
          <w:p>
            <w:r>
              <w:rPr>
                <w:sz w:val="20"/>
              </w:rPr>
              <w:t>Concentration ≤ 1,2 mg/mL — tubulure sans DEHP</w:t>
            </w:r>
          </w:p>
        </w:tc>
      </w:tr>
      <w:tr>
        <w:tc>
          <w:tcPr>
            <w:tcW w:type="dxa" w:w="1871"/>
          </w:tcPr>
          <w:p>
            <w:r>
              <w:rPr>
                <w:sz w:val="20"/>
              </w:rPr>
              <w:t>**Docetaxel**</w:t>
            </w:r>
          </w:p>
        </w:tc>
        <w:tc>
          <w:tcPr>
            <w:tcW w:type="dxa" w:w="1871"/>
          </w:tcPr>
          <w:p>
            <w:r>
              <w:rPr>
                <w:sz w:val="20"/>
              </w:rPr>
              <w:t>IV stricte</w:t>
            </w:r>
          </w:p>
        </w:tc>
        <w:tc>
          <w:tcPr>
            <w:tcW w:type="dxa" w:w="1871"/>
          </w:tcPr>
          <w:p>
            <w:r>
              <w:rPr>
                <w:sz w:val="20"/>
              </w:rPr>
              <w:t>1 heure</w:t>
            </w:r>
          </w:p>
        </w:tc>
        <w:tc>
          <w:tcPr>
            <w:tcW w:type="dxa" w:w="1871"/>
          </w:tcPr>
          <w:p>
            <w:r>
              <w:rPr>
                <w:sz w:val="20"/>
              </w:rPr>
              <w:t>75-100 mg/m² J1 / 3 sem</w:t>
            </w:r>
          </w:p>
        </w:tc>
        <w:tc>
          <w:tcPr>
            <w:tcW w:type="dxa" w:w="1871"/>
          </w:tcPr>
          <w:p>
            <w:r>
              <w:rPr>
                <w:sz w:val="20"/>
              </w:rPr>
              <w:t>Concentration 0,3-0,74 mg/mL — tubulure sans DEHP</w:t>
            </w:r>
          </w:p>
        </w:tc>
      </w:tr>
      <w:tr>
        <w:tc>
          <w:tcPr>
            <w:tcW w:type="dxa" w:w="1871"/>
          </w:tcPr>
          <w:p>
            <w:r>
              <w:rPr>
                <w:sz w:val="20"/>
              </w:rPr>
              <w:t>**Cabazitaxel**</w:t>
            </w:r>
          </w:p>
        </w:tc>
        <w:tc>
          <w:tcPr>
            <w:tcW w:type="dxa" w:w="1871"/>
          </w:tcPr>
          <w:p>
            <w:r>
              <w:rPr>
                <w:sz w:val="20"/>
              </w:rPr>
              <w:t>IV stricte</w:t>
            </w:r>
          </w:p>
        </w:tc>
        <w:tc>
          <w:tcPr>
            <w:tcW w:type="dxa" w:w="1871"/>
          </w:tcPr>
          <w:p>
            <w:r>
              <w:rPr>
                <w:sz w:val="20"/>
              </w:rPr>
              <w:t>1 heure</w:t>
            </w:r>
          </w:p>
        </w:tc>
        <w:tc>
          <w:tcPr>
            <w:tcW w:type="dxa" w:w="1871"/>
          </w:tcPr>
          <w:p>
            <w:r>
              <w:rPr>
                <w:sz w:val="20"/>
              </w:rPr>
              <w:t>25 mg/m² J1 / 3 sem</w:t>
            </w:r>
          </w:p>
        </w:tc>
        <w:tc>
          <w:tcPr>
            <w:tcW w:type="dxa" w:w="1871"/>
          </w:tcPr>
          <w:p>
            <w:r>
              <w:rPr>
                <w:sz w:val="20"/>
              </w:rPr>
              <w:t>Concentration 0,25-0,74 mg/mL</w:t>
            </w:r>
          </w:p>
        </w:tc>
      </w:tr>
      <w:tr>
        <w:tc>
          <w:tcPr>
            <w:tcW w:type="dxa" w:w="1871"/>
          </w:tcPr>
          <w:p>
            <w:r>
              <w:rPr>
                <w:sz w:val="20"/>
              </w:rPr>
              <w:t>**Vincristine**</w:t>
            </w:r>
          </w:p>
        </w:tc>
        <w:tc>
          <w:tcPr>
            <w:tcW w:type="dxa" w:w="1871"/>
          </w:tcPr>
          <w:p>
            <w:r>
              <w:rPr>
                <w:sz w:val="20"/>
              </w:rPr>
              <w:t>IV stricte en **MINIBAG** (jamais seringue)</w:t>
            </w:r>
          </w:p>
        </w:tc>
        <w:tc>
          <w:tcPr>
            <w:tcW w:type="dxa" w:w="1871"/>
          </w:tcPr>
          <w:p>
            <w:r>
              <w:rPr>
                <w:sz w:val="20"/>
              </w:rPr>
              <w:t>5-10 min (perfusion courte)</w:t>
            </w:r>
          </w:p>
        </w:tc>
        <w:tc>
          <w:tcPr>
            <w:tcW w:type="dxa" w:w="1871"/>
          </w:tcPr>
          <w:p>
            <w:r>
              <w:rPr>
                <w:sz w:val="20"/>
              </w:rPr>
              <w:t>1,4 mg/m² J1 / sem (cap 2 mg)</w:t>
            </w:r>
          </w:p>
        </w:tc>
        <w:tc>
          <w:tcPr>
            <w:tcW w:type="dxa" w:w="1871"/>
          </w:tcPr>
          <w:p>
            <w:r>
              <w:rPr>
                <w:sz w:val="20"/>
              </w:rPr>
              <w:t>**MINIBAG OBLIGATOIRE** — jamais en seringue (risque erreur intrathécale FATALE)</w:t>
            </w:r>
          </w:p>
        </w:tc>
      </w:tr>
      <w:tr>
        <w:tc>
          <w:tcPr>
            <w:tcW w:type="dxa" w:w="1871"/>
          </w:tcPr>
          <w:p>
            <w:r>
              <w:rPr>
                <w:sz w:val="20"/>
              </w:rPr>
              <w:t>**Vinblastine**</w:t>
            </w:r>
          </w:p>
        </w:tc>
        <w:tc>
          <w:tcPr>
            <w:tcW w:type="dxa" w:w="1871"/>
          </w:tcPr>
          <w:p>
            <w:r>
              <w:rPr>
                <w:sz w:val="20"/>
              </w:rPr>
              <w:t>IV stricte en **MINIBAG**</w:t>
            </w:r>
          </w:p>
        </w:tc>
        <w:tc>
          <w:tcPr>
            <w:tcW w:type="dxa" w:w="1871"/>
          </w:tcPr>
          <w:p>
            <w:r>
              <w:rPr>
                <w:sz w:val="20"/>
              </w:rPr>
              <w:t>5-10 min</w:t>
            </w:r>
          </w:p>
        </w:tc>
        <w:tc>
          <w:tcPr>
            <w:tcW w:type="dxa" w:w="1871"/>
          </w:tcPr>
          <w:p>
            <w:r>
              <w:rPr>
                <w:sz w:val="20"/>
              </w:rPr>
              <w:t>6-10 mg/m² J1 / 1-2 sem</w:t>
            </w:r>
          </w:p>
        </w:tc>
        <w:tc>
          <w:tcPr>
            <w:tcW w:type="dxa" w:w="1871"/>
          </w:tcPr>
          <w:p>
            <w:r>
              <w:rPr>
                <w:sz w:val="20"/>
              </w:rPr>
              <w:t>MINIBAG OBLIGATOIRE — jamais en seringue</w:t>
            </w:r>
          </w:p>
        </w:tc>
      </w:tr>
      <w:tr>
        <w:tc>
          <w:tcPr>
            <w:tcW w:type="dxa" w:w="1871"/>
          </w:tcPr>
          <w:p>
            <w:r>
              <w:rPr>
                <w:sz w:val="20"/>
              </w:rPr>
              <w:t>**Vinorelbine**</w:t>
            </w:r>
          </w:p>
        </w:tc>
        <w:tc>
          <w:tcPr>
            <w:tcW w:type="dxa" w:w="1871"/>
          </w:tcPr>
          <w:p>
            <w:r>
              <w:rPr>
                <w:sz w:val="20"/>
              </w:rPr>
              <w:t>IV stricte (forme IV) ou orale (capsule 30 mg)</w:t>
            </w:r>
          </w:p>
        </w:tc>
        <w:tc>
          <w:tcPr>
            <w:tcW w:type="dxa" w:w="1871"/>
          </w:tcPr>
          <w:p>
            <w:r>
              <w:rPr>
                <w:sz w:val="20"/>
              </w:rPr>
              <w:t>6-10 min (IV) ou PO</w:t>
            </w:r>
          </w:p>
        </w:tc>
        <w:tc>
          <w:tcPr>
            <w:tcW w:type="dxa" w:w="1871"/>
          </w:tcPr>
          <w:p>
            <w:r>
              <w:rPr>
                <w:sz w:val="20"/>
              </w:rPr>
              <w:t>25-30 mg/m² J1, J8 / 3 sem</w:t>
            </w:r>
          </w:p>
        </w:tc>
        <w:tc>
          <w:tcPr>
            <w:tcW w:type="dxa" w:w="1871"/>
          </w:tcPr>
          <w:p>
            <w:r>
              <w:rPr>
                <w:sz w:val="20"/>
              </w:rPr>
              <w:t>**Forme orale disponible** (Navelbine 30 mg capsule — seule capsule Vinca disponible en Algérie)</w:t>
            </w:r>
          </w:p>
        </w:tc>
      </w:tr>
      <w:tr>
        <w:tc>
          <w:tcPr>
            <w:tcW w:type="dxa" w:w="1871"/>
          </w:tcPr>
          <w:p>
            <w:r>
              <w:rPr>
                <w:sz w:val="20"/>
              </w:rPr>
              <w:t>**Vindesine**</w:t>
            </w:r>
          </w:p>
        </w:tc>
        <w:tc>
          <w:tcPr>
            <w:tcW w:type="dxa" w:w="1871"/>
          </w:tcPr>
          <w:p>
            <w:r>
              <w:rPr>
                <w:sz w:val="20"/>
              </w:rPr>
              <w:t>IV stricte en MINIBAG</w:t>
            </w:r>
          </w:p>
        </w:tc>
        <w:tc>
          <w:tcPr>
            <w:tcW w:type="dxa" w:w="1871"/>
          </w:tcPr>
          <w:p>
            <w:r>
              <w:rPr>
                <w:sz w:val="20"/>
              </w:rPr>
              <w:t>5-10 min</w:t>
            </w:r>
          </w:p>
        </w:tc>
        <w:tc>
          <w:tcPr>
            <w:tcW w:type="dxa" w:w="1871"/>
          </w:tcPr>
          <w:p>
            <w:r>
              <w:rPr>
                <w:sz w:val="20"/>
              </w:rPr>
              <w:t>2-3 mg/m² J1 / sem</w:t>
            </w:r>
          </w:p>
        </w:tc>
        <w:tc>
          <w:tcPr>
            <w:tcW w:type="dxa" w:w="1871"/>
          </w:tcPr>
          <w:p>
            <w:r>
              <w:rPr>
                <w:sz w:val="20"/>
              </w:rPr>
              <w:t>RETIRÉE du marché algérien</w:t>
            </w:r>
          </w:p>
        </w:tc>
      </w:tr>
      <w:tr>
        <w:tc>
          <w:tcPr>
            <w:tcW w:type="dxa" w:w="1871"/>
          </w:tcPr>
          <w:p>
            <w:r>
              <w:rPr>
                <w:sz w:val="20"/>
              </w:rPr>
              <w:t>**Vinflunine**</w:t>
            </w:r>
          </w:p>
        </w:tc>
        <w:tc>
          <w:tcPr>
            <w:tcW w:type="dxa" w:w="1871"/>
          </w:tcPr>
          <w:p>
            <w:r>
              <w:rPr>
                <w:sz w:val="20"/>
              </w:rPr>
              <w:t>IV stricte</w:t>
            </w:r>
          </w:p>
        </w:tc>
        <w:tc>
          <w:tcPr>
            <w:tcW w:type="dxa" w:w="1871"/>
          </w:tcPr>
          <w:p>
            <w:r>
              <w:rPr>
                <w:sz w:val="20"/>
              </w:rPr>
              <w:t>10 min (perfusion courte)</w:t>
            </w:r>
          </w:p>
        </w:tc>
        <w:tc>
          <w:tcPr>
            <w:tcW w:type="dxa" w:w="1871"/>
          </w:tcPr>
          <w:p>
            <w:r>
              <w:rPr>
                <w:sz w:val="20"/>
              </w:rPr>
              <w:t>320 mg/m² J1 / 3 sem</w:t>
            </w:r>
          </w:p>
        </w:tc>
        <w:tc>
          <w:tcPr>
            <w:tcW w:type="dxa" w:w="1871"/>
          </w:tcPr>
          <w:p>
            <w:r>
              <w:rPr>
                <w:sz w:val="20"/>
              </w:rPr>
              <w:t>Solution à diluer 25 mg/mL</w:t>
            </w:r>
          </w:p>
        </w:tc>
      </w:tr>
      <w:tr>
        <w:tc>
          <w:tcPr>
            <w:tcW w:type="dxa" w:w="1871"/>
          </w:tcPr>
          <w:p>
            <w:r>
              <w:rPr>
                <w:sz w:val="20"/>
              </w:rPr>
              <w:t>**Eribuline**</w:t>
            </w:r>
          </w:p>
        </w:tc>
        <w:tc>
          <w:tcPr>
            <w:tcW w:type="dxa" w:w="1871"/>
          </w:tcPr>
          <w:p>
            <w:r>
              <w:rPr>
                <w:sz w:val="20"/>
              </w:rPr>
              <w:t>IV stricte</w:t>
            </w:r>
          </w:p>
        </w:tc>
        <w:tc>
          <w:tcPr>
            <w:tcW w:type="dxa" w:w="1871"/>
          </w:tcPr>
          <w:p>
            <w:r>
              <w:rPr>
                <w:sz w:val="20"/>
              </w:rPr>
              <w:t>2-5 min (perfusion très courte)</w:t>
            </w:r>
          </w:p>
        </w:tc>
        <w:tc>
          <w:tcPr>
            <w:tcW w:type="dxa" w:w="1871"/>
          </w:tcPr>
          <w:p>
            <w:r>
              <w:rPr>
                <w:sz w:val="20"/>
              </w:rPr>
              <w:t>1,4 mg/m² J1, J8, J15 / 4 sem</w:t>
            </w:r>
          </w:p>
        </w:tc>
        <w:tc>
          <w:tcPr>
            <w:tcW w:type="dxa" w:w="1871"/>
          </w:tcPr>
          <w:p>
            <w:r>
              <w:rPr>
                <w:sz w:val="20"/>
              </w:rPr>
              <w:t>Solution 0,44 mg/mL — non vésicante</w:t>
            </w:r>
          </w:p>
        </w:tc>
      </w:tr>
      <w:tr>
        <w:tc>
          <w:tcPr>
            <w:tcW w:type="dxa" w:w="1871"/>
          </w:tcPr>
          <w:p>
            <w:r>
              <w:rPr>
                <w:sz w:val="20"/>
              </w:rPr>
              <w:t>**Étoposide**</w:t>
            </w:r>
          </w:p>
        </w:tc>
        <w:tc>
          <w:tcPr>
            <w:tcW w:type="dxa" w:w="1871"/>
          </w:tcPr>
          <w:p>
            <w:r>
              <w:rPr>
                <w:sz w:val="20"/>
              </w:rPr>
              <w:t>IV stricte (forme IV) ou orale (capsule 50 mg — INDISPONIBLE)</w:t>
            </w:r>
          </w:p>
        </w:tc>
        <w:tc>
          <w:tcPr>
            <w:tcW w:type="dxa" w:w="1871"/>
          </w:tcPr>
          <w:p>
            <w:r>
              <w:rPr>
                <w:sz w:val="20"/>
              </w:rPr>
              <w:t>30-60 min (perfusion lente stricte)</w:t>
            </w:r>
          </w:p>
        </w:tc>
        <w:tc>
          <w:tcPr>
            <w:tcW w:type="dxa" w:w="1871"/>
          </w:tcPr>
          <w:p>
            <w:r>
              <w:rPr>
                <w:sz w:val="20"/>
              </w:rPr>
              <w:t>100 mg/m² J1-J5 / 3 sem (BEP)</w:t>
            </w:r>
          </w:p>
        </w:tc>
        <w:tc>
          <w:tcPr>
            <w:tcW w:type="dxa" w:w="1871"/>
          </w:tcPr>
          <w:p>
            <w:r>
              <w:rPr>
                <w:sz w:val="20"/>
              </w:rPr>
              <w:t>Dilution en NaCl 0,9 % — concentration ≤ 0,4 mg/mL — tubulure sans DEHP — ne pas dépasser 4 mg/mL/h</w:t>
            </w:r>
          </w:p>
        </w:tc>
      </w:tr>
      <w:tr>
        <w:tc>
          <w:tcPr>
            <w:tcW w:type="dxa" w:w="1871"/>
          </w:tcPr>
          <w:p>
            <w:r>
              <w:rPr>
                <w:sz w:val="20"/>
              </w:rPr>
              <w:t>**Irinotécan**</w:t>
            </w:r>
          </w:p>
        </w:tc>
        <w:tc>
          <w:tcPr>
            <w:tcW w:type="dxa" w:w="1871"/>
          </w:tcPr>
          <w:p>
            <w:r>
              <w:rPr>
                <w:sz w:val="20"/>
              </w:rPr>
              <w:t>IV stricte</w:t>
            </w:r>
          </w:p>
        </w:tc>
        <w:tc>
          <w:tcPr>
            <w:tcW w:type="dxa" w:w="1871"/>
          </w:tcPr>
          <w:p>
            <w:r>
              <w:rPr>
                <w:sz w:val="20"/>
              </w:rPr>
              <w:t>30-90 min</w:t>
            </w:r>
          </w:p>
        </w:tc>
        <w:tc>
          <w:tcPr>
            <w:tcW w:type="dxa" w:w="1871"/>
          </w:tcPr>
          <w:p>
            <w:r>
              <w:rPr>
                <w:sz w:val="20"/>
              </w:rPr>
              <w:t>180 mg/m² J1 / 2 sem (FOLFIRI, FOLFIRINOX)</w:t>
            </w:r>
          </w:p>
        </w:tc>
        <w:tc>
          <w:tcPr>
            <w:tcW w:type="dxa" w:w="1871"/>
          </w:tcPr>
          <w:p>
            <w:r>
              <w:rPr>
                <w:sz w:val="20"/>
              </w:rPr>
              <w:t>Solution à diluer 20 mg/mL — tubulure sans DEHP</w:t>
            </w:r>
          </w:p>
        </w:tc>
      </w:tr>
    </w:tbl>
    <w:p/>
    <w:p>
      <w:pPr>
        <w:pStyle w:val="Heading2"/>
      </w:pPr>
      <w:r>
        <w:t>Synthèse Pédagogique pour le Pharmacien Algérien</w:t>
      </w:r>
    </w:p>
    <w:p>
      <w:pPr>
        <w:pStyle w:val="Heading3"/>
      </w:pPr>
      <w:r>
        <w:t>1. Les 5 sous-classes du chapitre 103 — récapitulatif mécanistique</w:t>
      </w:r>
    </w:p>
    <w:p>
      <w:r>
        <w:t xml:space="preserve">Le chapitre 103 a couvert </w:t>
      </w:r>
      <w:r>
        <w:rPr>
          <w:b/>
        </w:rPr>
        <w:t>11 DCIs</w:t>
      </w:r>
      <w:r>
        <w:t xml:space="preserve"> réparties en </w:t>
      </w:r>
      <w:r>
        <w:rPr>
          <w:b/>
        </w:rPr>
        <w:t>5 sous-classes pharmacologiques cohérentes</w:t>
      </w:r>
      <w:r>
        <w:t>, chacune ayant un mécanisme d'action original ciblant soit l'appareil mitotique (fuseau achromatéen) soit la machinerie de réplication/transcription de l'ADN (topoisomérases I et II) :</w:t>
      </w:r>
    </w:p>
    <w:p>
      <w:pPr>
        <w:pStyle w:val="ListNumber"/>
      </w:pPr>
      <w:r/>
      <w:r>
        <w:rPr>
          <w:b/>
        </w:rPr>
        <w:t>Taxanes</w:t>
      </w:r>
      <w:r>
        <w:t xml:space="preserve"> (3 DCIs — paclitaxel, docetaxel, cabazitaxel) : </w:t>
      </w:r>
      <w:r>
        <w:rPr>
          <w:b/>
        </w:rPr>
        <w:t>stabilisent les microtubules</w:t>
      </w:r>
      <w:r>
        <w:t xml:space="preserve"> en bloquant la dépolymérisation de la tubuline-β au site taxane → bloc mitotique en métaphase → apoptose. Phase M-spécifique. Toxicité signature : neurotoxicité cumulative (axonale), réaction anaphylactique (Crémophor EL ou polysorbate 80), rétention hydrosodée (docetaxel), neutropénie sévère (cabazitaxel). Prémédication systématique obligatoire (anti-H1 + anti-H2 + corticoïde).</w:t>
      </w:r>
    </w:p>
    <w:p>
      <w:pPr>
        <w:pStyle w:val="ListNumber"/>
      </w:pPr>
      <w:r/>
      <w:r>
        <w:rPr>
          <w:b/>
        </w:rPr>
        <w:t>Alcaloïdes de la pervenche (Vinca)</w:t>
      </w:r>
      <w:r>
        <w:t xml:space="preserve"> (5 DCIs — vincristine, vinblastine, vindesine, vinorelbine, vinflunine) : </w:t>
      </w:r>
      <w:r>
        <w:rPr>
          <w:b/>
        </w:rPr>
        <w:t>dépolymérisent les microtubules</w:t>
      </w:r>
      <w:r>
        <w:t xml:space="preserve"> en bloquant la </w:t>
      </w:r>
      <w:r>
        <w:rPr>
          <w:b/>
        </w:rPr>
        <w:t>nucléation</w:t>
      </w:r>
      <w:r>
        <w:t xml:space="preserve"> au site vinca → désorganisation du fuseau mitotique → bloc mitotique → apoptose. Phase M-spécifique. Toxicité signature : neurotoxicité dose-limitante (vincristine surtout), myélosuppression (vinblastine, vinorelbine, vinflunine), </w:t>
      </w:r>
      <w:r>
        <w:rPr>
          <w:b/>
        </w:rPr>
        <w:t>injection intrathécale FATALE</w:t>
      </w:r>
      <w:r>
        <w:t xml:space="preserve"> (erreurs médicamenteuses cataclysmiques — prévention par conditionnement exclusif en minibag IV).</w:t>
      </w:r>
    </w:p>
    <w:p>
      <w:pPr>
        <w:pStyle w:val="ListNumber"/>
      </w:pPr>
      <w:r/>
      <w:r>
        <w:rPr>
          <w:b/>
        </w:rPr>
        <w:t>Halichondrine</w:t>
      </w:r>
      <w:r>
        <w:t xml:space="preserve"> (1 DCI — eribuline) : inhibe préférentiellement la phase d'</w:t>
      </w:r>
      <w:r>
        <w:rPr>
          <w:b/>
        </w:rPr>
        <w:t>élongation</w:t>
      </w:r>
      <w:r>
        <w:t xml:space="preserve"> de la polymérisation des microtubules (et non la nucléation — d'où neurotoxicité atténuée) → bloc mitotique irréversible → apoptose. Phase M-spécifique. Toxicité signature : neutropénie (très fréquente), QT prolongé (surveillance ECG). Origine marine (*Halichondria okadai*).</w:t>
      </w:r>
    </w:p>
    <w:p>
      <w:pPr>
        <w:pStyle w:val="ListNumber"/>
      </w:pPr>
      <w:r/>
      <w:r>
        <w:rPr>
          <w:b/>
        </w:rPr>
        <w:t>Topoisomérase II</w:t>
      </w:r>
      <w:r>
        <w:t xml:space="preserve"> (1 DCI — étoposide) : stabilise le complexe clivable ADN–topo II (après coupure double-brin transitoire, avant réligation) → conversion des cassures transitoires en DSB permanentes lors du passage des fourches de réplication → apoptose. Phase S/G2-spécifique. Toxicité signature : myélosuppression (nadir J10-14), hypotension à la perfusion rapide, hypersensibilité (polysorbate 80, éthanol, glycofurol), </w:t>
      </w:r>
      <w:r>
        <w:rPr>
          <w:b/>
        </w:rPr>
        <w:t>leucémies secondaires 11q23/MLL (groupe 1 CIRC)</w:t>
      </w:r>
      <w:r>
        <w:t xml:space="preserve">, </w:t>
      </w:r>
      <w:r>
        <w:rPr>
          <w:b/>
        </w:rPr>
        <w:t>forme orale capsule INDISPONIBLE en Algérie</w:t>
      </w:r>
      <w:r>
        <w:t>.</w:t>
      </w:r>
    </w:p>
    <w:p>
      <w:pPr>
        <w:pStyle w:val="ListNumber"/>
      </w:pPr>
      <w:r/>
      <w:r>
        <w:rPr>
          <w:b/>
        </w:rPr>
        <w:t>Topoisomérase I</w:t>
      </w:r>
      <w:r>
        <w:t xml:space="preserve"> (1 DCI — irinotécan) : prodrogue convertie par la CES2 en métabolite actif </w:t>
      </w:r>
      <w:r>
        <w:rPr>
          <w:b/>
        </w:rPr>
        <w:t>SN-38</w:t>
      </w:r>
      <w:r>
        <w:t xml:space="preserve"> (100-1000× plus actif) → SN-38 stabilise le complexe clivable ADN–topo I (après coupure simple-brin transitoire, avant réligation) → conversion des cassures transitoires en DSB permanentes lors du passage des fourches de réplication → apoptose. Phase S-spécifique. Toxicité signature : </w:t>
      </w:r>
      <w:r>
        <w:rPr>
          <w:b/>
        </w:rPr>
        <w:t>syndrome cholinergique précoce ≤ 24 h (atropine)</w:t>
      </w:r>
      <w:r>
        <w:t xml:space="preserve">, </w:t>
      </w:r>
      <w:r>
        <w:rPr>
          <w:b/>
        </w:rPr>
        <w:t>diarrhée tardive J+3 à J+10 (loperamide d'emblée)</w:t>
      </w:r>
      <w:r>
        <w:t>, **polymorphisme UGT1A1*28 (syndrome Gilbert — 8-10 % de la population caucasienne homozygote — test pharmacogénétique systématique avant 1re cure)**, neutropénie fébrile.</w:t>
      </w:r>
    </w:p>
    <w:p>
      <w:pPr>
        <w:pStyle w:val="Heading3"/>
      </w:pPr>
      <w:r>
        <w:t>2. Les 15 règles d'or absolues du chapitre 103</w:t>
      </w:r>
    </w:p>
    <w:p>
      <w:pPr>
        <w:pStyle w:val="ListNumber"/>
      </w:pPr>
      <w:r/>
      <w:r>
        <w:rPr>
          <w:b/>
        </w:rPr>
        <w:t>Prémédication anti-allergique systématique obligatoire pour le paclitaxel</w:t>
      </w:r>
      <w:r>
        <w:t xml:space="preserve"> (anti-H1 + anti-H2 + dexaméthasone) — risque de choc anaphylactique fatal en l'absence de prémédication (Crémophor EL).</w:t>
      </w:r>
    </w:p>
    <w:p>
      <w:pPr>
        <w:pStyle w:val="ListNumber"/>
      </w:pPr>
      <w:r/>
      <w:r>
        <w:rPr>
          <w:b/>
        </w:rPr>
        <w:t>Prémédication corticoïde systématique obligatoire pour le docetaxel et cabazitaxel</w:t>
      </w:r>
      <w:r>
        <w:t xml:space="preserve"> (dexaméthasone 8 mg × 2/j les 3 jours précédant la perfusion) — prévention de la rétention hydrosodée cumulative (docetaxel) et de l'hypersensibilité (cabazitaxel).</w:t>
      </w:r>
    </w:p>
    <w:p>
      <w:pPr>
        <w:pStyle w:val="ListNumber"/>
      </w:pPr>
      <w:r/>
      <w:r>
        <w:rPr>
          <w:b/>
        </w:rPr>
        <w:t>Vincristine — JAMAIS en seringue, TOUJOURS en minibag IV</w:t>
      </w:r>
      <w:r>
        <w:t xml:space="preserve"> — prévention de l'erreur intrathécale FATALE (mortelle en 3-7 jours par encéphalopathie toxique ascendante).</w:t>
      </w:r>
    </w:p>
    <w:p>
      <w:pPr>
        <w:pStyle w:val="ListNumber"/>
      </w:pPr>
      <w:r/>
      <w:r>
        <w:rPr>
          <w:b/>
        </w:rPr>
        <w:t>Vincristine — CAP de dose à 2 mg (dose maximale absolue)</w:t>
      </w:r>
      <w:r>
        <w:t xml:space="preserve"> — indépendamment de la surface corporelle — prévention de la neurotoxicité excessive.</w:t>
      </w:r>
    </w:p>
    <w:p>
      <w:pPr>
        <w:pStyle w:val="ListNumber"/>
      </w:pPr>
      <w:r/>
      <w:r>
        <w:rPr>
          <w:b/>
        </w:rPr>
        <w:t>NFS avant chaque cure pour TOUS les cytotoxiques</w:t>
      </w:r>
      <w:r>
        <w:t xml:space="preserve"> — pas de cure si PNN &lt; 1 500/mm³ ou plaquettes &lt; 100 000/mm³.</w:t>
      </w:r>
    </w:p>
    <w:p>
      <w:pPr>
        <w:pStyle w:val="ListNumber"/>
      </w:pPr>
      <w:r>
        <w:t>**Test pharmacogénétique UGT1A1\*28 systématique avant la 1re cure d'irinotécan** — réduction de dose initiale à 75 % chez les homozygotes *28/*28 (syndrome de Gilbert — 8-10 % de la population).</w:t>
      </w:r>
    </w:p>
    <w:p>
      <w:pPr>
        <w:pStyle w:val="ListNumber"/>
      </w:pPr>
      <w:r/>
      <w:r>
        <w:rPr>
          <w:b/>
        </w:rPr>
        <w:t>Lopéramide TOUJOURS à disposition à domicile pour le patient sous irinotécan</w:t>
      </w:r>
      <w:r>
        <w:t xml:space="preserve"> — débuter d'EMBLÉE dès la 1re selle liquide (J+3 à J+10) — 4 mg puis 2 mg toutes les 2 h — maximum 16 mg/j — pendant au moins 12 h après la dernière selle liquide.</w:t>
      </w:r>
    </w:p>
    <w:p>
      <w:pPr>
        <w:pStyle w:val="ListNumber"/>
      </w:pPr>
      <w:r/>
      <w:r>
        <w:rPr>
          <w:b/>
        </w:rPr>
        <w:t>Atropine à disposition IMMÉDIATE pendant la perfusion d'irinotécan</w:t>
      </w:r>
      <w:r>
        <w:t xml:space="preserve"> — syndrome cholinergique précoce (≤ 24 h — flush, diarrhée précoce, crampes abdominales, rhinorrhée, larmoiements, myosis, hypersialorrhée, bradycardie) — atropine IV 0,25-1 mg.</w:t>
      </w:r>
    </w:p>
    <w:p>
      <w:pPr>
        <w:pStyle w:val="ListNumber"/>
      </w:pPr>
      <w:r/>
      <w:r>
        <w:rPr>
          <w:b/>
        </w:rPr>
        <w:t>Étoposide — perfusion IV stricte sur 30-60 min</w:t>
      </w:r>
      <w:r>
        <w:t xml:space="preserve"> (jamais &lt; 30 min — hypotension brutale) — dilution en NaCl 0,9 % (jamais en G5 % — précipitation) — concentration ≤ 0,4 mg/mL — tubulure sans DEHP.</w:t>
      </w:r>
    </w:p>
    <w:p>
      <w:pPr>
        <w:pStyle w:val="ListNumber"/>
      </w:pPr>
      <w:r/>
      <w:r>
        <w:rPr>
          <w:b/>
        </w:rPr>
        <w:t>Étoposide — information patient sur le risque de leucémie secondaire 2-5 ans post-traitement (groupe 1 CIRC — translocation 11q23/MLL)</w:t>
      </w:r>
      <w:r>
        <w:t xml:space="preserve"> — surveillance NFS annuelle pendant 5-10 ans.</w:t>
      </w:r>
    </w:p>
    <w:p>
      <w:pPr>
        <w:pStyle w:val="ListNumber"/>
      </w:pPr>
      <w:r/>
      <w:r>
        <w:rPr>
          <w:b/>
        </w:rPr>
        <w:t>Paclitaxel — perfusion IV stricte sur 3 heures</w:t>
      </w:r>
      <w:r>
        <w:t xml:space="preserve"> (jamais &lt; 3 h — risque hypersensibilité) — concentration ≤ 1,2 mg/mL — tubulure sans DEHP — prémédication anti-allergique.</w:t>
      </w:r>
    </w:p>
    <w:p>
      <w:pPr>
        <w:pStyle w:val="ListNumber"/>
      </w:pPr>
      <w:r/>
      <w:r>
        <w:rPr>
          <w:b/>
        </w:rPr>
        <w:t>Tous les cytotoxiques — contraception obligatoire pendant le traitement et 6 mois après</w:t>
      </w:r>
      <w:r>
        <w:t xml:space="preserve"> (catégorie D — tératogènes) — conservation de gamètes préalable (cryopréservation ovocytaire ou spermatique — particulièrement chez l'homme jeune sous étoposide pour testicule BEP — risque stérilité).</w:t>
      </w:r>
    </w:p>
    <w:p>
      <w:pPr>
        <w:pStyle w:val="ListNumber"/>
      </w:pPr>
      <w:r/>
      <w:r>
        <w:rPr>
          <w:b/>
        </w:rPr>
        <w:t>Tous les cytotoxiques — pas de vaccin vivant atténué pendant le traitement et 3 mois après</w:t>
      </w:r>
      <w:r>
        <w:t xml:space="preserve"> (BCG, fièvre jaune, ROR, varicelle, rotavirus).</w:t>
      </w:r>
    </w:p>
    <w:p>
      <w:pPr>
        <w:pStyle w:val="ListNumber"/>
      </w:pPr>
      <w:r/>
      <w:r>
        <w:rPr>
          <w:b/>
        </w:rPr>
        <w:t>Tous les cytotoxiques — pas de millepertuis (St-John's Wort — induction CYP3A4 + P-gp majeure)</w:t>
      </w:r>
      <w:r>
        <w:t xml:space="preserve"> — contre-indication formelle.</w:t>
      </w:r>
    </w:p>
    <w:p>
      <w:pPr>
        <w:pStyle w:val="ListNumber"/>
      </w:pPr>
      <w:r/>
      <w:r>
        <w:rPr>
          <w:b/>
        </w:rPr>
        <w:t>Tous les cytotoxiques — pas de pamplemousse (inhibition CYP3A4)</w:t>
      </w:r>
      <w:r>
        <w:t xml:space="preserve"> — risque de toxicité sévère.</w:t>
      </w:r>
    </w:p>
    <w:p>
      <w:pPr>
        <w:pStyle w:val="Heading3"/>
      </w:pPr>
      <w:r>
        <w:t>3. Les 25 pièges majeurs au comptoir</w:t>
      </w:r>
    </w:p>
    <w:p>
      <w:pPr>
        <w:pStyle w:val="ListNumber"/>
      </w:pPr>
      <w:r/>
      <w:r>
        <w:rPr>
          <w:b/>
        </w:rPr>
        <w:t>Confusion paclitaxel / docetaxel</w:t>
      </w:r>
      <w:r>
        <w:t xml:space="preserve"> — profil de toxicité différent (Crémophor EL vs polysorbate 80 ; neurotoxicité vs rétention hydrosodée) — vérifier la prescription.</w:t>
      </w:r>
    </w:p>
    <w:p>
      <w:pPr>
        <w:pStyle w:val="ListNumber"/>
      </w:pPr>
      <w:r/>
      <w:r>
        <w:rPr>
          <w:b/>
        </w:rPr>
        <w:t>Oubli de la prémédication anti-allergique pour le paclitaxel</w:t>
      </w:r>
      <w:r>
        <w:t xml:space="preserve"> — risque de choc anaphylactique fatal.</w:t>
      </w:r>
    </w:p>
    <w:p>
      <w:pPr>
        <w:pStyle w:val="ListNumber"/>
      </w:pPr>
      <w:r/>
      <w:r>
        <w:rPr>
          <w:b/>
        </w:rPr>
        <w:t>Oubli de la prémédication corticoïde pour le docetaxel ou cabazitaxel</w:t>
      </w:r>
      <w:r>
        <w:t xml:space="preserve"> — dexaméthasone 8 mg × 2/j J-3 à J-1 — risque de rétention hydrosodée cumulative (docetaxel) ou d'hypersensibilité (cabazitaxel).</w:t>
      </w:r>
    </w:p>
    <w:p>
      <w:pPr>
        <w:pStyle w:val="ListNumber"/>
      </w:pPr>
      <w:r/>
      <w:r>
        <w:rPr>
          <w:b/>
        </w:rPr>
        <w:t>Vincristine en seringue IV au lieu de minibag</w:t>
      </w:r>
      <w:r>
        <w:t xml:space="preserve"> — erreur intrathécale FATALE — prévention absolue.</w:t>
      </w:r>
    </w:p>
    <w:p>
      <w:pPr>
        <w:pStyle w:val="ListNumber"/>
      </w:pPr>
      <w:r/>
      <w:r>
        <w:rPr>
          <w:b/>
        </w:rPr>
        <w:t>Vincristine à dose &gt; 2 mg</w:t>
      </w:r>
      <w:r>
        <w:t xml:space="preserve"> — dépassement du cap — neurotoxicité excessive.</w:t>
      </w:r>
    </w:p>
    <w:p>
      <w:pPr>
        <w:pStyle w:val="ListNumber"/>
      </w:pPr>
      <w:r/>
      <w:r>
        <w:rPr>
          <w:b/>
        </w:rPr>
        <w:t>Vinblastine — confusion dose (mg) avec vincristine</w:t>
      </w:r>
      <w:r>
        <w:t xml:space="preserve"> — vinblastine à doses 6-10 mg/m² (5-7× plus élevées que vincristine 1-1,4 mg/m²) — erreur par posologie cataclysmique.</w:t>
      </w:r>
    </w:p>
    <w:p>
      <w:pPr>
        <w:pStyle w:val="ListNumber"/>
      </w:pPr>
      <w:r/>
      <w:r>
        <w:rPr>
          <w:b/>
        </w:rPr>
        <w:t>Vinorelbine orale — confusion capsule 20 mg (retirée) avec capsule 30 mg (active)</w:t>
      </w:r>
      <w:r>
        <w:t xml:space="preserve"> — vérifier la marque (Navelbine 30 mg Pierre Fabre — seule forme orale active en Algérie).</w:t>
      </w:r>
    </w:p>
    <w:p>
      <w:pPr>
        <w:pStyle w:val="ListNumber"/>
      </w:pPr>
      <w:r/>
      <w:r>
        <w:rPr>
          <w:b/>
        </w:rPr>
        <w:t>Vindesine — prescription alors que RETIRÉE du marché algérien</w:t>
      </w:r>
      <w:r>
        <w:t xml:space="preserve"> — orientation vers alternative (vincristine ou vinorelbine selon avis oncologique).</w:t>
      </w:r>
    </w:p>
    <w:p>
      <w:pPr>
        <w:pStyle w:val="ListNumber"/>
      </w:pPr>
      <w:r/>
      <w:r>
        <w:rPr>
          <w:b/>
        </w:rPr>
        <w:t>Vinflunine — oubli surveillance ECG (QT prolongé)</w:t>
      </w:r>
      <w:r>
        <w:t xml:space="preserve"> — ECG pré-cure obligatoire.</w:t>
      </w:r>
    </w:p>
    <w:p>
      <w:pPr>
        <w:pStyle w:val="ListNumber"/>
      </w:pPr>
      <w:r/>
      <w:r>
        <w:rPr>
          <w:b/>
        </w:rPr>
        <w:t>Étoposide — perfusion trop rapide (&lt; 30 min)</w:t>
      </w:r>
      <w:r>
        <w:t xml:space="preserve"> — hypotension brutale.</w:t>
      </w:r>
    </w:p>
    <w:p>
      <w:pPr>
        <w:pStyle w:val="ListNumber"/>
      </w:pPr>
      <w:r/>
      <w:r>
        <w:rPr>
          <w:b/>
        </w:rPr>
        <w:t>Étoposide — dilution en G5 %</w:t>
      </w:r>
      <w:r>
        <w:t xml:space="preserve"> — précipitation immédiate — dilution obligatoire en NaCl 0,9 %.</w:t>
      </w:r>
    </w:p>
    <w:p>
      <w:pPr>
        <w:pStyle w:val="ListNumber"/>
      </w:pPr>
      <w:r/>
      <w:r>
        <w:rPr>
          <w:b/>
        </w:rPr>
        <w:t>Étoposide — oubli de l'adaptation hépatique</w:t>
      </w:r>
      <w:r>
        <w:t xml:space="preserve"> — bilirubine 1,5-3 × LSN : réduction à 50 % ; bilirubine 3-5 × LSN : réduction à 25 % ; bilirubine &gt; 5 × LSN : contre-indication.</w:t>
      </w:r>
    </w:p>
    <w:p>
      <w:pPr>
        <w:pStyle w:val="ListNumber"/>
      </w:pPr>
      <w:r/>
      <w:r>
        <w:rPr>
          <w:b/>
        </w:rPr>
        <w:t>Étoposide — prescription de forme orale capsule 50 mg</w:t>
      </w:r>
      <w:r>
        <w:t xml:space="preserve"> — INDISPONIBLE en Algérie — orientation vers alternative (vinorelbine orale ou capecitabine selon avis oncologique).</w:t>
      </w:r>
    </w:p>
    <w:p>
      <w:pPr>
        <w:pStyle w:val="ListNumber"/>
      </w:pPr>
      <w:r/>
      <w:r>
        <w:rPr>
          <w:b/>
        </w:rPr>
        <w:t>Étoposide — oubli de la surveillance prolongée NFS annuelle 5-10 ans</w:t>
      </w:r>
      <w:r>
        <w:t xml:space="preserve"> — risque de leucémie secondaire 11q23/MLL (2-5 ans post-traitement).</w:t>
      </w:r>
    </w:p>
    <w:p>
      <w:pPr>
        <w:pStyle w:val="ListNumber"/>
      </w:pPr>
      <w:r>
        <w:t>**Irinotécan — oubli du test pharmacogénétique UGT1A1\*28 avant 1re cure** — risque de toxicité sévère (neutropénie fébrile, diarrhée tardive grade 3-4) chez les homozygotes *28/*28 (8-10 % de la population).</w:t>
      </w:r>
    </w:p>
    <w:p>
      <w:pPr>
        <w:pStyle w:val="ListNumber"/>
      </w:pPr>
      <w:r/>
      <w:r>
        <w:rPr>
          <w:b/>
        </w:rPr>
        <w:t>Irinotécan — oubli du lopéramide à domicile</w:t>
      </w:r>
      <w:r>
        <w:t xml:space="preserve"> — diarrhée tardive (J+3 à J+10) — débuter d'EMBLÉE dès la 1re selle liquide.</w:t>
      </w:r>
    </w:p>
    <w:p>
      <w:pPr>
        <w:pStyle w:val="ListNumber"/>
      </w:pPr>
      <w:r/>
      <w:r>
        <w:rPr>
          <w:b/>
        </w:rPr>
        <w:t>Irinotécan — confusion diarrhée précoce (syndr cholinergique ≤ 24 h — atropine) et diarrhée tardive (J+3 à J+10 — lopéramide)</w:t>
      </w:r>
      <w:r>
        <w:t xml:space="preserve"> — à distinguer absolument.</w:t>
      </w:r>
    </w:p>
    <w:p>
      <w:pPr>
        <w:pStyle w:val="ListNumber"/>
      </w:pPr>
      <w:r/>
      <w:r>
        <w:rPr>
          <w:b/>
        </w:rPr>
        <w:t>Irinotécan — syndrome cholinergique non reconnu pendant la perfusion</w:t>
      </w:r>
      <w:r>
        <w:t xml:space="preserve"> — atropine IV 0,25-1 mg sous-cutané ou IV immédiatement.</w:t>
      </w:r>
    </w:p>
    <w:p>
      <w:pPr>
        <w:pStyle w:val="ListNumber"/>
      </w:pPr>
      <w:r/>
      <w:r>
        <w:rPr>
          <w:b/>
        </w:rPr>
        <w:t>Irinotécan — co-prescription avec macrolide (clarithromycine, érythromycine)</w:t>
      </w:r>
      <w:r>
        <w:t xml:space="preserve"> — inhibition CYP3A4 — toxicité sévère.</w:t>
      </w:r>
    </w:p>
    <w:p>
      <w:pPr>
        <w:pStyle w:val="ListNumber"/>
      </w:pPr>
      <w:r/>
      <w:r>
        <w:rPr>
          <w:b/>
        </w:rPr>
        <w:t>Irinotécan — co-prescription avec azolé (fluconazole, voriconazole)</w:t>
      </w:r>
      <w:r>
        <w:t xml:space="preserve"> — inhibition CYP3A4 — toxicité sévère.</w:t>
      </w:r>
    </w:p>
    <w:p>
      <w:pPr>
        <w:pStyle w:val="ListNumber"/>
      </w:pPr>
      <w:r/>
      <w:r>
        <w:rPr>
          <w:b/>
        </w:rPr>
        <w:t>Irinotécan — syndrome inflammatoire chronique de l'intestin (Crohn, RCH)</w:t>
      </w:r>
      <w:r>
        <w:t xml:space="preserve"> — contre-indication ABSOLUE.</w:t>
      </w:r>
    </w:p>
    <w:p>
      <w:pPr>
        <w:pStyle w:val="ListNumber"/>
      </w:pPr>
      <w:r/>
      <w:r>
        <w:rPr>
          <w:b/>
        </w:rPr>
        <w:t>Irinotécan — occlusion intestinale ou sub-occlusion</w:t>
      </w:r>
      <w:r>
        <w:t xml:space="preserve"> — contre-indication ABSOLUE.</w:t>
      </w:r>
    </w:p>
    <w:p>
      <w:pPr>
        <w:pStyle w:val="ListNumber"/>
      </w:pPr>
      <w:r/>
      <w:r>
        <w:rPr>
          <w:b/>
        </w:rPr>
        <w:t>Tous cytotoxiques — co-prescription avec millepertuis (St-John's Wort)</w:t>
      </w:r>
      <w:r>
        <w:t xml:space="preserve"> — induction CYP3A4 + P-gp majeure — contre-indication formelle.</w:t>
      </w:r>
    </w:p>
    <w:p>
      <w:pPr>
        <w:pStyle w:val="ListNumber"/>
      </w:pPr>
      <w:r/>
      <w:r>
        <w:rPr>
          <w:b/>
        </w:rPr>
        <w:t>Tous cytotoxiques — co-prescription avec pamplemousse</w:t>
      </w:r>
      <w:r>
        <w:t xml:space="preserve"> — inhibition CYP3A4 — toxicité sévère.</w:t>
      </w:r>
    </w:p>
    <w:p>
      <w:pPr>
        <w:pStyle w:val="ListNumber"/>
      </w:pPr>
      <w:r/>
      <w:r>
        <w:rPr>
          <w:b/>
        </w:rPr>
        <w:t>Tous cytotoxiques — vaccination par vaccin vivant atténué</w:t>
      </w:r>
      <w:r>
        <w:t xml:space="preserve"> (BCG, fièvre jaune, ROR, varicelle, rotavirus) — contre-indication pendant le traitement et 3 mois après.</w:t>
      </w:r>
    </w:p>
    <w:p>
      <w:pPr>
        <w:pStyle w:val="Heading3"/>
      </w:pPr>
      <w:r>
        <w:t>4. Précautions particulières à l'environnement algérien</w:t>
      </w:r>
    </w:p>
    <w:p>
      <w:r>
        <w:t>Le marché algérien des cytotoxiques présente plusieurs particularités critiques qui doivent être connues du pharmacien hospitalier et d'officine :</w:t>
      </w:r>
    </w:p>
    <w:p>
      <w:pPr>
        <w:pStyle w:val="ListBullet"/>
      </w:pPr>
      <w:r/>
      <w:r>
        <w:rPr>
          <w:b/>
        </w:rPr>
        <w:t>Approvisionnement monocentrique critique</w:t>
      </w:r>
      <w:r>
        <w:t xml:space="preserve"> : plusieurs DCIs ne sont disponibles que sous une seule marque active — Javlor® (vinflunine, Pierre Fabre) ; Halaven® (eribuline, Eisai) ; Etoposide Mylan (étoposide, Mylan SAS) ; Vinblastine Velbastine (Korea United) ; Vincristine Naprod (Naprod Life Sciences). Toute rupture d'approvisionnement d'une de ces marques compromet immédiatement la prise en charge oncologique — anticipation hospitalière indispensable (stock minimum 2 mois recommandé, communication avec le laboratoire ou le distributeur).</w:t>
      </w:r>
    </w:p>
    <w:p>
      <w:pPr>
        <w:pStyle w:val="ListBullet"/>
      </w:pPr>
      <w:r/>
      <w:r>
        <w:rPr>
          <w:b/>
        </w:rPr>
        <w:t>Forme orale étoposide capsule 50 mg INDISPONIBLE</w:t>
      </w:r>
      <w:r>
        <w:t xml:space="preserve"> — historiquement Vepéside-Sandoz et Etosid Cipla — toutes retirées du marché algérien. Cette absence complique la prise en charge ambulatoire (cancer du poumon à petites celluelles extensif en traitement d'entretien) et pédiatrique (sarcomes, neuroblastome). Alternatives : switch vers vinorelbine orale (Navelbine 30 mg capsule — Pierre Fabre) ou capecitabine selon l'avis oncologique.</w:t>
      </w:r>
    </w:p>
    <w:p>
      <w:pPr>
        <w:pStyle w:val="ListBullet"/>
      </w:pPr>
      <w:r/>
      <w:r>
        <w:rPr>
          <w:b/>
        </w:rPr>
        <w:t>Vindesine RETIRÉE du marché algérien</w:t>
      </w:r>
      <w:r>
        <w:t xml:space="preserve"> — Eldisine® Eli Lilly retirée. Orientation vers alternative (vincristine ou vinorelbine selon avis oncologique).</w:t>
      </w:r>
    </w:p>
    <w:p>
      <w:pPr>
        <w:pStyle w:val="ListBullet"/>
      </w:pPr>
      <w:r/>
      <w:r>
        <w:rPr>
          <w:b/>
        </w:rPr>
        <w:t>Diversité remarquable pour l'irinotécan</w:t>
      </w:r>
      <w:r>
        <w:t xml:space="preserve"> — 5 marques actives (Ertican Cipla, Iricol Accord Healthcare, Irinotecan Mylan, Pipetecan Richmond, Tekamen Mustafa Nevzat) — reflet du succès clinique de l'irinotécan dans les protocoles FOLFIRI et FOLFIRINOX et de la multiplicité des génériqueurs internationaux présents en Algérie (Indien, Turc, Espagnol, Français, Argentin). Les formes sont bioéquivalentes — substitution possible entre marques selon disponibilité.</w:t>
      </w:r>
    </w:p>
    <w:p>
      <w:pPr>
        <w:pStyle w:val="ListBullet"/>
      </w:pPr>
      <w:r/>
      <w:r>
        <w:rPr>
          <w:b/>
        </w:rPr>
        <w:t>Diversité remarquable pour le docetaxel</w:t>
      </w:r>
      <w:r>
        <w:t xml:space="preserve"> — 11 marques actives (Taxotère princeps Aventis + 10 génériques : Saidal, IMGSA, Orion Lab, Sun Pharma, Dr. Reddy's, Mustafa Nevzat, Cipla partiellement retiré). Le choix se fait selon disponibilité et politique d'achat hospitalier.</w:t>
      </w:r>
    </w:p>
    <w:p>
      <w:pPr>
        <w:pStyle w:val="ListBullet"/>
      </w:pPr>
      <w:r/>
      <w:r>
        <w:rPr>
          <w:b/>
        </w:rPr>
        <w:t>Approvisionnement hospitalier exclusif</w:t>
      </w:r>
      <w:r>
        <w:t xml:space="preserve"> — tous les cytotoxiques du chapitre 103 sont à prescription hospitalière stricte (services d'oncologie médicale ou d'hématologie clinique) — pas de délivrance en pharmacie d'officine. Cependant, le pharmacien d'officine doit connaître ces médicaments pour : (i) advice aux patients ambulatoires (suivi toxicité, conseils hygiène-diététiques, gestion des Effets indésirables à domicile — diarrhée irinotécan, constipation vincristine, mucite étoposide, alopécie taxanes) ; (ii) vigilance sur les interactions médicamenteuses (millepertuis, pamplemousse, macrolides, azolés, anti-VEGF) ; (iii) délivrance des médicaments d'accompagnement (loperamide, atropine, G-CSF, antiémétiques, laxatifs).</w:t>
      </w:r>
    </w:p>
    <w:p>
      <w:pPr>
        <w:pStyle w:val="ListBullet"/>
      </w:pPr>
      <w:r/>
      <w:r>
        <w:rPr>
          <w:b/>
        </w:rPr>
        <w:t>Circuit court spécialisé</w:t>
      </w:r>
      <w:r>
        <w:t xml:space="preserve"> : la dispensation des cytotoxiques s'effectue exclusivement en pharmacie à usage intérieur (PUI) hospitalière — en zone à atmosphère contrôlée (ZAC) ou sous hotte à flux laminaire vertical, par personnel formé à la manipulation des cytotoxiques (gants nitrile double, charlotte, masque FFP2, blouse chimio). Le transport vers les services de soins s'effectue en conteneurs isothermes étanches.</w:t>
      </w:r>
    </w:p>
    <w:p>
      <w:pPr>
        <w:pStyle w:val="Heading3"/>
      </w:pPr>
      <w:r>
        <w:t>5. Conclusion du chapitre 103</w:t>
      </w:r>
    </w:p>
    <w:p>
      <w:r>
        <w:t>Le chapitre 103 a couvert les 11 DCIs des inhibiteurs du fuseau mitotique (taxanes, alcaloïdes de la pervenche, halichondrine) et des inhibiteurs de la topoisomérase (II et I) — soit deux grandes familles pharmacologiques complémentaires qui ciblent respectivement l'appareil mitotique et la machinerie de réplication de l'ADN. Ces classes, découvertes entre 1960 (vinca-alcaloïdes) et 2010 (cabazitaxel), restent à ce jour des piliers incontournables de la chimiothérapie anticancéreuse cytotoxique — intégrées dans les protocoles historiques (BEP, MVAC, BEACOPP, FOLFIRI, FOLFIRINOX, AC-T, TAC, etc.) et largement présentes dans la nomenclature algérienne (35 marques actives au total pour les 11 DCIs — incluant des génériques locaux Saidal, IMGSA, Orion Lab, El Kendi, Biopharm).</w:t>
      </w:r>
    </w:p>
    <w:p>
      <w:r>
        <w:t xml:space="preserve">Les </w:t>
      </w:r>
      <w:r>
        <w:rPr>
          <w:b/>
        </w:rPr>
        <w:t>caractéristiques pharmacologiques critiques</w:t>
      </w:r>
      <w:r>
        <w:t xml:space="preserve"> qui doivent être maîtrisées par le pharmacien algérien sont : (i) pour les taxanes — la prémédication anti-allergique systématique (anti-H1 + anti-H2 + dexaméthasone) et la prémédication corticoïde dexaméthasone J-3 à J-1 pour le docetaxel et cabazitaxel (prévention de la rétention hydrosodée cumulative) ; (ii) pour les Vinca-alcaloïdes — le conditionnement exclusif en minibag IV (jamais en seringue) pour prévenir l'erreur intrathécale FATALE, le cap de dose à 2 mg pour la vincristine (prévention de la neurotoxicité excessive), et la neurotoxicité dose-limitante de la vincristine ; (iii) pour l'étoposide — la perfusion IV stricte sur 30-60 min (prévention de l'hypotension à la perfusion rapide), la dilution en NaCl 0,9 % (jamais en G5 % — précipitation), le risque carcinogène (groupe 1 CIRC — LAM secondaire 11q23/MLL — surveillance NFS annuelle 5-10 ans), et l'indisponibilité de la forme orale capsule en Algérie ; (iv) pour l'irinotécan — le test pharmacogénétique UGT1A1</w:t>
      </w:r>
      <w:r>
        <w:rPr>
          <w:i/>
        </w:rPr>
        <w:t xml:space="preserve">28 systématique avant 1re cure (réduction de dose à 75 % chez les homozygotes </w:t>
      </w:r>
      <w:r>
        <w:t>28/*28 — syndrome de Gilbert — 8-10 % de la population caucasienne), le syndrome cholinergique précoce (≤ 24 h — atropine IV), la diarrhée tardive (J+3 à J+10 — lopéramide d'emblée), et les interactions majeures (macrolides, azolés, millepertuis, pamplemousse).</w:t>
      </w:r>
    </w:p>
    <w:p>
      <w:r>
        <w:t>Le pharmacien d'officine algérien, sans délivrer directement ces cytotoxiques (réservés au circuit hospitalier), joue un rôle essentiel dans : (i) le conseil aux patients ambulatoires (hygiène-diététique, gestion EI à domicile — diarrhée irinotécan, constipation vincristine, mucite étoposide, alopécie taxanes, neuropathie périphérique) ; (ii) la vigilance sur les interactions médicamenteuses (millepertuis contre-indication formelle, pamplemousse, macrolides, azolés, anti-VEGF, AVK) ; (iii) la délivrance des médicaments d'accompagnement (loperamide, atropine à disposition, G-CSF, antiémétiques sétron + dexaméthasone, laxatifs macrogol + bisacodyl) ; (iv) l'éducation thérapeutique du patient (observance, surveillance température, signes d'alerte — fièvre ≥ 38,5 °C = urgence, diarrhée &gt; 6/j = urgence, vertiges = urgence) ; (v) le suivi prolongé post-traitement (NFS annuelle 5-10 ans pour étoposide — recherche de leucémie secondaire 11q23/MLL).</w:t>
      </w:r>
    </w:p>
    <w:p>
      <w:r>
        <w:t xml:space="preserve">Les </w:t>
      </w:r>
      <w:r>
        <w:rPr>
          <w:b/>
        </w:rPr>
        <w:t>perspectives thérapeutiques</w:t>
      </w:r>
      <w:r>
        <w:t xml:space="preserve"> de ces classes restent actives : (i) développement de nouveaux formulations (nab-paclitaxel — Abraxane® — paclitaxel lié à l'albumine nanocrystalline — sans Crémophor EL — pas de prémédication — déjà commercialisé en Europe mais non disponible en Algérie) ; (ii) développement d'agents dual topo I/topo II (non commercialisés) ; (iii) combinaisons avec les immunothérapies modernes (anti-PD-1/PD-L1, anti-CTLA-4) — synergie cytotoxicité + immunité anti-tumorale (essais cliniques en cours) ; (iv) recherche sur l'irinotécan liposomal (Onivyde® — déjà commercialisé aux États-Unis pour cancer pancréatique 2e ligne — non disponible en Algérie) ; (v) pharmacogénétique étendue (UGT1A1</w:t>
      </w:r>
      <w:r>
        <w:rPr>
          <w:i/>
        </w:rPr>
        <w:t xml:space="preserve">28, </w:t>
      </w:r>
      <w:r>
        <w:t>6, *27 — DPYD pour 5-FU associé, TPMT pour thiopurines — vers une personnalisation thérapeutique systématique).</w:t>
      </w:r>
    </w:p>
    <w:p>
      <w:pPr>
        <w:pStyle w:val="Heading2"/>
      </w:pPr>
      <w:r>
        <w:t>Sources Bibliographiques Principales</w:t>
      </w:r>
    </w:p>
    <w:p>
      <w:pPr>
        <w:pStyle w:val="ListNumber"/>
      </w:pPr>
      <w:r/>
      <w:r>
        <w:rPr>
          <w:b/>
        </w:rPr>
        <w:t>VIDAL 2026</w:t>
      </w:r>
      <w:r>
        <w:t xml:space="preserve"> — Dictionnaire des spécialités pharmaceutiques. Éditions VIDAL, Paris.</w:t>
      </w:r>
    </w:p>
    <w:p>
      <w:pPr>
        <w:pStyle w:val="ListNumber"/>
      </w:pPr>
      <w:r/>
      <w:r>
        <w:rPr>
          <w:b/>
        </w:rPr>
        <w:t>ANSM (Agence Nationale de Sécurité du Médicament et des Produits de Santé)</w:t>
      </w:r>
      <w:r>
        <w:t xml:space="preserve"> — Résumés des Caractéristiques du Produit (RCP) officiels des spécialités commercialisées en France (paclitaxel, docetaxel, cabazitaxel, vincristine, vinblastine, vinorelbine, vindesine, vinflunine, eribuline, étoposide, irinotécan). Mis à jour 2026.</w:t>
      </w:r>
    </w:p>
    <w:p>
      <w:pPr>
        <w:pStyle w:val="ListNumber"/>
      </w:pPr>
      <w:r/>
      <w:r>
        <w:rPr>
          <w:b/>
        </w:rPr>
        <w:t>Thériaque</w:t>
      </w:r>
      <w:r>
        <w:t xml:space="preserve"> — Banque de données française sur les médicaments — Centre national hospitalier d'information sur le médicament (CHU de Rouen).</w:t>
      </w:r>
    </w:p>
    <w:p>
      <w:pPr>
        <w:pStyle w:val="ListNumber"/>
      </w:pPr>
      <w:r/>
      <w:r>
        <w:rPr>
          <w:b/>
        </w:rPr>
        <w:t>CRAT (Centre de Renseignement sur les Agents Tératogènes)</w:t>
      </w:r>
      <w:r>
        <w:t xml:space="preserve"> — Hôpital Armand-Trousseau, Paris. Base de données sur la tératogénicité des médicaments. Consultations 2026.</w:t>
      </w:r>
    </w:p>
    <w:p>
      <w:pPr>
        <w:pStyle w:val="ListNumber"/>
      </w:pPr>
      <w:r/>
      <w:r>
        <w:rPr>
          <w:b/>
        </w:rPr>
        <w:t>NCCN (National Comprehensive Cancer Network) Clinical Practice Guidelines in Oncology</w:t>
      </w:r>
      <w:r>
        <w:t xml:space="preserve"> — Versions 2024-2026 (cancer du sein, cancer de la prostate, cancer colorectal, cancer du pancréas, cancer du poumon, maladie de Hodgkin, lymphomes non hodgkiniens, sarcomes).</w:t>
      </w:r>
    </w:p>
    <w:p>
      <w:pPr>
        <w:pStyle w:val="ListNumber"/>
      </w:pPr>
      <w:r/>
      <w:r>
        <w:rPr>
          <w:b/>
        </w:rPr>
        <w:t>ESMO (European Society for Medical Oncology) Clinical Practice Guidelines</w:t>
      </w:r>
      <w:r>
        <w:t xml:space="preserve"> — Versions 2023-2025 (cancer du sein, cancer de la prostate, cancer colorectal, cancer du pancréas, cancer du poumon, maladie de Hodgkin, lymphomes).</w:t>
      </w:r>
    </w:p>
    <w:p>
      <w:pPr>
        <w:pStyle w:val="ListNumber"/>
      </w:pPr>
      <w:r/>
      <w:r>
        <w:rPr>
          <w:b/>
        </w:rPr>
        <w:t>UpToDate</w:t>
      </w:r>
      <w:r>
        <w:t xml:space="preserve"> — « Antineoplastic agents: taxanes and related compounds », « Vinca alkaloids », « Topoisomerase inhibitors », « Pharmacogenetics of irinotecan ». Wolters Kluwer, 2026.</w:t>
      </w:r>
    </w:p>
    <w:p>
      <w:pPr>
        <w:pStyle w:val="ListNumber"/>
      </w:pPr>
      <w:r/>
      <w:r>
        <w:rPr>
          <w:b/>
        </w:rPr>
        <w:t>Goodman &amp; Gilman's The Pharmacological Basis of Therapeutics</w:t>
      </w:r>
      <w:r>
        <w:t xml:space="preserve"> — 14e édition (2023), Brunton LL, Hilal-Dandan R, Knollmann BC. McGraw-Hill. Chapitres sur les anticancéreux (taxanes, vinca-alcaloïdes, inhibiteurs topoisomérases).</w:t>
      </w:r>
    </w:p>
    <w:p>
      <w:pPr>
        <w:pStyle w:val="ListNumber"/>
      </w:pPr>
      <w:r/>
      <w:r>
        <w:rPr>
          <w:b/>
        </w:rPr>
        <w:t>Katzung Basic &amp; Clinical Pharmacology</w:t>
      </w:r>
      <w:r>
        <w:t xml:space="preserve"> — 16e édition (2024), Vanderah TW. McGraw-Hill. Chapitre 54 : Cancer chemotherapy.</w:t>
      </w:r>
    </w:p>
    <w:p>
      <w:pPr>
        <w:pStyle w:val="ListNumber"/>
      </w:pPr>
      <w:r/>
      <w:r>
        <w:rPr>
          <w:b/>
        </w:rPr>
        <w:t>HAS (Haute Autorité de Santé)</w:t>
      </w:r>
      <w:r>
        <w:t xml:space="preserve"> — Évaluations des médicaments anticancéreux.</w:t>
      </w:r>
    </w:p>
    <w:p>
      <w:pPr>
        <w:pStyle w:val="ListNumber"/>
      </w:pPr>
      <w:r/>
      <w:r>
        <w:rPr>
          <w:b/>
        </w:rPr>
        <w:t>Nomenclature algérienne des médicaments (Avril 2026)</w:t>
      </w:r>
      <w:r>
        <w:t xml:space="preserve"> — Ministère de la Santé algérien. Liste des spécialités pharmaceutiques commercialisées en Algérie.</w:t>
      </w:r>
    </w:p>
    <w:p>
      <w:pPr>
        <w:pStyle w:val="ListNumber"/>
      </w:pPr>
      <w:r/>
      <w:r>
        <w:rPr>
          <w:b/>
        </w:rPr>
        <w:t>Publications scientifiques de référence</w:t>
      </w:r>
      <w:r>
        <w:t xml:space="preserve"> :</w:t>
      </w:r>
    </w:p>
    <w:p>
      <w:pPr>
        <w:pStyle w:val="ListBullet"/>
      </w:pPr>
      <w:r>
        <w:t>Horwitz SB (1994) — « How to make a discovery : the story of taxol ». *Nature Medicine* 20: 515-517.</w:t>
      </w:r>
    </w:p>
    <w:p>
      <w:pPr>
        <w:pStyle w:val="ListBullet"/>
      </w:pPr>
      <w:r>
        <w:t>Cortes J et al. (2011) — « Eribulin monotherapy versus treatment of physician's choice in patients with metastatic breast cancer (EMBRACE) ». *Lancet* 377: 914-923.</w:t>
      </w:r>
    </w:p>
    <w:p>
      <w:pPr>
        <w:pStyle w:val="ListBullet"/>
      </w:pPr>
      <w:r>
        <w:t>de Bono JS et al. (2010) — « Prednisone plus cabazitaxel or mitoxantrone for metastatic prostate cancer progressing after docetaxel treatment (TROPIC) ». *Lancet* 376: 1147-1154.</w:t>
      </w:r>
    </w:p>
    <w:p>
      <w:pPr>
        <w:pStyle w:val="ListBullet"/>
      </w:pPr>
      <w:r>
        <w:t>Saltz LB et al. (2000) — « Irinotecan plus fluorouracil and leucovorin for metastatic colorectal cancer ». *NEJM* 343: 905-914.</w:t>
      </w:r>
    </w:p>
    <w:p>
      <w:pPr>
        <w:pStyle w:val="ListBullet"/>
      </w:pPr>
      <w:r>
        <w:t>Conroy T et al. (2011) — « FOLFIRINOX versus gemcitabine for metastatic pancreatic cancer ». *NEJM* 364: 1817-1825.</w:t>
      </w:r>
    </w:p>
    <w:p>
      <w:pPr>
        <w:pStyle w:val="ListBullet"/>
      </w:pPr>
      <w:r>
        <w:t>Bellmunt J et al. (2009) — « Randomized phase III study comparing paclitaxel/poliglumex vs paclitaxel in patients with advanced urothelial cancer treated with vinflunine ». *J Clin Oncol* 27: 3982-3987.</w:t>
      </w:r>
    </w:p>
    <w:p>
      <w:pPr>
        <w:pStyle w:val="ListBullet"/>
      </w:pPr>
      <w:r>
        <w:t>Innocenti F, Ratain MJ (2006) — « Pharmacogenetics of irinotecan ». *Clin Adv Hematol Oncol* 4: 421-426 (UGT1A1*28 — syndrome de Gilbert).</w:t>
      </w:r>
    </w:p>
    <w:p>
      <w:pPr>
        <w:pStyle w:val="ListBullet"/>
      </w:pPr>
      <w:r>
        <w:t>Schöffski P et al. (2016) — « Eribulin versus dacarbazine in patients with advanced liposarcoma or leiomyosarcoma (ESSAY 309) ». *J Clin Oncol* 34: 566-573.</w:t>
      </w:r>
    </w:p>
    <w:p>
      <w:pPr>
        <w:pStyle w:val="ListBullet"/>
      </w:pPr>
      <w:r>
        <w:t>Kaufman PA et al. (2015) — « Phase III open-label randomized study of eribulin mesylate versus capecitabine in patients with locally advanced or metastatic breast cancer previously treated with anthracyclines and taxanes ». *J Clin Oncol* 33: 594-601.</w:t>
      </w:r>
    </w:p>
    <w:p>
      <w:r/>
      <w:r>
        <w:rPr>
          <w:i/>
        </w:rPr>
        <w:t>Fin du Chapitre 103 — Inhibiteurs du fuseau mitotique (Taxanes, Alcaloïdes de la pervenche, Halichondrine) et Inhibiteurs de la topoisomérase (II et I).</w:t>
      </w:r>
      <w:r/>
    </w:p>
    <w:p>
      <w:pPr>
        <w:pStyle w:val="Heading1"/>
      </w:pPr>
      <w:r>
        <w:t>Chapitre 104 — Thérapies ciblées : Inhibiteurs de tyrosine kinase (ITK)</w:t>
      </w:r>
    </w:p>
    <w:p>
      <w:pPr>
        <w:pStyle w:val="Heading2"/>
      </w:pPr>
      <w:r>
        <w:t>Introduction générale de la classe</w:t>
      </w:r>
    </w:p>
    <w:p>
      <w:r>
        <w:t>Les inhibiteurs de tyrosine kinase (ITK) constituent l'une des révolutions thérapeutiques majeures de l'oncologie du XXIe siècle, marquant le passage d'une cytotoxicité non sélective (chimiothérapie classique) à une thérapie moléculaire ciblée sur les altérations oncogéniques spécifiques des cellules tumorales. Les tyrosines kinases sont une superfamille de plus de 90 enzymes intracellulaires qui catalysent le transfert d'un groupement phosphate de l'ATP sur un résidu tyrosine de leurs substrats protéiques ; elles régissent la transmission des signaux de prolifération, de survie, de différenciation et de migration cellulaire. Dans les cellules tumorales, certaines tyrosines kinases sont activées de manière constitutive par mutations activatrices (BCR-ABL, BRAF V600E, EGFR L858R, ALK transloqué), par amplification génique (HER2) ou par autocrination par un ligand du microenvironnement (VEGFR, PDGFR). Cette activation anormale fait de ces enzymes des cibles pharmacologiques idéales : leur blocage sélectif restaure l'apoptose, inhibe l'angiogenèse tumorale, supprime les voies de signalisation oncogéniques tout en épargnant les cellules saines.</w:t>
      </w:r>
    </w:p>
    <w:p>
      <w:r>
        <w:t>Les ITK sont, sur le plan chimique, de petites molécules hétérocycliques (dérivés pyrimidine, pyridine, quinazoline, indole, imidazole) administrées par voie orale ; elles pénètrent dans le compartiment intracellulaire et entrent en compétition avec l'ATP au niveau du site catalytique (site de liaison de l'ATP) de la kinase, bloquant ainsi la phosphorylation des substrats. Leur classification, adoptée dans ce chapitre, repose sur la cible moléculaire principale : (i) ITK BCR-ABL/PDGFR/KIT (imatinib, qui a révolutionné la prise en charge de la leucémie myéloïde chronique et des GIST) ; (ii) ITK BCR-ABL de 2e, 3e et 4e génération (dasatinib, nilotinib, bosutinib, ponatinib — pour les LCM résistantes ou porteuses de mutations T315I) ; (iii) ITK EGFR de 1re et 2e génération (erlotinib, gefitinib, afatinib) ; (iv) ITK EGFR de 3e génération (osimertinib — actif sur les mutations T790M et la maladie résiduelle moléculaire) ; (v) ITK HER2/EGFR (lapatinib, particulièrement indiqué dans le cancer du sein HER2-positif) ; (vi) ITK multi-cibles (sorafenib, sunitinib, regorafenib, cabozantinib, lenvatinib — inhibiteurs pan-VEGFR/PDGFR/KIT/RET/RAF agissant principalement par blocage de l'angiogenèse tumorale) ; (vii) ITK anti-angiogéniques préférentiels (pazopanib, axitinib — VEGFR-prédominants) ; (viii) ITK BRAF (vemurafenib — pour mélanomes porteurs de la mutation V600E) ; (ix) ITK ALK (crizotinib — pour cancers pulmonaires non à petites cellules ALK-positifs).</w:t>
      </w:r>
    </w:p>
    <w:p>
      <w:r>
        <w:t>Le profil de tolérance des ITK diffère radicalement de celui des cytotoxiques classiques : les effets indésirables prédominants sont cutanés (rash acnéiforme pour les ITK EGFR, syndrome main-pied pour le sorafenib, sunitinib, regorafenib et cabozantinib, kératoacanthomes et carcinomes spinocellulaires pour le vemurafenib), cardiovasculaires (hypertension artérielle pour les anti-angiogéniques, allongement du QT pour le nilotinib, dysfonction ventriculaire gauche pour le dasatinib et le trastuzumab, thromboses artérielles pour le ponatinib), digestifs (diarrhée pour l'erlotinib, l'afatinib, le lapatinib, le regorafenib), hépatiques (cytolyse pour le pazopanib, l'imatinib, le nilotinib), pulmonaires (pneumopathie interstitielle pour les ITK EGFR, l'imatinib), endocriniens (hypothyroïdie pour le sunitinib, le sorafenib) et métaboliques. Les interactions médicamenteuses sont omniprésentes, médiées par le CYP3A4 (imatinib, dasatinib, sorafenib, sunitinib, erlotinib), le CYP2C8 (paclitaxel), et la P-glycoprotéine (P-gp, ABCB1), imposant une vigilance particulière avec les inducteurs (rifampicine, phénytoïne, carbamazépine, millepertuis) qui abaissent les concentrations et les inhibiteurs (kétoconazole, itraconazole, clarithromycine, ritonavir, jus de pamplemousse) qui les augmentent. L'index thérapeutique étroit de plusieurs ITK (imatinib, dasatinib, ponatinib) justifie le recours croissant au suivi thérapeutique pharmacologique (STP). Enfin, la plupart des ITK sont tératogènes chez l'animal (anomalies squelettiques, cardiovasculaires, rénales) et formellement contre-indiqués au cours de la grossesse ; une contraception efficace est imposée chez la femme en âge de procréer et chez le partenaire masculin traité, et le projet de grossesse doit être anticipé avec arrêt préalable (wash-out variable selon la molécule, de 2 semaines à 6 mois). Ce chapitre, fondé sur la nomenclature algérienne des médicaments (Avril 2026), décrit les 19 DCIs d'ITK actuellement disponibles — sous leurs formulations commercialisées nationales — en détaillant pour chacune le mécanisme moléculaire, le profil pharmacocinétique, les indications validées par l'AMM, les contre-indications, les effets indésirables et leur gestion, les interactions médicamenteuses, les recommandations grossesse-allaitement selon le CRAT, la posologie, la surveillance biologique, les conseils aux patients et les pièges au comptoir.</w:t>
      </w:r>
    </w:p>
    <w:p>
      <w:pPr>
        <w:pStyle w:val="Heading2"/>
      </w:pPr>
      <w:r>
        <w:t>104.1 Sous-classe : ITK BCR-ABL/PDGFR/KIT</w:t>
      </w:r>
    </w:p>
    <w:p>
      <w:r>
        <w:t>Cette sous-classe correspond à la première génération historique des ITK, dominée par l'imatinib (Glivec®, commercialisé en Algérie sous CEMILIC, IMALEK, IMATIB, IMODES), molécule inaugurale qui a transformé la leucémie myéloïde chronique (LCM) d'une maladie constamment fatale en affection chronique contrôlable au long cours. L'imatinib inhibe de façon compétitive le site de liaison de l'ATP sur trois kinases pathologiques : BCR-ABL, fusion oncogénique issue de la translocation t(9;22) (q34;q11) générant le chromosome Philadelphia (Ph+) caractéristique de la LCM et de certaines leucémies aiguës lymphoblastiques (LAL Ph+) ; KIT (CD117), récepteur transmembranaire fréquemment muté (exon 11) dans les tumeurs stromales gastro-intestinales (GIST) ; et PDGFR (alpha et bêta), impliqué dans certaines leucémies hypereosinophiliques avec rearrangement FIP1L1-PDGFRA, dans la dermatofibrosarcome protuberans, et dans certaines tumeurs myéloïdes avec translocations PDGFRB. Le blocage de BCR-ABL abolit la phosphorylation constitutive des substrats STAT5, CRKL, MYC et RAS, restaurant l'adhésion médullaire des progéniteurs hématopoïétiques (correction de l'adhésion médullaire), inhibant la prolifération indépendante des facteurs de croissance, et restaurant l'apoptose. La réponse moléculaire majeure (RMm, BCR-ABL ≤ 0,1 % sur l'échelle internationale) est obtenue chez 80 à 90 % des patients en phase chronique, transformant l'espérance de vie à 5 ans de 30 % (ère de l'interféron) à plus de 95 %. L'imatinib a également révolutionné la prise en charge des GIST métastatiques (réponse objective dans 50 à 70 % des cas, allongement spectaculaire de la survie sans progression), où il a remplacé la chimiothérapie cytotoxique classique inefficace. Le développement des résistances (mutations ponctuelles du domaine kinase de BCR-ABL — T315I, E255K/V, Y253H, M351T) a conduit à la mise au point des ITK de 2e et 3e générations (décrits en 104.2). L'imatinib conserve une place centrale dans la stratégie thérapeutique mondiale des hémopathies myéloprolifératives Ph+ et des GIST, et demeure inscrit sur la liste des médicaments essentiels de l'OMS.</w:t>
      </w:r>
    </w:p>
    <w:p>
      <w:pPr>
        <w:pStyle w:val="Heading3"/>
      </w:pPr>
      <w:r>
        <w:t>104.1.1 DCI : Imatinib (mesylate exprimé en imatinib)</w:t>
      </w:r>
    </w:p>
    <w:p>
      <w:r/>
      <w:r>
        <w:rPr>
          <w:b/>
        </w:rPr>
        <w:t>Liste des Catégories :</w:t>
      </w:r>
      <w:r>
        <w:t xml:space="preserve"> Antinéoplasiques ; Inhibiteur de tyrosine kinase ; ITK BCR-ABL/PDGFR/KIT ; Inhibiteur sélectif de BCR-ABL1, KIT, PDGFRA/B ; Liste I (sur prescription hospitalière spécialisée en oncologie ou hématologie).</w:t>
      </w:r>
    </w:p>
    <w:p>
      <w:r>
        <w:t>L'imatinib mesylate est un dérivé de la 2-phénylaminopyrimidine, premier ITK ayant obtenu une AMM (FDA en mai 2001, EMA en novembre 2001), chef de file de la thérapie ciblée anticancéreuse moderne. Son développement, issu du criblage à visée anti-PDGFR chez Ciba-Geigy (devenu Novartis), a permis la validation clinique du concept d'oncologie moléculaire ciblée. Il est indiqué dans la LCM Philadelphia-positive en phase chronique, accélérée ou blastique, en première ligne ou après échec de l'interféron alpha ; dans les LAL Ph+ en association à la chimiothérapie (induction de rémission) ; dans les GIST non résécables et/ou métastatiques (KIT-positives) ainsi qu'en traitement adjuvant des GIST à haut risque de récidive après chirurgie complète ; dans les syndromes myélodysplasiques/myéloprolifératifs associés à un réarrangement PDGFR (généralement FIP1L1-PDGFRA) ; dans la dermatofibrosarcome protuberans non résécable, métastatique ou récidivant ; dans les tumeurs agressives desmoïdes (en cas d'échec des traitements conventionnels) ; et dans certaines formes d'hypereosinophilie idiopathique avec fusion FIP1L1-PDGFRA. La molécule est inscrite sur la liste des médicaments essentiels OMS.</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CEMILIC</w:t>
            </w:r>
          </w:p>
        </w:tc>
        <w:tc>
          <w:tcPr>
            <w:tcW w:type="dxa" w:w="1559"/>
          </w:tcPr>
          <w:p>
            <w:r>
              <w:rPr>
                <w:sz w:val="20"/>
              </w:rPr>
              <w:t>HIKMA PHARMA ALGERIA</w:t>
            </w:r>
          </w:p>
        </w:tc>
        <w:tc>
          <w:tcPr>
            <w:tcW w:type="dxa" w:w="1559"/>
          </w:tcPr>
          <w:p>
            <w:r>
              <w:rPr>
                <w:sz w:val="20"/>
              </w:rPr>
              <w:t>Comprimé pelliculé 100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CEMILIC</w:t>
            </w:r>
          </w:p>
        </w:tc>
        <w:tc>
          <w:tcPr>
            <w:tcW w:type="dxa" w:w="1559"/>
          </w:tcPr>
          <w:p>
            <w:r>
              <w:rPr>
                <w:sz w:val="20"/>
              </w:rPr>
              <w:t>HIKMA PHARMA ALGERIA</w:t>
            </w:r>
          </w:p>
        </w:tc>
        <w:tc>
          <w:tcPr>
            <w:tcW w:type="dxa" w:w="1559"/>
          </w:tcPr>
          <w:p>
            <w:r>
              <w:rPr>
                <w:sz w:val="20"/>
              </w:rPr>
              <w:t>Comprimé pelliculé 400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IMALEK 100</w:t>
            </w:r>
          </w:p>
        </w:tc>
        <w:tc>
          <w:tcPr>
            <w:tcW w:type="dxa" w:w="1559"/>
          </w:tcPr>
          <w:p>
            <w:r>
              <w:rPr>
                <w:sz w:val="20"/>
              </w:rPr>
              <w:t>SUN PHARMACEUTICALS INDUSTRIES LTD</w:t>
            </w:r>
          </w:p>
        </w:tc>
        <w:tc>
          <w:tcPr>
            <w:tcW w:type="dxa" w:w="1559"/>
          </w:tcPr>
          <w:p>
            <w:r>
              <w:rPr>
                <w:sz w:val="20"/>
              </w:rPr>
              <w:t>Comprimé 100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IMALEK 400</w:t>
            </w:r>
          </w:p>
        </w:tc>
        <w:tc>
          <w:tcPr>
            <w:tcW w:type="dxa" w:w="1559"/>
          </w:tcPr>
          <w:p>
            <w:r>
              <w:rPr>
                <w:sz w:val="20"/>
              </w:rPr>
              <w:t>SUN PHARMACEUTICALS INDUSTRIES LTD</w:t>
            </w:r>
          </w:p>
        </w:tc>
        <w:tc>
          <w:tcPr>
            <w:tcW w:type="dxa" w:w="1559"/>
          </w:tcPr>
          <w:p>
            <w:r>
              <w:rPr>
                <w:sz w:val="20"/>
              </w:rPr>
              <w:t>Comprimé 400 mg</w:t>
            </w:r>
          </w:p>
        </w:tc>
        <w:tc>
          <w:tcPr>
            <w:tcW w:type="dxa" w:w="1559"/>
          </w:tcPr>
          <w:p>
            <w:r>
              <w:rPr>
                <w:sz w:val="20"/>
              </w:rPr>
              <w:t>B/6</w:t>
            </w:r>
          </w:p>
        </w:tc>
        <w:tc>
          <w:tcPr>
            <w:tcW w:type="dxa" w:w="1559"/>
          </w:tcPr>
          <w:p>
            <w:r>
              <w:rPr>
                <w:sz w:val="20"/>
              </w:rPr>
              <w:t>Liste I</w:t>
            </w:r>
          </w:p>
        </w:tc>
        <w:tc>
          <w:tcPr>
            <w:tcW w:type="dxa" w:w="1559"/>
          </w:tcPr>
          <w:p>
            <w:r>
              <w:rPr>
                <w:sz w:val="20"/>
              </w:rPr>
              <w:t>Actif</w:t>
            </w:r>
          </w:p>
        </w:tc>
      </w:tr>
      <w:tr>
        <w:tc>
          <w:tcPr>
            <w:tcW w:type="dxa" w:w="1559"/>
          </w:tcPr>
          <w:p>
            <w:r>
              <w:rPr>
                <w:sz w:val="20"/>
              </w:rPr>
              <w:t>IMATIB 400</w:t>
            </w:r>
          </w:p>
        </w:tc>
        <w:tc>
          <w:tcPr>
            <w:tcW w:type="dxa" w:w="1559"/>
          </w:tcPr>
          <w:p>
            <w:r>
              <w:rPr>
                <w:sz w:val="20"/>
              </w:rPr>
              <w:t>CIPLA LIMITED</w:t>
            </w:r>
          </w:p>
        </w:tc>
        <w:tc>
          <w:tcPr>
            <w:tcW w:type="dxa" w:w="1559"/>
          </w:tcPr>
          <w:p>
            <w:r>
              <w:rPr>
                <w:sz w:val="20"/>
              </w:rPr>
              <w:t>Comprimé 400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IMODES</w:t>
            </w:r>
          </w:p>
        </w:tc>
        <w:tc>
          <w:tcPr>
            <w:tcW w:type="dxa" w:w="1559"/>
          </w:tcPr>
          <w:p>
            <w:r>
              <w:rPr>
                <w:sz w:val="20"/>
              </w:rPr>
              <w:t>DEMOCEDES PHARMA ALGERIE</w:t>
            </w:r>
          </w:p>
        </w:tc>
        <w:tc>
          <w:tcPr>
            <w:tcW w:type="dxa" w:w="1559"/>
          </w:tcPr>
          <w:p>
            <w:r>
              <w:rPr>
                <w:sz w:val="20"/>
              </w:rPr>
              <w:t>Comprimé pelliculé sécable 100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IMODES</w:t>
            </w:r>
          </w:p>
        </w:tc>
        <w:tc>
          <w:tcPr>
            <w:tcW w:type="dxa" w:w="1559"/>
          </w:tcPr>
          <w:p>
            <w:r>
              <w:rPr>
                <w:sz w:val="20"/>
              </w:rPr>
              <w:t>DEMOCEDES PHARMA ALGERIE</w:t>
            </w:r>
          </w:p>
        </w:tc>
        <w:tc>
          <w:tcPr>
            <w:tcW w:type="dxa" w:w="1559"/>
          </w:tcPr>
          <w:p>
            <w:r>
              <w:rPr>
                <w:sz w:val="20"/>
              </w:rPr>
              <w:t>Comprimé pelliculé 400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GLIVEC (R)</w:t>
            </w:r>
          </w:p>
        </w:tc>
        <w:tc>
          <w:tcPr>
            <w:tcW w:type="dxa" w:w="1559"/>
          </w:tcPr>
          <w:p>
            <w:r>
              <w:rPr>
                <w:sz w:val="20"/>
              </w:rPr>
              <w:t>NOVARTIS S.A.S</w:t>
            </w:r>
          </w:p>
        </w:tc>
        <w:tc>
          <w:tcPr>
            <w:tcW w:type="dxa" w:w="1559"/>
          </w:tcPr>
          <w:p>
            <w:r>
              <w:rPr>
                <w:sz w:val="20"/>
              </w:rPr>
              <w:t>Comprimé pelliculé 100 mg</w:t>
            </w:r>
          </w:p>
        </w:tc>
        <w:tc>
          <w:tcPr>
            <w:tcW w:type="dxa" w:w="1559"/>
          </w:tcPr>
          <w:p>
            <w:r>
              <w:rPr>
                <w:sz w:val="20"/>
              </w:rPr>
              <w:t>B/60</w:t>
            </w:r>
          </w:p>
        </w:tc>
        <w:tc>
          <w:tcPr>
            <w:tcW w:type="dxa" w:w="1559"/>
          </w:tcPr>
          <w:p>
            <w:r>
              <w:rPr>
                <w:sz w:val="20"/>
              </w:rPr>
              <w:t>Liste I</w:t>
            </w:r>
          </w:p>
        </w:tc>
        <w:tc>
          <w:tcPr>
            <w:tcW w:type="dxa" w:w="1559"/>
          </w:tcPr>
          <w:p>
            <w:r>
              <w:rPr>
                <w:sz w:val="20"/>
              </w:rPr>
              <w:t>Non renouvelable</w:t>
            </w:r>
          </w:p>
        </w:tc>
      </w:tr>
      <w:tr>
        <w:tc>
          <w:tcPr>
            <w:tcW w:type="dxa" w:w="1559"/>
          </w:tcPr>
          <w:p>
            <w:r>
              <w:rPr>
                <w:sz w:val="20"/>
              </w:rPr>
              <w:t>IMATIB (R)</w:t>
            </w:r>
          </w:p>
        </w:tc>
        <w:tc>
          <w:tcPr>
            <w:tcW w:type="dxa" w:w="1559"/>
          </w:tcPr>
          <w:p>
            <w:r>
              <w:rPr>
                <w:sz w:val="20"/>
              </w:rPr>
              <w:t>CIPLA LIMITED</w:t>
            </w:r>
          </w:p>
        </w:tc>
        <w:tc>
          <w:tcPr>
            <w:tcW w:type="dxa" w:w="1559"/>
          </w:tcPr>
          <w:p>
            <w:r>
              <w:rPr>
                <w:sz w:val="20"/>
              </w:rPr>
              <w:t>Gélule 100 mg</w:t>
            </w:r>
          </w:p>
        </w:tc>
        <w:tc>
          <w:tcPr>
            <w:tcW w:type="dxa" w:w="1559"/>
          </w:tcPr>
          <w:p>
            <w:r>
              <w:rPr>
                <w:sz w:val="20"/>
              </w:rPr>
              <w:t>B/120</w:t>
            </w:r>
          </w:p>
        </w:tc>
        <w:tc>
          <w:tcPr>
            <w:tcW w:type="dxa" w:w="1559"/>
          </w:tcPr>
          <w:p>
            <w:r>
              <w:rPr>
                <w:sz w:val="20"/>
              </w:rPr>
              <w:t>Liste I</w:t>
            </w:r>
          </w:p>
        </w:tc>
        <w:tc>
          <w:tcPr>
            <w:tcW w:type="dxa" w:w="1559"/>
          </w:tcPr>
          <w:p>
            <w:r>
              <w:rPr>
                <w:sz w:val="20"/>
              </w:rPr>
              <w:t>Non renouvelable</w:t>
            </w:r>
          </w:p>
        </w:tc>
      </w:tr>
    </w:tbl>
    <w:p/>
    <w:p>
      <w:r>
        <w:t>L'imatinib est délivré en Algérie via le circuit hospitalier spécialisé (services d'hématologie clinique et d'oncologie médicale) ; les génériques locaux (CEMILIC, IMODES) et indiens (IMALEK, IMATIB) ont permis un accès élargi à ce traitement coûteux. La spécialité princeps GLIVEC n'est plus commercialisée dans la nomenclature algérienne active.</w:t>
      </w:r>
    </w:p>
    <w:p>
      <w:r/>
      <w:r>
        <w:rPr>
          <w:b/>
        </w:rPr>
        <w:t>Sous-classe et Mécanisme d'action :</w:t>
      </w:r>
      <w:r/>
    </w:p>
    <w:p>
      <w:pPr>
        <w:pStyle w:val="ListBullet"/>
      </w:pPr>
      <w:r>
        <w:t>Sous-classe : ITK de 1re génération, classe des 2-phénylaminopyrimidines, chef de file des ITK anti-BCR-ABL. DCI inscrite sur la liste des médicaments essentiels OMS.</w:t>
      </w:r>
    </w:p>
    <w:p>
      <w:pPr>
        <w:pStyle w:val="ListBullet"/>
      </w:pPr>
      <w:r>
        <w:t>Mécanisme d'action : inhibition compétitive, réversible et ATP-mimétique de l'activité tyrosine kinase de trois protéines : (i) BCR-ABL1 (protéine de fusion p210 issue du chromosome Philadelphia, activée constitutivement dans la LCM) ; (ii) KIT (CD117, récepteur du Stem Cell Factor muté notamment sur l'exon 11 dans les GIST) ; (iii) PDGFRA et PDGFRB (Platelet-Derived Growth Factor Receptors, impliqués dans les SMP avec réarrangements PDGFR). L'imatinib occupe la poche de liaison de l'ATP dans le domaine catalytique de la kinase sous sa conformation inactive (DFG-out), empêchant le transfert du groupement phosphate vers les substrats. Sont ainsi bloquées les phosphorylations constitutives de CRKL, STAT5, AKT, ERK1/2 et MYC, restaurant l'adhésion médullaire des progéniteurs, inhibant la prolifération indépendante des facteurs de croissance, et rétablissant l'apoptose. L'imatinib inhibe également, à un moindre degré, ARG (ABL-related gene), CSF1R et DDR1/2. Il n'a pas d'activité sur les mutations T315I du domaine BCR-ABL (zone contact de la molécule), source de résistance primaire et secondaire.</w:t>
      </w:r>
    </w:p>
    <w:p>
      <w:r/>
      <w:r>
        <w:rPr>
          <w:b/>
        </w:rPr>
        <w:t>Profil Pharmacologique :</w:t>
      </w:r>
      <w:r/>
    </w:p>
    <w:p>
      <w:pPr>
        <w:pStyle w:val="ListBullet"/>
      </w:pPr>
      <w:r>
        <w:t>Indications : (1) LCM Ph+ en phase chronique (PC) de première intention (référence) ; (2) LCM Ph+ en phase accélérée (PA) ou blastique (PB) ; (3) LCM Ph+ après échec ou intolérance à l'interféron alpha ; (4) LAL Ph+ en association à la chimiothérapie d'induction (chez l'adulte et l'enfant) ; (5) GIST métastatique ou non résécable (KIT+) en première ligne ; (6) GIST adjuvant post-chirurgie (durée 3 ans minimum pour les GIST à haut risque de récidive) ; (7) SMP avec réarrangement PDGFR (FIP1L1-PDGFRA, ETV6-PDGFRB) ; (8) Hypereosinophilie idiopathique FIP1L1-PDGFRA+ ; (9) Dermatofibrosarcome protuberans non résécable ou métastatique ; (10) Maladie agressive desmoïde réfractaire ; (11) Mastocytose systémique avec mutation KIT D816V (efficacité limitée, indication discutée).</w:t>
      </w:r>
    </w:p>
    <w:p>
      <w:pPr>
        <w:pStyle w:val="ListBullet"/>
      </w:pPr>
      <w:r>
        <w:t>Contre-indications : Hypersensibilité à l'imatinib ou à l'un des excipients. Précautions : insuffisance hépatique sévère (adaptation posologique), insuffisance cardiaque (surveillance échographique), antécédents d'œdème ou de rétention hydrosodée, hypothyroïdie (après thyroïdectomie totale sous hormone substitutive — ajustement possible), grossesse (CI absolue), allaitement (CI absolue).</w:t>
      </w:r>
    </w:p>
    <w:p>
      <w:pPr>
        <w:pStyle w:val="ListBullet"/>
      </w:pPr>
      <w:r>
        <w:t>Effets Indésirables : Très fréquents (&gt; 10 %) : œdèmes péri-orbitaires ou des membres inférieurs (rétention hydrosodée, 60–70 %), nausées (40–50 %, atténuées par la prise au cours du repas), vomissements, diarrhée, crampes musculaires (40 %), rash maculaire, fatigue, arthralgies, myalgies, prise de poids. Fréquents (1–10 %) : cytopénies (neutropénie grade 3/4 : 15–30 % en phase chronique, jusqu'à 60 % en phase blastique ; thrombopénie ; anémie), élévation des transaminases (ALAT/ASAT), hyperbilirubinémie, céphalées, hypophosphatémie, hypokaliémie, allongement du QTc. Peu fréquents : épanchements pleuraux et péricardiques (5–10 %, plus rares qu'avec le dasatinib), insuffisance cardiaque, hépatite cytolytique sévère, hypothyroïdie, syndrome de lyse tumorale (en phase blastique ou hyperleucocytose majeure), réactions cutanées sévères (syndrome de Stevens-Johnson, syndrome de Lyell, érythrodermie), hémorragie (en cas de thrombopénie). Rares : œdème pulmonaire, crise drépanocytaire, encéphalopathie. Particularités pédiatriques : ralentissement de la croissance staturo-pondérale chez l'enfant prépubère.</w:t>
      </w:r>
    </w:p>
    <w:p>
      <w:r/>
      <w:r>
        <w:rPr>
          <w:b/>
        </w:rPr>
        <w:t>Prévention et Gestion des Effets Indésirables :</w:t>
      </w:r>
      <w:r/>
    </w:p>
    <w:p>
      <w:pPr>
        <w:pStyle w:val="ListBullet"/>
      </w:pPr>
      <w:r>
        <w:t>Mesures Préventives : Prise au cours d'un repas riche en calories pour réduire les nausées et améliorer la biodisponibilité ; hydratation abondante (au moins 2 L/j) pour prévenir les œdèmes et le syndrome de lyse ; surveillance NFS mensuelle le premier trimestre puis trimestrielle (seuil d'adaptation : PNN &lt; 1,0 G/L, plaquettes &lt; 50 G/L) ; bilan hépatique (ALAT, ASAT, bilirubine, phosphatases alcalines) mensuel 3 mois puis trimestriel ; ionogramme, urée, créatinine, phosphore, kaliémie trimestrielle ; ECG avant traitement et à 12 mois (allongement du QTc) ; échographie cardiaque avant traitement chez le sujet âgé ou à risque cardiovasculaire ; TSH avant traitement puis tous les 6 mois (hypothyroïdie). Pédiatrie : courbes de croissance staturo-pondérale tous les 3 mois.</w:t>
      </w:r>
    </w:p>
    <w:p>
      <w:pPr>
        <w:pStyle w:val="ListBullet"/>
      </w:pPr>
      <w:r>
        <w:t>Conduite à Tenir : En cas d'œdèmes péri-orbitaires (très fréquents, bénins) : aucun traitement ou diurétique léger ; esthétique. En cas d'épanchement pleural/péricardique : arrêt transitoire, diurétiques, corticothérapie courte, reprise à dose réduite. En cas de cytopénies grade 3/4 : interruption transitoire (7–14 jours) jusqu'à récupération, reprise à dose réduite (400 → 300 mg/j) ou switch vers dasatinib/nilotinib. En cas d'élévation des transaminases &gt; 5× LSN : arrêt, recherche d'autres causes (viral, médicamenteux), reprise à dose réduite après normalisation. En cas de rash sévéritisant : arrêt, dermato-consultation urgente, antihistaminiques et corticothérapie. En cas de syndrome de lyse tumorale : hyperhydratation alcaline, allopurinol ou rasburicase (en cas d'hyperleucocytose &gt; 50 G/L en phase blastique), surveillance ionogramme et uricémie.</w:t>
      </w:r>
    </w:p>
    <w:p>
      <w:r/>
      <w:r>
        <w:rPr>
          <w:b/>
        </w:rPr>
        <w:t>Interactions Médicamenteuses :</w:t>
      </w:r>
      <w:r/>
    </w:p>
    <w:p>
      <w:pPr>
        <w:pStyle w:val="ListBullet"/>
      </w:pPr>
      <w:r>
        <w:t>CYP3A4 (métabolisme principal) : inducteurs enzymatiques (rifampicine, phénytoïne, carbamazépine, phénobarbital, dexaméthasone IV, millepertuis) → diminution majeure de l'ASC de l'imatinib (jusqu'à −75 % avec rifampicine), à éviter. Inhibiteurs (kétoconazole, itraconazole, voriconazole, posaconazole, clarithromycine, érythromycine, ritonavir) → augmentation de l'ASC (jusqu'à ×3 avec kétoconazole), surveillance des EI. L'imatinib est lui-même inhibiteur du CYP3A4, du CYP2D6 (compétitif) et du CYP2C9 (faible) : augmenter la surveillance avec les antivitamines K (risque hémorragique), les statines (simvastatine, atorvastatine — risque de rhabdomyolyse), la cyclosporine, le tacrolimus, le sirolimus, certains benzodiazépines (triazolam, midazolam), le pimozide, l'ergotamine. Warfarine : préférence pour une héparine de bas poids moléculaire (HBPM) en relais.</w:t>
      </w:r>
    </w:p>
    <w:p>
      <w:pPr>
        <w:pStyle w:val="ListBullet"/>
      </w:pPr>
      <w:r>
        <w:t>P-gp / BCRP : l'imatinib est substrat et inhibiteur de la P-glycoprotéine et de la BCRP ; augmenter la surveillance avec la digoxine, le dabigatran, le méthotrexate, le rosuvastatine.</w:t>
      </w:r>
    </w:p>
    <w:p>
      <w:pPr>
        <w:pStyle w:val="ListBullet"/>
      </w:pPr>
      <w:r>
        <w:t>Substrats à index thérapeutique étroit : éviter l'association avec la thioridazine, la pimozide, le cisapride (allongement du QT).</w:t>
      </w:r>
    </w:p>
    <w:p>
      <w:pPr>
        <w:pStyle w:val="ListBullet"/>
      </w:pPr>
      <w:r>
        <w:t>Vaccins : éviter les vaccins vivants atténués (ROR, fièvre jaune, BCG, varicelle) chez le patient sous imatinib (immunosuppression, risque de maladie vaccinale). Vaccins inactivés autorisés (grippe, pneumocoque, hépatite B, SARS-CoV-2) mais réponse immunitaire pouvant être atténuée.</w:t>
      </w:r>
    </w:p>
    <w:p>
      <w:pPr>
        <w:pStyle w:val="ListBullet"/>
      </w:pPr>
      <w:r>
        <w:t>Alimentation : éviter le jus de pamplemousse (inhibiteur du CYP3A4 intestinal, augmentation des concentrations) ; pas de millepertuis (inducteur).</w:t>
      </w:r>
    </w:p>
    <w:p>
      <w:r/>
      <w:r>
        <w:rPr>
          <w:b/>
        </w:rPr>
        <w:t>Grossesse et Allaitement :</w:t>
      </w:r>
      <w:r/>
    </w:p>
    <w:p>
      <w:pPr>
        <w:pStyle w:val="ListBullet"/>
      </w:pPr>
      <w:r>
        <w:t>Grossesse : CONTRE-INDICATION ABSOLUE. Données animales tératogènes (anomalies cranio-faciaires, cardiovasculaires, squelettiques et rénales chez le rat à exposition comparable à l'humain). Données humaines limitées : registre de grossesses sous imatinib (Novartis) rapportant un taux de malformations congénitales de l'ordre de 4–5 % (vs 3 % en population générale), mais avec un risque accru d'avortements spontanés. Une contraception efficace (double méthode : condom + contraception orale ou dispositif intra-utérin) est obligatoire chez la femme en âge de procréer durant le traitement et 15 jours après l'arrêt. Chez l'homme traité : pas d'effet délétère documenté sur la fertilité ou le développement embryonnaire (données rassurantes du registre de grossesses paternelles), mais contraception conseillée. En cas de projet de grossesse chez une femme LCM en réponse moléculaire profonde et stable (RMm4.5 ≥ 2 ans) : discussion pluridisciplinaire hématologue-gynécologue, arrêt de l'imatinib avant conception, surveillance mensuelle BCR-ABL pendant la grossesse, reprise immédiate après l'accouchement. Pendant la grossesse, l'interféron alpha est l'alternative de choix (non tératogène, peu passage transplacentaire).</w:t>
      </w:r>
    </w:p>
    <w:p>
      <w:pPr>
        <w:pStyle w:val="ListBullet"/>
      </w:pPr>
      <w:r>
        <w:t>Allaitement : CONTRE-INDICATION ABSOLUE. L'imatinib et son métabolite actif (N-désméthyl-imatinib) passent massivement dans le lait maternel (rapport lait/plasma ~0,5), exposant le nouveau-né à des concentrations thérapeutiques et à un risque de toxicité hématologique et de croissance. Allaitement à interrompre pendant toute la durée du traitement.</w:t>
      </w:r>
    </w:p>
    <w:p>
      <w:pPr>
        <w:pStyle w:val="ListBullet"/>
      </w:pPr>
      <w:r>
        <w:t>Précautions : Chez l'enfant prépubère, surveiller la croissance et la puberté ; envisager un suivi endocrinien pédiatrique.</w:t>
      </w:r>
    </w:p>
    <w:p>
      <w:r/>
      <w:r>
        <w:rPr>
          <w:b/>
        </w:rPr>
        <w:t>Posologie et Mode d'administration (Standard) :</w:t>
      </w:r>
      <w:r/>
    </w:p>
    <w:p>
      <w:pPr>
        <w:pStyle w:val="ListBullet"/>
      </w:pPr>
      <w:r>
        <w:t>Adulte : LCM phase chronique : 400 mg/j en une priseunique au cours d'un repas copieux, avec un grand verre d'eau. En cas de réponse insuffisante à 3 mois (absence de réponse hématologique complète) ou à 6 mois (absence de réponse cytogénétique majeure), augmentation à 600 mg/j, voire 800 mg/j (en deux prises) selon tolérance et réponse moléculaire. LCM phase accélérée : 600 mg/j (pouvant être augmenté à 800 mg/j). LCM phase blastique : 600 à 800 mg/j (en association à la chimiothérapie dans les LAL Ph+). GIST métastatique : 400 mg/j, augmentation à 800 mg/j (en deux prises) en cas de progression ou de réponse insuffisante à 3 mois. GIST adjuvant : 400 mg/j pendant 3 ans minimum (voire 5 ans selon risque) après chirurgie complète. SMP/PDGFRA : 400 mg/j (100 mg/j suffisant dans la forme FIP1L1-PDGFRA hypereosinophilie). Dermatofibrosarcome protuberans : 800 mg/j.</w:t>
      </w:r>
    </w:p>
    <w:p>
      <w:pPr>
        <w:pStyle w:val="ListBullet"/>
      </w:pPr>
      <w:r>
        <w:t>Enfant : LCM et LAL Ph+ : 340 mg/m²/j (sans dépasser 600 mg/j), en une ou deux prises.</w:t>
      </w:r>
    </w:p>
    <w:p>
      <w:pPr>
        <w:pStyle w:val="ListBullet"/>
      </w:pPr>
      <w:r>
        <w:t>Insuffisance hépatique modérée à sévère : diminution de dose à 25–50 % selon bilirubine et ASAT/ALAT.</w:t>
      </w:r>
    </w:p>
    <w:p>
      <w:pPr>
        <w:pStyle w:val="ListBullet"/>
      </w:pPr>
      <w:r>
        <w:t>Insuffisance rénale : pas d'adaptation pour ClCr &gt; 30 mL/min ; pour ClCr &lt; 30 mL/min, démarrer à 50 % de la dose et augmenter prudemment.</w:t>
      </w:r>
    </w:p>
    <w:p>
      <w:pPr>
        <w:pStyle w:val="ListBullet"/>
      </w:pPr>
      <w:r>
        <w:t>Mode d'administration : voie orale stricte, prise avec un repas (petit-déjeuner ou déjeuner) et un grand verre d'eau. Les comprimés pelliculés ne doivent pas être écrasés (amertume intense, altération de la pharmacocinétique) ; en cas d'incapacité à avaler (enfant, sonde), dispersion dans un verre d'eau ou de jus de pomme (non gazeux) et ingestion immédiate.</w:t>
      </w:r>
    </w:p>
    <w:p>
      <w:pPr>
        <w:pStyle w:val="ListBullet"/>
      </w:pPr>
      <w:r>
        <w:t>Durée du traitement : LCM : traitement au long cours indéfini (interruption possible après RMm4.5 soutenue ≥ 2 ans, en contexte d'essai thérapeutique). GIST métastatique : traitement continu jusqu'à progression ou intolérance. GIST adjuvant : minimum 3 ans.</w:t>
      </w:r>
    </w:p>
    <w:p>
      <w:r/>
      <w:r>
        <w:rPr>
          <w:b/>
        </w:rPr>
        <w:t>Surveillance Biologique et Suivi Clinique :</w:t>
      </w:r>
      <w:r/>
    </w:p>
    <w:p>
      <w:pPr>
        <w:pStyle w:val="ListBullet"/>
      </w:pPr>
      <w:r>
        <w:t>Hématologique : NFS-plaquettes mensuelle pendant 3 mois, puis trimestrielle. Seuils d'adaptation : PNN &lt; 1,0 × 10⁹/L, plaquettes &lt; 50 × 10⁹/L, Hb &lt; 80 g/L → interruption 2–4 semaines puis reprise à dose réduite.</w:t>
      </w:r>
    </w:p>
    <w:p>
      <w:pPr>
        <w:pStyle w:val="ListBullet"/>
      </w:pPr>
      <w:r>
        <w:t>Hépatique : ALAT, ASAT, bilirubine totale, PAL, γ-GT mensuels 3 mois puis trimestriels. Bilirubine &gt; 3× LSN ou transaminases &gt; 5× LSN → interruption et réintroduction à dose réduite après normalisation.</w:t>
      </w:r>
    </w:p>
    <w:p>
      <w:pPr>
        <w:pStyle w:val="ListBullet"/>
      </w:pPr>
      <w:r>
        <w:t>Rénale : créatinine, urée, ionogramme (kaliémie, phosphorémie) trimestriels.</w:t>
      </w:r>
    </w:p>
    <w:p>
      <w:pPr>
        <w:pStyle w:val="ListBullet"/>
      </w:pPr>
      <w:r>
        <w:t>Moléculaire : BCR-ABL1 transcript (RT-qPCR sur sang total, échelle internationale) tous les 3 mois (objectif : RMm &lt; 0,1 % à 12 mois ; RMm4.5 &lt; 0,0032 % à long terme). Mutation screen en cas d'échec (résistance).</w:t>
      </w:r>
    </w:p>
    <w:p>
      <w:pPr>
        <w:pStyle w:val="ListBullet"/>
      </w:pPr>
      <w:r>
        <w:t>Cardiaque : ECG initial, à 12 mois ; échographie cardiaque si antécédents cardiovasculaires ou sujet âgé.</w:t>
      </w:r>
    </w:p>
    <w:p>
      <w:pPr>
        <w:pStyle w:val="ListBullet"/>
      </w:pPr>
      <w:r>
        <w:t>Endocrinien : TSH initiale puis tous les 6 mois.</w:t>
      </w:r>
    </w:p>
    <w:p>
      <w:pPr>
        <w:pStyle w:val="ListBullet"/>
      </w:pPr>
      <w:r>
        <w:t>Suivi thérapeutique pharmacologique (STP) : dosage de l'imatinib résiduel (objectif : &gt; 1000 ng/mL pour LCm Ph+) utile en cas de réponse insuffisante, d'interaction suspectée ou d'effets indésirables.</w:t>
      </w:r>
    </w:p>
    <w:p>
      <w:r/>
      <w:r>
        <w:rPr>
          <w:b/>
        </w:rPr>
        <w:t>Arbitrage et Bénéfices des Formes Galéniques :</w:t>
      </w:r>
      <w:r/>
    </w:p>
    <w:p>
      <w:r>
        <w:t>La forme comprimé pelliculé à 100 mg (CEMILIC, IMALEK 100, IMODES) est destinée à l'ajustement posologique fin (initiation pédiatrique, adaptation à la surface corporelle, toxicité, passage à 600 mg = 6 × 100 mg, ou 800 mg = 8 × 100 mg) ; la forme 400 mg (CEMILIC, IMALEK 400, IMATIB 400, IMODES 400) est adaptée à la dose standard adulte (1 comprimé/jour, observance facilitée). La forme gélule IMATIB 100 mg (Cipla, non renouvelable) présente une équivalence pharmacocinétique mais une identification visuelle différente. La sécabilité de l'IMODES 100 mg facilite le fractionnement pour les doses intermédiaires (300 mg = 3 × 100 mg ou 6 × 50 mg). Le comprimé pelliculé protège de l'amertume intense de la molécule et ne doit pas être écrasé. Pour les patients incapables d'avaler (pédiatrie, sonde), dispersion dans un verre d'eau ou de jus de pomme non gazeux immédiatement avant ingestion.</w:t>
      </w:r>
    </w:p>
    <w:p>
      <w:r/>
      <w:r>
        <w:rPr>
          <w:b/>
        </w:rPr>
        <w:t>Instructions et Conseils au Patient :</w:t>
      </w:r>
      <w:r/>
    </w:p>
    <w:p>
      <w:pPr>
        <w:pStyle w:val="ListBullet"/>
      </w:pPr>
      <w:r>
        <w:t>Communication au comptoir : « L'imatinib est un médicament anticancéreux oral qui cible spécifiquement les cellules leucémiques ou tumorales en bloquant une enzyme responsable de leur prolifération. Il se prend une fois par jour, au cours d'un repas copieux, avec un grand verre d'eau. Les effets indésirables les plus fréquents sont des gonflements (surtout autour des yeux), des crampes musculaires et des nausées, généralement modérés. Prévenez immédiatement votre médecin en cas d'essoufflement, de toux ou de prise de poids rapide (rétention d'eau), de fièvre (risque infectieux sur baisse des globules blancs), de jaunisse (atteinte hépatique) ou d'éruption cutanée étendue. »</w:t>
      </w:r>
    </w:p>
    <w:p>
      <w:pPr>
        <w:pStyle w:val="ListBullet"/>
      </w:pPr>
      <w:r>
        <w:t>Observance : Prise à heure fixe (matin, après petit-déjeuner), calendrier d'administration, ne jamais interrompre brutalement sans avis médical (risque de rechute moléculaire rapide), prévoir une réserve pour week-ends et voyages, conserver à température &lt; 25 °C.</w:t>
      </w:r>
    </w:p>
    <w:p>
      <w:pPr>
        <w:pStyle w:val="ListBullet"/>
      </w:pPr>
      <w:r>
        <w:t>Hygiène de vie : Éviter le pamplemousse et le millepertuis, alcool à proscrire (hépatotoxicité), éviter les vaccins vivants sans avis.</w:t>
      </w:r>
    </w:p>
    <w:p>
      <w:pPr>
        <w:pStyle w:val="ListBullet"/>
      </w:pPr>
      <w:r>
        <w:t>Femmes en âge de procréer : double contraception obligatoire, test de grossesse avant initiation.</w:t>
      </w:r>
    </w:p>
    <w:p>
      <w:r/>
      <w:r>
        <w:rPr>
          <w:b/>
        </w:rPr>
        <w:t>Notes, Règles d'Or &amp; Pièges au Comptoir :</w:t>
      </w:r>
      <w:r/>
    </w:p>
    <w:p>
      <w:pPr>
        <w:pStyle w:val="ListBullet"/>
      </w:pPr>
      <w:r>
        <w:t>Piège : l'œdème péri-orbitaire, fréquent et bénin, peut inquiéter le patient et conduire à l'arrêt injustifié ; expliquer sa nature et le soulager par des diurétiques légers.</w:t>
      </w:r>
    </w:p>
    <w:p>
      <w:pPr>
        <w:pStyle w:val="ListBullet"/>
      </w:pPr>
      <w:r>
        <w:t>Piège : ne jamais substituer une forme 100 mg par deux demi-comprimés de 400 mg sécables (l'IMODES 400 mg est sécable pour adaptation, mais l'équivalent exact doit être respecté).</w:t>
      </w:r>
    </w:p>
    <w:p>
      <w:pPr>
        <w:pStyle w:val="ListBullet"/>
      </w:pPr>
      <w:r>
        <w:t>Règle : respect strict de la prise alimentaire concomitante (biodisponibilité améliorée de 30 % et nausées réduites) ; à défaut, taux suboptimal et risque d'échec thérapeutique.</w:t>
      </w:r>
    </w:p>
    <w:p>
      <w:pPr>
        <w:pStyle w:val="ListBullet"/>
      </w:pPr>
      <w:r>
        <w:t>Piège : chez l'homme, fertilité conservée mais contraception conseillée ; chez la femme enceinte, traitement à interrompre avec switch vers interféron alpha en cas de LCM en réponse moléculaire stable.</w:t>
      </w:r>
    </w:p>
    <w:p>
      <w:pPr>
        <w:pStyle w:val="ListBullet"/>
      </w:pPr>
      <w:r>
        <w:t>Règle : ne jamais arrêter sans avis hématologue, même en cas d'effet indésirable modéré ; l'arrêt brutal expose à un syndrome de rebond (réactivation de la prolifération leucémique).</w:t>
      </w:r>
    </w:p>
    <w:p>
      <w:pPr>
        <w:pStyle w:val="ListBullet"/>
      </w:pPr>
      <w:r>
        <w:t>Surveillance : surveiller la croissance chez l'enfant prépubère (retard possible) ; surveiller la fonction thyroïdienne (hypothyroïdie démasquée par l'imatinib).</w:t>
      </w:r>
    </w:p>
    <w:p>
      <w:pPr>
        <w:pStyle w:val="ListBullet"/>
      </w:pPr>
      <w:r>
        <w:t>Piège : oubli de plus de 12 heures — ne pas doubler la dose suivante.</w:t>
      </w:r>
    </w:p>
    <w:p>
      <w:pPr>
        <w:pStyle w:val="ListBullet"/>
      </w:pPr>
      <w:r>
        <w:t>Interactions : toujours vérifier l'absence d'inducteur enzymatique puissant (rifampicine, phénytoïne, millepertuis) en cas de perte de réponse moléculaire inexpliquée.</w:t>
      </w:r>
    </w:p>
    <w:p>
      <w:pPr>
        <w:pStyle w:val="Heading2"/>
      </w:pPr>
      <w:r>
        <w:t>104.2 Sous-classe : ITK BCR-ABL (2e, 3e et 4e génération)</w:t>
      </w:r>
    </w:p>
    <w:p>
      <w:r>
        <w:t xml:space="preserve">Cette sous-classe regroupe les ITK BCR-ABL de 2e, 3e et 4e générations développés pour surmonter les résistances à l'imatinib et offrir des alternatives en cas d'intolérance. Le </w:t>
      </w:r>
      <w:r>
        <w:rPr>
          <w:b/>
        </w:rPr>
        <w:t>dasatinib</w:t>
      </w:r>
      <w:r>
        <w:t xml:space="preserve"> (Sprycel®/Elpix®/Oriontinib®) est un thiazolecarboxamide de 2e génération, environ 300 fois plus puissant que l'imatinib sur BCR-ABL1, mais aussi actif sur SRC, LCK, YES, FYN, EPHA2, PDGFR et KIT ; son profil d'effets indésirables est marqué par les épanchements pleuraux et la dysfonction ventriculaire gauche. Le </w:t>
      </w:r>
      <w:r>
        <w:rPr>
          <w:b/>
        </w:rPr>
        <w:t>nilotinib</w:t>
      </w:r>
      <w:r>
        <w:t xml:space="preserve"> (Tasigna®/Nilodes®/Tasinib®/Orion Nilotinib®) est un dérivé de l'imatinib de 2e génération, environ 30 fois plus puissant sur BCR-ABL1 et actif sur la plupart des mutations de résistance à l'imatinib (à l'exception notable de T315I), mais avec un risque d'allongement du QTc, de pancréatite et d'événements vasculaires artériels (syndromes coronariens, AVC ischémiques). Le </w:t>
      </w:r>
      <w:r>
        <w:rPr>
          <w:b/>
        </w:rPr>
        <w:t>bosutinib</w:t>
      </w:r>
      <w:r>
        <w:t xml:space="preserve"> (Xorian®) de 3e génération inhibe BCR-ABL1, SRC et LYN ; il est indiqué après échec des ITK précédents et présente un profil d'hépatotoxicité et de diarrhée. Le </w:t>
      </w:r>
      <w:r>
        <w:rPr>
          <w:b/>
        </w:rPr>
        <w:t>ponatinib</w:t>
      </w:r>
      <w:r>
        <w:t xml:space="preserve"> (Iclusig®) de 4e génération est le seul ITK actif sur la mutation T315I (« gatekeeper »), mais expose à un risque majeur d'événements thrombotiques artériels et veineux (infarctus du myocarde, AVC, thromboses veineuses, hypertension artérielle sévère) qui en limitent l'usage aux situations de nécessité. La stratégie thérapeutique actuelle des LCM Ph+ (recommandations ELN 2020, NCCN 2023) privilégie l'imatinib, le dasatinib, le nilotinib ou le bosutinib en première ligne selon le risque (score Sokal, comorbidités, âge, projet de grossesse) ; le ponatinib est réservé aux patients porteurs de T315I ou en échec des ITK précédents. Le suivi moléculaire (BCR-ABL1 RT-qPCR tous les 3 mois) et la recherche de mutations en cas d'échec (séquençage Sanger ou NGS du domaine kinase) sont essentiels pour adapter la stratégie. L'ascutinib (Scemblix®) de 3e génération (allostérique, non ATP-mimétique) n'est pas encore disponible dans la nomenclature algérienne.</w:t>
      </w:r>
    </w:p>
    <w:p>
      <w:pPr>
        <w:pStyle w:val="Heading3"/>
      </w:pPr>
      <w:r>
        <w:t>104.2.1 DCI : Dasatinib</w:t>
      </w:r>
    </w:p>
    <w:p>
      <w:r/>
      <w:r>
        <w:rPr>
          <w:b/>
        </w:rPr>
        <w:t>Liste des Catégories :</w:t>
      </w:r>
      <w:r>
        <w:t xml:space="preserve"> Antinéoplasiques ; Inhibiteur de tyrosine kinase ; ITK BCR-ABL de 2e génération ; Inhibiteur multi-kinase (BCR-ABL1, SRC, LCK, YES, FYN, EPHA2, PDGFR, KIT) ; Liste I.</w:t>
      </w:r>
    </w:p>
    <w:p>
      <w:r>
        <w:t>Le dasatinib est un thiazolecarboxamide, ITK de 2e génération ayant obtenu une AMM en 2006 (FDA) et 2007 (EMA), indiqué dans la leucémie myéloïde chronique Philadelphia-positive en phase chronique, accélérée ou blastique, en première intention ou après échec/intolérance à l'imatinib, ainsi que dans la leucémie aiguë lymphoblastique Philadelphia-positive (en association à la chimiothérapie). Il est environ 300 fois plus puissant que l'imatinib sur BCR-ABL1 et reste actif sur la plupart des mutations de résistance à l'imatinib, à l'exception de T315I. Sa particularité pharmacologique majeure est l'inhibition concomitante de SRC (proto-oncogène non récepteur), responsable d'une partie de son efficacité dans les phases avancées et de certains effets indésirables propres (épanchements pleuraux, dysfonction ventriculaire).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ELPIX</w:t>
            </w:r>
          </w:p>
        </w:tc>
        <w:tc>
          <w:tcPr>
            <w:tcW w:type="dxa" w:w="1559"/>
          </w:tcPr>
          <w:p>
            <w:r>
              <w:rPr>
                <w:sz w:val="20"/>
              </w:rPr>
              <w:t>HIKMA PHARMA ALGERIA</w:t>
            </w:r>
          </w:p>
        </w:tc>
        <w:tc>
          <w:tcPr>
            <w:tcW w:type="dxa" w:w="1559"/>
          </w:tcPr>
          <w:p>
            <w:r>
              <w:rPr>
                <w:sz w:val="20"/>
              </w:rPr>
              <w:t>Comprimé pelliculé 20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ELPIX</w:t>
            </w:r>
          </w:p>
        </w:tc>
        <w:tc>
          <w:tcPr>
            <w:tcW w:type="dxa" w:w="1559"/>
          </w:tcPr>
          <w:p>
            <w:r>
              <w:rPr>
                <w:sz w:val="20"/>
              </w:rPr>
              <w:t>HIKMA PHARMA ALGERIA</w:t>
            </w:r>
          </w:p>
        </w:tc>
        <w:tc>
          <w:tcPr>
            <w:tcW w:type="dxa" w:w="1559"/>
          </w:tcPr>
          <w:p>
            <w:r>
              <w:rPr>
                <w:sz w:val="20"/>
              </w:rPr>
              <w:t>Comprimé pelliculé 50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ELPIX</w:t>
            </w:r>
          </w:p>
        </w:tc>
        <w:tc>
          <w:tcPr>
            <w:tcW w:type="dxa" w:w="1559"/>
          </w:tcPr>
          <w:p>
            <w:r>
              <w:rPr>
                <w:sz w:val="20"/>
              </w:rPr>
              <w:t>HIKMA PHARMA ALGERIA</w:t>
            </w:r>
          </w:p>
        </w:tc>
        <w:tc>
          <w:tcPr>
            <w:tcW w:type="dxa" w:w="1559"/>
          </w:tcPr>
          <w:p>
            <w:r>
              <w:rPr>
                <w:sz w:val="20"/>
              </w:rPr>
              <w:t>Comprimé pelliculé 70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ORIONTINIB</w:t>
            </w:r>
          </w:p>
        </w:tc>
        <w:tc>
          <w:tcPr>
            <w:tcW w:type="dxa" w:w="1559"/>
          </w:tcPr>
          <w:p>
            <w:r>
              <w:rPr>
                <w:sz w:val="20"/>
              </w:rPr>
              <w:t>ORION LAB</w:t>
            </w:r>
          </w:p>
        </w:tc>
        <w:tc>
          <w:tcPr>
            <w:tcW w:type="dxa" w:w="1559"/>
          </w:tcPr>
          <w:p>
            <w:r>
              <w:rPr>
                <w:sz w:val="20"/>
              </w:rPr>
              <w:t>Comprimé pelliculé 20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ORIONTINIB</w:t>
            </w:r>
          </w:p>
        </w:tc>
        <w:tc>
          <w:tcPr>
            <w:tcW w:type="dxa" w:w="1559"/>
          </w:tcPr>
          <w:p>
            <w:r>
              <w:rPr>
                <w:sz w:val="20"/>
              </w:rPr>
              <w:t>ORION LAB</w:t>
            </w:r>
          </w:p>
        </w:tc>
        <w:tc>
          <w:tcPr>
            <w:tcW w:type="dxa" w:w="1559"/>
          </w:tcPr>
          <w:p>
            <w:r>
              <w:rPr>
                <w:sz w:val="20"/>
              </w:rPr>
              <w:t>Comprimé pelliculé 50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ORIONTINIB</w:t>
            </w:r>
          </w:p>
        </w:tc>
        <w:tc>
          <w:tcPr>
            <w:tcW w:type="dxa" w:w="1559"/>
          </w:tcPr>
          <w:p>
            <w:r>
              <w:rPr>
                <w:sz w:val="20"/>
              </w:rPr>
              <w:t>ORION LAB</w:t>
            </w:r>
          </w:p>
        </w:tc>
        <w:tc>
          <w:tcPr>
            <w:tcW w:type="dxa" w:w="1559"/>
          </w:tcPr>
          <w:p>
            <w:r>
              <w:rPr>
                <w:sz w:val="20"/>
              </w:rPr>
              <w:t>Comprimé pelliculé 70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SPRYCEL</w:t>
            </w:r>
          </w:p>
        </w:tc>
        <w:tc>
          <w:tcPr>
            <w:tcW w:type="dxa" w:w="1559"/>
          </w:tcPr>
          <w:p>
            <w:r>
              <w:rPr>
                <w:sz w:val="20"/>
              </w:rPr>
              <w:t>BRISTOL MYERS SQUIBB PHARMA EEIG</w:t>
            </w:r>
          </w:p>
        </w:tc>
        <w:tc>
          <w:tcPr>
            <w:tcW w:type="dxa" w:w="1559"/>
          </w:tcPr>
          <w:p>
            <w:r>
              <w:rPr>
                <w:sz w:val="20"/>
              </w:rPr>
              <w:t>Comprimé pelliculé 20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SPRYCEL (R)</w:t>
            </w:r>
          </w:p>
        </w:tc>
        <w:tc>
          <w:tcPr>
            <w:tcW w:type="dxa" w:w="1559"/>
          </w:tcPr>
          <w:p>
            <w:r>
              <w:rPr>
                <w:sz w:val="20"/>
              </w:rPr>
              <w:t>BRISTOL MYERS SQUIBB PHARMA EEIG</w:t>
            </w:r>
          </w:p>
        </w:tc>
        <w:tc>
          <w:tcPr>
            <w:tcW w:type="dxa" w:w="1559"/>
          </w:tcPr>
          <w:p>
            <w:r>
              <w:rPr>
                <w:sz w:val="20"/>
              </w:rPr>
              <w:t>Comprimé pelliculé 50 mg</w:t>
            </w:r>
          </w:p>
        </w:tc>
        <w:tc>
          <w:tcPr>
            <w:tcW w:type="dxa" w:w="1559"/>
          </w:tcPr>
          <w:p>
            <w:r>
              <w:rPr>
                <w:sz w:val="20"/>
              </w:rPr>
              <w:t>B/60</w:t>
            </w:r>
          </w:p>
        </w:tc>
        <w:tc>
          <w:tcPr>
            <w:tcW w:type="dxa" w:w="1559"/>
          </w:tcPr>
          <w:p>
            <w:r>
              <w:rPr>
                <w:sz w:val="20"/>
              </w:rPr>
              <w:t>Liste I</w:t>
            </w:r>
          </w:p>
        </w:tc>
        <w:tc>
          <w:tcPr>
            <w:tcW w:type="dxa" w:w="1559"/>
          </w:tcPr>
          <w:p>
            <w:r>
              <w:rPr>
                <w:sz w:val="20"/>
              </w:rPr>
              <w:t>Non renouvelable</w:t>
            </w:r>
          </w:p>
        </w:tc>
      </w:tr>
      <w:tr>
        <w:tc>
          <w:tcPr>
            <w:tcW w:type="dxa" w:w="1559"/>
          </w:tcPr>
          <w:p>
            <w:r>
              <w:rPr>
                <w:sz w:val="20"/>
              </w:rPr>
              <w:t>SPRYCEL (R)</w:t>
            </w:r>
          </w:p>
        </w:tc>
        <w:tc>
          <w:tcPr>
            <w:tcW w:type="dxa" w:w="1559"/>
          </w:tcPr>
          <w:p>
            <w:r>
              <w:rPr>
                <w:sz w:val="20"/>
              </w:rPr>
              <w:t>BRISTOL MYERS SQUIBB PHARMA EEIG</w:t>
            </w:r>
          </w:p>
        </w:tc>
        <w:tc>
          <w:tcPr>
            <w:tcW w:type="dxa" w:w="1559"/>
          </w:tcPr>
          <w:p>
            <w:r>
              <w:rPr>
                <w:sz w:val="20"/>
              </w:rPr>
              <w:t>Comprimé pelliculé 70 mg</w:t>
            </w:r>
          </w:p>
        </w:tc>
        <w:tc>
          <w:tcPr>
            <w:tcW w:type="dxa" w:w="1559"/>
          </w:tcPr>
          <w:p>
            <w:r>
              <w:rPr>
                <w:sz w:val="20"/>
              </w:rPr>
              <w:t>B/60</w:t>
            </w:r>
          </w:p>
        </w:tc>
        <w:tc>
          <w:tcPr>
            <w:tcW w:type="dxa" w:w="1559"/>
          </w:tcPr>
          <w:p>
            <w:r>
              <w:rPr>
                <w:sz w:val="20"/>
              </w:rPr>
              <w:t>Liste I</w:t>
            </w:r>
          </w:p>
        </w:tc>
        <w:tc>
          <w:tcPr>
            <w:tcW w:type="dxa" w:w="1559"/>
          </w:tcPr>
          <w:p>
            <w:r>
              <w:rPr>
                <w:sz w:val="20"/>
              </w:rPr>
              <w:t>Non renouvelable</w:t>
            </w:r>
          </w:p>
        </w:tc>
      </w:tr>
    </w:tbl>
    <w:p/>
    <w:p>
      <w:r>
        <w:t>La spécialité princeps SPRYCEL (BMS) reste partiellement disponible en Algérie pour les dosages 20 mg, mais les dosages 50 et 70 mg sont désormais remplacés par les génériques ELPIX (Hikma) et ORIONTINIB (Orion Lab). Le dosage 100 mg (non présent dans la nomenclature) peut être obtenu par combinaison 70 + 30 ou 2 × 50.</w:t>
      </w:r>
    </w:p>
    <w:p>
      <w:r/>
      <w:r>
        <w:rPr>
          <w:b/>
        </w:rPr>
        <w:t>Sous-classe et Mécanisme d'action :</w:t>
      </w:r>
      <w:r/>
    </w:p>
    <w:p>
      <w:pPr>
        <w:pStyle w:val="ListBullet"/>
      </w:pPr>
      <w:r>
        <w:t>Sous-classe : ITK BCR-ABL1 de 2e génération, classe des thiazolecarboxamides.</w:t>
      </w:r>
    </w:p>
    <w:p>
      <w:pPr>
        <w:pStyle w:val="ListBullet"/>
      </w:pPr>
      <w:r>
        <w:t>Mécanisme d'action : inhibition compétitive de l'activité tyrosine kinase de BCR-ABL1 (puissance 300× supérieure à l'imatinib), mais aussi de la famille des kinases SRC (SRC, LCK, YES, FYN), de c-KIT (muté et sauvage), de PDGFRβ, d'EPHA2 et d'ARG. Le dasatinib se lie à la fois aux conformations active (DFG-in) et inactive (DFG-out) de la kinase, ce qui explique sa puissance et son spectre. Le blocage de SRC inhibe la migration, la survie et l'invasion cellulaires ; le blocage de BCR-ABL restaure l'apoptose et inhibe la prolifération. Actif sur la plupart des mutations de résistance à l'imatinib (sauf T315I, où la thréonine en position 315 est remplacée par une isoleucine, créant un encombrement stérique incompatible avec la fixation du dasatinib). Le passage méningé est supérieur à celui de l'imatinib (concentration LCS ~5–30 % de la concentration plasmatique), justifiant son intérêt dans la prophylaxie des rechutes méningées des LAL Ph+.</w:t>
      </w:r>
    </w:p>
    <w:p>
      <w:r/>
      <w:r>
        <w:rPr>
          <w:b/>
        </w:rPr>
        <w:t>Profil Pharmacologique :</w:t>
      </w:r>
      <w:r/>
    </w:p>
    <w:p>
      <w:pPr>
        <w:pStyle w:val="ListBullet"/>
      </w:pPr>
      <w:r>
        <w:t>Indications : (1) LCM Ph+ phase chronique en première intention (alternative à l'imatinib, particulièrement chez les patients à risque élevé ou souhaitant une réponse moléculaire rapide) ; (2) LCM Ph+ PC, PA ou PB après échec ou intolérance à l'imatinib ; (3) LAL Ph+ en association à la chimiothérapie d'induction (adulte et enfant) ; (4) Prophylaxie des rechutes méningées de LAL Ph+ (en raison de sa diffusion méningée).</w:t>
      </w:r>
    </w:p>
    <w:p>
      <w:pPr>
        <w:pStyle w:val="ListBullet"/>
      </w:pPr>
      <w:r>
        <w:t>Contre-indications : Hypersensibilité au dasatinib. Précautions : allongement du QTc, antécédents cardiaques (dysfonction VG), hypokaliémie, hypomagnésémie, insuffisance hépatique, grossesse (CI absolue), allaitement (CI absolue).</w:t>
      </w:r>
    </w:p>
    <w:p>
      <w:pPr>
        <w:pStyle w:val="ListBullet"/>
      </w:pPr>
      <w:r>
        <w:t>Effets Indésirables : Très fréquents : cytopénies (neutropénie grade 3/4 : 20–35 % ; thrombopénie ; anémie), épanchement pleural (10–35 %, parfois sévère, plus fréquent chez le sujet âgé et en cas d'antécédents cardiaques ; mécanisme : toxicité endothéliale et lymphatique, et inhibition de PDGFR sur les lymphatiques pleuraux), rash, diarrhée, fatigue, céphalées, nausées. Fréquents : épanchement péricardique, hypertension artérielle, dysfonction ventriculaire gauche (FEVG diminuée de 5–10 %), allongement du QTc, saignements (en cas de thrombopénie), infections (pneumocystose, herpès, CMV réactivation), élévation des transaminases, hypocalcémie, hypophosphatémie, dyspnée. Peu fréquents : PAH (hypertension artérielle pulmonaire, à surveiller par échographie cardiaque), syndrome de lyse tumorale, hémorragie digestive/cérébrale (en cas de thrombopénie sévère), pancréatite, réactions cutanées sévères. Rares : leuco-encéphalopathie postérieure réversible (PRES), hépatite sévère, pancytopénie prolongée.</w:t>
      </w:r>
    </w:p>
    <w:p>
      <w:r/>
      <w:r>
        <w:rPr>
          <w:b/>
        </w:rPr>
        <w:t>Prévention et Gestion des Effets Indésirables :</w:t>
      </w:r>
      <w:r/>
    </w:p>
    <w:p>
      <w:pPr>
        <w:pStyle w:val="ListBullet"/>
      </w:pPr>
      <w:r>
        <w:t>Mesures Préventives : NFS-plaquettes hebdomadaire pendant 2 mois, puis mensuelle pendant 3 mois, puis trimestrielle ; bilan hépatique (ALAT, ASAT, bilirubine, PAL) mensuel 3 mois puis trimestriel ; ionogramme (K, Mg, Ca, P) régulier ; ECG initial et à 3 mois (QTc) ; échographie cardiaque initiale puis à 6 et 12 mois (fonction VG et recherche d'épanchement péricardique) ; examen clinique pulmonaire (auscultation) à chaque consultation, radiographie thoracique en cas de symptôme (toux, dyspnée) ; prévention pneumocystose (cotrimoxazole) si lymphopénie CD4 prolongée ou protocole avec corticothérapie concomitante.</w:t>
      </w:r>
    </w:p>
    <w:p>
      <w:pPr>
        <w:pStyle w:val="ListBullet"/>
      </w:pPr>
      <w:r>
        <w:t>Conduite à Tenir : Épanchement pleural : arrêt transitoire, diurétique (furosémide), corticothérapie courte (prednisone 0,5–1 mg/kg/j), ponction évacuatrice si volumineux, switch vers nilotinib ou bosutinib (en cas de récidive) — le dasatinib devra être définitivement arrêté en cas de récidive sévère. Neutropénie &lt; 0,5 G/L ou thrombopénie &lt; 25 G/L : interruption 1–2 semaines, reprise à dose réduite (100 → 70 mg/j) ; facteurs de croissance (G-CSF) si nécessaire. Allongement du QTc &gt; 480 ms : correction de la kaliémie et de la magnésémie, arrêt temporaire, ECG de contrôle. Dysfonction VG symptomatique : arrêt définitif, switch vers nilotinib. PAH confirmée (écho) : arrêt définitif.</w:t>
      </w:r>
    </w:p>
    <w:p>
      <w:r/>
      <w:r>
        <w:rPr>
          <w:b/>
        </w:rPr>
        <w:t>Interactions Médicamenteuses :</w:t>
      </w:r>
      <w:r/>
    </w:p>
    <w:p>
      <w:pPr>
        <w:pStyle w:val="ListBullet"/>
      </w:pPr>
      <w:r>
        <w:t>CYP3A4 (métabolisme principal) : inducteurs enzymatiques (rifampicine → ASC dasatinib réduite de ~80 %, à éviter ; phénytoïne, carbamazépine, phénobarbital, dexaméthasone IV, millepertuis) → baisse majeure. Inhibiteurs (kétoconazole → ASC ×5, itraconazole, voriconazole, posaconazole, clarithromycine, érythromycine, ritonavir, cobicistat) → augmentation majeure, réduire la dose de dasatinib de moitié à tiers. La dose initiale de dasatinib doit être réduite à 20–40 mg/j en cas d'association nécessaire avec un inhibiteur puissant du CYP3A4.</w:t>
      </w:r>
    </w:p>
    <w:p>
      <w:pPr>
        <w:pStyle w:val="ListBullet"/>
      </w:pPr>
      <w:r>
        <w:t>Substrats à index thérapeutique étroit : le dasatinib inhibe le CYP3A4 et la P-gp ; surveillance avec les antivitamines K (HBPM préférentielle), les statines (simvastatine, atorvastatine), la cyclosporine, le tacrolimus, le sirolimus, la digoxine, le dabigatran.</w:t>
      </w:r>
    </w:p>
    <w:p>
      <w:pPr>
        <w:pStyle w:val="ListBullet"/>
      </w:pPr>
      <w:r>
        <w:t>Anti-acides (inhibiteurs de la pompe à protons, anti-H2, hydroxyde d'aluminium/magnésium) : le dasatinib est dégradé en milieu acide ; les anti-acides réduisent son absorption. Espacer de 2 heures avant ou après la prise de dasatinib. Préférer les anti-H2 aux IPP si possible.</w:t>
      </w:r>
    </w:p>
    <w:p>
      <w:pPr>
        <w:pStyle w:val="ListBullet"/>
      </w:pPr>
      <w:r>
        <w:t>Allongement du QTc : éviter l'association avec les autres médicaments allongeant le QT (amiodarone, sotalol, halopéridol, méthadone, certains antibiotiques macrolides/fluoroquinolones, cisapride, pimozide).</w:t>
      </w:r>
    </w:p>
    <w:p>
      <w:pPr>
        <w:pStyle w:val="ListBullet"/>
      </w:pPr>
      <w:r>
        <w:t>Vaccins : éviter les vaccins vivants atténués.</w:t>
      </w:r>
    </w:p>
    <w:p>
      <w:r/>
      <w:r>
        <w:rPr>
          <w:b/>
        </w:rPr>
        <w:t>Grossesse et Allaitement :</w:t>
      </w:r>
      <w:r/>
    </w:p>
    <w:p>
      <w:pPr>
        <w:pStyle w:val="ListBullet"/>
      </w:pPr>
      <w:r>
        <w:t>Grossesse : CONTRE-INDICATION ABSOLUE. Données animales tératogènes (anomalies squelettiques). Chez l'homme, altérations possibles de la spermatogenèse (réversibles à l'arrêt). Contraception efficace obligatoire (double méthode) pendant le traitement et 30 jours après l'arrêt chez la femme ; le partenaire masculin doit utiliser une contraception pendant le traitement et 90 jours après l'arrêt. En cas de projet de grossesse chez une femme LCM en réponse moléculaire stable : arrêt du dasatinib avec switch vers l'interféron alpha pendant la grossesse.</w:t>
      </w:r>
    </w:p>
    <w:p>
      <w:pPr>
        <w:pStyle w:val="ListBullet"/>
      </w:pPr>
      <w:r>
        <w:t>Allaitement : CONTRE-INDICATION ABSOLUE. Passage dans le lait maternel. Allaitement à interrompre pendant le traitement et 2 semaines après l'arrêt.</w:t>
      </w:r>
    </w:p>
    <w:p>
      <w:r/>
      <w:r>
        <w:rPr>
          <w:b/>
        </w:rPr>
        <w:t>Posologie et Mode d'administration (Standard) :</w:t>
      </w:r>
      <w:r/>
    </w:p>
    <w:p>
      <w:pPr>
        <w:pStyle w:val="ListBullet"/>
      </w:pPr>
      <w:r>
        <w:t>Adulte : LCM PC de première intention : 100 mg une fois par jour (en prise matinale ou vespérale, en dehors des repas — à distance de 2 heures des repas pour éviter l'interaction avec les anti-acides gastriques) ; en cas d'absence de réponse à 3 mois (absence de réponse cytogénétique complète) ou de réponse moléculaire à 12 mois, augmentation à 140 mg/j. LCM PA ou PB : 140 mg/j, pouvant être augmenté à 180 mg/j. LAL Ph+ (en association à la chimiothérapie) : 140 mg/j.</w:t>
      </w:r>
    </w:p>
    <w:p>
      <w:pPr>
        <w:pStyle w:val="ListBullet"/>
      </w:pPr>
      <w:r>
        <w:t>Enfant : 60 mg/m²/j (sans dépasser 100 mg/j).</w:t>
      </w:r>
    </w:p>
    <w:p>
      <w:pPr>
        <w:pStyle w:val="ListBullet"/>
      </w:pPr>
      <w:r>
        <w:t>Insuffisance hépatique modérée à sévère : diminution de 25–50 % de la dose.</w:t>
      </w:r>
    </w:p>
    <w:p>
      <w:pPr>
        <w:pStyle w:val="ListBullet"/>
      </w:pPr>
      <w:r>
        <w:t>Insuffisance rénale : pas d'adaptation nécessaire.</w:t>
      </w:r>
    </w:p>
    <w:p>
      <w:pPr>
        <w:pStyle w:val="ListBullet"/>
      </w:pPr>
      <w:r>
        <w:t>Mode d'administration : voie orale stricte, à prendre à heure fixe, en dehors des repas (à jeun strictement, 1 heure avant ou 2 heures après le repas). Les comprimés ne doivent pas être écrasés (amertume, modification de la biodisponibilité). En cas de sonde : dispersion dans 15 mL d'eau pour sonde, rinçage.</w:t>
      </w:r>
    </w:p>
    <w:p>
      <w:pPr>
        <w:pStyle w:val="ListBullet"/>
      </w:pPr>
      <w:r>
        <w:t>Durée du traitement : traitement au long cours indéfini (jusqu'à progression, intolérance ou projet de grossesse). L'arrêt intentionnel (« treatment-free remission ») possible chez les patients en RMm4.5 stable ≥ 2 ans dans le cadre d'essais thérapeutiques.</w:t>
      </w:r>
    </w:p>
    <w:p>
      <w:r/>
      <w:r>
        <w:rPr>
          <w:b/>
        </w:rPr>
        <w:t>Surveillance Biologique et Suivi Clinique :</w:t>
      </w:r>
      <w:r/>
    </w:p>
    <w:p>
      <w:pPr>
        <w:pStyle w:val="ListBullet"/>
      </w:pPr>
      <w:r>
        <w:t>Hématologique : NFS-plaquettes hebdomadaire 2 mois, mensuelle 3 mois, puis trimestrielle.</w:t>
      </w:r>
    </w:p>
    <w:p>
      <w:pPr>
        <w:pStyle w:val="ListBullet"/>
      </w:pPr>
      <w:r>
        <w:t>Hépatique : ALAT, ASAT, bilirubine, PAL mensuels 3 mois puis trimestriels.</w:t>
      </w:r>
    </w:p>
    <w:p>
      <w:pPr>
        <w:pStyle w:val="ListBullet"/>
      </w:pPr>
      <w:r>
        <w:t>Cardiaque : ECG initial et à 3 mois (QTc) ; échographie cardiaque initiale, à 6 et 12 mois (FEVG, recherche d'épanchement péricardique), puis annuelle.</w:t>
      </w:r>
    </w:p>
    <w:p>
      <w:pPr>
        <w:pStyle w:val="ListBullet"/>
      </w:pPr>
      <w:r>
        <w:t>Pulmonaire : examen clinique à chaque consultation ; radiographie thoracique ou scanner en cas de symptôme (toux, dyspnée) ; ponction pleurale si épanchement volumineux.</w:t>
      </w:r>
    </w:p>
    <w:p>
      <w:pPr>
        <w:pStyle w:val="ListBullet"/>
      </w:pPr>
      <w:r>
        <w:t>Moléculaire : BCR-ABL1 RT-qPCR tous les 3 mois (objectif : RMm à 12 mois, RMm4.5 à long terme) ; mutation screen en cas d'échec.</w:t>
      </w:r>
    </w:p>
    <w:p>
      <w:pPr>
        <w:pStyle w:val="ListBullet"/>
      </w:pPr>
      <w:r>
        <w:t>Suivi thérapeutique pharmacologique : utile en cas d'effets indésirables ou d'interactions (objectif : concentration résiduelle dasatinib ~ 2,5–5 ng/mL).</w:t>
      </w:r>
    </w:p>
    <w:p>
      <w:r/>
      <w:r>
        <w:rPr>
          <w:b/>
        </w:rPr>
        <w:t>Arbitrage et Bénéfices des Formes Galéniques :</w:t>
      </w:r>
      <w:r/>
    </w:p>
    <w:p>
      <w:r>
        <w:t>Les dosages 20, 50 et 70 mg permettent une modulation fine de la posologie (100 mg/j = 1 × 70 + 1 × 30 ou 2 × 50 mg ; 140 mg/j = 2 × 70 mg ou 50 + 90 mg). La dose unique journalière (par opposition à l'imatinib et au nilotinib) améliore l'observance. La prise à jeun strictement est essentielle : la prise avec un repas riche en graisses augmente l'ASC de 14 % mais le Cmax de plus de 60 % (risque accru d'effets indésirables digestifs et cardiovasculaires aigus).</w:t>
      </w:r>
    </w:p>
    <w:p>
      <w:r/>
      <w:r>
        <w:rPr>
          <w:b/>
        </w:rPr>
        <w:t>Instructions et Conseils au Patient :</w:t>
      </w:r>
      <w:r/>
    </w:p>
    <w:p>
      <w:pPr>
        <w:pStyle w:val="ListBullet"/>
      </w:pPr>
      <w:r>
        <w:t>Communication : « Le dasatinib est un médicament anticancéreux oral de nouvelle génération, plus puissant que l'imatinib, qui bloque la protéine responsable de votre leucémie. Il se prend une fois par jour, à heure fixe, à jeun (1 heure avant ou 2 heures après un repas). Prévenez immédiatement votre médecin en cas d'essoufflement, de toux sèche persistante, de prise de poids rapide ou d'œdèmes des jambes (risque d'épanchement pleural ou cardiaque), de fièvre, de saignements anormaux, ou de douleurs thoraciques. »</w:t>
      </w:r>
    </w:p>
    <w:p>
      <w:pPr>
        <w:pStyle w:val="ListBullet"/>
      </w:pPr>
      <w:r>
        <w:t>Observance : respect strict de la prise à jeun (espacer repas, anti-acides et IPP de 2 heures).</w:t>
      </w:r>
    </w:p>
    <w:p>
      <w:pPr>
        <w:pStyle w:val="ListBullet"/>
      </w:pPr>
      <w:r>
        <w:t>Alerte : consulter immédiatement en cas de dyspnée, douleur thoracique, palpitations, syncope, faiblesse musculaire.</w:t>
      </w:r>
    </w:p>
    <w:p>
      <w:r/>
      <w:r>
        <w:rPr>
          <w:b/>
        </w:rPr>
        <w:t>Notes, Règles d'Or &amp; Pièges au Comptoir :</w:t>
      </w:r>
      <w:r/>
    </w:p>
    <w:p>
      <w:pPr>
        <w:pStyle w:val="ListBullet"/>
      </w:pPr>
      <w:r>
        <w:t>Piège : l'épanchement pleural est l'effet indésirable signature du dasatinib ; il peut survenir des mois à années après l'initiation et nécessite une recherche systématique par auscultation à chaque consultation.</w:t>
      </w:r>
    </w:p>
    <w:p>
      <w:pPr>
        <w:pStyle w:val="ListBullet"/>
      </w:pPr>
      <w:r>
        <w:t>Piège : la prise au cours d'un repas (surtout riche en graisses) augmente le Cmax et le risque d'effets aigus ; insister sur la prise à jeun.</w:t>
      </w:r>
    </w:p>
    <w:p>
      <w:pPr>
        <w:pStyle w:val="ListBullet"/>
      </w:pPr>
      <w:r>
        <w:t>Règle : le dasatinib reste actif sur la plupart des mutations de résistance à l'imatinib, mais pas sur T315I (réservé au ponatinib).</w:t>
      </w:r>
    </w:p>
    <w:p>
      <w:pPr>
        <w:pStyle w:val="ListBullet"/>
      </w:pPr>
      <w:r>
        <w:t>Règle : éviter chez le patient âgé fragile ou avec antécédents cardiaques (préférer nilotinib ou imatinib).</w:t>
      </w:r>
    </w:p>
    <w:p>
      <w:pPr>
        <w:pStyle w:val="ListBullet"/>
      </w:pPr>
      <w:r>
        <w:t>Piège : l'association à un inhibiteur puissant du CYP3A4 (kétoconazole, ritonavir) impose une réduction de dose de moitié à tiers ; l'association à un inducteur (rifampicine) doit être évitée.</w:t>
      </w:r>
    </w:p>
    <w:p>
      <w:pPr>
        <w:pStyle w:val="ListBullet"/>
      </w:pPr>
      <w:r>
        <w:t>Règle : contraception obligatoire, y compris chez le partenaire masculin.</w:t>
      </w:r>
    </w:p>
    <w:p>
      <w:pPr>
        <w:pStyle w:val="Heading3"/>
      </w:pPr>
      <w:r>
        <w:t>104.2.2 DCI : Nilotinib</w:t>
      </w:r>
    </w:p>
    <w:p>
      <w:r/>
      <w:r>
        <w:rPr>
          <w:b/>
        </w:rPr>
        <w:t>Liste des Catégories :</w:t>
      </w:r>
      <w:r>
        <w:t xml:space="preserve"> Antinéoplasiques ; Inhibiteur de tyrosine kinase ; ITK BCR-ABL de 2e génération ; Liste I.</w:t>
      </w:r>
    </w:p>
    <w:p>
      <w:r>
        <w:t>Le nilotinib est un ITK de 2e génération, dérivé de l'imatinib par optimisation structurale (substitution du groupement N-méthyl-pipérazine), environ 30 fois plus puissant que l'imatinib sur BCR-ABL1. Il est indiqué dans la LCM Ph+ en phase chronique ou accélérée, en première ligne ou après échec/intolérance à l'imatinib. Son profil d'effets indésirables est dominé par l'allongement du QTc, le risque d'événements vasculaires artériels (syndromes coronariens, AVC ischémiques, artériopathies des membres inférieurs), la pancréatite aiguë et les cytopénies. Sa prise doit être strictement à jeun (2 heures avant ou 1 heure après un repas) en raison d'une augmentation majeure de l'ASC lorsqu'il est pris avec un repas riche en graisses.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ORION NILOTINIB</w:t>
            </w:r>
          </w:p>
        </w:tc>
        <w:tc>
          <w:tcPr>
            <w:tcW w:type="dxa" w:w="1559"/>
          </w:tcPr>
          <w:p>
            <w:r>
              <w:rPr>
                <w:sz w:val="20"/>
              </w:rPr>
              <w:t>ORION LAB</w:t>
            </w:r>
          </w:p>
        </w:tc>
        <w:tc>
          <w:tcPr>
            <w:tcW w:type="dxa" w:w="1559"/>
          </w:tcPr>
          <w:p>
            <w:r>
              <w:rPr>
                <w:sz w:val="20"/>
              </w:rPr>
              <w:t>Gélule 200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NILODES</w:t>
            </w:r>
          </w:p>
        </w:tc>
        <w:tc>
          <w:tcPr>
            <w:tcW w:type="dxa" w:w="1559"/>
          </w:tcPr>
          <w:p>
            <w:r>
              <w:rPr>
                <w:sz w:val="20"/>
              </w:rPr>
              <w:t>DEMOCEDES PHARMA ALGERIE</w:t>
            </w:r>
          </w:p>
        </w:tc>
        <w:tc>
          <w:tcPr>
            <w:tcW w:type="dxa" w:w="1559"/>
          </w:tcPr>
          <w:p>
            <w:r>
              <w:rPr>
                <w:sz w:val="20"/>
              </w:rPr>
              <w:t>Gélule 150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NILODES</w:t>
            </w:r>
          </w:p>
        </w:tc>
        <w:tc>
          <w:tcPr>
            <w:tcW w:type="dxa" w:w="1559"/>
          </w:tcPr>
          <w:p>
            <w:r>
              <w:rPr>
                <w:sz w:val="20"/>
              </w:rPr>
              <w:t>DEMOCEDES PHARMA ALGERIE</w:t>
            </w:r>
          </w:p>
        </w:tc>
        <w:tc>
          <w:tcPr>
            <w:tcW w:type="dxa" w:w="1559"/>
          </w:tcPr>
          <w:p>
            <w:r>
              <w:rPr>
                <w:sz w:val="20"/>
              </w:rPr>
              <w:t>Gélule 200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TASIGNA</w:t>
            </w:r>
          </w:p>
        </w:tc>
        <w:tc>
          <w:tcPr>
            <w:tcW w:type="dxa" w:w="1559"/>
          </w:tcPr>
          <w:p>
            <w:r>
              <w:rPr>
                <w:sz w:val="20"/>
              </w:rPr>
              <w:t>NOVARTIS PHARMA SCHWEIZ AG</w:t>
            </w:r>
          </w:p>
        </w:tc>
        <w:tc>
          <w:tcPr>
            <w:tcW w:type="dxa" w:w="1559"/>
          </w:tcPr>
          <w:p>
            <w:r>
              <w:rPr>
                <w:sz w:val="20"/>
              </w:rPr>
              <w:t>Gélule 200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TASIGNA</w:t>
            </w:r>
          </w:p>
        </w:tc>
        <w:tc>
          <w:tcPr>
            <w:tcW w:type="dxa" w:w="1559"/>
          </w:tcPr>
          <w:p>
            <w:r>
              <w:rPr>
                <w:sz w:val="20"/>
              </w:rPr>
              <w:t>NOVARTIS PHARMA SCHWEIZ AG</w:t>
            </w:r>
          </w:p>
        </w:tc>
        <w:tc>
          <w:tcPr>
            <w:tcW w:type="dxa" w:w="1559"/>
          </w:tcPr>
          <w:p>
            <w:r>
              <w:rPr>
                <w:sz w:val="20"/>
              </w:rPr>
              <w:t>Gélule 150 mg</w:t>
            </w:r>
          </w:p>
        </w:tc>
        <w:tc>
          <w:tcPr>
            <w:tcW w:type="dxa" w:w="1559"/>
          </w:tcPr>
          <w:p>
            <w:r>
              <w:rPr>
                <w:sz w:val="20"/>
              </w:rPr>
              <w:t>B/112</w:t>
            </w:r>
          </w:p>
        </w:tc>
        <w:tc>
          <w:tcPr>
            <w:tcW w:type="dxa" w:w="1559"/>
          </w:tcPr>
          <w:p>
            <w:r>
              <w:rPr>
                <w:sz w:val="20"/>
              </w:rPr>
              <w:t>Liste I</w:t>
            </w:r>
          </w:p>
        </w:tc>
        <w:tc>
          <w:tcPr>
            <w:tcW w:type="dxa" w:w="1559"/>
          </w:tcPr>
          <w:p>
            <w:r>
              <w:rPr>
                <w:sz w:val="20"/>
              </w:rPr>
              <w:t>Actif</w:t>
            </w:r>
          </w:p>
        </w:tc>
      </w:tr>
      <w:tr>
        <w:tc>
          <w:tcPr>
            <w:tcW w:type="dxa" w:w="1559"/>
          </w:tcPr>
          <w:p>
            <w:r>
              <w:rPr>
                <w:sz w:val="20"/>
              </w:rPr>
              <w:t>TASINIB</w:t>
            </w:r>
          </w:p>
        </w:tc>
        <w:tc>
          <w:tcPr>
            <w:tcW w:type="dxa" w:w="1559"/>
          </w:tcPr>
          <w:p>
            <w:r>
              <w:rPr>
                <w:sz w:val="20"/>
              </w:rPr>
              <w:t>BIOPHARM</w:t>
            </w:r>
          </w:p>
        </w:tc>
        <w:tc>
          <w:tcPr>
            <w:tcW w:type="dxa" w:w="1559"/>
          </w:tcPr>
          <w:p>
            <w:r>
              <w:rPr>
                <w:sz w:val="20"/>
              </w:rPr>
              <w:t>Gélule 200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princeps TASIGNA (Novartis) coexiste avec les génériques NILODES (Democedes), ORION NILOTINIB (Orion Lab) et TASINIB (Biopharm). Le dosage 150 mg (pour adaptation posologique et initiation pédiatrique) n'est disponible que sous TASIGNA et NILODES ; le dosage 200 mg (dose standard) est disponible sous les quatre marques.</w:t>
      </w:r>
    </w:p>
    <w:p>
      <w:r/>
      <w:r>
        <w:rPr>
          <w:b/>
        </w:rPr>
        <w:t>Sous-classe et Mécanisme d'action :</w:t>
      </w:r>
      <w:r/>
    </w:p>
    <w:p>
      <w:pPr>
        <w:pStyle w:val="ListBullet"/>
      </w:pPr>
      <w:r>
        <w:t>Sous-classe : ITK BCR-ABL1 de 2e génération, classe des phénylaminopyrimidines (comme l'imatinib, dont il est dérivé).</w:t>
      </w:r>
    </w:p>
    <w:p>
      <w:pPr>
        <w:pStyle w:val="ListBullet"/>
      </w:pPr>
      <w:r>
        <w:t>Mécanisme d'action : inhibition compétitive, réversible et ATP-mimétique de l'activité tyrosine kinase de BCR-ABL1 (puissance 30× supérieure à l'imatinib), avec une sélectivité supérieure pour la conformation inactive (DFG-out) de la kinase. Le nilotinib occupe la poche de liaison de l'ATP dans le domaine catalytique de BCR-ABL1, empêchant la phosphorylation constitutive des substrats (CRKL, STAT5). Actif sur la plupart des mutations de résistance à l'imatinib (Y253H, E255K/V, M351T, F359V, F311L, etc.) à l'exception de T315I (résistance absolue) et de certaines mutations rares (E255V, Y253H à dose élevée). Inhibiteur également de PDGFR, c-KIT, Ephrin et DDR1/2, mais avec une moindre puissance que l'imatinib sur ces cibles, ce qui explique l'absence d'efficacité démontrée dans les GIST.</w:t>
      </w:r>
    </w:p>
    <w:p>
      <w:r/>
      <w:r>
        <w:rPr>
          <w:b/>
        </w:rPr>
        <w:t>Profil Pharmacologique :</w:t>
      </w:r>
      <w:r/>
    </w:p>
    <w:p>
      <w:pPr>
        <w:pStyle w:val="ListBullet"/>
      </w:pPr>
      <w:r>
        <w:t>Indications : (1) LCM Ph+ phase chronique en première intention (alternative à l'imatinib et au dasatinib, particulièrement indiqué chez les patients à haut risque de progression ou en cas de projet de grossesse futur) ; (2) LCM Ph+ PC ou PA après échec ou intolérance à l'imatinib.</w:t>
      </w:r>
    </w:p>
    <w:p>
      <w:pPr>
        <w:pStyle w:val="ListBullet"/>
      </w:pPr>
      <w:r>
        <w:t>Contre-indications : Hypersensibilité au nilotinib ; allongement du QTc acquis ou congénital (y compris syndrome du QT long) ; hypokaliémie, hypomagnésémie non corrigées ; grossesse (CI absolue) ; allaitement (CI absolue) ; antécédents d'infarctus du myocarde, d'AVC ischémique ou d'artériopathie oblitérante des membres inférieurs (CI relative, à discuter). Précautions : insuffisance hépatique, pancréatite antérieure, diabète.</w:t>
      </w:r>
    </w:p>
    <w:p>
      <w:pPr>
        <w:pStyle w:val="ListBullet"/>
      </w:pPr>
      <w:r>
        <w:t>Effets Indésirables : Très fréquents : céphalées, nausées, constipation, rash, prurit, alopécie, fatigue, myalgies, arthralgies. Fréquents : cytopénies (neutropénie grade 3/4 : 10–20 % ; thrombopénie ; anémie), allongement du QTc (&gt; 450 ms chez l'homme, &gt; 470 ms chez la femme, allongement de 5–15 ms en moyenne), élévation des transaminases (ALAT, ASAT), hyperbilirubinémie (syndrome de Gilbert décompensé), hyperglycémie, hyperlipidémie, pancréatite aiguë (rare mais grave), événements vasculaires artériels (infarctus du myocarde 2–5 %, AVC ischémique 1–3 %, artériopathie oblitérante des membres inférieurs 1–2 % — risque cumulatif augmentant avec la durée d'exposition, particulièrement chez les patients à risque cardiovasculaire). Peu fréquents : épanchement péricardique (moins fréquent qu'avec le dasatinib), SAID (syndrome d'apnées du sommeil, éruption acneiforme), hyperamylasémie, hypophosphatémie. Rares : leuco-encéphalopathie, hémorragie, syndrome de lyse tumorale.</w:t>
      </w:r>
    </w:p>
    <w:p>
      <w:r/>
      <w:r>
        <w:rPr>
          <w:b/>
        </w:rPr>
        <w:t>Prévention et Gestion des Effets Indésirables :</w:t>
      </w:r>
      <w:r/>
    </w:p>
    <w:p>
      <w:pPr>
        <w:pStyle w:val="ListBullet"/>
      </w:pPr>
      <w:r>
        <w:t>Mesures Préventives : ECG initial avec QTc calculé (correction Bazett ou Fridericia) ; contrôle et correction de la kaliémie (&gt; 4 mmol/L) et de la magnésémie (&gt; 0,8 mmol/L) avant initiation ; ECG à 7 jours après initiation, puis mensuel 3 mois, puis trimestriel ; bilan hépatique (ALAT, ASAT, bilirubine, PAL) mensuel 3 mois puis trimestriel ; NFS-plaquettes mensuelle 3 mois puis trimestrielle ; lipides, glycémie, amylase/lipase initialement puis trimestrielle ; évaluation du risque cardiovasculaire (score SCORE2) chez tous les patients, optimisation des facteurs de risque (arrêt du tabac, contrôle de l'HTA, statine si LDL élevé, contrôle du diabète).</w:t>
      </w:r>
    </w:p>
    <w:p>
      <w:pPr>
        <w:pStyle w:val="ListBullet"/>
      </w:pPr>
      <w:r>
        <w:t>Conduite à Tenir : Allongement du QTc &gt; 480 ms : interruption, correction des troubles ioniques, ECG de contrôle, recherche de causes favorisantes (autres médicaments allongeant le QT, bradycardie, hypothyroïdie), reprise à dose réduite (400 → 300 mg × 2/j) ou switch vers dasatinib ou imatinib. Pancréatite aiguë (amylase/lipase &gt; 3× LSN avec douleurs abdominales) : arrêt définitif, hospitalisation. Événement vasculaire artériel : arrêt définitif, switch vers imatinib ou dasatinib (à discuter selon profil). Hyperbilirubinémie isolée sans cytolyse (syndrome de Gilbert décompensé par inhibition UGT1A1) : poursuivre si asymptomatique, surveillance. Cytopénies grade 3/4 : interruption 1–2 semaines, reprise à dose réduite.</w:t>
      </w:r>
    </w:p>
    <w:p>
      <w:r/>
      <w:r>
        <w:rPr>
          <w:b/>
        </w:rPr>
        <w:t>Interactions Médicamenteuses :</w:t>
      </w:r>
      <w:r/>
    </w:p>
    <w:p>
      <w:pPr>
        <w:pStyle w:val="ListBullet"/>
      </w:pPr>
      <w:r>
        <w:t>CYP3A4 (métabolisme principal) : inducteurs enzymatiques (rifampicine → ASC nilotinib réduite de ~80 %, à éviter ; phénytoïne, carbamazépine, phénobarbital, millepertuis) → baisse majeure. Inhibiteurs (kétoconazole → ASC ×3 ; itraconazole, voriconazole, posaconazole, clarithromycine, érythromycine, ritonavir) → augmentation, réduire la dose de nilotinib de moitié à tiers.</w:t>
      </w:r>
    </w:p>
    <w:p>
      <w:pPr>
        <w:pStyle w:val="ListBullet"/>
      </w:pPr>
      <w:r>
        <w:t>Allongement du QTc : association CONTRE-INDIQUÉE avec les médicaments allongeant significativement le QT (amiodarone, sotalol, ibutilide, dofetilide, quinidine, disopyramide ; halopéridol, dropéridol, pimozide, chlorpromazine ; érythromycine IV, clarithromycine, moxifloxacine ; méthadone, cisapride, dompéridone, ondansétron IV). Vérifier systématiquement la liste des médicaments concomitants avant initiation.</w:t>
      </w:r>
    </w:p>
    <w:p>
      <w:pPr>
        <w:pStyle w:val="ListBullet"/>
      </w:pPr>
      <w:r>
        <w:t>Substrats à index thérapeutique étroit : le nilotinib est inhibiteur compétitif du CYP3A4, du CYP2C9, du CYP2D6 et de la P-gp ; surveillance avec les antivitamines K (HBPM préférentielle), les statines (simvastatine, atorvastatine), la cyclosporine, le tacrolimus, le sirolimus, la digoxine, le dabigatran, le méthotrexate.</w:t>
      </w:r>
    </w:p>
    <w:p>
      <w:pPr>
        <w:pStyle w:val="ListBullet"/>
      </w:pPr>
      <w:r>
        <w:t>Anti-acides (IPP, anti-H2) : contrairement au dasatinib, le nilotinib n'est pas dégradé en milieu acide ; pas d'interaction notable.</w:t>
      </w:r>
    </w:p>
    <w:p>
      <w:pPr>
        <w:pStyle w:val="ListBullet"/>
      </w:pPr>
      <w:r>
        <w:t>Alimentation : la prise avec un repas riche en graisses augmente l'ASC de 80 % et le Cmax de 100 %, exposant à un surdosage et à un risque accru d'allongement du QTc et d'événements cardiovasculaires — la prise doit être strictement à jeun (2 heures avant ou 1 heure après un repas). Le pamplemousse est CONTRE-INDIQUÉ (inhibiteur du CYP3A4 intestinal).</w:t>
      </w:r>
    </w:p>
    <w:p>
      <w:r/>
      <w:r>
        <w:rPr>
          <w:b/>
        </w:rPr>
        <w:t>Grossesse et Allaitement :</w:t>
      </w:r>
      <w:r/>
    </w:p>
    <w:p>
      <w:pPr>
        <w:pStyle w:val="ListBullet"/>
      </w:pPr>
      <w:r>
        <w:t>Grossesse : CONTRE-INDICATION ABSOLUE. Tératogénicité chez l'animal (anomalies squelettiques, cardiovasculaires). Contraception efficace obligatoire (double méthode) pendant le traitement et 14 jours après l'arrêt. Le partenaire masculin doit utiliser une contraception pendant le traitement. En cas de projet de grossesse chez une femme LCM en réponse moléculaire profonde et stable : arrêt du nilotinib avec switch vers l'interféron alpha pendant la grossesse.</w:t>
      </w:r>
    </w:p>
    <w:p>
      <w:pPr>
        <w:pStyle w:val="ListBullet"/>
      </w:pPr>
      <w:r>
        <w:t>Allaitement : CONTRE-INDICATION ABSOLUE. Allaitement à interrompre pendant le traitement.</w:t>
      </w:r>
    </w:p>
    <w:p>
      <w:r/>
      <w:r>
        <w:rPr>
          <w:b/>
        </w:rPr>
        <w:t>Posologie et Mode d'administration (Standard) :</w:t>
      </w:r>
      <w:r/>
    </w:p>
    <w:p>
      <w:pPr>
        <w:pStyle w:val="ListBullet"/>
      </w:pPr>
      <w:r>
        <w:t>Adulte : LCM PC de première intention : 300 mg × 2/j (soit 600 mg/j), à prendre à 12 heures d'intervalle, strictement à jeun (2 heures avant ou 1 heure après un repas). LCM PC ou PA après échec de l'imatinib : 400 mg × 2/j (soit 800 mg/j). En cas de réponse moléculaire profonde stable (RMm4.5) ≥ 2 ans, discussion d'une réduction de dose à 300 mg × 2/j en entretien.</w:t>
      </w:r>
    </w:p>
    <w:p>
      <w:pPr>
        <w:pStyle w:val="ListBullet"/>
      </w:pPr>
      <w:r>
        <w:t>Enfant : 230 mg/m² × 2/j (sans dépasser 400 mg × 2/j).</w:t>
      </w:r>
    </w:p>
    <w:p>
      <w:pPr>
        <w:pStyle w:val="ListBullet"/>
      </w:pPr>
      <w:r>
        <w:t>Insuffisance hépatique modérée à sévère : diminution de 50 % de la dose initiale.</w:t>
      </w:r>
    </w:p>
    <w:p>
      <w:pPr>
        <w:pStyle w:val="ListBullet"/>
      </w:pPr>
      <w:r>
        <w:t>Insuffisance rénale : pas d'adaptation nécessaire.</w:t>
      </w:r>
    </w:p>
    <w:p>
      <w:pPr>
        <w:pStyle w:val="ListBullet"/>
      </w:pPr>
      <w:r>
        <w:t>Mode d'administration : voie orale stricte, à prendre à heure fixe (matin et soir), à jeun strictement. Les gélules ne doivent pas être ouvertes ni écrasées. En cas de sonde : ne pas disperser (la formulation gélule ne s'y prête pas).</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Hématologique : NFS-plaquettes mensuelle 3 mois puis trimestrielle.</w:t>
      </w:r>
    </w:p>
    <w:p>
      <w:pPr>
        <w:pStyle w:val="ListBullet"/>
      </w:pPr>
      <w:r>
        <w:t>Hépatique : ALAT, ASAT, bilirubine totale et directe, PAL, γ-GT mensuels 3 mois puis trimestriels.</w:t>
      </w:r>
    </w:p>
    <w:p>
      <w:pPr>
        <w:pStyle w:val="ListBullet"/>
      </w:pPr>
      <w:r>
        <w:t>Métabolique : glycémie, HbA1c, bilan lipidique (cholestérol total, LDL, HDL, triglycérides), amylase, lipase initialement puis trimestriels.</w:t>
      </w:r>
    </w:p>
    <w:p>
      <w:pPr>
        <w:pStyle w:val="ListBullet"/>
      </w:pPr>
      <w:r>
        <w:t>Cardiaque : ECG avec QTc initial, à 7 jours, mensuel 3 mois, puis trimestriel pendant la première année, puis semestriel ; échographie cardiaque initiale puis annuelle.</w:t>
      </w:r>
    </w:p>
    <w:p>
      <w:pPr>
        <w:pStyle w:val="ListBullet"/>
      </w:pPr>
      <w:r>
        <w:t>Vasculaire : évaluation du risque cardiovasculaire (SCORE2) initialement et annuellement ; palpation des pouls périphériques, mesure de l'index de pression systolique (IPS) si suspicion d'artériopathie.</w:t>
      </w:r>
    </w:p>
    <w:p>
      <w:pPr>
        <w:pStyle w:val="ListBullet"/>
      </w:pPr>
      <w:r>
        <w:t>Moléculaire : BCR-ABL1 RT-qPCR tous les 3 mois.</w:t>
      </w:r>
    </w:p>
    <w:p>
      <w:pPr>
        <w:pStyle w:val="ListBullet"/>
      </w:pPr>
      <w:r>
        <w:t>Suivi thérapeutique pharmacologique : utile en cas de non-réponse ou d'effets indésirables.</w:t>
      </w:r>
    </w:p>
    <w:p>
      <w:r/>
      <w:r>
        <w:rPr>
          <w:b/>
        </w:rPr>
        <w:t>Arbitrage et Bénéfices des Formes Galéniques :</w:t>
      </w:r>
      <w:r/>
    </w:p>
    <w:p>
      <w:r>
        <w:t>Les dosages 150 et 200 mg permettent une modulation fine de la posologie (300 mg = 1×150 + 1×150 ; 400 mg = 2×200 ; 600 mg = 3×200 ; 800 mg = 4×200). La forme gélule protège la molécule de l'amertume et de la dégradation, mais interdit l'écrasement. Le conditionnement B/28 (4 semaines) facilite l'observance mensuelle. La prise biquotidienne à 12 heures d'intervalle est plus contraignante que la monoprise de l'imatinib ou du dasatinib.</w:t>
      </w:r>
    </w:p>
    <w:p>
      <w:r/>
      <w:r>
        <w:rPr>
          <w:b/>
        </w:rPr>
        <w:t>Instructions et Conseils au Patient :</w:t>
      </w:r>
      <w:r/>
    </w:p>
    <w:p>
      <w:pPr>
        <w:pStyle w:val="ListBullet"/>
      </w:pPr>
      <w:r>
        <w:t>Communication : « Le nilotinib est un médicament anticancéreux oral de nouvelle génération, plus puissant que l'imatinib, qui bloque spécifiquement la protéine responsable de votre leucémie. Il se prend deux fois par jour, à 12 heures d'intervalle, strictement à jeun (2 heures avant ou 1 heure après un repas — ne jamais le prendre pendant ou juste après un repas, car cela augmente fortement ses concentrations sanguines et le risque d'effets cardiaques). Prévenez immédiatement votre médecin en cas de douleurs thoraciques, de faiblesse musculaire d'un côté du corps, de troubles du langage, de douleurs aux mollets à la marche (risque vasculaire), de palpitations, de douleurs abdominales intenses (risque de pancréatite), ou de fièvre. »</w:t>
      </w:r>
    </w:p>
    <w:p>
      <w:pPr>
        <w:pStyle w:val="ListBullet"/>
      </w:pPr>
      <w:r>
        <w:t>Observance : respect strict de la prise à jeun (c'est la condition essentielle pour éviter le surdosage).</w:t>
      </w:r>
    </w:p>
    <w:p>
      <w:pPr>
        <w:pStyle w:val="ListBullet"/>
      </w:pPr>
      <w:r>
        <w:t>Prévention cardiovasculaire : arrêt du tabac, alimentation équilibrée, activité physique régulière, contrôle de l'HTA et du diabète, statine si LDL élevé.</w:t>
      </w:r>
    </w:p>
    <w:p>
      <w:r/>
      <w:r>
        <w:rPr>
          <w:b/>
        </w:rPr>
        <w:t>Notes, Règles d'Or &amp; Pièges au Comptoir :</w:t>
      </w:r>
      <w:r/>
    </w:p>
    <w:p>
      <w:pPr>
        <w:pStyle w:val="ListBullet"/>
      </w:pPr>
      <w:r>
        <w:t>Piège majeur : la prise au cours d'un repas double l'ASC et le Cmax, exposant à un risque majeur d'allongement du QTc et d'événement vasculaire — insister sur la prise à jeun.</w:t>
      </w:r>
    </w:p>
    <w:p>
      <w:pPr>
        <w:pStyle w:val="ListBullet"/>
      </w:pPr>
      <w:r>
        <w:t>Piège : oublier de vérifier les autres médicaments allongeant le QT (antiémétiques, antidépresseurs, antipsychotiques, antibiotiques) avant initiation.</w:t>
      </w:r>
    </w:p>
    <w:p>
      <w:pPr>
        <w:pStyle w:val="ListBullet"/>
      </w:pPr>
      <w:r>
        <w:t>Règle : le nilotinib est à éviter chez le patient avec antécédent d'infarctus du myocarme, d'AVC, d'artériopathie des membres inférieurs ou de diabète mal contrôlé (préférer imatinib).</w:t>
      </w:r>
    </w:p>
    <w:p>
      <w:pPr>
        <w:pStyle w:val="ListBullet"/>
      </w:pPr>
      <w:r>
        <w:t>Règle : le nilotinib reste actif sur la plupart des mutations de résistance à l'imatinib, mais pas sur T315I (réservé au ponatinib).</w:t>
      </w:r>
    </w:p>
    <w:p>
      <w:pPr>
        <w:pStyle w:val="ListBullet"/>
      </w:pPr>
      <w:r>
        <w:t>Piège : l'hyperbilirubinémie isolée sans cytolyse n'est pas un signe d'hépatite mais l'expression d'un syndrome de Gilbert décompensé par l'inhibition de l'UGT1A1 (bilirubine conjuguée &lt; 20 %) — ne pas arrêter systématiquement.</w:t>
      </w:r>
    </w:p>
    <w:p>
      <w:pPr>
        <w:pStyle w:val="ListBullet"/>
      </w:pPr>
      <w:r>
        <w:t>Surveillance : l'évaluation du risque cardiovasculaire doit être systématique à l'initiation.</w:t>
      </w:r>
    </w:p>
    <w:p>
      <w:pPr>
        <w:pStyle w:val="Heading3"/>
      </w:pPr>
      <w:r>
        <w:t>104.2.3 DCI : Bosutinib</w:t>
      </w:r>
    </w:p>
    <w:p>
      <w:r/>
      <w:r>
        <w:rPr>
          <w:b/>
        </w:rPr>
        <w:t>Liste des Catégories :</w:t>
      </w:r>
      <w:r>
        <w:t xml:space="preserve"> Antinéoplasiques ; Inhibiteur de tyrosine kinase ; ITK BCR-ABL/SRC/LYN de 3e génération ; Liste I.</w:t>
      </w:r>
    </w:p>
    <w:p>
      <w:r>
        <w:t>Le bosutinib est un ITK de 3e génération, quinoléine-quinazoline, indiqué dans la LCM Ph+ en phase chronique, accélérée ou blastique après échec ou intolérance à au moins deux ITK (imatinib + dasatinib ou nilotinib). Il inhibe BCR-ABL1, SRC, LYN et, à un moindre degré, KIT, PDGFR et EPHA2. Son profil d'effets indésirables est marqué par une diarrhée (très fréquente), des éruptions cutanées et une hépatotoxicité (cytolyse précoce dans 20 % des cas, avec parfois élévation majeure des transaminases dans les premières semaines). Il n'est pas actif sur la mutation T315I.</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XORIAN</w:t>
            </w:r>
          </w:p>
        </w:tc>
        <w:tc>
          <w:tcPr>
            <w:tcW w:type="dxa" w:w="1559"/>
          </w:tcPr>
          <w:p>
            <w:r>
              <w:rPr>
                <w:sz w:val="20"/>
              </w:rPr>
              <w:t>HIKMA PHARMA ALGERIA</w:t>
            </w:r>
          </w:p>
        </w:tc>
        <w:tc>
          <w:tcPr>
            <w:tcW w:type="dxa" w:w="1559"/>
          </w:tcPr>
          <w:p>
            <w:r>
              <w:rPr>
                <w:sz w:val="20"/>
              </w:rPr>
              <w:t>Comprimé pelliculé 100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XORIAN</w:t>
            </w:r>
          </w:p>
        </w:tc>
        <w:tc>
          <w:tcPr>
            <w:tcW w:type="dxa" w:w="1559"/>
          </w:tcPr>
          <w:p>
            <w:r>
              <w:rPr>
                <w:sz w:val="20"/>
              </w:rPr>
              <w:t>HIKMA PHARMA ALGERIA</w:t>
            </w:r>
          </w:p>
        </w:tc>
        <w:tc>
          <w:tcPr>
            <w:tcW w:type="dxa" w:w="1559"/>
          </w:tcPr>
          <w:p>
            <w:r>
              <w:rPr>
                <w:sz w:val="20"/>
              </w:rPr>
              <w:t>Comprimé pelliculé 500 mg</w:t>
            </w:r>
          </w:p>
        </w:tc>
        <w:tc>
          <w:tcPr>
            <w:tcW w:type="dxa" w:w="1559"/>
          </w:tcPr>
          <w:p>
            <w:r>
              <w:rPr>
                <w:sz w:val="20"/>
              </w:rPr>
              <w:t>B/28</w:t>
            </w:r>
          </w:p>
        </w:tc>
        <w:tc>
          <w:tcPr>
            <w:tcW w:type="dxa" w:w="1559"/>
          </w:tcPr>
          <w:p>
            <w:r>
              <w:rPr>
                <w:sz w:val="20"/>
              </w:rPr>
              <w:t>Liste I</w:t>
            </w:r>
          </w:p>
        </w:tc>
        <w:tc>
          <w:tcPr>
            <w:tcW w:type="dxa" w:w="1559"/>
          </w:tcPr>
          <w:p>
            <w:r>
              <w:rPr>
                <w:sz w:val="20"/>
              </w:rPr>
              <w:t>Actif</w:t>
            </w:r>
          </w:p>
        </w:tc>
      </w:tr>
    </w:tbl>
    <w:p/>
    <w:p>
      <w:r>
        <w:t>Le bosutinib n'est disponible en Algérie que sous une seule marque (XORIAN, Hikma) à deux dosages (100 et 500 mg). Le dosage 400 mg (dose standard initiale) n'est pas disponible dans la nomenclature, ce qui impose le recours à 4 × 100 mg ou 500 mg (dose réduite en cas d'insuffisance hépatique). Les dosages 100 et 500 mg permettent l'adaptation posologique (300, 400, 500, 600 mg/j).</w:t>
      </w:r>
    </w:p>
    <w:p>
      <w:r/>
      <w:r>
        <w:rPr>
          <w:b/>
        </w:rPr>
        <w:t>Sous-classe et Mécanisme d'action :</w:t>
      </w:r>
      <w:r/>
    </w:p>
    <w:p>
      <w:pPr>
        <w:pStyle w:val="ListBullet"/>
      </w:pPr>
      <w:r>
        <w:t>Sous-classe : ITK BCR-ABL1 de 3e génération, classe des quinoléine-quinazolines.</w:t>
      </w:r>
    </w:p>
    <w:p>
      <w:pPr>
        <w:pStyle w:val="ListBullet"/>
      </w:pPr>
      <w:r>
        <w:t>Mécanisme d'action : inhibition compétitive de l'activité tyrosine kinase de BCR-ABL1 (puissance ~30× supérieure à l'imatinib), de SRC (proto-oncogène non récepteur), de LYN et, à un moindre degré, de KIT, PDGFR et EPHA2. Le bosutinib se lie à la conformation active (DFG-in) de la kinase. Il n'a pas d'activité significative sur PDGFR ni sur c-KIT (contrairement à l'imatinib), ce qui explique l'absence d'œdèmes péri-orbitaires et d'épanchements pleuraux. Actif sur la plupart des mutations de résistance à l'imatinib, sauf T315I, ainsi que sur certaines mutations de résistance au dasatinib et au nilotinib (V299L, F317L). Le blocage de SRC et LYN inhibe la migration et la survie cellulaire.</w:t>
      </w:r>
    </w:p>
    <w:p>
      <w:r/>
      <w:r>
        <w:rPr>
          <w:b/>
        </w:rPr>
        <w:t>Profil Pharmacologique :</w:t>
      </w:r>
      <w:r/>
    </w:p>
    <w:p>
      <w:pPr>
        <w:pStyle w:val="ListBullet"/>
      </w:pPr>
      <w:r>
        <w:t>Indications : (1) LCM Ph+ phase chronique après échec ou intolérance à au moins deux ITK antérieurs ; (2) LCM Ph+ phase accélérée ou blastique après échec ou intolérance à au moins un ITK antérieur.</w:t>
      </w:r>
    </w:p>
    <w:p>
      <w:pPr>
        <w:pStyle w:val="ListBullet"/>
      </w:pPr>
      <w:r>
        <w:t>Contre-indications : Hypersensibilité au bosutinib. Précautions : insuffisance hépatique (adaptation posologique), diarrhée sévère (adaptation), allongement du QTc, antécédents de pancréatite, grossesse (CI absolue), allaitement (CI absolue).</w:t>
      </w:r>
    </w:p>
    <w:p>
      <w:pPr>
        <w:pStyle w:val="ListBullet"/>
      </w:pPr>
      <w:r>
        <w:t>Effets Indésirables : Très fréquents : diarrhée (70–85 %, souvent dans les premiers jours, parfois sévère avec déshydratation), nausées, vomissements, douleurs abdominales, rash (35–45 %, parfois sévère), céphalées, fatigue, asthénie. Fréquents : cytopénies (neutropénie grade 3/4 : 15–25 % ; thrombopénie ; anémie), élévation majeure des transaminases (ALAT, ASAT &gt; 5× LSN : 20 % des cas dans les 12 premières semaines, parfois avec hépatotoxicité aiguë sévère), hyperbilirubinémie, allongement du QTc, pancréatite aiguë (rare mais grave), infections (pneumonies, herpès), hypophosphatémie, élévations des lipases et amylases. Peu fréquents : épanchement péricardique, pneumopathie interstitielle, syndrome de lyse tumorale, hémorragie.</w:t>
      </w:r>
    </w:p>
    <w:p>
      <w:r/>
      <w:r>
        <w:rPr>
          <w:b/>
        </w:rPr>
        <w:t>Prévention et Gestion des Effets Indésirables :</w:t>
      </w:r>
      <w:r/>
    </w:p>
    <w:p>
      <w:pPr>
        <w:pStyle w:val="ListBullet"/>
      </w:pPr>
      <w:r>
        <w:t>Mesures Préventives : Bilan hépatique (ALAT, ASAT, bilirubine, PAL, γ-GT) initial, puis mensuel 3 mois (surveillance rapprochée dans les 12 premières semaines), puis trimestriel ; NFS-plaquettes mensuelle 3 mois puis trimestrielle ; ionogramme, urée, créatinine, lipase, amylase initiaux puis trimestriels ; ECG initial (QTc).</w:t>
      </w:r>
    </w:p>
    <w:p>
      <w:pPr>
        <w:pStyle w:val="ListBullet"/>
      </w:pPr>
      <w:r>
        <w:t>Conduite à Tenir : Diarrhée grade 1–2 (≤ 6 selles/j) : lopéramide à la demande, hydratation. Diarrhée grade 3 (≥ 7 selles/j ou nécessité d'IV) : interruption transitoire, réhydratation IV, lopéramide régulier, reprise à dose réduite (400 → 300 mg/j). Diarrhée grade 4 (conséquences vitales) : arrêt définitif. Élévation des transaminases &gt; 5× LSN : interruption, recherche d'autres causes (viral, médicamenteux), reprise à dose réduite après normalisation ; arrêt définitif si cytolyse &gt; 20× LSN ou récidivante. Rash sévère : dermato-consultation, antihistaminiques, corticothérapie locale ou systémique ; arrêt si SJS/Lyell suspecté. Pancréatite aiguë : arrêt définitif.</w:t>
      </w:r>
    </w:p>
    <w:p>
      <w:r/>
      <w:r>
        <w:rPr>
          <w:b/>
        </w:rPr>
        <w:t>Interactions Médicamenteuses :</w:t>
      </w:r>
      <w:r/>
    </w:p>
    <w:p>
      <w:pPr>
        <w:pStyle w:val="ListBullet"/>
      </w:pPr>
      <w:r>
        <w:t>CYP3A4 (métabolisme principal) : inducteurs (rifampicine → ASC réduite de 85 %, à éviter ; phénytoïne, carbamazépine, phénobarbital, millepertuis) → baisse majeure. Inhibiteurs (kétoconazole → ASC × 5 ; itraconazole, voriconazole, posaconazole, clarithromycine, ritonavir) → augmentation, réduire la dose de bosutinib à 200 mg/j (1 × 200 mg) voire 100 mg/j.</w:t>
      </w:r>
    </w:p>
    <w:p>
      <w:pPr>
        <w:pStyle w:val="ListBullet"/>
      </w:pPr>
      <w:r>
        <w:t>Substrats à index thérapeutique étroit : le bosutinib est inhibiteur du CYP3A4 et de la P-gp ; surveillance avec les antivitamines K (HBPM préférentielle), les statines (simvastatine, atorvastatine), la cyclosporine, le tacrolimus, le sirolimus, la digoxine.</w:t>
      </w:r>
    </w:p>
    <w:p>
      <w:pPr>
        <w:pStyle w:val="ListBullet"/>
      </w:pPr>
      <w:r>
        <w:t>Anti-acides (IPP, anti-H2, hydroxyde d'aluminium/magnésium) : le bosutinib nécessite un milieu acide pour être absorbé ; les anti-acides réduisent son ASC de 40–50 %. Espacer de 2 heures avant ou après la prise de bosutinib, ou privilégier l'arrêt des IPP si possible.</w:t>
      </w:r>
    </w:p>
    <w:p>
      <w:pPr>
        <w:pStyle w:val="ListBullet"/>
      </w:pPr>
      <w:r>
        <w:t>Pamplemousse : CONTRE-INDIQUÉ (inhibiteur du CYP3A4 intestinal).</w:t>
      </w:r>
    </w:p>
    <w:p>
      <w:r/>
      <w:r>
        <w:rPr>
          <w:b/>
        </w:rPr>
        <w:t>Grossesse et Allaitement :</w:t>
      </w:r>
      <w:r/>
    </w:p>
    <w:p>
      <w:pPr>
        <w:pStyle w:val="ListBullet"/>
      </w:pPr>
      <w:r>
        <w:t>Grossesse : CONTRE-INDICATION ABSOLUE. Tératogénicité chez l'animal (anomalies cardiovasculaires, squelettiques, rénales). Contraception obligatoire pendant le traitement et 30 jours après l'arrêt.</w:t>
      </w:r>
    </w:p>
    <w:p>
      <w:pPr>
        <w:pStyle w:val="ListBullet"/>
      </w:pPr>
      <w:r>
        <w:t>Allaitement : CONTRE-INDICATION ABSOLUE.</w:t>
      </w:r>
    </w:p>
    <w:p>
      <w:r/>
      <w:r>
        <w:rPr>
          <w:b/>
        </w:rPr>
        <w:t>Posologie et Mode d'administration (Standard) :</w:t>
      </w:r>
      <w:r/>
    </w:p>
    <w:p>
      <w:pPr>
        <w:pStyle w:val="ListBullet"/>
      </w:pPr>
      <w:r>
        <w:t>Adulte : LCM PC : 400 mg/j en une prise avec un repas (pour réduire les nausées et la diarrhée). En cas de réponse insuffisante à 12 mois, augmentation à 500 mg/j, puis 600 mg/j (max). En cas de diarrhée sévère, réduction à 300 mg/j.</w:t>
      </w:r>
    </w:p>
    <w:p>
      <w:pPr>
        <w:pStyle w:val="ListBullet"/>
      </w:pPr>
      <w:r>
        <w:t>Insuffisance hépatique modérée à sévère : 200 mg/j (réduction de 50 %).</w:t>
      </w:r>
    </w:p>
    <w:p>
      <w:pPr>
        <w:pStyle w:val="ListBullet"/>
      </w:pPr>
      <w:r>
        <w:t>Insuffisance rénale : pas d'adaptation pour ClCr &gt; 30 mL/min ; pour ClCr &lt; 30 mL/min, démarrer à 300 mg/j.</w:t>
      </w:r>
    </w:p>
    <w:p>
      <w:pPr>
        <w:pStyle w:val="ListBullet"/>
      </w:pPr>
      <w:r>
        <w:t>Mode d'administration : voie orale stricte, en une prise unique, AU COURS d'un repas (contrairement au dasatinib et au nilotinib à jeun), avec un grand verre d'eau. Les comprimés ne doivent pas être écrasés.</w:t>
      </w:r>
    </w:p>
    <w:p>
      <w:pPr>
        <w:pStyle w:val="ListBullet"/>
      </w:pPr>
      <w:r>
        <w:t>Durée du traitement : traitement au long cours indéfini.</w:t>
      </w:r>
    </w:p>
    <w:p>
      <w:r/>
      <w:r>
        <w:rPr>
          <w:b/>
        </w:rPr>
        <w:t>Surveillance Biologique et Suivi Clinique :</w:t>
      </w:r>
      <w:r/>
    </w:p>
    <w:p>
      <w:pPr>
        <w:pStyle w:val="ListBullet"/>
      </w:pPr>
      <w:r>
        <w:t>Hépatique : ALAT, ASAT, bilirubine, PAL, γ-GT mensuels 3 mois (surveillance rapprochée dans les 12 premières semaines), puis trimestriels.</w:t>
      </w:r>
    </w:p>
    <w:p>
      <w:pPr>
        <w:pStyle w:val="ListBullet"/>
      </w:pPr>
      <w:r>
        <w:t>Hématologique : NFS-plaquettes mensuelle 3 mois puis trimestrielle.</w:t>
      </w:r>
    </w:p>
    <w:p>
      <w:pPr>
        <w:pStyle w:val="ListBullet"/>
      </w:pPr>
      <w:r>
        <w:t>Digestive : surveillance de la tolérance (diarrhée, nausées, vomissements) ; pesée régulière ; évaluation de l'hydratation.</w:t>
      </w:r>
    </w:p>
    <w:p>
      <w:pPr>
        <w:pStyle w:val="ListBullet"/>
      </w:pPr>
      <w:r>
        <w:t>Moléculaire : BCR-ABL1 RT-qPCR tous les 3 mois.</w:t>
      </w:r>
    </w:p>
    <w:p>
      <w:pPr>
        <w:pStyle w:val="ListBullet"/>
      </w:pPr>
      <w:r>
        <w:t>Suivi thérapeutique pharmacologique : utile en cas d'effets indésirables ou d'interactions.</w:t>
      </w:r>
    </w:p>
    <w:p>
      <w:r/>
      <w:r>
        <w:rPr>
          <w:b/>
        </w:rPr>
        <w:t>Arbitrage et Bénéfices des Formes Galéniques :</w:t>
      </w:r>
      <w:r/>
    </w:p>
    <w:p>
      <w:r>
        <w:t>Le dosage 100 mg permet l'adaptation posologique fine (300, 400, 500, 600 mg/j) en cas d'effets indésirables ou d'insuffisance hépatique. Le dosage 500 mg correspond à la dose d'escalade en cas de réponse insuffisante. La monoprise au cours d'un repas facilite l'observance et réduit les nausées.</w:t>
      </w:r>
    </w:p>
    <w:p>
      <w:r/>
      <w:r>
        <w:rPr>
          <w:b/>
        </w:rPr>
        <w:t>Instructions et Conseils au Patient :</w:t>
      </w:r>
      <w:r/>
    </w:p>
    <w:p>
      <w:pPr>
        <w:pStyle w:val="ListBullet"/>
      </w:pPr>
      <w:r>
        <w:t>Communication : « Le bosutinib est un médicament anticancéreux oral de 3e génération utilisé en cas de résistance aux traitements précédents. Il se prend une fois par jour, au cours d'un repas, avec un grand verre d'eau. La diarrhée est très fréquente dans les premiers jours — ne pas l'ignorer, prendre du lopéramide (Imodium®) dès la première selle liquide, s'hydrater abondamment, et prévenir le médecin si elle persiste plus de 24 heures ou s'accompagne de fièvre. »</w:t>
      </w:r>
    </w:p>
    <w:p>
      <w:pPr>
        <w:pStyle w:val="ListBullet"/>
      </w:pPr>
      <w:r>
        <w:t>Alerte : consulter immédiatement en cas de diarrhée sévère (plus de 6 selles liquides/jour), de douleurs abdominales intenses, de fièvre, de jaunisse, d'œdèmes du visage ou de difficultés respiratoires.</w:t>
      </w:r>
    </w:p>
    <w:p>
      <w:r/>
      <w:r>
        <w:rPr>
          <w:b/>
        </w:rPr>
        <w:t>Notes, Règles d'Or &amp; Pièges au Comptoir :</w:t>
      </w:r>
      <w:r/>
    </w:p>
    <w:p>
      <w:pPr>
        <w:pStyle w:val="ListBullet"/>
      </w:pPr>
      <w:r>
        <w:t>Piège : la diarrhée est l'effet indésirable signature du bosutinib ; elle survient dans les premiers jours et peut conduire à une déshydratation sévère — prescrire du lopéramide d'emblée et donner des conseils d'hydratation.</w:t>
      </w:r>
    </w:p>
    <w:p>
      <w:pPr>
        <w:pStyle w:val="ListBullet"/>
      </w:pPr>
      <w:r>
        <w:t>Piège : la prise à jeun augmente la diarrhée et les nausées ; insister sur la prise AU COURS d'un repas.</w:t>
      </w:r>
    </w:p>
    <w:p>
      <w:pPr>
        <w:pStyle w:val="ListBullet"/>
      </w:pPr>
      <w:r>
        <w:t>Piège : les IPP réduisent l'absorption de 40–50 % ; les arrêter si possible, sinon espacer de 2 heures.</w:t>
      </w:r>
    </w:p>
    <w:p>
      <w:pPr>
        <w:pStyle w:val="ListBullet"/>
      </w:pPr>
      <w:r>
        <w:t>Règle : le bosutinib reste actif sur la plupart des mutations de résistance à l'imatinib, dasatinib et nilotinib, mais pas sur T315I.</w:t>
      </w:r>
    </w:p>
    <w:p>
      <w:pPr>
        <w:pStyle w:val="ListBullet"/>
      </w:pPr>
      <w:r>
        <w:t>Surveillance : la surveillance hépatique doit être rapprochée (mensuelle 3 mois) en raison du risque de cytolyse précoce sévère.</w:t>
      </w:r>
    </w:p>
    <w:p>
      <w:pPr>
        <w:pStyle w:val="Heading3"/>
      </w:pPr>
      <w:r>
        <w:t>104.2.4 DCI : Ponatinib</w:t>
      </w:r>
    </w:p>
    <w:p>
      <w:r/>
      <w:r>
        <w:rPr>
          <w:b/>
        </w:rPr>
        <w:t>Liste des Catégories :</w:t>
      </w:r>
      <w:r>
        <w:t xml:space="preserve"> Antinéoplasiques ; Inhibiteur de tyrosine kinase ; ITK BCR-ABL1 de 4e génération ; Seul ITK actif sur la mutation T315I ; Liste I.</w:t>
      </w:r>
    </w:p>
    <w:p>
      <w:r>
        <w:t>Le ponatinib est un ITK de 4e génération, dérivé de l'imidazo[1,2-a]pyridine, indiqué dans la LCM Ph+ et la LAL Ph+ portant la mutation T315I du domaine kinase de BCR-ABL1, ou en cas d'échec des autres ITK. Il est le SEUL ITK actif sur la mutation T315I (« gatekeeper »), source de résistance absolue à l'imatinib, au dasatinib, au nilotinib et au bosutinib. Son profil d'effets indésirables est marqué par un risque majeur d'événements thrombotiques artériels et veineux (infarctus du myocarde, AVC, thromboses veineuses, HTA sévère, syndrome de leuco-encéphalopathie postérieure réversible), d'hépatotoxicité et de pancréatite, qui en limitent l'usage aux situations de nécessité.</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ICLUSIG</w:t>
            </w:r>
          </w:p>
        </w:tc>
        <w:tc>
          <w:tcPr>
            <w:tcW w:type="dxa" w:w="1559"/>
          </w:tcPr>
          <w:p>
            <w:r>
              <w:rPr>
                <w:sz w:val="20"/>
              </w:rPr>
              <w:t>TAKEDA PHARMACEUTICALS USA INC</w:t>
            </w:r>
          </w:p>
        </w:tc>
        <w:tc>
          <w:tcPr>
            <w:tcW w:type="dxa" w:w="1559"/>
          </w:tcPr>
          <w:p>
            <w:r>
              <w:rPr>
                <w:sz w:val="20"/>
              </w:rPr>
              <w:t>Comprimé pelliculé 15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ICLUSIG</w:t>
            </w:r>
          </w:p>
        </w:tc>
        <w:tc>
          <w:tcPr>
            <w:tcW w:type="dxa" w:w="1559"/>
          </w:tcPr>
          <w:p>
            <w:r>
              <w:rPr>
                <w:sz w:val="20"/>
              </w:rPr>
              <w:t>TAKEDA PHARMACEUTICALS USA INC</w:t>
            </w:r>
          </w:p>
        </w:tc>
        <w:tc>
          <w:tcPr>
            <w:tcW w:type="dxa" w:w="1559"/>
          </w:tcPr>
          <w:p>
            <w:r>
              <w:rPr>
                <w:sz w:val="20"/>
              </w:rPr>
              <w:t>Comprimé pelliculé 45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ponatinib n'est disponible en Algérie que sous sa spécialité princeps ICLUSIG (Takeda, ex-Ariad) à deux dosages (15 et 45 mg). Le dosage 15 mg correspond à la dose d'entretien après réponse, et le dosage 45 mg à la dose initiale standard.</w:t>
      </w:r>
    </w:p>
    <w:p>
      <w:r/>
      <w:r>
        <w:rPr>
          <w:b/>
        </w:rPr>
        <w:t>Sous-classe et Mécanisme d'action :</w:t>
      </w:r>
      <w:r/>
    </w:p>
    <w:p>
      <w:pPr>
        <w:pStyle w:val="ListBullet"/>
      </w:pPr>
      <w:r>
        <w:t>Sous-classe : ITK BCR-ABL1 de 4e génération, classe des imidazo[1,2-a]pyridines.</w:t>
      </w:r>
    </w:p>
    <w:p>
      <w:pPr>
        <w:pStyle w:val="ListBullet"/>
      </w:pPr>
      <w:r>
        <w:t>Mécanisme d'action : inhibition compétitive, réversible et ATP-mimétique de l'activité tyrosine kinase de BCR-ABL1 (sauvage et muté), avec une liaison à la conformation inactive (DFG-out). Le ponatinib exerce son activité grâce à un groupement éthynyle (carbonyle triple liaison) qui contourne l'encombrement stérique créé par la substitution T315I (thréonine → isoleucine), source de résistance absolue aux autres ITK. Il est également actif sur VEGFR, FGFR, PDGFR, c-KIT, SRC, RET et FLT3, ce qui explique en partie son profil d'effets indésirables cardiovasculaires (inhibition de VEGFR sur l'endothélium vasculaire) et de pancréatite. La puissance sur BCR-ABL1 sauvage est similaire à celle du dasatinib.</w:t>
      </w:r>
    </w:p>
    <w:p>
      <w:r/>
      <w:r>
        <w:rPr>
          <w:b/>
        </w:rPr>
        <w:t>Profil Pharmacologique :</w:t>
      </w:r>
      <w:r/>
    </w:p>
    <w:p>
      <w:pPr>
        <w:pStyle w:val="ListBullet"/>
      </w:pPr>
      <w:r>
        <w:t>Indications : (1) LCM Ph+ phase chronique, accélérée ou blastique portant la mutation T315I ou en échec des autres ITK ; (2) LAL Ph+ portant la mutation T315I ou en échec des autres ITK.</w:t>
      </w:r>
    </w:p>
    <w:p>
      <w:pPr>
        <w:pStyle w:val="ListBullet"/>
      </w:pPr>
      <w:r>
        <w:t>Contre-indications : Hypersensibilité au ponatinib ; antécédent d'infarctus du myocarde ou d'AVC (CI relative, à discuter en RCP) ; artériopathie oblitérante des membres inférieurs symptomatique ; grossesse (CI absolue) ; allaitement (CI absolue). Précautions : HTA non contrôlée, diabète, hyperlipidémie, insuffisance hépatique, allongement du QTc, thrombophilie.</w:t>
      </w:r>
    </w:p>
    <w:p>
      <w:pPr>
        <w:pStyle w:val="ListBullet"/>
      </w:pPr>
      <w:r>
        <w:t>Effets Indésirables : Très fréquents : hypertension artérielle (50–70 %, parfois sévère d'emblée), rash, céphalées, fatigue, nausées, douleurs abdominales, arthralgies. Fréquents : événements thrombotiques artériels (infarctus du myocarde 5–10 %, AVC ischémique 3–5 %, artériopathie oblitérante des membres inférieurs 3–8 %), événements thrombotiques veineux (TVP, EP 3–5 %), cytopénies (neutropénie grade 3/4 : 20–40 % ; thrombopénie ; anémie), pancréatite aiguë (5–10 %, parfois sévère), élévation des transaminases, hyperbilirubinémie, allongement du QTc, insuffisance cardiaque, épanchement péricardique, syndrome de PRES (rare mais grave). Rares : hépatite sévère, hémorragie (en cas de thrombopénie), réactivation virale (HBV, CMV), pneumopathie interstitielle.</w:t>
      </w:r>
    </w:p>
    <w:p>
      <w:r/>
      <w:r>
        <w:rPr>
          <w:b/>
        </w:rPr>
        <w:t>Prévention et Gestion des Effets Indésirables :</w:t>
      </w:r>
      <w:r/>
    </w:p>
    <w:p>
      <w:pPr>
        <w:pStyle w:val="ListBullet"/>
      </w:pPr>
      <w:r>
        <w:t>Mesures Préventives : Évaluation cardiovasculaire complète avant initiation (ECG, échographie cardiaque, Doppler artériel des membres inférieurs, mesure de la pression artérielle, bilan lipidique, glycémie, HbA1c) ; évaluation des facteurs de risque (tabac, HTA, diabète, hyperlipidémie, antécédents familiaux) ; optimisation des facteurs de risque (arrêt du tabac obligatoire, contrôle de l'HTA, statine si LDL élevé, contrôle du diabète) ; surveillance hématologique (NFS-plaquettes) mensuelle 3 mois puis trimestrielle ; bilan hépatique (ALAT, ASAT, bilirubine, lipase) mensuel 3 mois puis trimestriel ; ECG initial (QTc) ; mesure de la PA à chaque consultation (objectif &lt; 130/80).</w:t>
      </w:r>
    </w:p>
    <w:p>
      <w:pPr>
        <w:pStyle w:val="ListBullet"/>
      </w:pPr>
      <w:r>
        <w:t>Conduite à Tenir : Événement thrombotique artériel (infarctus, AVC, artériopathie symptomatique) : arrêt définitif, switch vers ascutinib (allostérique) ou traitement palliatif. HTA sévère (PA &gt; 160/100) : arrêt transitoire, antihypertenseur (IEC ou ARA2 + IEC), reprise à dose réduite (45 → 30 → 15 mg/j). Pancréatite aiguë : arrêt définitif. Allongement du QTc &gt; 480 ms : interruption, correction des troubles ioniques, reprise à dose réduite. Cytopénies grade 3/4 : interruption 1–2 semaines, reprise à dose réduite.</w:t>
      </w:r>
    </w:p>
    <w:p>
      <w:r/>
      <w:r>
        <w:rPr>
          <w:b/>
        </w:rPr>
        <w:t>Interactions Médicamenteuses :</w:t>
      </w:r>
      <w:r/>
    </w:p>
    <w:p>
      <w:pPr>
        <w:pStyle w:val="ListBullet"/>
      </w:pPr>
      <w:r>
        <w:t>CYP3A4 (métabolisme principal) : inducteurs (rifampicine → ASC ponatinib réduite de 50 %, à éviter ; phénytoïne, carbamazépine, phénobarbital, millepertuis) → baisse majeure. Inhibiteurs (kétoconazole → ASC ×1,5–2 ; itraconazole, voriconazole, posaconazole, clarithromycine, ritonavir) → augmentation, réduire la dose de ponatinib à 30 mg/j (15 mg si antécédents cardiovasculaires).</w:t>
      </w:r>
    </w:p>
    <w:p>
      <w:pPr>
        <w:pStyle w:val="ListBullet"/>
      </w:pPr>
      <w:r>
        <w:t>Allongement du QTc : association à éviter avec les médicaments allongeant le QT (amiodarone, sotalol, halopéridol, méthadone, moxifloxacine, cisapride, dompéridone, ondansétron IV).</w:t>
      </w:r>
    </w:p>
    <w:p>
      <w:pPr>
        <w:pStyle w:val="ListBullet"/>
      </w:pPr>
      <w:r>
        <w:t>Anticoagulants : surveillance étroite avec les HBPM, les AVK, les anticoagulants oraux directs (risque hémorragique en cas de thrombopénie).</w:t>
      </w:r>
    </w:p>
    <w:p>
      <w:pPr>
        <w:pStyle w:val="ListBullet"/>
      </w:pPr>
      <w:r>
        <w:t>Substrats à index thérapeutique étroit : le ponatinib est inhibiteur du CYP3A4, du CYP2C9, du CYP2D6 et de la P-gp ; surveillance avec les antivitamines K, les statines, la cyclosporine, le tacrolimus, la digoxine.</w:t>
      </w:r>
    </w:p>
    <w:p>
      <w:pPr>
        <w:pStyle w:val="ListBullet"/>
      </w:pPr>
      <w:r>
        <w:t>Pamplemousse : CONTRE-INDIQUÉ.</w:t>
      </w:r>
    </w:p>
    <w:p>
      <w:r/>
      <w:r>
        <w:rPr>
          <w:b/>
        </w:rPr>
        <w:t>Grossesse et Allaitement :</w:t>
      </w:r>
      <w:r/>
    </w:p>
    <w:p>
      <w:pPr>
        <w:pStyle w:val="ListBullet"/>
      </w:pPr>
      <w:r>
        <w:t>Grossesse : CONTRE-INDICATION ABSOLUE. Tératogénicité chez l'animal (anomalies cardiovasculaires, squelettiques, rénales). Contraception efficace obligatoire (double méthode) pendant le traitement et 3 semaines après l'arrêt. Le partenaire masculin doit utiliser une contraception pendant le traitement et 90 jours après l'arrêt.</w:t>
      </w:r>
    </w:p>
    <w:p>
      <w:pPr>
        <w:pStyle w:val="ListBullet"/>
      </w:pPr>
      <w:r>
        <w:t>Allaitement : CONTRE-INDICATION ABSOLUE.</w:t>
      </w:r>
    </w:p>
    <w:p>
      <w:r/>
      <w:r>
        <w:rPr>
          <w:b/>
        </w:rPr>
        <w:t>Posologie et Mode d'administration (Standard) :</w:t>
      </w:r>
      <w:r/>
    </w:p>
    <w:p>
      <w:pPr>
        <w:pStyle w:val="ListBullet"/>
      </w:pPr>
      <w:r>
        <w:t>Adulte : 45 mg/j en une prise unique, pendant 6 mois ou jusqu'à obtention de la réponse souhaitée (réponse cytogénétique complète ou réponse moléculaire majeure), puis réduction à 15 mg/j en entretien (ou 30 mg/j en cas de réponse insuffisante). En cas d'événement cardiovasculaire, réduction à 15 mg/j ou arrêt définitif selon gravité.</w:t>
      </w:r>
    </w:p>
    <w:p>
      <w:pPr>
        <w:pStyle w:val="ListBullet"/>
      </w:pPr>
      <w:r>
        <w:t>Insuffisance hépatique modérée à sévère : 30 mg/j (réduction de 33 %).</w:t>
      </w:r>
    </w:p>
    <w:p>
      <w:pPr>
        <w:pStyle w:val="ListBullet"/>
      </w:pPr>
      <w:r>
        <w:t>Insuffisance rénale : pas d'adaptation nécessaire.</w:t>
      </w:r>
    </w:p>
    <w:p>
      <w:pPr>
        <w:pStyle w:val="ListBullet"/>
      </w:pPr>
      <w:r>
        <w:t>Mode d'administration : voie orale stricte, en une prise unique, à heure fixe (matin ou soir), avec ou sans nourriture. Les comprimés ne doivent pas être écrasés.</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Hématologique : NFS-plaquettes mensuelle 3 mois puis trimestrielle.</w:t>
      </w:r>
    </w:p>
    <w:p>
      <w:pPr>
        <w:pStyle w:val="ListBullet"/>
      </w:pPr>
      <w:r>
        <w:t>Hépatique : ALAT, ASAT, bilirubine, lipase mensuels 3 mois puis trimestriels.</w:t>
      </w:r>
    </w:p>
    <w:p>
      <w:pPr>
        <w:pStyle w:val="ListBullet"/>
      </w:pPr>
      <w:r>
        <w:t>Cardiaque : ECG initial et trimestriel (QTc) ; échographie cardiaque initiale puis semestrielle (FEVG) ; Doppler artériel des membres inférieurs initial puis annuel.</w:t>
      </w:r>
    </w:p>
    <w:p>
      <w:pPr>
        <w:pStyle w:val="ListBullet"/>
      </w:pPr>
      <w:r>
        <w:t>Pression artérielle : à chaque consultation, objectif &lt; 130/80 ; automesure à domicile conseillée.</w:t>
      </w:r>
    </w:p>
    <w:p>
      <w:pPr>
        <w:pStyle w:val="ListBullet"/>
      </w:pPr>
      <w:r>
        <w:t>Moléculaire : BCR-ABL1 RT-qPCR tous les 3 mois ; recherche de mutation T315I et autres en cas d'échec (NGS).</w:t>
      </w:r>
    </w:p>
    <w:p>
      <w:pPr>
        <w:pStyle w:val="ListBullet"/>
      </w:pPr>
      <w:r>
        <w:t>Suivi thérapeutique pharmacologique : utile en cas d'effets indésirables ou d'interactions.</w:t>
      </w:r>
    </w:p>
    <w:p>
      <w:r/>
      <w:r>
        <w:rPr>
          <w:b/>
        </w:rPr>
        <w:t>Arbitrage et Bénéfices des Formes Galéniques :</w:t>
      </w:r>
      <w:r/>
    </w:p>
    <w:p>
      <w:r>
        <w:t>Le dosage 45 mg correspond à la dose initiale standard (6 mois ou jusqu'à réponse) ; le dosage 15 mg correspond à la dose d'entretien après réponse. La monoprise journalière facilite l'observance. La possibilité de réduire à 15 ou 30 mg/j en cas d'événement cardiovasculaire est essentielle pour la tolérance.</w:t>
      </w:r>
    </w:p>
    <w:p>
      <w:r/>
      <w:r>
        <w:rPr>
          <w:b/>
        </w:rPr>
        <w:t>Instructions et Conseils au Patient :</w:t>
      </w:r>
      <w:r/>
    </w:p>
    <w:p>
      <w:pPr>
        <w:pStyle w:val="ListBullet"/>
      </w:pPr>
      <w:r>
        <w:t>Communication : « Le ponatinib est un médicament anticancéreux oral réservé aux cas de leucémie résistants aux autres traitements, notamment en cas de mutation T315I. Il se prend une fois par jour, à heure fixe. Son risque principal est cardiovasculaire : thromboses, infarctus, AVC, hypertension artérielle. Arrêtez impérativement le tabac, surveillez votre tension artérielle à domicile, et prévenez immédiatement votre médecin en cas de douleurs thoraciques, de faiblesse musculaire d'un côté, de troubles du langage, de douleurs aux mollets à la marche, de maux de tête intenses, de douleurs abdominales intenses (pancréatite), de jaunisse, ou d'œdèmes des jambes. »</w:t>
      </w:r>
    </w:p>
    <w:p>
      <w:pPr>
        <w:pStyle w:val="ListBullet"/>
      </w:pPr>
      <w:r>
        <w:t>Observance : prise à heure fixe, calendrier d'administration, ne jamais interrompre sans avis médical.</w:t>
      </w:r>
    </w:p>
    <w:p>
      <w:pPr>
        <w:pStyle w:val="ListBullet"/>
      </w:pPr>
      <w:r>
        <w:t>Prévention cardiovasculaire : arrêt du tabac obligatoire, alimentation équilibrée, activité physique régulière, contrôle de l'HTA et du diabète, statine si LDL élevé.</w:t>
      </w:r>
    </w:p>
    <w:p>
      <w:r/>
      <w:r>
        <w:rPr>
          <w:b/>
        </w:rPr>
        <w:t>Notes, Règles d'Or &amp; Pièges au Comptoir :</w:t>
      </w:r>
      <w:r/>
    </w:p>
    <w:p>
      <w:pPr>
        <w:pStyle w:val="ListBullet"/>
      </w:pPr>
      <w:r>
        <w:t>Piège majeur : le ponatinib expose à un risque thrombotique artériel et veineux cumulatif augmentant avec la durée d'exposition — ne pas hésiter à réduire la dose (45 → 15 mg/j) dès qu'une réponse est obtenue.</w:t>
      </w:r>
    </w:p>
    <w:p>
      <w:pPr>
        <w:pStyle w:val="ListBullet"/>
      </w:pPr>
      <w:r>
        <w:t>Piège : ne jamais initier le ponatinib chez un patient avec antécédent récent (&lt; 6 mois) d'infarctus du myocarde, d'AVC ou d'artériopathie symptomatique.</w:t>
      </w:r>
    </w:p>
    <w:p>
      <w:pPr>
        <w:pStyle w:val="ListBullet"/>
      </w:pPr>
      <w:r>
        <w:t>Règle : le ponatinib est le SEUL ITK actif sur la mutation T315I — réserver son usage à cette situation ou aux échecs des autres ITK.</w:t>
      </w:r>
    </w:p>
    <w:p>
      <w:pPr>
        <w:pStyle w:val="ListBullet"/>
      </w:pPr>
      <w:r>
        <w:t>Piège : oublier d'évaluer le risque cardiovasculaire avant initiation (tabac, HTA, diabète, hyperlipidémie, antécédents familiaux).</w:t>
      </w:r>
    </w:p>
    <w:p>
      <w:pPr>
        <w:pStyle w:val="ListBullet"/>
      </w:pPr>
      <w:r>
        <w:t>Surveillance : la mesure de la PA à chaque consultation est essentielle (HTA très fréquente, parfois sévère d'emblée).</w:t>
      </w:r>
    </w:p>
    <w:p>
      <w:pPr>
        <w:pStyle w:val="ListBullet"/>
      </w:pPr>
      <w:r>
        <w:t>Règle : contraception stricte, y compris chez le partenaire masculin (90 jours après l'arrêt).</w:t>
      </w:r>
    </w:p>
    <w:p>
      <w:pPr>
        <w:pStyle w:val="Heading2"/>
      </w:pPr>
      <w:r>
        <w:t>104.3 Sous-classe : ITK EGFR (1re génération)</w:t>
      </w:r>
    </w:p>
    <w:p>
      <w:r>
        <w:t>Les ITK EGFR de 1re génération (erlotinib, gefitinib) sont des inhibiteurs réversibles de l'Epidermal Growth Factor Receptor (EGFR/HER1), récepteur à activité tyrosine kinase transmembranaire impliqué dans la prolifération, la survie et la migration des cellules épithéliales. Ces molécules, mises sur le marché au début des années 2000 (gefitinib en 2002, erlotinib en 2004), ont transformé la prise en charge du cancer pulmonaire non à petites cellules (CBNPC) non sqüameux avancé porteur de mutations activatrices de l'EGFR (délétion de l'exon 19, mutation L858R de l'exon 21), présentes chez 10 à 15 % des patients caucasiens et 30 à 50 % des patients asiatiques non-fumeurs. Le blocage de l'EGFR inhibe les voies de signalisation RAS-RAF-MEK-ERK et PI3K-AKT-mTOR, induisant l'arrêt du cycle cellulaire en phase G1 et l'apoptose. Leur efficacité est remarquable en première ligne de traitement des CBNPC mutés EGFR (réponse objective 60–80 %, survie sans progression 9–13 mois), mais la quasi-totalité des patients développent une résistance secondaire dans les 12 à 18 mois, principalement par la mutation T790M du domaine kinase (~50–60 % des cas) — d'où le développement des ITK EGFR de 3e génération (osimertinib). Leur profil d'effets indésirables est marqué par le rash acnéiforme folliculaire (très fréquent, 75–90 % des patients, correlé à l'efficacité), la diarrhée (40–70 %), la pneumopathie interstitielle (rare mais grave, ~1 %, parfois fatale, particulièrement chez les patients asiatiques), l'hépatotoxicité (cytolyse, plus marquée avec le gefitinib) et la kératite. Le gefitinib a été initialement retiré du marché européen en 2009 (en cas d'échec de l'ipilimumab) puis réintroduit en 2012 dans le CBNPC EGFR muté.</w:t>
      </w:r>
    </w:p>
    <w:p>
      <w:pPr>
        <w:pStyle w:val="Heading3"/>
      </w:pPr>
      <w:r>
        <w:t>104.3.1 DCI : Erlotinib</w:t>
      </w:r>
    </w:p>
    <w:p>
      <w:r/>
      <w:r>
        <w:rPr>
          <w:b/>
        </w:rPr>
        <w:t>Liste des Catégories :</w:t>
      </w:r>
      <w:r>
        <w:t xml:space="preserve"> Antinéoplasiques ; Inhibiteur de tyrosine kinase ; ITK EGFR de 1re génération (inhibiteur réversible) ; Inhibiteur de HER1/EGFR ; Liste I.</w:t>
      </w:r>
    </w:p>
    <w:p>
      <w:r>
        <w:t>L'erlotinib est un inhibiteur réversible de l'EGFR, dérivé de la quinazoline, indiqué dans le cancer bronchique non à petites cellules (CBNPC) localement avancé ou métastatique après échec d'au moins une ligne de chimiothérapie (indication historique), ou en première ligne chez les patients porteurs de mutations activatrices de l'EGFR (délétion exon 19, L858R) en alternative à l'osimertinib. Il a également une indication dans le cancer du pancréas métastatique en association au gemcitabine. Son profil d'effets indésirables est dominé par le rash acnéiforme folliculaire, la diarrhée et la pneumopathie interstitielle.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BIRLOTIB</w:t>
            </w:r>
          </w:p>
        </w:tc>
        <w:tc>
          <w:tcPr>
            <w:tcW w:type="dxa" w:w="1559"/>
          </w:tcPr>
          <w:p>
            <w:r>
              <w:rPr>
                <w:sz w:val="20"/>
              </w:rPr>
              <w:t>BDR PHARMACEUTICALS INTERNATIONAL PVT LTD</w:t>
            </w:r>
          </w:p>
        </w:tc>
        <w:tc>
          <w:tcPr>
            <w:tcW w:type="dxa" w:w="1559"/>
          </w:tcPr>
          <w:p>
            <w:r>
              <w:rPr>
                <w:sz w:val="20"/>
              </w:rPr>
              <w:t>Comprimé pelliculé 100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EGROTIB</w:t>
            </w:r>
          </w:p>
        </w:tc>
        <w:tc>
          <w:tcPr>
            <w:tcW w:type="dxa" w:w="1559"/>
          </w:tcPr>
          <w:p>
            <w:r>
              <w:rPr>
                <w:sz w:val="20"/>
              </w:rPr>
              <w:t>DR. REDDY'S LABORATORIES LIMITED</w:t>
            </w:r>
          </w:p>
        </w:tc>
        <w:tc>
          <w:tcPr>
            <w:tcW w:type="dxa" w:w="1559"/>
          </w:tcPr>
          <w:p>
            <w:r>
              <w:rPr>
                <w:sz w:val="20"/>
              </w:rPr>
              <w:t>Comprimé pelliculé 100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MIRATA</w:t>
            </w:r>
          </w:p>
        </w:tc>
        <w:tc>
          <w:tcPr>
            <w:tcW w:type="dxa" w:w="1559"/>
          </w:tcPr>
          <w:p>
            <w:r>
              <w:rPr>
                <w:sz w:val="20"/>
              </w:rPr>
              <w:t>HIKMA PHARMA ALGERIA</w:t>
            </w:r>
          </w:p>
        </w:tc>
        <w:tc>
          <w:tcPr>
            <w:tcW w:type="dxa" w:w="1559"/>
          </w:tcPr>
          <w:p>
            <w:r>
              <w:rPr>
                <w:sz w:val="20"/>
              </w:rPr>
              <w:t>Comprimé pelliculé 100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BIRLOTIB</w:t>
            </w:r>
          </w:p>
        </w:tc>
        <w:tc>
          <w:tcPr>
            <w:tcW w:type="dxa" w:w="1559"/>
          </w:tcPr>
          <w:p>
            <w:r>
              <w:rPr>
                <w:sz w:val="20"/>
              </w:rPr>
              <w:t>BDR PHARMACEUTICALS INTERNATIONAL PVT LTD</w:t>
            </w:r>
          </w:p>
        </w:tc>
        <w:tc>
          <w:tcPr>
            <w:tcW w:type="dxa" w:w="1559"/>
          </w:tcPr>
          <w:p>
            <w:r>
              <w:rPr>
                <w:sz w:val="20"/>
              </w:rPr>
              <w:t>Comprimé pelliculé 150 mg</w:t>
            </w:r>
          </w:p>
        </w:tc>
        <w:tc>
          <w:tcPr>
            <w:tcW w:type="dxa" w:w="1559"/>
          </w:tcPr>
          <w:p>
            <w:r>
              <w:rPr>
                <w:sz w:val="20"/>
              </w:rPr>
              <w:t>Pilulier/10</w:t>
            </w:r>
          </w:p>
        </w:tc>
        <w:tc>
          <w:tcPr>
            <w:tcW w:type="dxa" w:w="1559"/>
          </w:tcPr>
          <w:p>
            <w:r>
              <w:rPr>
                <w:sz w:val="20"/>
              </w:rPr>
              <w:t>Liste I</w:t>
            </w:r>
          </w:p>
        </w:tc>
        <w:tc>
          <w:tcPr>
            <w:tcW w:type="dxa" w:w="1559"/>
          </w:tcPr>
          <w:p>
            <w:r>
              <w:rPr>
                <w:sz w:val="20"/>
              </w:rPr>
              <w:t>Actif</w:t>
            </w:r>
          </w:p>
        </w:tc>
      </w:tr>
      <w:tr>
        <w:tc>
          <w:tcPr>
            <w:tcW w:type="dxa" w:w="1559"/>
          </w:tcPr>
          <w:p>
            <w:r>
              <w:rPr>
                <w:sz w:val="20"/>
              </w:rPr>
              <w:t>EGROTIB</w:t>
            </w:r>
          </w:p>
        </w:tc>
        <w:tc>
          <w:tcPr>
            <w:tcW w:type="dxa" w:w="1559"/>
          </w:tcPr>
          <w:p>
            <w:r>
              <w:rPr>
                <w:sz w:val="20"/>
              </w:rPr>
              <w:t>DR. REDDY'S LABORATORIES LTD</w:t>
            </w:r>
          </w:p>
        </w:tc>
        <w:tc>
          <w:tcPr>
            <w:tcW w:type="dxa" w:w="1559"/>
          </w:tcPr>
          <w:p>
            <w:r>
              <w:rPr>
                <w:sz w:val="20"/>
              </w:rPr>
              <w:t>Comprimé pelliculé 150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MIRATA</w:t>
            </w:r>
          </w:p>
        </w:tc>
        <w:tc>
          <w:tcPr>
            <w:tcW w:type="dxa" w:w="1559"/>
          </w:tcPr>
          <w:p>
            <w:r>
              <w:rPr>
                <w:sz w:val="20"/>
              </w:rPr>
              <w:t>HIKMA PHARMA ALGERIA</w:t>
            </w:r>
          </w:p>
        </w:tc>
        <w:tc>
          <w:tcPr>
            <w:tcW w:type="dxa" w:w="1559"/>
          </w:tcPr>
          <w:p>
            <w:r>
              <w:rPr>
                <w:sz w:val="20"/>
              </w:rPr>
              <w:t>Comprimé pelliculé 150 mg</w:t>
            </w:r>
          </w:p>
        </w:tc>
        <w:tc>
          <w:tcPr>
            <w:tcW w:type="dxa" w:w="1559"/>
          </w:tcPr>
          <w:p>
            <w:r>
              <w:rPr>
                <w:sz w:val="20"/>
              </w:rPr>
              <w:t>B/10</w:t>
            </w:r>
          </w:p>
        </w:tc>
        <w:tc>
          <w:tcPr>
            <w:tcW w:type="dxa" w:w="1559"/>
          </w:tcPr>
          <w:p>
            <w:r>
              <w:rPr>
                <w:sz w:val="20"/>
              </w:rPr>
              <w:t>Liste I</w:t>
            </w:r>
          </w:p>
        </w:tc>
        <w:tc>
          <w:tcPr>
            <w:tcW w:type="dxa" w:w="1559"/>
          </w:tcPr>
          <w:p>
            <w:r>
              <w:rPr>
                <w:sz w:val="20"/>
              </w:rPr>
              <w:t>Actif</w:t>
            </w:r>
          </w:p>
        </w:tc>
      </w:tr>
    </w:tbl>
    <w:p/>
    <w:p>
      <w:r>
        <w:t>L'erlotinib est disponible en Algérie sous trois marques génériques (BIRLOTIB, EGROTIB, MIRATA) à deux dosages (100 et 150 mg). La spécialité princeps TARCEVA (Roche) n'est plus commercialisée dans la nomenclature algérienne. Le dosage 100 mg est utilisé pour l'indication cancer du pancréas (en association au gemcitabine), l'insuffisance hépatique et l'adaptation en cas d'effets indésirables ; le dosage 150 mg est la dose standard adulte pour le CBNPC.</w:t>
      </w:r>
    </w:p>
    <w:p>
      <w:r/>
      <w:r>
        <w:rPr>
          <w:b/>
        </w:rPr>
        <w:t>Sous-classe et Mécanisme d'action :</w:t>
      </w:r>
      <w:r/>
    </w:p>
    <w:p>
      <w:pPr>
        <w:pStyle w:val="ListBullet"/>
      </w:pPr>
      <w:r>
        <w:t>Sous-classe : ITK EGFR de 1re génération, classe des quinazolines. Inhibiteur réversible de l'EGFR (HER1).</w:t>
      </w:r>
    </w:p>
    <w:p>
      <w:pPr>
        <w:pStyle w:val="ListBullet"/>
      </w:pPr>
      <w:r>
        <w:t>Mécanisme d'action : inhibition compétitive, réversible et ATP-mimétique de l'activité tyrosine kinase de l'EGFR (HER1), en se liant à la poche de liaison de l'ATP dans le domaine catalytique intracellulaire. Le blocage de l'EGFR inhibe l'autophosphorylation et la cascade de signalisation en aval : RAS-RAF-MEK-ERK1/2 (prolifération, différenciation), PI3K-AKT-mTOR (survie, apoptose), PLCγ-PKC (motilité), JAK-STAT (transcription). L'erlotinib présente une affinité supérieure pour les formes mutées de l'EGFR (délétion exon 19, L858R) par rapport à l'EGFR sauvage, ce qui explique son efficacité préférentielle dans les CBNPC mutés EGFR. Il n'a pas d'activité significative sur la mutation T790M (résistance secondaire). Le blocage de l'EGFR sur les cellules épithéliales cutanées (follicules pilo-sébacés) et digestives (entérocytes) explique le rash acnéiforme et la diarrhée, effets indésirables dont la survenue est corrélée à l'efficacité thérapeutique.</w:t>
      </w:r>
    </w:p>
    <w:p>
      <w:r/>
      <w:r>
        <w:rPr>
          <w:b/>
        </w:rPr>
        <w:t>Profil Pharmacologique :</w:t>
      </w:r>
      <w:r/>
    </w:p>
    <w:p>
      <w:pPr>
        <w:pStyle w:val="ListBullet"/>
      </w:pPr>
      <w:r>
        <w:t>Indications : (1) CBNPC localement avancé ou métastatique après échec d'au moins une ligne de chimiothérapie (indication historique, aujourd'hui supplantée par l'osimertinib en première ligne) ; (2) CBNPC non-sqüameux avancé porteur de mutations activatrices de l'EGFR (exon 19, L858R) en première ligne (alternative à l'osimertinib si non disponible ou intolérance) ; (3) Cancer du pancréas métastatique en association au gemcitabine (indication maintenant historique, supplantée par FOLFIRINOX et nab-paclitaxel).</w:t>
      </w:r>
    </w:p>
    <w:p>
      <w:pPr>
        <w:pStyle w:val="ListBullet"/>
      </w:pPr>
      <w:r>
        <w:t>Contre-indications : Hypersensibilité à l'erlotinib. Précautions : insuffisance hépatique (adaptation posologique), antécédents de pneumopathie interstitielle, antécédents de fibrose pulmonaire, tabagisme actif (réduit l'ASC de 30–50 %), grossesse (CI absolue), allaitement (CI absolue), ulcère gastro-duodénal évolutif, anticoagulants (risque hémorragique).</w:t>
      </w:r>
    </w:p>
    <w:p>
      <w:pPr>
        <w:pStyle w:val="ListBullet"/>
      </w:pPr>
      <w:r>
        <w:t>Effets Indésirables : Très fréquents : rash acnéiforme folliculaire (75–90 %, survenant dans les 1 à 3 premières semaines, distribué sur visage, tronc supérieur, cuir chevelu, corrélé à l'efficacité — un rash modéré à sévère est associé à une meilleure survie), diarrhée (40–70 %, modérée à sévère dans 5–10 % des cas), fatigue, anorexie, conjonctivite, kératite, sécheresse cutanée, prurit, paronychie (inflammation des replis unguéaux, parfois avec bourgeon charnu douloureux), alopécie. Fréquents : élévation des transaminases (ALAT, ASAT), hyperbilirubinémie, nausées, stomatite, épistaxis, hémorragie (en cas d'anticoagulation concomitante), infection cutanée (surinfection du rash, staphylocoque doré), ILD/pneumopathie interstitielle (0,8–1 %, parfois fatale, particulièrement chez les patients asiatiques, tabagiques, ou avec antécédents pulmonaires). Peu fréquents : ulcère gastro-duodénal, perforation digestive (rare), hémorragie digestive, kératite sévère, infractus amiantique, syndrome de lyse tumorale, allongement du QTc (rare). Rares : syndrome de Stevens-Johnson, syndrome de Lyell, hépatite sévère.</w:t>
      </w:r>
    </w:p>
    <w:p>
      <w:r/>
      <w:r>
        <w:rPr>
          <w:b/>
        </w:rPr>
        <w:t>Prévention et Gestion des Effets Indésirables :</w:t>
      </w:r>
      <w:r/>
    </w:p>
    <w:p>
      <w:pPr>
        <w:pStyle w:val="ListBullet"/>
      </w:pPr>
      <w:r>
        <w:t>Mesures Préventives : Prophylaxie cutanée systématique à l'initiation : émollients sans alcool ni parfum (2 fois/j), photoprotection SPF 50+ (éviter l'exposition solaire directe, lunettes de soleil, chapeau), nettoyage doux sans savon agressif ; antibiothérapie prophylactique (doxycycline 100 mg/j ou minocycline 100 mg/j) à discuter en cas de rash sévère à l'initiation ; surveillance cutanée hebdomadaire le premier mois ; prophylaxie diarrhée : lopéramide à la demande dès la première selle liquide ; surveillance hépatique (ALAT, ASAT, bilirubine) initiale puis mensuelle 3 mois puis trimestrielle ; surveillance pulmonaire (examen clinique, radiographie thoracique en cas de symptôme) ; arrêt du tabac (augmente le métabolisme de l'erlotinib et réduit son efficacité).</w:t>
      </w:r>
    </w:p>
    <w:p>
      <w:pPr>
        <w:pStyle w:val="ListBullet"/>
      </w:pPr>
      <w:r>
        <w:t>Conduite à Tenir : Rash grade 1–2 (≤ 50 % surface corporelle, sans signe de surinfection) : poursuite du traitement, émollients, doxycycline 100 mg/j ou minocycline 100 mg/j, antihistaminiques si prurit. Rash grade 3 (&gt; 50 % surface corporelle, surinfection, retentissement psychologique) : interruption transitoire 1–2 semaines, corticothérapie locale ou systémique courte, antibiothérapie si surinfection, reprise à dose standard ou réduite (100 mg). Rash grade 4 (érythrodermie, SJS/Lyell) : arrêt définitif, hospitalisation, dermato-consultation urgente. Diarrhée grade 1–2 (≤ 6 selles/j) : lopéramide à la demande, hydratation. Diarrhée grade 3 (≥ 7 selles/j ou nécessité d'IV) : interruption transitoire, réhydratation IV, lopéramide régulier, reprise à dose réduite. Pneumopathie interstitielle (toux sèche, dyspnée, fièvre, opacités interstitielles au scanner) : arrêt définitif, hospitalisation, corticothérapie IV (prednisone 1–2 mg/kg/j), antibiothérapie prophylactique (cotrimoxazole couvrant PJP).</w:t>
      </w:r>
    </w:p>
    <w:p>
      <w:r/>
      <w:r>
        <w:rPr>
          <w:b/>
        </w:rPr>
        <w:t>Interactions Médicamenteuses :</w:t>
      </w:r>
      <w:r/>
    </w:p>
    <w:p>
      <w:pPr>
        <w:pStyle w:val="ListBullet"/>
      </w:pPr>
      <w:r>
        <w:t>CYP3A4 (métabolisme principal) ; CYP1A2 (métabolisme secondaire) : inducteurs enzymatiques (rifampicine → ASC erlotinib réduite de 70 %, à éviter ; phénytoïne, carbamazépine, phénobarbital, millepertuis, tabagisme) → baisse majeure. Le tabac augmente la clairance de l'erlotinib de 24 %, réduisant l'ASC de 30–50 % — arrêt du tabac obligatoire. Inhibiteurs (kétoconazole → ASC × 2 ; itraconazole, voriconazole, posaconazole, clarithromycine, ritonavir) → augmentation, surveillance des EI.</w:t>
      </w:r>
    </w:p>
    <w:p>
      <w:pPr>
        <w:pStyle w:val="ListBullet"/>
      </w:pPr>
      <w:r>
        <w:t>Anti-acides (IPP, anti-H2, hydroxyde d'aluminium/magnésium) : l'erlotinib nécessite un milieu acide pour être absorbé ; les IPP réduisent son ASC de 50 %. Espacer de plusieurs heures si possible, ou privilégier les anti-H2 à dose faible.</w:t>
      </w:r>
    </w:p>
    <w:p>
      <w:pPr>
        <w:pStyle w:val="ListBullet"/>
      </w:pPr>
      <w:r>
        <w:t>CYP1A2 : l'erlotinib est substrat du CYP1A2 ; éviter les inducteurs (tabac, omeprazole à forte dose) et les inhibiteurs (ciprofloxacine, fluvoxamine).</w:t>
      </w:r>
    </w:p>
    <w:p>
      <w:pPr>
        <w:pStyle w:val="ListBullet"/>
      </w:pPr>
      <w:r>
        <w:t>Substrats à index thérapeutique étroit : l'erlotinib est inhibiteur du CYP3A4 et de la P-gp ; surveillance avec les antivitamines K (HBPM préférentielle), les statines (simvastatine, atorvastatine), la warfarine (risque hémorragique accru).</w:t>
      </w:r>
    </w:p>
    <w:p>
      <w:pPr>
        <w:pStyle w:val="ListBullet"/>
      </w:pPr>
      <w:r>
        <w:t>Vaccins : éviter les vaccins vivants atténués.</w:t>
      </w:r>
    </w:p>
    <w:p>
      <w:pPr>
        <w:pStyle w:val="ListBullet"/>
      </w:pPr>
      <w:r>
        <w:t>Alimentation : la prise avec un repas riche en graisses réduit l'ASC de 33 % et le Cmax de 54 % — à prendre à jeun (1 heure avant ou 2 heures après un repas). Le pamplemousse est à éviter.</w:t>
      </w:r>
    </w:p>
    <w:p>
      <w:r/>
      <w:r>
        <w:rPr>
          <w:b/>
        </w:rPr>
        <w:t>Grossesse et Allaitement :</w:t>
      </w:r>
      <w:r/>
    </w:p>
    <w:p>
      <w:pPr>
        <w:pStyle w:val="ListBullet"/>
      </w:pPr>
      <w:r>
        <w:t>Grossesse : CONTRE-INDICATION ABSOLUE. Tératogénicité chez l'animal. Contraception efficace obligatoire pendant le traitement et 2 semaines après l'arrêt. Le partenaire masculin doit utiliser une contraception pendant le traitement.</w:t>
      </w:r>
    </w:p>
    <w:p>
      <w:pPr>
        <w:pStyle w:val="ListBullet"/>
      </w:pPr>
      <w:r>
        <w:t>Allaitement : CONTRE-INDICATION ABSOLUE.</w:t>
      </w:r>
    </w:p>
    <w:p>
      <w:r/>
      <w:r>
        <w:rPr>
          <w:b/>
        </w:rPr>
        <w:t>Posologie et Mode d'administration (Standard) :</w:t>
      </w:r>
      <w:r/>
    </w:p>
    <w:p>
      <w:pPr>
        <w:pStyle w:val="ListBullet"/>
      </w:pPr>
      <w:r>
        <w:t>Adulte : CBNPC : 150 mg/j en une prise unique, à jeun (1 heure avant ou 2 heures après un repas). En cas de rash sévère ou de diarrhée persistante, réduction à 100 mg/j. Cancer du pancréas (en association au gemcitabine) : 100 mg/j.</w:t>
      </w:r>
    </w:p>
    <w:p>
      <w:pPr>
        <w:pStyle w:val="ListBullet"/>
      </w:pPr>
      <w:r>
        <w:t>Insuffisance hépatique modérée à sévère : 50–75 % de la dose standard selon bilirubine et transaminases.</w:t>
      </w:r>
    </w:p>
    <w:p>
      <w:pPr>
        <w:pStyle w:val="ListBullet"/>
      </w:pPr>
      <w:r>
        <w:t>Insuffisance rénale : pas d'adaptation nécessaire.</w:t>
      </w:r>
    </w:p>
    <w:p>
      <w:pPr>
        <w:pStyle w:val="ListBullet"/>
      </w:pPr>
      <w:r>
        <w:t>Tabagique actif : augmenter la dose à 200–300 mg/j en cas de réponse insuffisante (en attendant l'arrêt du tabac, objectif principal).</w:t>
      </w:r>
    </w:p>
    <w:p>
      <w:pPr>
        <w:pStyle w:val="ListBullet"/>
      </w:pPr>
      <w:r>
        <w:t>Mode d'administration : voie orale stricte, à prendre à heure fixe, à jeun (1 heure avant ou 2 heures après un repas), avec un grand verre d'eau. Les comprimés ne doivent pas être écrasés.</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Hépatique : ALAT, ASAT, bilirubine initiale puis mensuelle 3 mois puis trimestrielle.</w:t>
      </w:r>
    </w:p>
    <w:p>
      <w:pPr>
        <w:pStyle w:val="ListBullet"/>
      </w:pPr>
      <w:r>
        <w:t>Cutané : examen clinique hebdomadaire le premier mois, puis mensuel ; évaluation de la sévérité du rash (CTCAE) ; recherche de surinfection (prélèvement bactériologique si suspicion).</w:t>
      </w:r>
    </w:p>
    <w:p>
      <w:pPr>
        <w:pStyle w:val="ListBullet"/>
      </w:pPr>
      <w:r>
        <w:t>Pulmonaire : examen clinique (toux, dyspnée) à chaque consultation ; radiographie thoracique ou scanner en cas de symptôme.</w:t>
      </w:r>
    </w:p>
    <w:p>
      <w:pPr>
        <w:pStyle w:val="ListBullet"/>
      </w:pPr>
      <w:r>
        <w:t>Cardiaque : ECG initial si antécédents cardiaques ou traitements allongeant le QT concomitants.</w:t>
      </w:r>
    </w:p>
    <w:p>
      <w:pPr>
        <w:pStyle w:val="ListBullet"/>
      </w:pPr>
      <w:r>
        <w:t>Moléculaire (CBNPC) : recherche de mutation T790M en cas de progression (sang ctDNA ou biopsie), switch vers osimertinib si positif.</w:t>
      </w:r>
    </w:p>
    <w:p>
      <w:r/>
      <w:r>
        <w:rPr>
          <w:b/>
        </w:rPr>
        <w:t>Arbitrage et Bénéfices des Formes Galéniques :</w:t>
      </w:r>
      <w:r/>
    </w:p>
    <w:p>
      <w:r>
        <w:t>Les dosages 100 et 150 mg permettent l'adaptation posologique (100, 125, 150 mg/j). Le dosage 150 mg est la dose standard pour le CBNPC ; le dosage 100 mg est utilisé pour l'indication pancréas, l'insuffisance hépatique et la réduction en cas d'effets indésirables. Le conditionnement B/30 (EGROTIB) ou B/10 (BIRLOTIB, MIRATA) offre une souplesse d'approvisionnement mensuel ou décanal.</w:t>
      </w:r>
    </w:p>
    <w:p>
      <w:r/>
      <w:r>
        <w:rPr>
          <w:b/>
        </w:rPr>
        <w:t>Instructions et Conseils au Patient :</w:t>
      </w:r>
      <w:r/>
    </w:p>
    <w:p>
      <w:pPr>
        <w:pStyle w:val="ListBullet"/>
      </w:pPr>
      <w:r>
        <w:t>Communication : « L'erlotinib est un médicament anticancéreux oral qui bloque spécifiquement les récepteurs à la surface de vos cellules cancéreuses, en particulier si elles portent une mutation EGFR. Il se prend une fois par jour, à jeun (1 heure avant ou 2 heures après un repas), avec un grand verre d'eau. L'effet indésirable le plus fréquent est une éruption cutanée (rash acnéiforme sur le visage, le tronc et le cuir chevelu), souvent dans les 1 à 3 premières semaines. Ce rash est généralement bénin et signe que le médicament est actif ; il faut le traiter tôt avec des crèmes hydratantes, de la doxycycline et une protection solaire stricte. Prévenez immédiatement votre médecin en cas de diarrhée sévère, de toux sèche ou d'essoufflement (risque de pneumopathie), de jaunisse, ou de douleurs oculaires. »</w:t>
      </w:r>
    </w:p>
    <w:p>
      <w:pPr>
        <w:pStyle w:val="ListBullet"/>
      </w:pPr>
      <w:r>
        <w:t>Observance : prise à heure fixe, à jeun, calendrier d'administration, ne jamais interrompre sans avis médical.</w:t>
      </w:r>
    </w:p>
    <w:p>
      <w:pPr>
        <w:pStyle w:val="ListBullet"/>
      </w:pPr>
      <w:r>
        <w:t>Hygiène de vie : arrêt du tabac obligatoire (le tabac réduit l'efficacité), photoprotection SPF 50+, émollients cutanés sans alcool ni parfum, éviter le pamplemousse et le millepertuis.</w:t>
      </w:r>
    </w:p>
    <w:p>
      <w:r/>
      <w:r>
        <w:rPr>
          <w:b/>
        </w:rPr>
        <w:t>Notes, Règles d'Or &amp; Pièges au Comptoir :</w:t>
      </w:r>
      <w:r/>
    </w:p>
    <w:p>
      <w:pPr>
        <w:pStyle w:val="ListBullet"/>
      </w:pPr>
      <w:r>
        <w:t>Piège : le rash acnéiforme est l'effet indésirable signature de l'erlotinib — sa survenue et son intensité sont corrélées à l'efficacité thérapeutique. Ne pas l'interpréter comme une allergie et ne pas arrêter le traitement d'emblée ; le traiter prophylactiquement.</w:t>
      </w:r>
    </w:p>
    <w:p>
      <w:pPr>
        <w:pStyle w:val="ListBullet"/>
      </w:pPr>
      <w:r>
        <w:t>Piège : oublier d'arrêter le tabac (réduit l'ASC de 30–50 % et l'efficacité).</w:t>
      </w:r>
    </w:p>
    <w:p>
      <w:pPr>
        <w:pStyle w:val="ListBullet"/>
      </w:pPr>
      <w:r>
        <w:t>Règle : la prise à jeun est essentielle ; un repas riche en graisses diminue l'ASC de 33 %.</w:t>
      </w:r>
    </w:p>
    <w:p>
      <w:pPr>
        <w:pStyle w:val="ListBullet"/>
      </w:pPr>
      <w:r>
        <w:t>Piège : la pneumopathie interstitielle est rare (1 %) mais potentiellement fatale — y penser devant toute toux sèche ou dyspnée nouvelle chez un patient traité.</w:t>
      </w:r>
    </w:p>
    <w:p>
      <w:pPr>
        <w:pStyle w:val="ListBullet"/>
      </w:pPr>
      <w:r>
        <w:t>Piège : les IPP réduisent l'ASC de 50 % ; les espacer ou les arrêter si possible.</w:t>
      </w:r>
    </w:p>
    <w:p>
      <w:pPr>
        <w:pStyle w:val="ListBullet"/>
      </w:pPr>
      <w:r>
        <w:t>Règle : contraception stricte pendant le traitement et 2 semaines après l'arrêt.</w:t>
      </w:r>
    </w:p>
    <w:p>
      <w:pPr>
        <w:pStyle w:val="Heading3"/>
      </w:pPr>
      <w:r>
        <w:t>104.3.2 DCI : Gefitinib</w:t>
      </w:r>
    </w:p>
    <w:p>
      <w:r/>
      <w:r>
        <w:rPr>
          <w:b/>
        </w:rPr>
        <w:t>Liste des Catégories :</w:t>
      </w:r>
      <w:r>
        <w:t xml:space="preserve"> Antinéoplasiques ; Inhibiteur de tyrosine kinase ; ITK EGFR de 1re génération (inhibiteur réversible) ; Inhibiteur de HER1/EGFR ; Liste I.</w:t>
      </w:r>
    </w:p>
    <w:p>
      <w:r>
        <w:t>Le gefitinib est un inhibiteur réversible de l'EGFR, dérivé de la quinazoline (comme l'erlotinib), indiqué dans le cancer bronchique non à petites cellules (CBNPC) localement avancé ou métastatique porteur de mutations activatrices de l'EGFR (délétion de l'exon 19, mutation L858R de l'exon 21). Il a été le premier ITK EGFR mis sur le marché (2002), initialement approuvé en indication de 2e/3e ligne, puis retiré du marché européen en 2009 (absence de bénéfice de survie globale en 2e ligne), et réintroduit en 2012 dans le CBNPC EGFR muté en 1re ligne. Son profil d'effets indésirables est comparable à celui de l'erlotinib, avec une hépatotoxicité un peu plus marquée (cytolyse, particulièrement chez les patients asiatiques).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GEFITINIB ACCORD</w:t>
            </w:r>
          </w:p>
        </w:tc>
        <w:tc>
          <w:tcPr>
            <w:tcW w:type="dxa" w:w="1559"/>
          </w:tcPr>
          <w:p>
            <w:r>
              <w:rPr>
                <w:sz w:val="20"/>
              </w:rPr>
              <w:t>ACCORD HEALTHCARE LIMITED</w:t>
            </w:r>
          </w:p>
        </w:tc>
        <w:tc>
          <w:tcPr>
            <w:tcW w:type="dxa" w:w="1559"/>
          </w:tcPr>
          <w:p>
            <w:r>
              <w:rPr>
                <w:sz w:val="20"/>
              </w:rPr>
              <w:t>Comprimé pelliculé 250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GEPHAL</w:t>
            </w:r>
          </w:p>
        </w:tc>
        <w:tc>
          <w:tcPr>
            <w:tcW w:type="dxa" w:w="1559"/>
          </w:tcPr>
          <w:p>
            <w:r>
              <w:rPr>
                <w:sz w:val="20"/>
              </w:rPr>
              <w:t>SOCIETE PHARMACEUTIQUE ALGERIENNE SOPHAL</w:t>
            </w:r>
          </w:p>
        </w:tc>
        <w:tc>
          <w:tcPr>
            <w:tcW w:type="dxa" w:w="1559"/>
          </w:tcPr>
          <w:p>
            <w:r>
              <w:rPr>
                <w:sz w:val="20"/>
              </w:rPr>
              <w:t>Comprimé pelliculé 250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IRESSA</w:t>
            </w:r>
          </w:p>
        </w:tc>
        <w:tc>
          <w:tcPr>
            <w:tcW w:type="dxa" w:w="1559"/>
          </w:tcPr>
          <w:p>
            <w:r>
              <w:rPr>
                <w:sz w:val="20"/>
              </w:rPr>
              <w:t>ASTRA ZENECA AB</w:t>
            </w:r>
          </w:p>
        </w:tc>
        <w:tc>
          <w:tcPr>
            <w:tcW w:type="dxa" w:w="1559"/>
          </w:tcPr>
          <w:p>
            <w:r>
              <w:rPr>
                <w:sz w:val="20"/>
              </w:rPr>
              <w:t>Comprimé pelliculé 250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gefitinib est disponible en Algérie sous sa spécialité princeps IRESSA (AstraZeneca) et sous deux génériques (GEFITINIB ACCORD, GEPHAL). Le dosage unique (250 mg) correspond à la dose standard adulte.</w:t>
      </w:r>
    </w:p>
    <w:p>
      <w:r/>
      <w:r>
        <w:rPr>
          <w:b/>
        </w:rPr>
        <w:t>Sous-classe et Mécanisme d'action :</w:t>
      </w:r>
      <w:r/>
    </w:p>
    <w:p>
      <w:pPr>
        <w:pStyle w:val="ListBullet"/>
      </w:pPr>
      <w:r>
        <w:t>Sous-classe : ITK EGFR de 1re génération, classe des quinazolines. Inhibiteur réversible de l'EGFR (HER1).</w:t>
      </w:r>
    </w:p>
    <w:p>
      <w:pPr>
        <w:pStyle w:val="ListBullet"/>
      </w:pPr>
      <w:r>
        <w:t>Mécanisme d'action : inhibition compétitive, réversible et ATP-mimétique de l'activité tyrosine kinase de l'EGFR (HER1), en se liant à la poche de liaison de l'ATP dans le domaine catalytique intracellulaire. Le blocage de l'EGFR inhibe l'autophosphorylation et la cascade de signalisation en aval : RAS-RAF-MEK-ERK1/2, PI3K-AKT-mTOR, PLCγ-PKC, JAK-STAT. Le gefitinib présente une affinité supérieure pour les formes mutées de l'EGFR (délétion exon 19, L858R) par rapport à l'EGFR sauvage, ce qui explique son efficacité préférentielle dans les CBNPC mutés EGFR. Il n'a pas d'activité significative sur la mutation T790M (résistance secondaire). Le mécanisme d'action est identique à celui de l'erlotinib, avec une puissance comparable.</w:t>
      </w:r>
    </w:p>
    <w:p>
      <w:r/>
      <w:r>
        <w:rPr>
          <w:b/>
        </w:rPr>
        <w:t>Profil Pharmacologique :</w:t>
      </w:r>
      <w:r/>
    </w:p>
    <w:p>
      <w:pPr>
        <w:pStyle w:val="ListBullet"/>
      </w:pPr>
      <w:r>
        <w:t>Indications : CBNPC localement avancé ou métastatique porteur de mutations activatrices de l'EGFR (délétion exon 19, L858R exon 21) en première ligne de traitement.</w:t>
      </w:r>
    </w:p>
    <w:p>
      <w:pPr>
        <w:pStyle w:val="ListBullet"/>
      </w:pPr>
      <w:r>
        <w:t>Contre-indications : Hypersensibilité au gefitinib. Précautions : insuffisance hépatique (adaptation posologique), antécédents de pneumopathie interstitielle, antécédents de fibrose pulmonaire, grossesse (CI absolue), allaitement (CI absolue), ulcère gastro-duodénal évolutif.</w:t>
      </w:r>
    </w:p>
    <w:p>
      <w:pPr>
        <w:pStyle w:val="ListBullet"/>
      </w:pPr>
      <w:r>
        <w:t>Effets Indésirables : Très fréquents : rash acnéiforme folliculaire (50–75 %, survenant dans les 1 à 3 premières semaines), diarrhée (40–50 %), fatigue, anorexie, conjonctivite, sécheresse cutanée, prurit, paronychie, alopécie. Fréquents : élévation des transaminases (ALAT, ASAT), hyperbilirubinémie, nausées, stomatite, épistaxis, hémorragie (en cas d'anticoagulation), ILD/pneumopathie interstitielle (1–2 %, potentiellement fatale, particulièrement chez les patients asiatiques). Peu fréquents : ulcère gastro-duodénal, kératite, allongement du QTc, syndrome de lyse tumorale. Rares : syndrome de Stevens-Johnson, syndrome de Lyell, hépatite sévère.</w:t>
      </w:r>
    </w:p>
    <w:p>
      <w:r/>
      <w:r>
        <w:rPr>
          <w:b/>
        </w:rPr>
        <w:t>Prévention et Gestion des Effets Indésirables :</w:t>
      </w:r>
      <w:r/>
    </w:p>
    <w:p>
      <w:pPr>
        <w:pStyle w:val="ListBullet"/>
      </w:pPr>
      <w:r>
        <w:t>Mesures Préventives : Prophylaxie cutanée systématique à l'initiation : émollients sans alcool ni parfum (2 fois/j), photoprotection SPF 50+ ; antibiothérapie prophylactique (doxycycline 100 mg/j) à discuter ; surveillance cutanée hebdomadaire le premier mois ; prophylaxie diarrhée : lopéramide à la demande ; surveillance hépatique (ALAT, ASAT, bilirubine) initiale puis mensuelle 3 mois puis trimestrielle ; surveillance pulmonaire (examen clinique, radiographie thoracique en cas de symptôme).</w:t>
      </w:r>
    </w:p>
    <w:p>
      <w:pPr>
        <w:pStyle w:val="ListBullet"/>
      </w:pPr>
      <w:r>
        <w:t>Conduite à Tenir : Identique à l'erlotinib : rash (poursuite + émollients + doxycycline ; interruption si grade 3 ; arrêt si grade 4) ; diarrhée (lopéramide ; interruption si grade 3) ; pneumopathie interstitielle (arrêt définitif + corticothérapie IV).</w:t>
      </w:r>
    </w:p>
    <w:p>
      <w:r/>
      <w:r>
        <w:rPr>
          <w:b/>
        </w:rPr>
        <w:t>Interactions Médicamenteuses :</w:t>
      </w:r>
      <w:r/>
    </w:p>
    <w:p>
      <w:pPr>
        <w:pStyle w:val="ListBullet"/>
      </w:pPr>
      <w:r>
        <w:t>CYP3A4 (métabolisme principal) ; CYP2D6 (métabolisme secondaire) : inducteurs (rifampicine → ASC gefitinib réduite de 85 %, à éviter ; phénytoïne, carbamazépine, phénobarbital, millepertuis) → baisse majeure. Inhibiteurs (kétoconazole → ASC × 2 ; itraconazole, voriconazole, posaconazole, clarithromycine, ritonavir) → augmentation, surveillance des EI.</w:t>
      </w:r>
    </w:p>
    <w:p>
      <w:pPr>
        <w:pStyle w:val="ListBullet"/>
      </w:pPr>
      <w:r>
        <w:t>Anti-acides (IPP, anti-H2) : les IPP réduisent l'ASC du gefitinib de 35–50 %. Espacer de plusieurs heures si possible.</w:t>
      </w:r>
    </w:p>
    <w:p>
      <w:pPr>
        <w:pStyle w:val="ListBullet"/>
      </w:pPr>
      <w:r>
        <w:t>CYP2D6 : le gefitinib est inhibiteur du CYP2D6 ; surveillance avec la paroxétine, la fluoxétine, le métoclopramide, certains bêtabloquants.</w:t>
      </w:r>
    </w:p>
    <w:p>
      <w:pPr>
        <w:pStyle w:val="ListBullet"/>
      </w:pPr>
      <w:r>
        <w:t>Substrats à index thérapeutique étroit : surveillance avec les antivitamines K (HBPM préférentielle).</w:t>
      </w:r>
    </w:p>
    <w:p>
      <w:pPr>
        <w:pStyle w:val="ListBullet"/>
      </w:pPr>
      <w:r>
        <w:t>Vaccins : éviter les vaccins vivants atténués.</w:t>
      </w:r>
    </w:p>
    <w:p>
      <w:pPr>
        <w:pStyle w:val="ListBullet"/>
      </w:pPr>
      <w:r>
        <w:t>Alimentation : la prise avec un repas riche en graisses réduit l'ASC de 35 % — à prendre à jeun. Le pamplemousse est à éviter.</w:t>
      </w:r>
    </w:p>
    <w:p>
      <w:r/>
      <w:r>
        <w:rPr>
          <w:b/>
        </w:rPr>
        <w:t>Grossesse et Allaitement :</w:t>
      </w:r>
      <w:r/>
    </w:p>
    <w:p>
      <w:pPr>
        <w:pStyle w:val="ListBullet"/>
      </w:pPr>
      <w:r>
        <w:t>Grossesse : CONTRE-INDICATION ABSOLUE. Tératogénicité chez l'animal. Contraception efficace obligatoire pendant le traitement et 2 semaines après l'arrêt.</w:t>
      </w:r>
    </w:p>
    <w:p>
      <w:pPr>
        <w:pStyle w:val="ListBullet"/>
      </w:pPr>
      <w:r>
        <w:t>Allaitement : CONTRE-INDICATION ABSOLUE.</w:t>
      </w:r>
    </w:p>
    <w:p>
      <w:r/>
      <w:r>
        <w:rPr>
          <w:b/>
        </w:rPr>
        <w:t>Posologie et Mode d'administration (Standard) :</w:t>
      </w:r>
      <w:r/>
    </w:p>
    <w:p>
      <w:pPr>
        <w:pStyle w:val="ListBullet"/>
      </w:pPr>
      <w:r>
        <w:t>Adulte : 250 mg/j en une prise unique, à jeun (1 heure avant ou 2 heures après un repas).</w:t>
      </w:r>
    </w:p>
    <w:p>
      <w:pPr>
        <w:pStyle w:val="ListBullet"/>
      </w:pPr>
      <w:r>
        <w:t>Insuffisance hépatique modérée à sévère : 250 mg/j (pas d'adaptation pour Child-Pugh A, B ; surveillance pour Child-Pugh C).</w:t>
      </w:r>
    </w:p>
    <w:p>
      <w:pPr>
        <w:pStyle w:val="ListBullet"/>
      </w:pPr>
      <w:r>
        <w:t>Insuffisance rénale : pas d'adaptation nécessaire.</w:t>
      </w:r>
    </w:p>
    <w:p>
      <w:pPr>
        <w:pStyle w:val="ListBullet"/>
      </w:pPr>
      <w:r>
        <w:t>Mode d'administration : voie orale stricte, à prendre à heure fixe, à jeun, avec un grand verre d'eau. Les comprimés peuvent être dispersés dans un demi-verre d'eau (non gazeuse) pour les patients incapables d'avaler ; ingestion immédiate, rinçage.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Hépatique : ALAT, ASAT, bilirubine initiale puis mensuelle 3 mois puis trimestrielle.</w:t>
      </w:r>
    </w:p>
    <w:p>
      <w:pPr>
        <w:pStyle w:val="ListBullet"/>
      </w:pPr>
      <w:r>
        <w:t>Cutané : examen clinique hebdomadaire le premier mois, puis mensuel.</w:t>
      </w:r>
    </w:p>
    <w:p>
      <w:pPr>
        <w:pStyle w:val="ListBullet"/>
      </w:pPr>
      <w:r>
        <w:t>Pulmonaire : examen clinique à chaque consultation ; radiographie thoracique ou scanner en cas de symptôme.</w:t>
      </w:r>
    </w:p>
    <w:p>
      <w:pPr>
        <w:pStyle w:val="ListBullet"/>
      </w:pPr>
      <w:r>
        <w:t>Moléculaire (CBNPC) : recherche de mutation T790M en cas de progression, switch vers osimertinib si positif.</w:t>
      </w:r>
    </w:p>
    <w:p>
      <w:r/>
      <w:r>
        <w:rPr>
          <w:b/>
        </w:rPr>
        <w:t>Arbitrage et Bénéfices des Formes Galéniques :</w:t>
      </w:r>
      <w:r/>
    </w:p>
    <w:p>
      <w:r>
        <w:t>Le dosage unique (250 mg) correspond à la dose standard adulte ; l'adaptation posologique en cas d'effets indésirables se fait par interruption transitoire (pas de dosage intermédiaire). Le conditionnement B/30 (4 semaines) facilite l'observance mensuelle. La possibilité de disperser le comprimé dans l'eau facilite l'administration chez les patients incapables d'avaler.</w:t>
      </w:r>
    </w:p>
    <w:p>
      <w:r/>
      <w:r>
        <w:rPr>
          <w:b/>
        </w:rPr>
        <w:t>Instructions et Conseils au Patient :</w:t>
      </w:r>
      <w:r/>
    </w:p>
    <w:p>
      <w:pPr>
        <w:pStyle w:val="ListBullet"/>
      </w:pPr>
      <w:r>
        <w:t>Communication : « Le gefitinib est un médicament anticancéreux oral qui bloque spécifiquement les récepteurs EGFR à la surface de vos cellules cancéreuses. Il se prend une fois par jour, à jeun, avec un grand verre d'eau. Comme l'erlotinib, il peut provoquer un rash cutané (acnéique), une diarrhée, et plus rarement une inflammation des poumons. Prévenez votre médecin en cas de diarrhée sévère, de toux sèche ou d'essoufflement, ou de jaunisse. »</w:t>
      </w:r>
    </w:p>
    <w:p>
      <w:pPr>
        <w:pStyle w:val="ListBullet"/>
      </w:pPr>
      <w:r>
        <w:t>Observance : prise à heure fixe, à jeun.</w:t>
      </w:r>
    </w:p>
    <w:p>
      <w:pPr>
        <w:pStyle w:val="ListBullet"/>
      </w:pPr>
      <w:r>
        <w:t>Hygiène de vie : photoprotection SPF 50+, émollients cutanés, arrêt du tabac, éviter le pamplemousse et le millepertuis.</w:t>
      </w:r>
    </w:p>
    <w:p>
      <w:r/>
      <w:r>
        <w:rPr>
          <w:b/>
        </w:rPr>
        <w:t>Notes, Règles d'Or &amp; Pièges au Comptoir :</w:t>
      </w:r>
      <w:r/>
    </w:p>
    <w:p>
      <w:pPr>
        <w:pStyle w:val="ListBullet"/>
      </w:pPr>
      <w:r>
        <w:t>Piège : la pneumopathie interstitielle est l'effet indésirable le plus grave du gefitinib (1–2 %, potentiellement fatale, particulièrement chez les patients asiatiques) — y penser devant toute toux sèche ou dyspnée nouvelle.</w:t>
      </w:r>
    </w:p>
    <w:p>
      <w:pPr>
        <w:pStyle w:val="ListBullet"/>
      </w:pPr>
      <w:r>
        <w:t>Piège : oublier d'arrêter les IPP (réduction de l'ASC de 35–50 %).</w:t>
      </w:r>
    </w:p>
    <w:p>
      <w:pPr>
        <w:pStyle w:val="ListBullet"/>
      </w:pPr>
      <w:r>
        <w:t>Règle : le gefitinib est équivalent à l'erlotinib en termes d'efficacité dans le CBNPC EGFR muté, mais avec un profil de tolérance cutané un peu meilleur et une hépatotoxicité un peu plus marquée.</w:t>
      </w:r>
    </w:p>
    <w:p>
      <w:pPr>
        <w:pStyle w:val="ListBullet"/>
      </w:pPr>
      <w:r>
        <w:t>Règle : la mutation T790M est le mécanisme principal de résistance secondaire (50–60 %) — switch vers osimertinib en cas de progression.</w:t>
      </w:r>
    </w:p>
    <w:p>
      <w:pPr>
        <w:pStyle w:val="Heading2"/>
      </w:pPr>
      <w:r>
        <w:t>104.4 Sous-classe : ITK EGFR/HER2 (2e génération - inhibiteurs irréversibles)</w:t>
      </w:r>
    </w:p>
    <w:p>
      <w:r>
        <w:t>Les ITK EGFR/HER2 de 2e génération (afatinib) sont des inhibiteurs irréversibles de l'EGFR (HER1), de HER2 et de HER4, appartenant à la classe des aminopyrimidines (anilino-quinazolines). Contrairement à l'erlotinib et au gefitinib qui inhibent de façon réversible le site catalytique de l'EGFR, l'afatinib forme une liaison covalente avec un résidu cystéine (Cys797) du domaine kinase, conférant une inhibition prolongée et un spectre d'action élargi à HER2 et HER4. L'afatinib est indiqué dans le cancer bronchique non à petites cellules (CBNPC) porteur de mutations activatrices de l'EGFR (délétion exon 19, L858R) en première ligne (alternative à l'osimertinib), ainsi que dans les CBNPC porteurs de mutations rares de l'EGFR (exon 20 insertions hors mutations résistantes, G719X, L861Q, S768I) pour lesquelles les ITK de 1re génération sont peu efficaces. Son profil d'effets indésirables est marqué par un rash acnéiforme plus sévère et plus prolongé qu'avec les ITK de 1re génération, une diarrhée fréquente et parfois sévère, une stomatite et une paronychie.</w:t>
      </w:r>
    </w:p>
    <w:p>
      <w:pPr>
        <w:pStyle w:val="Heading3"/>
      </w:pPr>
      <w:r>
        <w:t>104.4.1 DCI : Afatinib</w:t>
      </w:r>
    </w:p>
    <w:p>
      <w:r/>
      <w:r>
        <w:rPr>
          <w:b/>
        </w:rPr>
        <w:t>Liste des Catégories :</w:t>
      </w:r>
      <w:r>
        <w:t xml:space="preserve"> Antinéoplasiques ; Inhibiteur de tyrosine kinase ; ITK EGFR/HER2 de 2e génération (inhibiteur irréversible) ; Inhibiteur de HER1/EGFR, HER2, HER4 ; Liste I.</w:t>
      </w:r>
    </w:p>
    <w:p>
      <w:r>
        <w:t>L'afatinib est un inhibiteur irréversible pan-HER (HER1/EGFR, HER2, HER4), dérivé de l'anilino-quinazoline, indiqué dans le cancer bronchique non à petites cellules (CBNPC) porteur de mutations activatrices de l'EGFR (délétion exon 19, mutation L858R) en première ligne de traitement (alternative à l'osimertinib, particulièrement si non disponible), ainsi que dans les CBNPC porteurs de mutations rares de l'EGFR (G719X, L861Q, S768I, insertions de l'exon 20 hors T790M et exon 20 résistantes). Son profil d'effets indésirables est dominé par le rash acnéiforme sévère, la diarrhée, la stomatite et la paronychie.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AFATINIB BIOPHARM</w:t>
            </w:r>
          </w:p>
        </w:tc>
        <w:tc>
          <w:tcPr>
            <w:tcW w:type="dxa" w:w="1559"/>
          </w:tcPr>
          <w:p>
            <w:r>
              <w:rPr>
                <w:sz w:val="20"/>
              </w:rPr>
              <w:t>BIOPHARM</w:t>
            </w:r>
          </w:p>
        </w:tc>
        <w:tc>
          <w:tcPr>
            <w:tcW w:type="dxa" w:w="1559"/>
          </w:tcPr>
          <w:p>
            <w:r>
              <w:rPr>
                <w:sz w:val="20"/>
              </w:rPr>
              <w:t>Comprimé pelliculé 20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AFATINIB BIOPHARM</w:t>
            </w:r>
          </w:p>
        </w:tc>
        <w:tc>
          <w:tcPr>
            <w:tcW w:type="dxa" w:w="1559"/>
          </w:tcPr>
          <w:p>
            <w:r>
              <w:rPr>
                <w:sz w:val="20"/>
              </w:rPr>
              <w:t>BIOPHARM</w:t>
            </w:r>
          </w:p>
        </w:tc>
        <w:tc>
          <w:tcPr>
            <w:tcW w:type="dxa" w:w="1559"/>
          </w:tcPr>
          <w:p>
            <w:r>
              <w:rPr>
                <w:sz w:val="20"/>
              </w:rPr>
              <w:t>Comprimé pelliculé 30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AFATINIB BIOPHARM</w:t>
            </w:r>
          </w:p>
        </w:tc>
        <w:tc>
          <w:tcPr>
            <w:tcW w:type="dxa" w:w="1559"/>
          </w:tcPr>
          <w:p>
            <w:r>
              <w:rPr>
                <w:sz w:val="20"/>
              </w:rPr>
              <w:t>BIOPHARM</w:t>
            </w:r>
          </w:p>
        </w:tc>
        <w:tc>
          <w:tcPr>
            <w:tcW w:type="dxa" w:w="1559"/>
          </w:tcPr>
          <w:p>
            <w:r>
              <w:rPr>
                <w:sz w:val="20"/>
              </w:rPr>
              <w:t>Comprimé pelliculé 40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GIOTRIF</w:t>
            </w:r>
          </w:p>
        </w:tc>
        <w:tc>
          <w:tcPr>
            <w:tcW w:type="dxa" w:w="1559"/>
          </w:tcPr>
          <w:p>
            <w:r>
              <w:rPr>
                <w:sz w:val="20"/>
              </w:rPr>
              <w:t>BOEHRINGER INGELHEIM INTERNATIONAL GMBH</w:t>
            </w:r>
          </w:p>
        </w:tc>
        <w:tc>
          <w:tcPr>
            <w:tcW w:type="dxa" w:w="1559"/>
          </w:tcPr>
          <w:p>
            <w:r>
              <w:rPr>
                <w:sz w:val="20"/>
              </w:rPr>
              <w:t>Comprimé pelliculé 20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GIOTRIF</w:t>
            </w:r>
          </w:p>
        </w:tc>
        <w:tc>
          <w:tcPr>
            <w:tcW w:type="dxa" w:w="1559"/>
          </w:tcPr>
          <w:p>
            <w:r>
              <w:rPr>
                <w:sz w:val="20"/>
              </w:rPr>
              <w:t>BOEHRINGER INGELHEIM INTERNATIONAL GMBH</w:t>
            </w:r>
          </w:p>
        </w:tc>
        <w:tc>
          <w:tcPr>
            <w:tcW w:type="dxa" w:w="1559"/>
          </w:tcPr>
          <w:p>
            <w:r>
              <w:rPr>
                <w:sz w:val="20"/>
              </w:rPr>
              <w:t>Comprimé pelliculé 30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GIOTRIF</w:t>
            </w:r>
          </w:p>
        </w:tc>
        <w:tc>
          <w:tcPr>
            <w:tcW w:type="dxa" w:w="1559"/>
          </w:tcPr>
          <w:p>
            <w:r>
              <w:rPr>
                <w:sz w:val="20"/>
              </w:rPr>
              <w:t>BOEHRINGER INGELHEIM INTERNATIONAL GMBH</w:t>
            </w:r>
          </w:p>
        </w:tc>
        <w:tc>
          <w:tcPr>
            <w:tcW w:type="dxa" w:w="1559"/>
          </w:tcPr>
          <w:p>
            <w:r>
              <w:rPr>
                <w:sz w:val="20"/>
              </w:rPr>
              <w:t>Comprimé pelliculé 40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GIOTRIF (R)</w:t>
            </w:r>
          </w:p>
        </w:tc>
        <w:tc>
          <w:tcPr>
            <w:tcW w:type="dxa" w:w="1559"/>
          </w:tcPr>
          <w:p>
            <w:r>
              <w:rPr>
                <w:sz w:val="20"/>
              </w:rPr>
              <w:t>BOEHRINGER INGELHEIM INTERNATIONAL GMBH</w:t>
            </w:r>
          </w:p>
        </w:tc>
        <w:tc>
          <w:tcPr>
            <w:tcW w:type="dxa" w:w="1559"/>
          </w:tcPr>
          <w:p>
            <w:r>
              <w:rPr>
                <w:sz w:val="20"/>
              </w:rPr>
              <w:t>Comprimé pelliculé 50 mg</w:t>
            </w:r>
          </w:p>
        </w:tc>
        <w:tc>
          <w:tcPr>
            <w:tcW w:type="dxa" w:w="1559"/>
          </w:tcPr>
          <w:p>
            <w:r>
              <w:rPr>
                <w:sz w:val="20"/>
              </w:rPr>
              <w:t>B/28</w:t>
            </w:r>
          </w:p>
        </w:tc>
        <w:tc>
          <w:tcPr>
            <w:tcW w:type="dxa" w:w="1559"/>
          </w:tcPr>
          <w:p>
            <w:r>
              <w:rPr>
                <w:sz w:val="20"/>
              </w:rPr>
              <w:t>Liste I</w:t>
            </w:r>
          </w:p>
        </w:tc>
        <w:tc>
          <w:tcPr>
            <w:tcW w:type="dxa" w:w="1559"/>
          </w:tcPr>
          <w:p>
            <w:r>
              <w:rPr>
                <w:sz w:val="20"/>
              </w:rPr>
              <w:t>Retrait</w:t>
            </w:r>
          </w:p>
        </w:tc>
      </w:tr>
    </w:tbl>
    <w:p/>
    <w:p>
      <w:r>
        <w:t>L'afatinib est disponible en Algérie sous sa spécialité princeps GIOTRIF (Boehringer Ingelheim) à trois dosages actifs (20, 30, 40 mg) et un dosage retiré (50 mg), ainsi que sous le générique AFATINIB BIOPHARM à trois dosages (20, 30, 40 mg). Les dosages 20, 30 et 40 mg permettent l'adaptation posologique : 40 mg/j (dose standard initiale), 30 mg/j (réduction en cas d'effets indésirables), 20 mg/j (réduction supplémentaire ou insuffisance hépatique sévère). Le dosage 50 mg, correspondant à la dose d'escalade, est retiré du marché algérien.</w:t>
      </w:r>
    </w:p>
    <w:p>
      <w:r/>
      <w:r>
        <w:rPr>
          <w:b/>
        </w:rPr>
        <w:t>Sous-classe et Mécanisme d'action :</w:t>
      </w:r>
      <w:r/>
    </w:p>
    <w:p>
      <w:pPr>
        <w:pStyle w:val="ListBullet"/>
      </w:pPr>
      <w:r>
        <w:t>Sous-classe : ITK EGFR/HER2 de 2e génération, classe des anilino-quinazolines. Inhibiteur irréversible pan-HER.</w:t>
      </w:r>
    </w:p>
    <w:p>
      <w:pPr>
        <w:pStyle w:val="ListBullet"/>
      </w:pPr>
      <w:r>
        <w:t>Mécanisme d'action : inhibition irréversible (formation d'une liaison covalente avec le résidu Cys797 du domaine kinase) des tyrosine kinases de l'EGFR (HER1), de HER2 (ErbB2) et de HER4 (ErbB4). Le blocage de ces récepteurs inhibe les voies de signalisation en aval : RAS-RAF-MEK-ERK1/2 (prolifération), PI3K-AKT-mTOR (survie), PLCγ-PKC (motilité), JAK-STAT (transcription). L'afatinib présente une affinité supérieure pour les formes mutées de l'EGFR (délétion exon 19, L858R, G719X, L861Q, S768I) par rapport à l'EGFR sauvage, mais conserve une activité sur l'EGFR sauvage (expliquant la toxicité cutanée et digestive). Il a une activité sur les insertions rares de l'exon 20 (sauf la mutation T790M résistante). Le blocage de HER2 explique l'efficacité théorique dans les cancers du sein HER2-positifs (non validé cliniquement) et le risque accru de toxicité cutanée.</w:t>
      </w:r>
    </w:p>
    <w:p>
      <w:r/>
      <w:r>
        <w:rPr>
          <w:b/>
        </w:rPr>
        <w:t>Profil Pharmacologique :</w:t>
      </w:r>
      <w:r/>
    </w:p>
    <w:p>
      <w:pPr>
        <w:pStyle w:val="ListBullet"/>
      </w:pPr>
      <w:r>
        <w:t>Indications : (1) CBNPC localement avancé ou métastatique porteur de mutations activatrices de l'EGFR (délétion exon 19, L858R) en première ligne (alternative à l'osimertinib) ; (2) CBNPC porteur de mutations rares de l'EGFR (G719X, L861Q, S768I, insertions de l'exon 20 hors T790M) ; (3) CBNPC sqüameux progressant après platine (indication historique de 2e ligne, supplantée par l'immunothérapie).</w:t>
      </w:r>
    </w:p>
    <w:p>
      <w:pPr>
        <w:pStyle w:val="ListBullet"/>
      </w:pPr>
      <w:r>
        <w:t>Contre-indications : Hypersensibilité à l'afatinib. Précautions : insuffisance hépatique (adaptation posologique), antécédents de pneumopathie interstitielle, antécédents de kératite, antécédents d'ulcère gastro-duodénal, grossesse (CI absolue), allaitement (CI absolue).</w:t>
      </w:r>
    </w:p>
    <w:p>
      <w:pPr>
        <w:pStyle w:val="ListBullet"/>
      </w:pPr>
      <w:r>
        <w:t>Effets Indésirables : Très fréquents : diarrhée (75–90 %, parfois sévère avec déshydratation — la diarrhée est plus fréquente et plus sévère qu'avec les ITK de 1re génération en raison de l'inhibition de HER2 sur les entérocytes), rash acnéiforme folliculaire (70–90 %, plus sévère et plus prolongé qu'avec l'erlotinib), stomatite, sécheresse cutanée, prurit, paronychie (inflammation des replis unguéaux, parfois avec bourgeon charnu), alopécie, anorexie, fatigue. Fréquents : élévation des transaminases, hyperbilirubinémie, conjonctivite, kératite, épistaxis, cystite, ILD/pneumopathie interstitielle (1–1,5 %, potentiellement fatale). Peu fréquents : ulcère gastro-duodénal, perforation digestive, hémorragie, syndrome de Stevens-Johnson, syndrome de Lyell, allongement du QTc (rare). Rares : hépatite sévère, keratitis sévère avec ulcération cornéenne.</w:t>
      </w:r>
    </w:p>
    <w:p>
      <w:r/>
      <w:r>
        <w:rPr>
          <w:b/>
        </w:rPr>
        <w:t>Prévention et Gestion des Effets Indésirables :</w:t>
      </w:r>
      <w:r/>
    </w:p>
    <w:p>
      <w:pPr>
        <w:pStyle w:val="ListBullet"/>
      </w:pPr>
      <w:r>
        <w:t>Mesures Préventives : Prophylaxie cutanée systématique à l'initiation : émollients sans alcool ni parfum (2 fois/j), photoprotection SPF 50+ ; antibiothérapie prophylactique (doxycycline 100 mg/j) à discuter ; surveillance cutanée hebdomadaire le premier mois ; prophylaxie diarrhée : lopéramide à la demande dès la première selle liquide, hydratation abondante ; surveillance hépatique (ALAT, ASAT, bilirubine) initiale puis mensuelle 3 mois puis trimestrielle ; surveillance pulmonaire (examen clinique, scanner en cas de symptôme) ; examen ophtalmologique en cas de symptôme (rougeur, douleur, photophobie).</w:t>
      </w:r>
    </w:p>
    <w:p>
      <w:pPr>
        <w:pStyle w:val="ListBullet"/>
      </w:pPr>
      <w:r>
        <w:t>Conduite à Tenir : Diarrhée grade 1–2 (≤ 6 selles/j) : lopéramide à la demande, hydratation. Diarrhée grade 3 (≥ 7 selles/j ou nécessité d'IV) : interruption transitoire, réhydratation IV, lopéramide régulier, reprise à dose réduite (40 → 30 mg/j). Diarrhée grade 4 : arrêt définitif. Rash grade 1–2 : poursuite + émollients + doxycycline. Rash grade 3 : interruption 1–2 semaines, corticothérapie locale, reprise à dose réduite (40 → 30 mg/j). Rash grade 4 (SJS/Lyell) : arrêt définitif, hospitalisation. Pneumopathie interstitielle : arrêt définitif, hospitalisation, corticothérapie IV. Kératite sévère : arrêt, avis ophtalmologique urgent.</w:t>
      </w:r>
    </w:p>
    <w:p>
      <w:r/>
      <w:r>
        <w:rPr>
          <w:b/>
        </w:rPr>
        <w:t>Interactions Médicamenteuses :</w:t>
      </w:r>
      <w:r/>
    </w:p>
    <w:p>
      <w:pPr>
        <w:pStyle w:val="ListBullet"/>
      </w:pPr>
      <w:r>
        <w:t>CYP3A4 (métabolisme principal) : l'afatinib est peu métabolisé par le CYP3A4 et les interactions sont minimes par rapport aux autres ITK EGFR. Inducteurs (rifampicine, phénytoïne, carbamazépine, phénobarbital, millepertuis) → baisse modérée de l'ASC (environ −40 %). Inhibiteurs (kétoconazole, itraconazole, ritonavir) → augmentation modérée (+50 %), surveillance.</w:t>
      </w:r>
    </w:p>
    <w:p>
      <w:pPr>
        <w:pStyle w:val="ListBullet"/>
      </w:pPr>
      <w:r>
        <w:t>P-gp / BCRP : l'afatinib est substrat de la P-gp et de la BCRP ; les inhibiteurs (ciclosporine, ketoconazole, itraconazole, quinidine, vérapamil, amiodarone, clarithromycine, tacrolimus) augmentent l'ASC de 40–50 % ; les inducteurs (rifampicine, carbamazépine, phénytoïne) la réduisent de 30–40 %.</w:t>
      </w:r>
    </w:p>
    <w:p>
      <w:pPr>
        <w:pStyle w:val="ListBullet"/>
      </w:pPr>
      <w:r>
        <w:t>Anti-acides (IPP, anti-H2) : les IPP réduisent l'ASC de l'afatinib de 30–40 %. Espacer de plusieurs heures ou arrêter si possible.</w:t>
      </w:r>
    </w:p>
    <w:p>
      <w:pPr>
        <w:pStyle w:val="ListBullet"/>
      </w:pPr>
      <w:r>
        <w:t>Substrats à index thérapeutique étroit : surveillance avec les antivitamines K.</w:t>
      </w:r>
    </w:p>
    <w:p>
      <w:pPr>
        <w:pStyle w:val="ListBullet"/>
      </w:pPr>
      <w:r>
        <w:t>Vaccins : éviter les vaccins vivants atténués.</w:t>
      </w:r>
    </w:p>
    <w:p>
      <w:pPr>
        <w:pStyle w:val="ListBullet"/>
      </w:pPr>
      <w:r>
        <w:t>Alimentation : la prise à jeun est essentielle (un repas riche en graisses réduit l'ASC de 50 %) — à prendre à jeun (1 heure avant ou 3 heures après un repas). Le pamplemousse est à éviter.</w:t>
      </w:r>
    </w:p>
    <w:p>
      <w:r/>
      <w:r>
        <w:rPr>
          <w:b/>
        </w:rPr>
        <w:t>Grossesse et Allaitement :</w:t>
      </w:r>
      <w:r/>
    </w:p>
    <w:p>
      <w:pPr>
        <w:pStyle w:val="ListBullet"/>
      </w:pPr>
      <w:r>
        <w:t>Grossesse : CONTRE-INDICATION ABSOLUE. Tératogénicité chez l'animal (anomalies cardiovasculaires, squelettiques, rénales). Contraception efficace obligatoire pendant le traitement et 2 semaines après l'arrêt. Le partenaire masculin doit utiliser une contraception pendant le traitement.</w:t>
      </w:r>
    </w:p>
    <w:p>
      <w:pPr>
        <w:pStyle w:val="ListBullet"/>
      </w:pPr>
      <w:r>
        <w:t>Allaitement : CONTRE-INDICATION ABSOLUE.</w:t>
      </w:r>
    </w:p>
    <w:p>
      <w:r/>
      <w:r>
        <w:rPr>
          <w:b/>
        </w:rPr>
        <w:t>Posologie et Mode d'administration (Standard) :</w:t>
      </w:r>
      <w:r/>
    </w:p>
    <w:p>
      <w:pPr>
        <w:pStyle w:val="ListBullet"/>
      </w:pPr>
      <w:r>
        <w:t>Adulte : 40 mg/j en une prise unique, à jeun (1 heure avant ou 3 heures après un repas). En cas d'effets indésirables sévères (rash grade 3, diarrhée grade 3), réduction à 30 mg/j, voire 20 mg/j. En cas d'insuffisance hépatique sévère (Child-Pugh C), démarrer à 30 mg/j.</w:t>
      </w:r>
    </w:p>
    <w:p>
      <w:pPr>
        <w:pStyle w:val="ListBullet"/>
      </w:pPr>
      <w:r>
        <w:t>Insuffisance hépatique modérée (Child-Pugh A, B) : 40 mg/j ; sévère (Child-Pugh C) : 30 mg/j.</w:t>
      </w:r>
    </w:p>
    <w:p>
      <w:pPr>
        <w:pStyle w:val="ListBullet"/>
      </w:pPr>
      <w:r>
        <w:t>Insuffisance rénale : pas d'adaptation pour ClCr &gt; 60 mL/min ; pour ClCr 30–60 mL/min, surveillance ; pour ClCr &lt; 30 mL/min, démarrer à 30 mg/j.</w:t>
      </w:r>
    </w:p>
    <w:p>
      <w:pPr>
        <w:pStyle w:val="ListBullet"/>
      </w:pPr>
      <w:r>
        <w:t>Mode d'administration : voie orale stricte, à prendre à heure fixe, à jeun. Les comprimés ne doivent pas être écrasés (en cas d'incapacité à avaler, dispersion dans un demi-verre d'eau non gazeuse, ingestion immédiate, rinçage).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Hépatique : ALAT, ASAT, bilirubine initiale puis mensuelle 3 mois puis trimestrielle.</w:t>
      </w:r>
    </w:p>
    <w:p>
      <w:pPr>
        <w:pStyle w:val="ListBullet"/>
      </w:pPr>
      <w:r>
        <w:t>Cutané : examen clinique hebdomadaire le premier mois, puis mensuel ; évaluation de la sévérité du rash (CTCAE) ; recherche de surinfection.</w:t>
      </w:r>
    </w:p>
    <w:p>
      <w:pPr>
        <w:pStyle w:val="ListBullet"/>
      </w:pPr>
      <w:r>
        <w:t>Pulmonaire : examen clinique à chaque consultation ; scanner en cas de symptôme.</w:t>
      </w:r>
    </w:p>
    <w:p>
      <w:pPr>
        <w:pStyle w:val="ListBullet"/>
      </w:pPr>
      <w:r>
        <w:t>Ophtalmologique : examen si symptôme (rougeur, douleur, photophobie).</w:t>
      </w:r>
    </w:p>
    <w:p>
      <w:pPr>
        <w:pStyle w:val="ListBullet"/>
      </w:pPr>
      <w:r>
        <w:t>Cardiaque : ECG initial si antécédents cardiaques ou allongement du QT.</w:t>
      </w:r>
    </w:p>
    <w:p>
      <w:pPr>
        <w:pStyle w:val="ListBullet"/>
      </w:pPr>
      <w:r>
        <w:t>Moléculaire (CBNPC) : recherche de mutation T790M en cas de progression, switch vers osimertinib si positif (l'afatinib n'est pas actif sur T790M).</w:t>
      </w:r>
    </w:p>
    <w:p>
      <w:r/>
      <w:r>
        <w:rPr>
          <w:b/>
        </w:rPr>
        <w:t>Arbitrage et Bénéfices des Formes Galéniques :</w:t>
      </w:r>
      <w:r/>
    </w:p>
    <w:p>
      <w:r>
        <w:t>Les dosages 20, 30 et 40 mg permettent une modulation fine de la posologie (40 → 30 → 20 mg/j) en cas d'effets indésirables ou d'insuffisance hépatique. Le dosage 50 mg (dose d'escalade) a été retiré du marché algérien. Le conditionnement B/28 (4 semaines) facilite l'observance mensuelle.</w:t>
      </w:r>
    </w:p>
    <w:p>
      <w:r/>
      <w:r>
        <w:rPr>
          <w:b/>
        </w:rPr>
        <w:t>Instructions et Conseils au Patient :</w:t>
      </w:r>
      <w:r/>
    </w:p>
    <w:p>
      <w:pPr>
        <w:pStyle w:val="ListBullet"/>
      </w:pPr>
      <w:r>
        <w:t>Communication : « L'afatinib est un médicament anticancéreux oral qui bloque de façon prolongée et irréversible les récepteurs EGFR à la surface de vos cellules cancéreuses. Il se prend une fois par jour, à jeun, avec un grand verre d'eau. Les effets indésirables les plus fréquents sont la diarrhée (parfois sévère, nécessitant un anti-diarrhéique immédiat) et le rash cutané (acnéique, sur le visage et le tronc). Prévenez immédiatement votre médecin en cas de diarrhée sévère (plus de 6 selles liquides par jour), de rash étendu, de douleurs oculaires, de toux sèche ou d'essoufflement. »</w:t>
      </w:r>
    </w:p>
    <w:p>
      <w:pPr>
        <w:pStyle w:val="ListBullet"/>
      </w:pPr>
      <w:r>
        <w:t>Observance : prise à heure fixe, à jeun, calendrier d'administration, lopéramide à disposition immédiate.</w:t>
      </w:r>
    </w:p>
    <w:p>
      <w:pPr>
        <w:pStyle w:val="ListBullet"/>
      </w:pPr>
      <w:r>
        <w:t>Hygiène de vie : photoprotection SPF 50+, émollients cutanés, arrêt du tabac, éviter le pamplemousse et le millepertuis.</w:t>
      </w:r>
    </w:p>
    <w:p>
      <w:r/>
      <w:r>
        <w:rPr>
          <w:b/>
        </w:rPr>
        <w:t>Notes, Règles d'Or &amp; Pièges au Comptoir :</w:t>
      </w:r>
      <w:r/>
    </w:p>
    <w:p>
      <w:pPr>
        <w:pStyle w:val="ListBullet"/>
      </w:pPr>
      <w:r>
        <w:t>Piège : la diarrhée est plus fréquente et plus sévère qu'avec l'erlotinib en raison de l'inhibition de HER2 sur les entérocytes — donner du lopéramide à disposition immédiate et conseiller une hydratation abondante.</w:t>
      </w:r>
    </w:p>
    <w:p>
      <w:pPr>
        <w:pStyle w:val="ListBullet"/>
      </w:pPr>
      <w:r>
        <w:t>Piège : oublier d'arrêter les IPP (réduction de l'ASC de 30–40 %).</w:t>
      </w:r>
    </w:p>
    <w:p>
      <w:pPr>
        <w:pStyle w:val="ListBullet"/>
      </w:pPr>
      <w:r>
        <w:t>Règle : l'afatinib est l'ITK de référence pour les CBNPC porteurs de mutations rares de l'EGFR (G719X, L861Q, S768I, insertions de l'exon 20 hors T790M), pour lesquelles les ITK de 1re génération sont peu efficaces.</w:t>
      </w:r>
    </w:p>
    <w:p>
      <w:pPr>
        <w:pStyle w:val="ListBullet"/>
      </w:pPr>
      <w:r>
        <w:t>Règle : l'afatinib n'est pas actif sur la mutation T790M (résistance secondaire) — switch vers osimertinib en cas de progression.</w:t>
      </w:r>
    </w:p>
    <w:p>
      <w:pPr>
        <w:pStyle w:val="ListBullet"/>
      </w:pPr>
      <w:r>
        <w:t>Piège : la pneumopathie interstitielle est rare (1 %) mais potentiellement fatale — y penser devant toute toux sèche ou dyspnée nouvelle.</w:t>
      </w:r>
    </w:p>
    <w:p>
      <w:pPr>
        <w:pStyle w:val="ListBullet"/>
      </w:pPr>
      <w:r>
        <w:t>Règle : contraception stricte pendant le traitement et 2 semaines après l'arrêt.</w:t>
      </w:r>
    </w:p>
    <w:p>
      <w:pPr>
        <w:pStyle w:val="Heading2"/>
      </w:pPr>
      <w:r>
        <w:t>104.5 Sous-classe : ITK EGFR de 3e génération</w:t>
      </w:r>
    </w:p>
    <w:p>
      <w:r>
        <w:t>Les ITK EGFR de 3e génération (osimertinib) sont des inhibiteurs irréversibles de l'EGFR, sélectifs pour les formes mutées (délétion exon 19, L858R) ET pour la mutation T790M (résistance acquise aux ITK de 1re et 2e génération), tout en épargnant relativement l'EGFR sauvage. L'osimertinib (Tagrisso®, AstraZeneca) est le seul représentant de cette classe disponible en Algérie. Il a obtenu une AMM en 2015 dans le CBNPC EGFR muté T790M+ en 2e ligne après progression sous ITK de 1re ou 2e génération, puis en 2018 en 1re ligne du CBNPC EGFR muté (exon 19 délétion, L858R) sur la base de l'essai FLAURA montrant une supériorité en survie sans progression (18,9 vs 10,2 mois) et en survie globale (38,6 vs 31,8 mois) par rapport à l'erlotinib ou le gefitinib. L'osimertinib a également une AMM en traitement adjuvant du CBNPC réséqué EGFR muté (essai ADAURA) et en association à la chimiothérapie en 1re ligne (essai FLAURA2). Son profil d'effets indésirables est globalement meilleur que celui des ITK de 1re génération (rash et diarrhée moins fréquents en raison de l'épargne de l'EGFR sauvage), mais expose à un risque spécifique d'allongement du QTc, de cardiomyopathie (baisse de la FEVG ~10 %), de pneumopathie interstitielle et de prolongation de l'intervalle PR. Sa diffusion méningée est supérieure à celle des ITK de 1re génération (concentration LCS ~ 10× supérieure), justifiant son efficacité dans les métastases cérébrales et méningées.</w:t>
      </w:r>
    </w:p>
    <w:p>
      <w:pPr>
        <w:pStyle w:val="Heading3"/>
      </w:pPr>
      <w:r>
        <w:t>104.5.1 DCI : Osimertinib</w:t>
      </w:r>
    </w:p>
    <w:p>
      <w:r/>
      <w:r>
        <w:rPr>
          <w:b/>
        </w:rPr>
        <w:t>Liste des Catégories :</w:t>
      </w:r>
      <w:r>
        <w:t xml:space="preserve"> Antinéoplasiques ; Inhibiteur de tyrosine kinase ; ITK EGFR de 3e génération (inhibiteur irréversible) ; Inhibiteur de HER1/EGFR muté (exon 19 délétion, L858R, T790M) ; Liste I.</w:t>
      </w:r>
    </w:p>
    <w:p>
      <w:r>
        <w:t>L'osimertinib est un inhibiteur irréversible de l'EGFR muté (délétion exon 19, L858R, T790M), dérivé de l'anilino-pyrimidine, indiqué en première ligne du CBNPC EGFR muté (exon 19, L858R), en 2e ligne après progression sous ITK EGFR de 1re ou 2e génération chez les patients porteurs de la mutation T790M, en traitement adjuvant du CBNPC réséqué EGFR muté, et en association à la chimiothérapie en 1re ligne. Il est devenu le standard de soins de 1re ligne du CBNPC EGFR muté. Son profil de tolérance est globalement meilleur que celui des ITK de 1re génération, avec un rash et une diarrhée moins fréquents, mais expose à un risque spécifique d'allongement du QTc, de cardiomyopathie et de pneumopathie interstitielle.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TAGRISSO</w:t>
            </w:r>
          </w:p>
        </w:tc>
        <w:tc>
          <w:tcPr>
            <w:tcW w:type="dxa" w:w="1559"/>
          </w:tcPr>
          <w:p>
            <w:r>
              <w:rPr>
                <w:sz w:val="20"/>
              </w:rPr>
              <w:t>ASTRA ZENECA AB</w:t>
            </w:r>
          </w:p>
        </w:tc>
        <w:tc>
          <w:tcPr>
            <w:tcW w:type="dxa" w:w="1559"/>
          </w:tcPr>
          <w:p>
            <w:r>
              <w:rPr>
                <w:sz w:val="20"/>
              </w:rPr>
              <w:t>Comprimé pelliculé 40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TAGRISSO</w:t>
            </w:r>
          </w:p>
        </w:tc>
        <w:tc>
          <w:tcPr>
            <w:tcW w:type="dxa" w:w="1559"/>
          </w:tcPr>
          <w:p>
            <w:r>
              <w:rPr>
                <w:sz w:val="20"/>
              </w:rPr>
              <w:t>ASTRA ZENECA AB</w:t>
            </w:r>
          </w:p>
        </w:tc>
        <w:tc>
          <w:tcPr>
            <w:tcW w:type="dxa" w:w="1559"/>
          </w:tcPr>
          <w:p>
            <w:r>
              <w:rPr>
                <w:sz w:val="20"/>
              </w:rPr>
              <w:t>Comprimé pelliculé 80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L'osimertinib n'est disponible en Algérie que sous sa spécialité princeps TAGRISSO (AstraZeneca) à deux dosages (40 et 80 mg). Le dosage 80 mg correspond à la dose standard adulte en 1re ligne (et en adjuvant) ; le dosage 40 mg correspond à la dose réduite (en cas d'effets indésirables sévères, d'insuffisance hépatique ou rénale sévère, ou de co-prescription avec un inhibiteur puissant du CYP3A4).</w:t>
      </w:r>
    </w:p>
    <w:p>
      <w:r/>
      <w:r>
        <w:rPr>
          <w:b/>
        </w:rPr>
        <w:t>Sous-classe et Mécanisme d'action :</w:t>
      </w:r>
      <w:r/>
    </w:p>
    <w:p>
      <w:pPr>
        <w:pStyle w:val="ListBullet"/>
      </w:pPr>
      <w:r>
        <w:t>Sous-classe : ITK EGFR de 3e génération, classe des anilino-pyrimidines. Inhibiteur irréversible de l'EGFR muté.</w:t>
      </w:r>
    </w:p>
    <w:p>
      <w:pPr>
        <w:pStyle w:val="ListBullet"/>
      </w:pPr>
      <w:r>
        <w:t>Mécanisme d'action : inhibition irréversible (formation d'une liaison covalente avec le résidu Cys797 du domaine kinase) de l'activité tyrosine kinase de l'EGFR muté (délétion exon 19, L858R, T790M) tout en épargnant relativement l'EGFR sauvage. La sélectivité pour les formes mutées est liée à la conformation spécifique de la poche de liaison de l'ATP dans les mutants, avec une tolérance stérique pour la substitution T790M (methionine en position 790) qui rend l'osimertinib actif sur ce mutant résistant aux ITK de 1re et 2e génération. Le blocage de l'EGFR muté inhibe les voies de signalisation RAS-RAF-MEK-ERK1/2 et PI3K-AKT-mTOR, induisant l'arrêt du cycle cellulaire et l'apoptose. L'épargne de l'EGFR sauvage explique la moindre toxicité cutanée et digestive par rapport aux ITK de 1re génération. La lipophilie élevée de l'osimertinib lui confère une excellente diffusion méningée (concentration LCS ~10× supérieure à l'erlotinib et au gefitinib), justifiant son efficacité dans les métastases cérébrales et méningées.</w:t>
      </w:r>
    </w:p>
    <w:p>
      <w:r/>
      <w:r>
        <w:rPr>
          <w:b/>
        </w:rPr>
        <w:t>Profil Pharmacologique :</w:t>
      </w:r>
      <w:r/>
    </w:p>
    <w:p>
      <w:pPr>
        <w:pStyle w:val="ListBullet"/>
      </w:pPr>
      <w:r>
        <w:t>Indications : (1) CBNPC localement avancé ou métastatique porteur de mutations activatrices de l'EGFR (délétion exon 19, L858R) en première ligne (standard de soins) ; (2) CBNPC localement avancé ou métastatique porteur de la mutation T790M en 2e ligne après progression sous ITK EGFR de 1re ou 2e génération ; (3) CBNPC réséqué EGFR muté en traitement adjuvant (jusqu'à 3 ans) ; (4) CBNPC EGFR muté en association à la chimiothérapie (platine + pemetrexed) en 1re ligne (alternative en cas de charge tumorale élevée).</w:t>
      </w:r>
    </w:p>
    <w:p>
      <w:pPr>
        <w:pStyle w:val="ListBullet"/>
      </w:pPr>
      <w:r>
        <w:t>Contre-indications : Hypersensibilité à l'osimertinib. Précautions : allongement du QTc acquis ou congénital, antécédents cardiaques (cardiomyopathie, FEVG diminuée), insuffisance hépatique, antécédents de pneumopathie interstitielle, grossesse (CI absolue), allaitement (CI absolue), hypokaliémie, hypomagnésémie.</w:t>
      </w:r>
    </w:p>
    <w:p>
      <w:pPr>
        <w:pStyle w:val="ListBullet"/>
      </w:pPr>
      <w:r>
        <w:t>Effets Indésirables : Très fréquents : diarrhée (40–50 %, moins sévère qu'avec l'erlotinib ou l'afatinib), rash acnéiforme folliculaire (40–50 %, moins sévère qu'avec les ITK de 1re et 2e génération), sécheresse cutanée, prurit, paronychie, fatigue, anorexie, constipation, stomatite. Fréquents : allongement du QTc (4–7 %, allongement moyen de 10–15 ms), cardiomyopathie (baisse asymptomatique de la FEVG de 5–10 %, 3–5 % de réduction symptomatique), pneumopathie interstitielle (3–4 %, potentiellement fatale, particulièrement chez les patients asiatiques), diminution des plaquettes, neutropénie, anémie, élévation des transaminases, hyperbilirubinémie, conjonctivite, kératite. Peu fréquents : allongement de l'intervalle PR, bradycardie sinusale, insuffisance cardiaque symptomatique, syndrome de Stevens-Johnson, syndrome de Lyell, syndrome de lyse tumorale. Rares : allongement majeur du QTc (&gt; 500 ms), torsades de pointes, arrêt cardiaque.</w:t>
      </w:r>
    </w:p>
    <w:p>
      <w:r/>
      <w:r>
        <w:rPr>
          <w:b/>
        </w:rPr>
        <w:t>Prévention et Gestion des Effets Indésirables :</w:t>
      </w:r>
      <w:r/>
    </w:p>
    <w:p>
      <w:pPr>
        <w:pStyle w:val="ListBullet"/>
      </w:pPr>
      <w:r>
        <w:t>Mesures Préventives : ECG initial avec QTc (correction Bazett ou Fridericia) ; contrôle et correction de la kaliémie (&gt; 4 mmol/L) et de la magnésémie (&gt; 0,8 mmol/L) avant initiation ; ECG à 3 mois puis trimestriel ; échographie cardiaque initiale puis semestrielle (FEVG) ; surveillance hépatique (ALAT, ASAT, bilirubine) initiale puis trimestrielle ; NFS-plaquettes trimestrielle ; prophylaxie cutanée (émollients, photoprotection SPF 50+) ; surveillance pulmonaire (examen clinique, scanner en cas de symptôme) ; prophylaxie diarrhée : lopéramide à la demande.</w:t>
      </w:r>
    </w:p>
    <w:p>
      <w:pPr>
        <w:pStyle w:val="ListBullet"/>
      </w:pPr>
      <w:r>
        <w:t>Conduite à Tenir : Allongement du QTc &gt; 500 ms : interruption, correction des troubles ioniques, ECG de contrôle, reprise à dose réduite (80 → 40 mg/j). Cardiomyopathie symptomatique (FEVG &lt; 50 % avec chute &gt; 10 points) : interruption, traitement de l'insuffisance cardiaque (IEC/ARA2, bêtabloquant, diurétique), reprise à dose réduite ou arrêt définitif selon gravité. Pneumopathie interstitielle : arrêt définitif, hospitalisation, corticothérapie IV (prednisone 1–2 mg/kg/j). Diarrhée grade 3 : interruption transitoire, réhydratation IV, lopéramide régulier, reprise à dose réduite. Rash grade 3 : interruption 1–2 semaines, corticothérapie locale, reprise à dose réduite.</w:t>
      </w:r>
    </w:p>
    <w:p>
      <w:r/>
      <w:r>
        <w:rPr>
          <w:b/>
        </w:rPr>
        <w:t>Interactions Médicamenteuses :</w:t>
      </w:r>
      <w:r/>
    </w:p>
    <w:p>
      <w:pPr>
        <w:pStyle w:val="ListBullet"/>
      </w:pPr>
      <w:r>
        <w:t>CYP3A4 (métabolisme principal) ; inducteurs puissants (rifampicine, phénytoïne, carbamazépine, phénobarbital, millepertuis) → baisse majeure de l'ASC (jusqu'à −80 %), à éviter. Inhibiteurs (kétoconazole, itraconazole, voriconazole, posaconazole, clarithromycine, ritonavir) → augmentation modérée (+30 %), surveillance.</w:t>
      </w:r>
    </w:p>
    <w:p>
      <w:pPr>
        <w:pStyle w:val="ListBullet"/>
      </w:pPr>
      <w:r>
        <w:t>Allongement du QTc : association à éviter avec les autres médicaments allongeant le QT (amiodarone, sotalol, halopéridol, méthadone, moxifloxacine, cisapride, dompéridone, ondansétron IV).</w:t>
      </w:r>
    </w:p>
    <w:p>
      <w:pPr>
        <w:pStyle w:val="ListBullet"/>
      </w:pPr>
      <w:r>
        <w:t>Substrats à index thérapeutique étroit : l'osimertinib est inhibiteur du CYP3A4 et de la P-gp ; surveillance avec les antivitamines K, les statines, la cyclosporine, le tacrolimus, la digoxine, le dabigatran.</w:t>
      </w:r>
    </w:p>
    <w:p>
      <w:pPr>
        <w:pStyle w:val="ListBullet"/>
      </w:pPr>
      <w:r>
        <w:t>Inducteur de CYP3A4 : l'osimertinib est un inducteur modéré du CYP3A4 (augmente la clairance des substrats du CYP3A4 comme la simvastatine, le midazolam) ; surveiller l'efficacité des médicaments concomitants métabolisés par le CYP3A4.</w:t>
      </w:r>
    </w:p>
    <w:p>
      <w:pPr>
        <w:pStyle w:val="ListBullet"/>
      </w:pPr>
      <w:r>
        <w:t>Vaccins : éviter les vaccins vivants atténués.</w:t>
      </w:r>
    </w:p>
    <w:p>
      <w:pPr>
        <w:pStyle w:val="ListBullet"/>
      </w:pPr>
      <w:r>
        <w:t>Alimentation : la prise peut être à jeun ou au cours d'un repas (l'effet alimentaire est négligeable). Le pamplemousse est à éviter.</w:t>
      </w:r>
    </w:p>
    <w:p>
      <w:r/>
      <w:r>
        <w:rPr>
          <w:b/>
        </w:rPr>
        <w:t>Grossesse et Allaitement :</w:t>
      </w:r>
      <w:r/>
    </w:p>
    <w:p>
      <w:pPr>
        <w:pStyle w:val="ListBullet"/>
      </w:pPr>
      <w:r>
        <w:t>Grossesse : CONTRE-INDICATION ABSOLUE. Tératogénicité chez l'animal (anomalies cardiovasculaires, squelettiques, rénales, fœtotoxicité). Contraception efficace obligatoire pendant le traitement et 6 semaines après l'arrêt. Le partenaire masculin doit utiliser une contraception pendant le traitement et 4 mois après l'arrêt (données animales d'atteinte testiculaire).</w:t>
      </w:r>
    </w:p>
    <w:p>
      <w:pPr>
        <w:pStyle w:val="ListBullet"/>
      </w:pPr>
      <w:r>
        <w:t>Allaitement : CONTRE-INDICATION ABSOLUE.</w:t>
      </w:r>
    </w:p>
    <w:p>
      <w:r/>
      <w:r>
        <w:rPr>
          <w:b/>
        </w:rPr>
        <w:t>Posologie et Mode d'administration (Standard) :</w:t>
      </w:r>
      <w:r/>
    </w:p>
    <w:p>
      <w:pPr>
        <w:pStyle w:val="ListBullet"/>
      </w:pPr>
      <w:r>
        <w:t>Adulte : 80 mg/j en une prise unique, à heure fixe (matin ou soir), avec ou sans nourriture. En cas d'effets indésirables sévères (rash grade 3, diarrhée grade 3, allongement du QTc &gt; 500 ms, cardiomyopathie symptomatique), réduction à 40 mg/j. En cas d'insuffisance hépatique sévère (Child-Pugh C) ou d'insuffisance rénale sévère (ClCr &lt; 30 mL/min), démarrer à 40 mg/j (ou 80 mg/j avec surveillance rapprochée).</w:t>
      </w:r>
    </w:p>
    <w:p>
      <w:pPr>
        <w:pStyle w:val="ListBullet"/>
      </w:pPr>
      <w:r>
        <w:t>Insuffisance hépatique modérée (Child-Pugh A, B) : 80 mg/j ; sévère (Child-Pugh C) : 40 mg/j (ou 80 mg/j avec surveillance).</w:t>
      </w:r>
    </w:p>
    <w:p>
      <w:pPr>
        <w:pStyle w:val="ListBullet"/>
      </w:pPr>
      <w:r>
        <w:t>Insuffisance rénale : pas d'adaptation pour ClCr &gt; 30 mL/min ; pour ClCr &lt; 30 mL/min, surveillance rapprochée ou réduction à 40 mg/j.</w:t>
      </w:r>
    </w:p>
    <w:p>
      <w:pPr>
        <w:pStyle w:val="ListBullet"/>
      </w:pPr>
      <w:r>
        <w:t>Mode d'administration : voie orale stricte, à prendre à heure fixe. Les comprimés ne doivent pas être écrasés (en cas d'incapacité à avaler, dispersion dans 50 mL d'eau non gazeuse, ingestion immédiate, rinçage).</w:t>
      </w:r>
    </w:p>
    <w:p>
      <w:pPr>
        <w:pStyle w:val="ListBullet"/>
      </w:pPr>
      <w:r>
        <w:t>Durée du traitement : traitement au long cours indéfini (1re ligne, 2e ligne) ou limité à 3 ans (adjuvant), jusqu'à progression, intolérance ou projet de grossesse.</w:t>
      </w:r>
    </w:p>
    <w:p>
      <w:r/>
      <w:r>
        <w:rPr>
          <w:b/>
        </w:rPr>
        <w:t>Surveillance Biologique et Suivi Clinique :</w:t>
      </w:r>
      <w:r/>
    </w:p>
    <w:p>
      <w:pPr>
        <w:pStyle w:val="ListBullet"/>
      </w:pPr>
      <w:r>
        <w:t>Hématologique : NFS-plaquettes trimestrielle.</w:t>
      </w:r>
    </w:p>
    <w:p>
      <w:pPr>
        <w:pStyle w:val="ListBullet"/>
      </w:pPr>
      <w:r>
        <w:t>Hépatique : ALAT, ASAT, bilirubine initiale puis trimestrielle.</w:t>
      </w:r>
    </w:p>
    <w:p>
      <w:pPr>
        <w:pStyle w:val="ListBullet"/>
      </w:pPr>
      <w:r>
        <w:t>Cardiaque : ECG initial avec QTc, à 3 mois puis trimestriel ; échographie cardiaque initiale puis semestrielle (FEVG).</w:t>
      </w:r>
    </w:p>
    <w:p>
      <w:pPr>
        <w:pStyle w:val="ListBullet"/>
      </w:pPr>
      <w:r>
        <w:t>Pulmonaire : examen clinique (toux, dyspnée) à chaque consultation ; scanner thoracique en cas de symptôme.</w:t>
      </w:r>
    </w:p>
    <w:p>
      <w:pPr>
        <w:pStyle w:val="ListBullet"/>
      </w:pPr>
      <w:r>
        <w:t>Cutané : examen clinique mensuel.</w:t>
      </w:r>
    </w:p>
    <w:p>
      <w:pPr>
        <w:pStyle w:val="ListBullet"/>
      </w:pPr>
      <w:r>
        <w:t>Moléculaire : suivi de la mutation EGFR (T790M en cas de progression sous ITK de 1re/2e génération ; surveillance de la maladie résiduelle moléculaire par ctDNA en adjuvant).</w:t>
      </w:r>
    </w:p>
    <w:p>
      <w:r/>
      <w:r>
        <w:rPr>
          <w:b/>
        </w:rPr>
        <w:t>Arbitrage et Bénéfices des Formes Galéniques :</w:t>
      </w:r>
      <w:r/>
    </w:p>
    <w:p>
      <w:r>
        <w:t>Les dosages 40 et 80 mg correspondent à la dose standard (80 mg/j) et à la dose réduite (40 mg/j). La monoprise journalière avec ou sans nourriture facilite l'observance. Le conditionnement B/30 (4 semaines) facilite l'observance mensuelle.</w:t>
      </w:r>
    </w:p>
    <w:p>
      <w:r/>
      <w:r>
        <w:rPr>
          <w:b/>
        </w:rPr>
        <w:t>Instructions et Conseils au Patient :</w:t>
      </w:r>
      <w:r/>
    </w:p>
    <w:p>
      <w:pPr>
        <w:pStyle w:val="ListBullet"/>
      </w:pPr>
      <w:r>
        <w:t>Communication : « L'osimertinib est le médicament anticancéreux oral de référence pour les cancers du poumon porteurs de mutations EGFR. Il se prend une fois par jour, à heure fixe, avec ou sans nourriture. Sa tolérance est globalement meilleure que celle des anciens traitements, mais il faut surveiller le cœur (ECG réguliers, échographie), les poumons (toux sèche, essoufflement) et la peau (rash). Prévenez immédiatement votre médecin en cas de palpitations, de syncopes, de douleurs thoraciques, de toux sèche ou d'essoufflement, de diarrhée sévère, ou de rash étendu. »</w:t>
      </w:r>
    </w:p>
    <w:p>
      <w:pPr>
        <w:pStyle w:val="ListBullet"/>
      </w:pPr>
      <w:r>
        <w:t>Observance : prise à heure fixe, calendrier d'administration, ne jamais interrompre sans avis médical.</w:t>
      </w:r>
    </w:p>
    <w:p>
      <w:pPr>
        <w:pStyle w:val="ListBullet"/>
      </w:pPr>
      <w:r>
        <w:t>Hygiène de vie : photoprotection SPF 50+, émollients cutanés, éviter le pamplemousse et le millepertuis.</w:t>
      </w:r>
    </w:p>
    <w:p>
      <w:r/>
      <w:r>
        <w:rPr>
          <w:b/>
        </w:rPr>
        <w:t>Notes, Règles d'Or &amp; Pièges au Comptoir :</w:t>
      </w:r>
      <w:r/>
    </w:p>
    <w:p>
      <w:pPr>
        <w:pStyle w:val="ListBullet"/>
      </w:pPr>
      <w:r>
        <w:t>Piège : oublier de surveiller le QTc et la FEVG (l'osimertinib expose à un risque cardiovasculaire spécifique).</w:t>
      </w:r>
    </w:p>
    <w:p>
      <w:pPr>
        <w:pStyle w:val="ListBullet"/>
      </w:pPr>
      <w:r>
        <w:t>Règle : l'osimertinib est le standard de soins de 1re ligne du CBNPC EGFR muté (essai FLAURA) — à préférer à l'erlotinib, gefitinib et afatinib.</w:t>
      </w:r>
    </w:p>
    <w:p>
      <w:pPr>
        <w:pStyle w:val="ListBullet"/>
      </w:pPr>
      <w:r>
        <w:t>Règle : l'osimertinib est actif sur la mutation T790M (résistance secondaire aux ITK de 1re et 2e génération) — switch vers osimertinib en cas de progression sous ITK EGFR avec mutation T790M confirmée.</w:t>
      </w:r>
    </w:p>
    <w:p>
      <w:pPr>
        <w:pStyle w:val="ListBullet"/>
      </w:pPr>
      <w:r>
        <w:t>Piège : la pneumopathie interstitielle est moins rare qu'avec les ITK de 1re génération (3–4 % vs 1 %) — y penser devant toute toux sèche ou dyspnée nouvelle.</w:t>
      </w:r>
    </w:p>
    <w:p>
      <w:pPr>
        <w:pStyle w:val="ListBullet"/>
      </w:pPr>
      <w:r>
        <w:t>Règle : l'osimertinib traverse la barrière hémato-encéphalique — traitement de référence des métastases cérébrales et méningées du CBNPC EGFR muté.</w:t>
      </w:r>
    </w:p>
    <w:p>
      <w:pPr>
        <w:pStyle w:val="ListBullet"/>
      </w:pPr>
      <w:r>
        <w:t>Règle : contraception stricte, y compris chez le partenaire masculin (4 mois après l'arrêt).</w:t>
      </w:r>
    </w:p>
    <w:p>
      <w:pPr>
        <w:pStyle w:val="Heading2"/>
      </w:pPr>
      <w:r>
        <w:t>104.6 Sous-classe : ITK HER2/EGFR (dual)</w:t>
      </w:r>
    </w:p>
    <w:p>
      <w:r>
        <w:t>Cette sous-classe regroupe les ITK inhibiteurs de la tyrosine kinase d'HER2 (ErbB2) et, à un moindre degré, de l'EGFR. Le chef de file et seul représentant disponible en Algérie est le lapatinib (Tykerb®, Novartis), indiqué dans le cancer du sein métastatique HER2-positif en association à la capécitabine (après trastuzumab et anthracycline/taxane) ou en association au trastuzumab (en cas d'échec du trastuzumab), ainsi que dans le cancer du sein métastatique hormonosensible HER2-positif en association à un anti-estrogène (letrozole). HER2 (ErbB2) est un récepteur transmembranaire de la famille des ErbB, dont l'amplification ou la surexpression est présente dans 15 à 20 % des cancers du sein et associée à un pronostic défavorable. Le lapatinib forme une liaison réversible avec la poche de liaison de l'ATP du domaine kinase d'HER2, inhibant l'autophosphorylation et la cascade de signalisation en aval (PI3K-AKT-mTOR, MAPK). Son profil d'effets indésirables est marqué par la diarrhée (très fréquente, parfois sévère), le rash cutané, l'allongement du QTc et l'hépatotoxicité (cytolyse, particulièrement avec la formulation ancienne). Le lapatinib a largement été supplanté par le T-DM1 (trastuzumab emtansine), le trastuzumab deruxtécan (T-DXd) et le pertuzumab dans le cancer du sein HER2-positif, mais conserve une place en 3e/4e ligne ou en cas d'accessibilité limitée aux biothérapies.</w:t>
      </w:r>
    </w:p>
    <w:p>
      <w:pPr>
        <w:pStyle w:val="Heading3"/>
      </w:pPr>
      <w:r>
        <w:t>104.6.1 DCI : Lapatinib</w:t>
      </w:r>
    </w:p>
    <w:p>
      <w:r/>
      <w:r>
        <w:rPr>
          <w:b/>
        </w:rPr>
        <w:t>Liste des Catégories :</w:t>
      </w:r>
      <w:r>
        <w:t xml:space="preserve"> Antinéoplasiques ; Inhibiteur de tyrosine kinase ; ITK HER2/EGFR (dual) ; Inhibiteur de HER2 (ErbB2) et HER1 (EGFR) ; Liste I.</w:t>
      </w:r>
    </w:p>
    <w:p>
      <w:r>
        <w:t>Le lapatinib est un inhibiteur réversible des tyrosine kinases d'HER2 (ErbB2) et, à un moindre degré, de l'EGFR (HER1), dérivé de la quinazoline, indiqué dans le cancer du sein métastatique HER2-positif en association à la capécitabine (en 2e ligne après trastuzumab et anthracycline/taxane) ou au trastuzumab (en cas d'échec du trastuzumab), ainsi qu'en association au letrozole dans le cancer du sein métastatique hormonosensible HER2-positif post-ménopausique. Son profil d'effets indésirables est dominé par la diarrhée (très fréquente, parfois sévère), le rash cutané, l'allongement du QTc et l'hépatotoxicité.</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TYKERB</w:t>
            </w:r>
          </w:p>
        </w:tc>
        <w:tc>
          <w:tcPr>
            <w:tcW w:type="dxa" w:w="1559"/>
          </w:tcPr>
          <w:p>
            <w:r>
              <w:rPr>
                <w:sz w:val="20"/>
              </w:rPr>
              <w:t>NOVARTIS PHARMA SCHWEIZ AG</w:t>
            </w:r>
          </w:p>
        </w:tc>
        <w:tc>
          <w:tcPr>
            <w:tcW w:type="dxa" w:w="1559"/>
          </w:tcPr>
          <w:p>
            <w:r>
              <w:rPr>
                <w:sz w:val="20"/>
              </w:rPr>
              <w:t>Comprimé pelliculé 250 mg</w:t>
            </w:r>
          </w:p>
        </w:tc>
        <w:tc>
          <w:tcPr>
            <w:tcW w:type="dxa" w:w="1559"/>
          </w:tcPr>
          <w:p>
            <w:r>
              <w:rPr>
                <w:sz w:val="20"/>
              </w:rPr>
              <w:t>B/70</w:t>
            </w:r>
          </w:p>
        </w:tc>
        <w:tc>
          <w:tcPr>
            <w:tcW w:type="dxa" w:w="1559"/>
          </w:tcPr>
          <w:p>
            <w:r>
              <w:rPr>
                <w:sz w:val="20"/>
              </w:rPr>
              <w:t>Liste I</w:t>
            </w:r>
          </w:p>
        </w:tc>
        <w:tc>
          <w:tcPr>
            <w:tcW w:type="dxa" w:w="1559"/>
          </w:tcPr>
          <w:p>
            <w:r>
              <w:rPr>
                <w:sz w:val="20"/>
              </w:rPr>
              <w:t>Actif</w:t>
            </w:r>
          </w:p>
        </w:tc>
      </w:tr>
      <w:tr>
        <w:tc>
          <w:tcPr>
            <w:tcW w:type="dxa" w:w="1559"/>
          </w:tcPr>
          <w:p>
            <w:r>
              <w:rPr>
                <w:sz w:val="20"/>
              </w:rPr>
              <w:t>NITAPAL</w:t>
            </w:r>
          </w:p>
        </w:tc>
        <w:tc>
          <w:tcPr>
            <w:tcW w:type="dxa" w:w="1559"/>
          </w:tcPr>
          <w:p>
            <w:r>
              <w:rPr>
                <w:sz w:val="20"/>
              </w:rPr>
              <w:t>EL KENDI INDUSTRIE DU MEDICAMENT</w:t>
            </w:r>
          </w:p>
        </w:tc>
        <w:tc>
          <w:tcPr>
            <w:tcW w:type="dxa" w:w="1559"/>
          </w:tcPr>
          <w:p>
            <w:r>
              <w:rPr>
                <w:sz w:val="20"/>
              </w:rPr>
              <w:t>Comprimé pelliculé 250 mg</w:t>
            </w:r>
          </w:p>
        </w:tc>
        <w:tc>
          <w:tcPr>
            <w:tcW w:type="dxa" w:w="1559"/>
          </w:tcPr>
          <w:p>
            <w:r>
              <w:rPr>
                <w:sz w:val="20"/>
              </w:rPr>
              <w:t>B/70</w:t>
            </w:r>
          </w:p>
        </w:tc>
        <w:tc>
          <w:tcPr>
            <w:tcW w:type="dxa" w:w="1559"/>
          </w:tcPr>
          <w:p>
            <w:r>
              <w:rPr>
                <w:sz w:val="20"/>
              </w:rPr>
              <w:t>Liste I</w:t>
            </w:r>
          </w:p>
        </w:tc>
        <w:tc>
          <w:tcPr>
            <w:tcW w:type="dxa" w:w="1559"/>
          </w:tcPr>
          <w:p>
            <w:r>
              <w:rPr>
                <w:sz w:val="20"/>
              </w:rPr>
              <w:t>Actif</w:t>
            </w:r>
          </w:p>
        </w:tc>
      </w:tr>
      <w:tr>
        <w:tc>
          <w:tcPr>
            <w:tcW w:type="dxa" w:w="1559"/>
          </w:tcPr>
          <w:p>
            <w:r>
              <w:rPr>
                <w:sz w:val="20"/>
              </w:rPr>
              <w:t>XANTOS</w:t>
            </w:r>
          </w:p>
        </w:tc>
        <w:tc>
          <w:tcPr>
            <w:tcW w:type="dxa" w:w="1559"/>
          </w:tcPr>
          <w:p>
            <w:r>
              <w:rPr>
                <w:sz w:val="20"/>
              </w:rPr>
              <w:t>HIKMA PHARMA ALGERIA</w:t>
            </w:r>
          </w:p>
        </w:tc>
        <w:tc>
          <w:tcPr>
            <w:tcW w:type="dxa" w:w="1559"/>
          </w:tcPr>
          <w:p>
            <w:r>
              <w:rPr>
                <w:sz w:val="20"/>
              </w:rPr>
              <w:t>Comprimé pelliculé 250 mg</w:t>
            </w:r>
          </w:p>
        </w:tc>
        <w:tc>
          <w:tcPr>
            <w:tcW w:type="dxa" w:w="1559"/>
          </w:tcPr>
          <w:p>
            <w:r>
              <w:rPr>
                <w:sz w:val="20"/>
              </w:rPr>
              <w:t>B/70</w:t>
            </w:r>
          </w:p>
        </w:tc>
        <w:tc>
          <w:tcPr>
            <w:tcW w:type="dxa" w:w="1559"/>
          </w:tcPr>
          <w:p>
            <w:r>
              <w:rPr>
                <w:sz w:val="20"/>
              </w:rPr>
              <w:t>Liste I</w:t>
            </w:r>
          </w:p>
        </w:tc>
        <w:tc>
          <w:tcPr>
            <w:tcW w:type="dxa" w:w="1559"/>
          </w:tcPr>
          <w:p>
            <w:r>
              <w:rPr>
                <w:sz w:val="20"/>
              </w:rPr>
              <w:t>Actif</w:t>
            </w:r>
          </w:p>
        </w:tc>
      </w:tr>
    </w:tbl>
    <w:p/>
    <w:p>
      <w:r>
        <w:t>Le lapatinib est disponible en Algérie sous sa spécialité princeps TYKERB (Novartis, anciennement GSK) et sous deux génériques (NITAPAL, EL Kendi ; XANTOS, Hikma) à un dosage unique (250 mg). La dose standard adulte est de 1250 mg/j (5 comprimés) en association à la capécitabine, ou 1500 mg/j (6 comprimés) en association au letrozole.</w:t>
      </w:r>
    </w:p>
    <w:p>
      <w:r/>
      <w:r>
        <w:rPr>
          <w:b/>
        </w:rPr>
        <w:t>Sous-classe et Mécanisme d'action :</w:t>
      </w:r>
      <w:r/>
    </w:p>
    <w:p>
      <w:pPr>
        <w:pStyle w:val="ListBullet"/>
      </w:pPr>
      <w:r>
        <w:t>Sous-classe : ITK HER2/EGFR dual, classe des quinazolines. Inhibiteur réversible de HER2 et EGFR.</w:t>
      </w:r>
    </w:p>
    <w:p>
      <w:pPr>
        <w:pStyle w:val="ListBullet"/>
      </w:pPr>
      <w:r>
        <w:t>Mécanisme d'action : inhibition compétitive, réversible et ATP-mimétique de l'activité tyrosine kinase de HER2 (ErbB2, puissance 300× supérieure à l'EGFR) et, à un moindre degré, de l'EGFR (HER1), en se liant à la poche de liaison de l'ATP dans le domaine catalytique intracellulaire. Le blocage de HER2 inhibe l'autophosphorylation et la cascade de signalisation en aval : PI3K-AKT-mTOR (survie, apoptosis), MAPK-ERK1/2 (prolifération, différenciation), PLCγ-PKC (motilité), JAK-STAT (transcription). HER2 n'a pas de ligand identifié mais forme des hétérodimères avec les autres récepteurs ErbB (HER1, HER3, HER4), amplifiant le signal ; l'inhibition de HER2 bloque également la signalisation des hétérodimères. Le lapatinib présente une affinité pour les formes inactives (conformation inactive) d'HER2, ce qui le distingue du trastuzumab (anticorps monoclonal dirigé contre le domaine extracellulaire d'HER2). L'effet est cytostatique (arrêt du cycle cellulaire en G1) et non cytolitique (pas d'apoptose directe).</w:t>
      </w:r>
    </w:p>
    <w:p>
      <w:r/>
      <w:r>
        <w:rPr>
          <w:b/>
        </w:rPr>
        <w:t>Profil Pharmacologique :</w:t>
      </w:r>
      <w:r/>
    </w:p>
    <w:p>
      <w:pPr>
        <w:pStyle w:val="ListBullet"/>
      </w:pPr>
      <w:r>
        <w:t>Indications : (1) Cancer du sein métastatique HER2-positif en association à la capécitabine, après traitement antérieur par trastuzumab et anthracycline/taxane (2e ligne) ; (2) Cancer du sein métastatique HER2-positif en association au trastuzumab, en cas d'échec du trastuzumab ; (3) Cancer du sein métastatique hormonosensible HER2-positif post-ménopausique en association au letrozole (1re ligne hormonothérapie + ITK HER2).</w:t>
      </w:r>
    </w:p>
    <w:p>
      <w:pPr>
        <w:pStyle w:val="ListBullet"/>
      </w:pPr>
      <w:r>
        <w:t>Contre-indications : Hypersensibilité au lapatinib. Précautions : allongement du QTc acquis ou congénital, antécédents d'hépatotoxicité, insuffisance hépatique (adaptation posologique), antécédents de cardiopathie (baisse de la FEVG), hypokaliémie, hypomagnésémie, grossesse (CI absolue), allaitement (CI absolue).</w:t>
      </w:r>
    </w:p>
    <w:p>
      <w:pPr>
        <w:pStyle w:val="ListBullet"/>
      </w:pPr>
      <w:r>
        <w:t>Effets Indésirables : Très fréquents : diarrhée (60–65 %, parfois sévère avec déshydratation — la diarrhée est l'effet indésirable signature du lapatinib), rash cutané (25–30 %, acnéiforme), fatigue, nausées, vomissements, anorexie, palmar-plantar erythrodysesthesia syndrome (PPE, syndrome main-pied, surtout en association à la capécitabine — incidence additive). Fréquents : élévation des transaminases (ALAT, ASAT), hyperbilirubinémie, allongement du QTc, baisse asymptomatique de la FEVG (2–3 %, généralement réversible à l'arrêt), épistaxis, insomnie, dyspnée, douleurs dorsales, arthralgies. Peu fréquents : cardiomyopathie symptomatique (insuffisance cardiaque, 1 %), pneumopathie interstitielle, hépatite sévère (cytolyse &gt; 3× LSN dans 8 % des cas, particulièrement dans les 12 premières semaines), syndrome de Stevens-Johnson, syndrome de Lyell. Rares : pneumopathie interstitielle sévère, allongement majeur du QTc avec torsades de pointes.</w:t>
      </w:r>
    </w:p>
    <w:p>
      <w:r/>
      <w:r>
        <w:rPr>
          <w:b/>
        </w:rPr>
        <w:t>Prévention et Gestion des Effets Indésirables :</w:t>
      </w:r>
      <w:r/>
    </w:p>
    <w:p>
      <w:pPr>
        <w:pStyle w:val="ListBullet"/>
      </w:pPr>
      <w:r>
        <w:t>Mesures Préventives : Bilan hépatique (ALAT, ASAT, bilirubine, PAL, γ-GT) initial puis mensuel 3 mois puis trimestriel (surveillance rapprochée dans les 12 premières semaines) ; ECG initial avec QTc ; contrôle et correction de la kaliémie et de la magnésémie avant initiation ; échographie cardiaque initiale puis semestrielle (FEVG) ; prophylaxie diarrhée : lopéramide à la demande, hydratation abondante ; prophylaxie cutanée : émollients sans alcool ni parfum, photoprotection SPF 50+ ; prophylaxie syndrome main-pied (en association à la capécitabine) : urée 10–20 % en crème, pyridoxine 200 mg/j.</w:t>
      </w:r>
    </w:p>
    <w:p>
      <w:pPr>
        <w:pStyle w:val="ListBullet"/>
      </w:pPr>
      <w:r>
        <w:t>Conduite à Tenir : Diarrhée grade 1–2 (≤ 6 selles/j) : lopéramide à la demande, hydratation. Diarrhée grade 3 (≥ 7 selles/j ou nécessité d'IV) : interruption transitoire, réhydratation IV, lopéramide régulier, reprise à dose réduite (1250 → 900 mg/j). Diarrhée grade 4 : arrêt définitif. Élévation des transaminases &gt; 3× LSN : interruption, recherche d'autres causes, reprise à dose réduite après normalisation ; arrêt définitif si cytolyse &gt; 8× LSN ou récidivante. Allongement du QTc &gt; 480 ms : interruption, correction des troubles ioniques, reprise à dose réduite. Baisse de la FEVG symptomatique : arrêt définitif, traitement de l'insuffisance cardiaque. Syndrome main-pied grade 3 : interruption de la capécitabine (et non du lapatinib si possible), urée crème, pyridoxine.</w:t>
      </w:r>
    </w:p>
    <w:p>
      <w:r/>
      <w:r>
        <w:rPr>
          <w:b/>
        </w:rPr>
        <w:t>Interactions Médicamenteuses :</w:t>
      </w:r>
      <w:r/>
    </w:p>
    <w:p>
      <w:pPr>
        <w:pStyle w:val="ListBullet"/>
      </w:pPr>
      <w:r>
        <w:t>CYP3A4 (métabolisme principal) ; inducteurs enzymatiques (rifampicine → ASC lapatinib réduite de 70–85 %, à éviter ; phénytoïne, carbamazépine, phénobarbital, millepertuis) → baisse majeure. Inhibiteurs (kétoconazole → ASC × 3,5 ; itraconazole, voriconazole, posaconazole, clarithromycine, ritonavir) → augmentation, réduire la dose de lapatinib à 500 mg/j (2 comprimés).</w:t>
      </w:r>
    </w:p>
    <w:p>
      <w:pPr>
        <w:pStyle w:val="ListBullet"/>
      </w:pPr>
      <w:r>
        <w:t>Substrats à index thérapeutique étroit : le lapatinib est inhibiteur du CYP3A4 et de la P-gp ; surveillance avec les antivitamines K (HBPM préférentielle), les statines (simvastatine, atorvastatine — risque de rhabdomyolyse), la cyclosporine, le tacrolimus, le sirolimus, la digoxine, le dabigatran, le méthotrexate, l'irinotécan.</w:t>
      </w:r>
    </w:p>
    <w:p>
      <w:pPr>
        <w:pStyle w:val="ListBullet"/>
      </w:pPr>
      <w:r>
        <w:t>P-gp / BCRP : le lapatinib est substrat et inhibiteur de la P-gp et de la BCRP ; surveillance avec la digoxine, le dabigatran, le méthotrexate, le rosuvastatine.</w:t>
      </w:r>
    </w:p>
    <w:p>
      <w:pPr>
        <w:pStyle w:val="ListBullet"/>
      </w:pPr>
      <w:r>
        <w:t>Allongement du QTc : association à éviter avec les autres médicaments allongeant le QT (amiodarone, sotalol, halopéridol, méthadone, moxifloxacine, cisapride, dompéridone, ondansétron IV).</w:t>
      </w:r>
    </w:p>
    <w:p>
      <w:pPr>
        <w:pStyle w:val="ListBullet"/>
      </w:pPr>
      <w:r>
        <w:t>Alimentation : la prise à jeun est essentielle (un repas riche en graisses augmente l'ASC de 3–4 fois et le Cmax de 4–5 fois, exposant à un surdosage) — à prendre à jeun (1 heure avant ou 1 heure après un repas). Le pamplemousse est CONTRE-INDIQUÉ.</w:t>
      </w:r>
    </w:p>
    <w:p>
      <w:r/>
      <w:r>
        <w:rPr>
          <w:b/>
        </w:rPr>
        <w:t>Grossesse et Allaitement :</w:t>
      </w:r>
      <w:r/>
    </w:p>
    <w:p>
      <w:pPr>
        <w:pStyle w:val="ListBullet"/>
      </w:pPr>
      <w:r>
        <w:t>Grossesse : CONTRE-INDICATION ABSOLUE. Tératogénicité chez l'animal (anomalies cardiovasculaires, squelettiques, rénales). Contraception efficace obligatoire pendant le traitement et 1 semaine après l'arrêt. Le partenaire masculin doit utiliser une contraception pendant le traitement.</w:t>
      </w:r>
    </w:p>
    <w:p>
      <w:pPr>
        <w:pStyle w:val="ListBullet"/>
      </w:pPr>
      <w:r>
        <w:t>Allaitement : CONTRE-INDICATION ABSOLUE.</w:t>
      </w:r>
    </w:p>
    <w:p>
      <w:r/>
      <w:r>
        <w:rPr>
          <w:b/>
        </w:rPr>
        <w:t>Posologie et Mode d'administration (Standard) :</w:t>
      </w:r>
      <w:r/>
    </w:p>
    <w:p>
      <w:pPr>
        <w:pStyle w:val="ListBullet"/>
      </w:pPr>
      <w:r>
        <w:t>Adulte : Cancer du sein HER2+ en association à la capécitabine : 1250 mg/j (5 comprimés) en une prise, à jeun, en continu (sans interruption), associé à la capécitabine 2000 mg/m²/j J1-J14 tous les 21 jours. Cancer du sein HER2+ en association au trastuzumab : 1000 mg/j (4 comprimés). Cancer du sein HER2+ en association au letrozole : 1500 mg/j (6 comprimés).</w:t>
      </w:r>
    </w:p>
    <w:p>
      <w:pPr>
        <w:pStyle w:val="ListBullet"/>
      </w:pPr>
      <w:r>
        <w:t>Insuffisance hépatique modérée à sévère (Child-Pugh B, C) : réduction de dose à 750 mg/j (Child-Pugh B) ou 250 mg/j (Child-Pugh C).</w:t>
      </w:r>
    </w:p>
    <w:p>
      <w:pPr>
        <w:pStyle w:val="ListBullet"/>
      </w:pPr>
      <w:r>
        <w:t>Insuffisance rénale : pas d'adaptation nécessaire.</w:t>
      </w:r>
    </w:p>
    <w:p>
      <w:pPr>
        <w:pStyle w:val="ListBullet"/>
      </w:pPr>
      <w:r>
        <w:t>Mode d'administration : voie orale stricte, en une prise unique, à jeun (1 heure avant ou 1 heure après un repas), avec un grand verre d'eau. Les comprimés ne doivent pas être écrasés.</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Hépatique : ALAT, ASAT, bilirubine, PAL, γ-GT mensuels 3 mois (surveillance rapprochée dans les 12 premières semaines), puis trimestriels.</w:t>
      </w:r>
    </w:p>
    <w:p>
      <w:pPr>
        <w:pStyle w:val="ListBullet"/>
      </w:pPr>
      <w:r>
        <w:t>Cardiaque : ECG initial avec QTc ; échographie cardiaque initiale puis semestrielle (FEVG).</w:t>
      </w:r>
    </w:p>
    <w:p>
      <w:pPr>
        <w:pStyle w:val="ListBullet"/>
      </w:pPr>
      <w:r>
        <w:t>Cutané : examen clinique mensuel ; évaluation de la sévérité du rash et du syndrome main-pied (CTCAE).</w:t>
      </w:r>
    </w:p>
    <w:p>
      <w:pPr>
        <w:pStyle w:val="ListBullet"/>
      </w:pPr>
      <w:r>
        <w:t>Digestive : surveillance de la tolérance (diarrhée) ; pesée régulière ; évaluation de l'hydratation.</w:t>
      </w:r>
    </w:p>
    <w:p>
      <w:r/>
      <w:r>
        <w:rPr>
          <w:b/>
        </w:rPr>
        <w:t>Arbitrage et Bénéfices des Formes Galéniques :</w:t>
      </w:r>
      <w:r/>
    </w:p>
    <w:p>
      <w:r>
        <w:t>Le dosage unique (250 mg) impose la prise de plusieurs comprimés (5 à 6 par jour selon l'indication), ce qui est contraignant pour l'observance. La monoprise journalière à jeun facilite l'organisation. Le conditionnement B/70 (10 semaines) correspond à la durée moyenne d'un cycle de capécitabine + lapatinib.</w:t>
      </w:r>
    </w:p>
    <w:p>
      <w:r/>
      <w:r>
        <w:rPr>
          <w:b/>
        </w:rPr>
        <w:t>Instructions et Conseils au Patient :</w:t>
      </w:r>
      <w:r/>
    </w:p>
    <w:p>
      <w:pPr>
        <w:pStyle w:val="ListBullet"/>
      </w:pPr>
      <w:r>
        <w:t>Communication : « Le lapatinib est un médicament anticancéreux oral qui bloque les récepteurs HER2 à la surface de vos cellules cancéreuses du sein. Il se prend une fois par jour, à jeun (1 heure avant ou 1 heure après un repas), avec un grand verre d'eau. La diarrhée est l'effet indésirable le plus fréquent — prendre du lopéramide (Imodium®) dès la première selle liquide, s'hydrater abondamment, et prévenir le médecin si elle persiste plus de 24 heures ou s'accompagne de fièvre. Prévenez immédiatement en cas de jaunisse, de douleurs thoraciques, de palpitations, de syncopes, ou de rash étendu. »</w:t>
      </w:r>
    </w:p>
    <w:p>
      <w:pPr>
        <w:pStyle w:val="ListBullet"/>
      </w:pPr>
      <w:r>
        <w:t>Observance : prise à heure fixe, à jeun, calendrier d'administration, ne jamais interrompre sans avis médical.</w:t>
      </w:r>
    </w:p>
    <w:p>
      <w:pPr>
        <w:pStyle w:val="ListBullet"/>
      </w:pPr>
      <w:r>
        <w:t>Hygiène de vie : photoprotection SPF 50+, émollients cutanés, urée crème pour les mains et pieds (prévention du syndrome main-pied si association à la capécitabine), éviter le pamplemousse et le millepertuis.</w:t>
      </w:r>
    </w:p>
    <w:p>
      <w:r/>
      <w:r>
        <w:rPr>
          <w:b/>
        </w:rPr>
        <w:t>Notes, Règles d'Or &amp; Pièges au Comptoir :</w:t>
      </w:r>
      <w:r/>
    </w:p>
    <w:p>
      <w:pPr>
        <w:pStyle w:val="ListBullet"/>
      </w:pPr>
      <w:r>
        <w:t>Piège majeur : la prise au cours d'un repas (surtout riche en graisses) augmente l'ASC de 3–4 fois et le Cmax de 4–5 fois, exposant à un surdosage et à un risque accru d'effets indésirables — insister sur la prise à jeun.</w:t>
      </w:r>
    </w:p>
    <w:p>
      <w:pPr>
        <w:pStyle w:val="ListBullet"/>
      </w:pPr>
      <w:r>
        <w:t>Piège : la diarrhée est l'effet indésirable signature du lapatinib (60–65 %), parfois sévère — donner du lopéramide à disposition immédiate et conseiller une hydratation abondante.</w:t>
      </w:r>
    </w:p>
    <w:p>
      <w:pPr>
        <w:pStyle w:val="ListBullet"/>
      </w:pPr>
      <w:r>
        <w:t>Piège : l'hépatotoxicité est plus marquée qu'avec les autres ITK — surveillance hépatique rapprochée dans les 12 premières semaines.</w:t>
      </w:r>
    </w:p>
    <w:p>
      <w:pPr>
        <w:pStyle w:val="ListBullet"/>
      </w:pPr>
      <w:r>
        <w:t>Règle : le lapatinib est moins cardiotoxique que le trastuzumab, mais une surveillance échographique de la FEVG est nécessaire.</w:t>
      </w:r>
    </w:p>
    <w:p>
      <w:pPr>
        <w:pStyle w:val="ListBullet"/>
      </w:pPr>
      <w:r>
        <w:t>Règle : la prise à jeun est essentielle (un repas augmente l'ASC de 3–4 fois).</w:t>
      </w:r>
    </w:p>
    <w:p>
      <w:pPr>
        <w:pStyle w:val="ListBullet"/>
      </w:pPr>
      <w:r>
        <w:t>Règle : contraception stricte pendant le traitement et 1 semaine après l'arrêt.</w:t>
      </w:r>
    </w:p>
    <w:p>
      <w:pPr>
        <w:pStyle w:val="Heading2"/>
      </w:pPr>
      <w:r>
        <w:t>104.7 Sous-classe : ITK Multi-cibles (anti-angiogéniques et anti-tumoraux)</w:t>
      </w:r>
    </w:p>
    <w:p>
      <w:r>
        <w:t xml:space="preserve">Cette sous-classe regroupe les ITK multi-cibles, inhibiteurs de plusieurs récepteurs à activité tyrosine kinase impliqués dans l'angiogenèse tumorale (VEGFR-1, -2, -3), la prolifération tumorale (PDGFR, KIT, RET, BRAF) et l'invasion (FGFR, MET, TIE2). Les chefs de file sont le </w:t>
      </w:r>
      <w:r>
        <w:rPr>
          <w:b/>
        </w:rPr>
        <w:t>sorafenib</w:t>
      </w:r>
      <w:r>
        <w:t xml:space="preserve"> (Nexavar®/Sorafenib Pharmacare®/Alfacare®/El Kendi®/Soraphal®, Bayer), le </w:t>
      </w:r>
      <w:r>
        <w:rPr>
          <w:b/>
        </w:rPr>
        <w:t>sunitinib</w:t>
      </w:r>
      <w:r>
        <w:t xml:space="preserve"> (Sutent®/Sunitex®/Orion Sunitinib®/Sunibe®/Sunitinib Biopharm®, Pfizer), le </w:t>
      </w:r>
      <w:r>
        <w:rPr>
          <w:b/>
        </w:rPr>
        <w:t>regorafenib</w:t>
      </w:r>
      <w:r>
        <w:t xml:space="preserve"> (Stivarga®/Regophal®, Bayer), le </w:t>
      </w:r>
      <w:r>
        <w:rPr>
          <w:b/>
        </w:rPr>
        <w:t>cabozantinib</w:t>
      </w:r>
      <w:r>
        <w:t xml:space="preserve"> (Cabometyx®, Ipsen) et le </w:t>
      </w:r>
      <w:r>
        <w:rPr>
          <w:b/>
        </w:rPr>
        <w:t>lenvatinib</w:t>
      </w:r>
      <w:r>
        <w:t xml:space="preserve"> (Lenvima®/Lenvorion®, Eisai/Orion). Ces molécules bloquent simultanément plusieurs voies de signalisation, agissant à la fois sur l'angiogenèse tumorale (privation de l'apport vasculaire en oxygène et nutriments) et sur la prolifération des cellules tumorales elles-mêmes (inhibition directe des voies oncogéniques). Leur spectre d'indications est large : carcinome hépatocellulaire avancé (sorafenib, lenvatinib, cabozantinib), carcinome rénal métastatique (sunitinib, pazopanib, cabozantinib, lenvatinib en association), GIST après imatinib (sunitinib, regorafenib), tumeurs neuroendocrines (sunitinib, lenvatinib), cancer thyroïdien différencié réfractaire à l'iode 131 (sorafenib, lenvatinib), cancer médullothyroïdien (cabozantinib, vandétanib), cancer colorectal métastatique après échec des thérapies standard (regorafenib), hépatoblastome (sorafenib), gliome de haut grade (regorafenib, lenvatinib en association). Leur profil d'effets indésirables est dominé par l'hypertension artérielle (inhibition de VEGFR sur l'endothélium vasculaire, 20–40 %, parfois sévère d'emblée), le syndrome main-pied (PPE, erythrodysesthésie palmo-plantaire, 20–50 %, plus marqué avec le sorafenib et le regorafenib), l'hypothyroïdie (sunitinib, sorafenib, lenvatinib, 10–40 %), la fatigue, la diarrhée, les cytopénies, la protéinurie, l'allongement du QTc, les hémorragies et les thromboses. Les interactions médicamenteuses sont médiées par le CYP3A4 (sorafenib, sunitinib, regorafenib) et la P-gp ; la rifampicine et les inducteurs enzymatiques réduisent l'ASC, les inhibiteurs (kétoconazole, clarithromycine, ritonavir) l'augmentent.</w:t>
      </w:r>
    </w:p>
    <w:p>
      <w:pPr>
        <w:pStyle w:val="Heading3"/>
      </w:pPr>
      <w:r>
        <w:t>104.7.1 DCI : Sorafenib</w:t>
      </w:r>
    </w:p>
    <w:p>
      <w:r/>
      <w:r>
        <w:rPr>
          <w:b/>
        </w:rPr>
        <w:t>Liste des Catégories :</w:t>
      </w:r>
      <w:r>
        <w:t xml:space="preserve"> Antinéoplasiques ; Inhibiteur de tyrosine kinase multi-cibles ; Inhibiteur de VEGFR-1/-2/-3, PDGFR-β, KIT, RET, RAF-1, BRAF V600E ; Liste I.</w:t>
      </w:r>
    </w:p>
    <w:p>
      <w:r>
        <w:t>Le sorafenib est un ITK multi-cibles, dérivé du bis-aryl-urée, indiqué dans le carcinome hépatocellulaire avancé (1re ligne), le carcinome rénal à cellules claires métastatique (après cytokines, indication historique supplantée par les ITK plus récents et l'immunothérapie), le cancer thyroïdien différencié réfractaire à l'iode 131 (locales avancées ou métastatiques), et l'hépatoblastome de l'enfant. Il inhibe VEGFR-1, -2, -3 (anti-angiogénique), PDGFR-β (anti-stroma), KIT, RET, RAF-1 et BRAF V600E (anti-prolifération directe). Son profil d'effets indésirables est marqué par le syndrome main-pied, l'hypertension artérielle, la diarrhée, la fatigue, l'hypothyroïdie et l'allongement du QTc.</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SORAFENIB PHARMACARE</w:t>
            </w:r>
          </w:p>
        </w:tc>
        <w:tc>
          <w:tcPr>
            <w:tcW w:type="dxa" w:w="1559"/>
          </w:tcPr>
          <w:p>
            <w:r>
              <w:rPr>
                <w:sz w:val="20"/>
              </w:rPr>
              <w:t>PHARMACARE PREMIUM LIMITED</w:t>
            </w:r>
          </w:p>
        </w:tc>
        <w:tc>
          <w:tcPr>
            <w:tcW w:type="dxa" w:w="1559"/>
          </w:tcPr>
          <w:p>
            <w:r>
              <w:rPr>
                <w:sz w:val="20"/>
              </w:rPr>
              <w:t>Comprimé pelliculé 200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SORAFENIB ALFACARE</w:t>
            </w:r>
          </w:p>
        </w:tc>
        <w:tc>
          <w:tcPr>
            <w:tcW w:type="dxa" w:w="1559"/>
          </w:tcPr>
          <w:p>
            <w:r>
              <w:rPr>
                <w:sz w:val="20"/>
              </w:rPr>
              <w:t>ALFACARE</w:t>
            </w:r>
          </w:p>
        </w:tc>
        <w:tc>
          <w:tcPr>
            <w:tcW w:type="dxa" w:w="1559"/>
          </w:tcPr>
          <w:p>
            <w:r>
              <w:rPr>
                <w:sz w:val="20"/>
              </w:rPr>
              <w:t>Comprimé pelliculé 200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SORAFENIB EL KENDI</w:t>
            </w:r>
          </w:p>
        </w:tc>
        <w:tc>
          <w:tcPr>
            <w:tcW w:type="dxa" w:w="1559"/>
          </w:tcPr>
          <w:p>
            <w:r>
              <w:rPr>
                <w:sz w:val="20"/>
              </w:rPr>
              <w:t>EL KENDI INDUSTRIE DU MEDICAMENT</w:t>
            </w:r>
          </w:p>
        </w:tc>
        <w:tc>
          <w:tcPr>
            <w:tcW w:type="dxa" w:w="1559"/>
          </w:tcPr>
          <w:p>
            <w:r>
              <w:rPr>
                <w:sz w:val="20"/>
              </w:rPr>
              <w:t>Comprimé pelliculé 200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SORAPHAL</w:t>
            </w:r>
          </w:p>
        </w:tc>
        <w:tc>
          <w:tcPr>
            <w:tcW w:type="dxa" w:w="1559"/>
          </w:tcPr>
          <w:p>
            <w:r>
              <w:rPr>
                <w:sz w:val="20"/>
              </w:rPr>
              <w:t>SOCIETE PHARMACEUTIQUE ALGERIENNE SOPHAL</w:t>
            </w:r>
          </w:p>
        </w:tc>
        <w:tc>
          <w:tcPr>
            <w:tcW w:type="dxa" w:w="1559"/>
          </w:tcPr>
          <w:p>
            <w:r>
              <w:rPr>
                <w:sz w:val="20"/>
              </w:rPr>
              <w:t>Comprimé pelliculé 200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NEXAVAR (R)</w:t>
            </w:r>
          </w:p>
        </w:tc>
        <w:tc>
          <w:tcPr>
            <w:tcW w:type="dxa" w:w="1559"/>
          </w:tcPr>
          <w:p>
            <w:r>
              <w:rPr>
                <w:sz w:val="20"/>
              </w:rPr>
              <w:t>BAYER HEALTHCARE AG</w:t>
            </w:r>
          </w:p>
        </w:tc>
        <w:tc>
          <w:tcPr>
            <w:tcW w:type="dxa" w:w="1559"/>
          </w:tcPr>
          <w:p>
            <w:r>
              <w:rPr>
                <w:sz w:val="20"/>
              </w:rPr>
              <w:t>Comprimé pelliculé 200 mg</w:t>
            </w:r>
          </w:p>
        </w:tc>
        <w:tc>
          <w:tcPr>
            <w:tcW w:type="dxa" w:w="1559"/>
          </w:tcPr>
          <w:p>
            <w:r>
              <w:rPr>
                <w:sz w:val="20"/>
              </w:rPr>
              <w:t>B/60</w:t>
            </w:r>
          </w:p>
        </w:tc>
        <w:tc>
          <w:tcPr>
            <w:tcW w:type="dxa" w:w="1559"/>
          </w:tcPr>
          <w:p>
            <w:r>
              <w:rPr>
                <w:sz w:val="20"/>
              </w:rPr>
              <w:t>Liste I</w:t>
            </w:r>
          </w:p>
        </w:tc>
        <w:tc>
          <w:tcPr>
            <w:tcW w:type="dxa" w:w="1559"/>
          </w:tcPr>
          <w:p>
            <w:r>
              <w:rPr>
                <w:sz w:val="20"/>
              </w:rPr>
              <w:t>Non renouvelable</w:t>
            </w:r>
          </w:p>
        </w:tc>
      </w:tr>
    </w:tbl>
    <w:p/>
    <w:p>
      <w:r>
        <w:t>Le sorafenib est disponible en Algérie sous quatre génériques locaux actifs (SORAFENIB PHARMACARE, SORAFENIB ALFACARE, SORAFENIB EL KENDI, SORAPHAL) à un dosage unique (200 mg). La spécialité princeps NEXAVAR (Bayer) n'est plus commercialisée dans la nomenclature algérienne active. La dose standard adulte est de 400 mg × 2/j (4 comprimés/jour), à prendre à jeun ou avec un repas léger.</w:t>
      </w:r>
    </w:p>
    <w:p>
      <w:r/>
      <w:r>
        <w:rPr>
          <w:b/>
        </w:rPr>
        <w:t>Sous-classe et Mécanisme d'action :</w:t>
      </w:r>
      <w:r/>
    </w:p>
    <w:p>
      <w:pPr>
        <w:pStyle w:val="ListBullet"/>
      </w:pPr>
      <w:r>
        <w:t>Sous-classe : ITK multi-cibles, classe des bis-aryl-urées. Inhibiteur de VEGFR, PDGFR, KIT, RET, RAF-1, BRAF.</w:t>
      </w:r>
    </w:p>
    <w:p>
      <w:pPr>
        <w:pStyle w:val="ListBullet"/>
      </w:pPr>
      <w:r>
        <w:t>Mécanisme d'action : inhibition compétitive, réversible et ATP-mimétique de l'activité tyrosine kinase de plusieurs récepteurs impliqués dans l'angiogenèse tumorale (VEGFR-1, -2, -3 — récepteurs du VEGF, principal facteur angiogénique tumoral ; PDGFR-β — recrutement du péricyte et du stroma ; KIT — facteur de croissance des cellules souches ; RET — proto-oncogène muté dans le cancer médullothyroïdien ; FGFR) et de la voie Raf-MEK-ERK (RAF-1/C-Raf et BRAF V600E, en inhibant la sérine-thréonine kinase RAF-1). Le blocage de VEGFR inhibe la néoangiogenèse tumorale (privation de l'apport vasculaire en oxygène et nutriments) ; le blocage de RAF-1 et BRAF inhibe la cascade MAPK (prolifération, différenciation). Le sorafenib agit donc à la fois comme anti-angiogénique (effet indirect sur la tumeur) et comme anti-tumoral direct (effet direct sur les cellules tumorales porteuses de BRAF V600E, bien que la puissance sur BRAF V600E soit inférieure à celle du vemurafenib).</w:t>
      </w:r>
    </w:p>
    <w:p>
      <w:r/>
      <w:r>
        <w:rPr>
          <w:b/>
        </w:rPr>
        <w:t>Profil Pharmacologique :</w:t>
      </w:r>
      <w:r/>
    </w:p>
    <w:p>
      <w:pPr>
        <w:pStyle w:val="ListBullet"/>
      </w:pPr>
      <w:r>
        <w:t>Indications : (1) Carcinome hépatocellulaire avancé en 1re ligne (alternatives : lenvatinib, atezolizumab + bevacizumab) ; (2) Carcinome rénal à cellules claires métastatique après échec de l'interféron alpha ou de l'IL-2 (indication historique, supplantée par les ITK plus récents et l'immunothérapie) ; (3) Cancer thyroïdien différencié réfractaire à l'iode 131 localement avancé ou métastatique (alternative : lenvatinib) ; (4) Hépatoblastome de l'enfant réfractaire ou récidivant (en association à la chimiothérapie).</w:t>
      </w:r>
    </w:p>
    <w:p>
      <w:pPr>
        <w:pStyle w:val="ListBullet"/>
      </w:pPr>
      <w:r>
        <w:t>Contre-indications : Hypersensibilité au sorafenib ; antécédent récent (&lt; 6 mois) d'infarctus du myocarde, d'AVC ou d'artériopathie symptomatique ; grossesse (CI absolue), allaitement (CI absolue). Précautions : HTA non contrôlée, insuffisance hépatique (Child-Pugh C : surveillance rapprochée, contre-indication relative), insuffisance rénale, hémorragie, anticoagulants, allongement du QTc, hypothyroïdie, diabetes, dénutrition.</w:t>
      </w:r>
    </w:p>
    <w:p>
      <w:pPr>
        <w:pStyle w:val="ListBullet"/>
      </w:pPr>
      <w:r>
        <w:t>Effets Indésirables : Très fréquents : syndrome main-pied (PPE, palmo-plantaire erythrodysesthésie, 30–50 %, plus marqué que les autres ITK multi-cibles, particulièrement dans les 6 premières semaines), hypertension artérielle (15–40 %, généralement dans les 6 premières semaines, parfois sévère d'emblée), diarrhée (40 %), fatigue (40 %), anorexie, perte de poids, rash, alopécie, hypophosphatémie. Fréquents : hypothyroïdie (10–20 %, particulièrement avec le sunitinib, mais aussi avec le sorafenib), hyperbilirubinémie, élévation des transaminases, cytopénies (neutropénie, thrombopénie, anémie), protéinurie, allongement du QTc, saignements (épistaxis, hémorragie digestive, en cas d'anticoagulation), infections, dysphonie, mucite, hypertension sévère (PA &gt; 160/100). Peu fréquents : ischémie myocardique, infarctus du myocarde (3 %, surtout en cas d'antécédents), AVC ischémique, artériopathie oblitérante des membres inférieurs, thrombose veineuse, embolie pulmonaire, perforation digestive, pancréatite, éruption cutanée sévère (SJS, Lyell), pneumopathie interstitielle, hépatotoxicité sévère, hypoglycémie, syndrome de leuco-encéphalopathie postérieure réversible (PRES), allongement de l'intervalle PR. Rares : syndrome de lyse tumorale, hémorragie cérébrale, nephrotoxicité.</w:t>
      </w:r>
    </w:p>
    <w:p>
      <w:r/>
      <w:r>
        <w:rPr>
          <w:b/>
        </w:rPr>
        <w:t>Prévention et Gestion des Effets Indésirables :</w:t>
      </w:r>
      <w:r/>
    </w:p>
    <w:p>
      <w:pPr>
        <w:pStyle w:val="ListBullet"/>
      </w:pPr>
      <w:r>
        <w:t>Mesures Préventives : Mesure de la pression artérielle avant initiation, à 1 semaine, puis mensuelle (objectif &lt; 130/80) ; évaluation du risque cardiovasculaire (tabac, HTA, diabète, hyperlipidémie, antécédents familiaux) ; optimisation des facteurs de risque (arrêt du tabac, contrôle de l'HTA, statine si LDL élevé, contrôle du diabète) ; NFS-plaquettes initiale puis mensuelle 3 mois puis trimestrielle ; bilan hépatique (ALAT, ASAT, bilirubine, PAL, γ-GT) mensuel 3 mois puis trimestriel ; TSH initiale puis trimestrielle (hypothyroïdie) ; ionogramme, kaliémie, phosphorémie trimestrielle ; protéinurie (bandelette) mensuelle puis trimestrielle ; ECG initial si antécédents cardiaques ou QTc allongé ; examen dermatologique mensuel (prévention du syndrome main-pied) : urée 10–20 % en crème, pyridoxine 200 mg/j.</w:t>
      </w:r>
    </w:p>
    <w:p>
      <w:pPr>
        <w:pStyle w:val="ListBullet"/>
      </w:pPr>
      <w:r>
        <w:t>Conduite à Tenir : Syndrome main-pied grade 1–2 (érythème, dysesthésie, desquamation sans douleur) : poursuite + urée crème + pyridoxine. Grade 3 (érythème douloureux, desquamation, œdème, gêne fonctionnelle) : interruption transitoire 1–2 semaines, soins locaux, reprise à dose réduite (800 → 400 mg/j). Grade 4 (ulcération, infection) : arrêt définitif. HTA sévère (PA &gt; 160/100) : interruption transitoire, antihypertenseur (IEC ou ARA2), reprise à dose standard. Diarrhée grade 3 : interruption transitoire, lopéramide, réhydratation, reprise à dose réduite. Hypothyroïdie : substitution par lévothyroxine (adaptation selon TSH). Élévation des transaminases &gt; 5× LSN : interruption, recherche d'autres causes, reprise à dose réduite. Hémorragie : interruption, recherche de cause, arrêt définitif si hémorragie grave.</w:t>
      </w:r>
    </w:p>
    <w:p>
      <w:r/>
      <w:r>
        <w:rPr>
          <w:b/>
        </w:rPr>
        <w:t>Interactions Médicamenteuses :</w:t>
      </w:r>
      <w:r/>
    </w:p>
    <w:p>
      <w:pPr>
        <w:pStyle w:val="ListBullet"/>
      </w:pPr>
      <w:r>
        <w:t>CYP3A4 (métabolisme principal) : inducteurs enzymatiques (rifampicine → ASC sorafenib réduite de 50 %, à éviter ; phénytoïne, carbamazépine, phénobarbital, millepertuis) → baisse majeure. Inhibiteurs (kétoconazole → ASC × 1,5 ; itraconazole, voriconazole, posaconazole, clarithromycine, ritonavir) → augmentation modérée, surveillance.</w:t>
      </w:r>
    </w:p>
    <w:p>
      <w:pPr>
        <w:pStyle w:val="ListBullet"/>
      </w:pPr>
      <w:r>
        <w:t>UGT1A1 / UGT1A9 : le sorafenib est inhibiteur de l'UGT1A1 et de l'UGT1A9 ; surveiller avec l'irinotécan (augmentation de la toxicité du SN-38 métabolite actif), le bilirubine (risque de majoration de l'hyperbilirubinémie, particulièrement chez les patients avec syndrome de Gilbert).</w:t>
      </w:r>
    </w:p>
    <w:p>
      <w:pPr>
        <w:pStyle w:val="ListBullet"/>
      </w:pPr>
      <w:r>
        <w:t>Substrats à index thérapeutique étroit : le sorafenib est inhibiteur du CYP3A4, du CYP2C9, du CYP2D6 et de la P-gp ; surveillance avec les antivitamines K (HBPM préférentielle), les statines (simvastatine, atorvastatine), la warfarine (risque hémorragique accru), la digoxine, le dabigatran.</w:t>
      </w:r>
    </w:p>
    <w:p>
      <w:pPr>
        <w:pStyle w:val="ListBullet"/>
      </w:pPr>
      <w:r>
        <w:t>Anti-acides (IPP, anti-H2) : les IPP réduisent l'ASC du sorafenib de 30–40 %. Espacer de plusieurs heures si possible.</w:t>
      </w:r>
    </w:p>
    <w:p>
      <w:pPr>
        <w:pStyle w:val="ListBullet"/>
      </w:pPr>
      <w:r>
        <w:t>Chimiothérapie concomitante : potentialisation de la toxicité avec la doxorubicine (ASC × 1,2), l'irinotécan (ASC du SN-38 × 1,3), le 5-FU (ASC × 1,2).</w:t>
      </w:r>
    </w:p>
    <w:p>
      <w:pPr>
        <w:pStyle w:val="ListBullet"/>
      </w:pPr>
      <w:r>
        <w:t>Vaccins : éviter les vaccins vivants atténués.</w:t>
      </w:r>
    </w:p>
    <w:p>
      <w:pPr>
        <w:pStyle w:val="ListBullet"/>
      </w:pPr>
      <w:r>
        <w:t>Alimentation : la prise avec un repas riche en graisses réduit l'ASC de 30–40 % — à prendre à jeun (1 heure avant ou 2 heures après un repas) ou avec un repas léger. Le pamplemousse est à éviter.</w:t>
      </w:r>
    </w:p>
    <w:p>
      <w:r/>
      <w:r>
        <w:rPr>
          <w:b/>
        </w:rPr>
        <w:t>Grossesse et Allaitement :</w:t>
      </w:r>
      <w:r/>
    </w:p>
    <w:p>
      <w:pPr>
        <w:pStyle w:val="ListBullet"/>
      </w:pPr>
      <w:r>
        <w:t>Grossesse : CONTRE-INDICATION ABSOLUE. Tératogénicité chez l'animal (anomalies cardiovasculaires, squelettiques, rénales). Contraception efficace obligatoire pendant le traitement et 2 semaines après l'arrêt. Le partenaire masculin doit utiliser une contraception pendant le traitement.</w:t>
      </w:r>
    </w:p>
    <w:p>
      <w:pPr>
        <w:pStyle w:val="ListBullet"/>
      </w:pPr>
      <w:r>
        <w:t>Allaitement : CONTRE-INDICATION ABSOLUE.</w:t>
      </w:r>
    </w:p>
    <w:p>
      <w:r/>
      <w:r>
        <w:rPr>
          <w:b/>
        </w:rPr>
        <w:t>Posologie et Mode d'administration (Standard) :</w:t>
      </w:r>
      <w:r/>
    </w:p>
    <w:p>
      <w:pPr>
        <w:pStyle w:val="ListBullet"/>
      </w:pPr>
      <w:r>
        <w:t>Adulte : 400 mg × 2/j (4 comprimés/jour), à prendre à jeun (1 heure avant ou 2 heures après un repas) ou avec un repas léger (sans graisses), à 12 heures d'intervalle. En cas d'effets indésirables sévères (PPE grade 3, HTA sévère, diarrhée grade 3), réduction à 400 mg/j (1 comprimé matin, 1 comprimé soir) ou interruption transitoire.</w:t>
      </w:r>
    </w:p>
    <w:p>
      <w:pPr>
        <w:pStyle w:val="ListBullet"/>
      </w:pPr>
      <w:r>
        <w:t>Insuffisance hépatique modérée (Child-Pugh A, B) : pas d'adaptation ; sévère (Child-Pugh C) : surveillance rapprochée, contre-indication relative.</w:t>
      </w:r>
    </w:p>
    <w:p>
      <w:pPr>
        <w:pStyle w:val="ListBullet"/>
      </w:pPr>
      <w:r>
        <w:t>Insuffisance rénale : pas d'adaptation pour ClCr &gt; 30 mL/min ; pour ClCr &lt; 30 mL/min, surveillance rapprochée.</w:t>
      </w:r>
    </w:p>
    <w:p>
      <w:pPr>
        <w:pStyle w:val="ListBullet"/>
      </w:pPr>
      <w:r>
        <w:t>Mode d'administration : voie orale stricte, à prendre à heure fixe, à 12 heures d'intervalle, à jeun ou avec un repas léger. Les comprimés ne doivent pas être écrasés (en cas d'incapacité à avaler, dispersion dans un verre d'eau non gazeuse, ingestion immédiate, rinçage).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Hématologique : NFS-plaquettes mensuelle 3 mois puis trimestrielle.</w:t>
      </w:r>
    </w:p>
    <w:p>
      <w:pPr>
        <w:pStyle w:val="ListBullet"/>
      </w:pPr>
      <w:r>
        <w:t>Hépatique : ALAT, ASAT, bilirubine, PAL, γ-GT mensuels 3 mois puis trimestriels.</w:t>
      </w:r>
    </w:p>
    <w:p>
      <w:pPr>
        <w:pStyle w:val="ListBullet"/>
      </w:pPr>
      <w:r>
        <w:t>Métabolique et endocrinien : TSH initiale puis trimestrielle ; glycémie, HbA1c, bilan lipidique initiaux puis semestriels ; ionogramme, kaliémie, phosphorémie trimestriels.</w:t>
      </w:r>
    </w:p>
    <w:p>
      <w:pPr>
        <w:pStyle w:val="ListBullet"/>
      </w:pPr>
      <w:r>
        <w:t>Cardiovasculaire : pression artérielle à chaque consultation, ECG initial si QTc allongé ; échographie cardiaque si antécédents cardiaques.</w:t>
      </w:r>
    </w:p>
    <w:p>
      <w:pPr>
        <w:pStyle w:val="ListBullet"/>
      </w:pPr>
      <w:r>
        <w:t>Rénale : protéinurie (bandelette) mensuelle puis trimestrielle ; créatinine, urée trimestriels.</w:t>
      </w:r>
    </w:p>
    <w:p>
      <w:pPr>
        <w:pStyle w:val="ListBullet"/>
      </w:pPr>
      <w:r>
        <w:t>Cutané : examen clinique mensuel (prévention et prise en charge du syndrome main-pied).</w:t>
      </w:r>
    </w:p>
    <w:p>
      <w:r/>
      <w:r>
        <w:rPr>
          <w:b/>
        </w:rPr>
        <w:t>Arbitrage et Bénéfices des Formes Galéniques :</w:t>
      </w:r>
      <w:r/>
    </w:p>
    <w:p>
      <w:r>
        <w:t>Le dosage unique (200 mg) correspond à la dose standard (400 mg × 2/j = 4 comprimés/jour) et aux doses réduites (400 mg/j = 2 comprimés/jour). Le conditionnement B/60 (15 jours à dose standard) facilite l'observance bimensuelle. La disponibilité de quatre génériques locaux actifs (SORAFENIB PHARMACARE, SORAFENIB ALFACARE, SORAFENIB EL KENDI, SORAPHAL) garantit l'accès élargi à ce traitement coûteux.</w:t>
      </w:r>
    </w:p>
    <w:p>
      <w:r/>
      <w:r>
        <w:rPr>
          <w:b/>
        </w:rPr>
        <w:t>Instructions et Conseils au Patient :</w:t>
      </w:r>
      <w:r/>
    </w:p>
    <w:p>
      <w:pPr>
        <w:pStyle w:val="ListBullet"/>
      </w:pPr>
      <w:r>
        <w:t>Communication : « Le sorafenib est un médicament anticancéreux oral qui bloque plusieurs protéines responsables de la croissance et de la vascularisation de votre tumeur. Il se prend deux fois par jour, à 12 heures d'intervalle, à jeun ou avec un repas léger, avec un grand verre d'eau. Les effets indésirables les plus fréquents sont le syndrome main-pied (rougeur, douleurs, desquamation des paumes et plantes), l'hypertension artérielle, la diarrhée et la fatigue. Pour prévenir le syndrome main-pied, appliquez de la crème à l'urée 10–20 % deux fois par jour sur les paumes et plantes, portez des chaussures larges, évitez les activités mécaniques (bricolage, jardinage, sport). Prévenez immédiatement votre médecin en cas de douleurs thoraciques, de faiblesse d'un côté, de saignements, de fièvre, ou de douleurs abdominales intenses. »</w:t>
      </w:r>
    </w:p>
    <w:p>
      <w:pPr>
        <w:pStyle w:val="ListBullet"/>
      </w:pPr>
      <w:r>
        <w:t>Observance : prise à heure fixe, à 12 heures d'intervalle, à jeun ou repas léger.</w:t>
      </w:r>
    </w:p>
    <w:p>
      <w:pPr>
        <w:pStyle w:val="ListBullet"/>
      </w:pPr>
      <w:r>
        <w:t>Hygiène de vie : arrêt du tabac, photoprotection SPF 50+, urée crème pour les mains et pieds, éviter le pamplemousse et le millepertuis, automesure tensionnelle.</w:t>
      </w:r>
    </w:p>
    <w:p>
      <w:r/>
      <w:r>
        <w:rPr>
          <w:b/>
        </w:rPr>
        <w:t>Notes, Règles d'Or &amp; Pièges au Comptoir :</w:t>
      </w:r>
      <w:r/>
    </w:p>
    <w:p>
      <w:pPr>
        <w:pStyle w:val="ListBullet"/>
      </w:pPr>
      <w:r>
        <w:t>Piège : le syndrome main-pied est l'effet indésirable signature du sorafenib — débuter la prophylaxie (urée crème) dès l'initiation.</w:t>
      </w:r>
    </w:p>
    <w:p>
      <w:pPr>
        <w:pStyle w:val="ListBullet"/>
      </w:pPr>
      <w:r>
        <w:t>Piège : oublier d'évaluer la pression artérielle avant initiation et à 1 semaine (HTA très fréquente, parfois sévère d'emblée).</w:t>
      </w:r>
    </w:p>
    <w:p>
      <w:pPr>
        <w:pStyle w:val="ListBullet"/>
      </w:pPr>
      <w:r>
        <w:t>Règle : le sorafenib reste le traitement de référence du carcinome hépatocellulaire avancé en 1re ligne en Algérie (alternative : lenvatinib), particulièrement en cas de cirrhose Child-Pugh A.</w:t>
      </w:r>
    </w:p>
    <w:p>
      <w:pPr>
        <w:pStyle w:val="ListBullet"/>
      </w:pPr>
      <w:r>
        <w:t>Piège : l'association à la warfarine expose à un risque hémorragique majeur (inhibition du CYP2C9) — préférer une HBPM.</w:t>
      </w:r>
    </w:p>
    <w:p>
      <w:pPr>
        <w:pStyle w:val="ListBullet"/>
      </w:pPr>
      <w:r>
        <w:t>Règle : surveillance de la TSH (hypothyroïdie fréquente et méconnue).</w:t>
      </w:r>
    </w:p>
    <w:p>
      <w:pPr>
        <w:pStyle w:val="ListBullet"/>
      </w:pPr>
      <w:r>
        <w:t>Règle : contraception stricte pendant le traitement et 2 semaines après l'arrêt.</w:t>
      </w:r>
    </w:p>
    <w:p>
      <w:pPr>
        <w:pStyle w:val="Heading3"/>
      </w:pPr>
      <w:r>
        <w:t>104.7.2 DCI : Sunitinib</w:t>
      </w:r>
    </w:p>
    <w:p>
      <w:r/>
      <w:r>
        <w:rPr>
          <w:b/>
        </w:rPr>
        <w:t>Liste des Catégories :</w:t>
      </w:r>
      <w:r>
        <w:t xml:space="preserve"> Antinéoplasiques ; Inhibiteur de tyrosine kinase multi-cibles ; Inhibiteur de VEGFR-1/-2/-3, PDGFR-α/β, KIT, FLT3, RET, CSF1R ; Liste I.</w:t>
      </w:r>
    </w:p>
    <w:p>
      <w:r>
        <w:t>Le sunitinib est un ITK multi-cibles, dérivé de l'indole-2-one, indiqué dans le carcinome rénal à cellules claires métastatique (1re ligne ou après cytokines), les GIST non résécables et/ou métastatiques après échec de l'imatinib (ou intolérance), et les tumeurs neuroendocrines pancréatiques bien différenciées progressant sousstratine. Il inhibe VEGFR-1, -2, -3, PDGFR-α et -β, KIT, FLT3, RET et CSF1R. Son profil d'effets indésirables est marqué par l'hypertension artérielle, le syndrome main-pied, l'hypothyroïdie (plus fréquente qu'avec les autres ITK multi-cibles), la fatigue, la diarrhée, la décoloration des cheveux et de la peau (jaunâtre), les cytopénies et l'allongement du QTc. Son schéma d'administration particulier (4 semaines de traitement / 2 semaines de repos en cycles de 6 semaines, ou schéma continu à 37,5 mg/j) conditionne sa gestion clinique.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ORION SUNITINIB</w:t>
            </w:r>
          </w:p>
        </w:tc>
        <w:tc>
          <w:tcPr>
            <w:tcW w:type="dxa" w:w="1559"/>
          </w:tcPr>
          <w:p>
            <w:r>
              <w:rPr>
                <w:sz w:val="20"/>
              </w:rPr>
              <w:t>ORION LAB</w:t>
            </w:r>
          </w:p>
        </w:tc>
        <w:tc>
          <w:tcPr>
            <w:tcW w:type="dxa" w:w="1559"/>
          </w:tcPr>
          <w:p>
            <w:r>
              <w:rPr>
                <w:sz w:val="20"/>
              </w:rPr>
              <w:t>Gélule 12,5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SUNIBE</w:t>
            </w:r>
          </w:p>
        </w:tc>
        <w:tc>
          <w:tcPr>
            <w:tcW w:type="dxa" w:w="1559"/>
          </w:tcPr>
          <w:p>
            <w:r>
              <w:rPr>
                <w:sz w:val="20"/>
              </w:rPr>
              <w:t>ABDI IBRAHIM REMEDE PHARMA</w:t>
            </w:r>
          </w:p>
        </w:tc>
        <w:tc>
          <w:tcPr>
            <w:tcW w:type="dxa" w:w="1559"/>
          </w:tcPr>
          <w:p>
            <w:r>
              <w:rPr>
                <w:sz w:val="20"/>
              </w:rPr>
              <w:t>Gélule 12,5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SUNITEX</w:t>
            </w:r>
          </w:p>
        </w:tc>
        <w:tc>
          <w:tcPr>
            <w:tcW w:type="dxa" w:w="1559"/>
          </w:tcPr>
          <w:p>
            <w:r>
              <w:rPr>
                <w:sz w:val="20"/>
              </w:rPr>
              <w:t>HIKMA PHARMA ALGERIA</w:t>
            </w:r>
          </w:p>
        </w:tc>
        <w:tc>
          <w:tcPr>
            <w:tcW w:type="dxa" w:w="1559"/>
          </w:tcPr>
          <w:p>
            <w:r>
              <w:rPr>
                <w:sz w:val="20"/>
              </w:rPr>
              <w:t>Gélule 12,5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SUTENT</w:t>
            </w:r>
          </w:p>
        </w:tc>
        <w:tc>
          <w:tcPr>
            <w:tcW w:type="dxa" w:w="1559"/>
          </w:tcPr>
          <w:p>
            <w:r>
              <w:rPr>
                <w:sz w:val="20"/>
              </w:rPr>
              <w:t>PFIZER LIMITED</w:t>
            </w:r>
          </w:p>
        </w:tc>
        <w:tc>
          <w:tcPr>
            <w:tcW w:type="dxa" w:w="1559"/>
          </w:tcPr>
          <w:p>
            <w:r>
              <w:rPr>
                <w:sz w:val="20"/>
              </w:rPr>
              <w:t>Gélule 12,5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SUNITINIB BIOPHARM</w:t>
            </w:r>
          </w:p>
        </w:tc>
        <w:tc>
          <w:tcPr>
            <w:tcW w:type="dxa" w:w="1559"/>
          </w:tcPr>
          <w:p>
            <w:r>
              <w:rPr>
                <w:sz w:val="20"/>
              </w:rPr>
              <w:t>BIOPHARM</w:t>
            </w:r>
          </w:p>
        </w:tc>
        <w:tc>
          <w:tcPr>
            <w:tcW w:type="dxa" w:w="1559"/>
          </w:tcPr>
          <w:p>
            <w:r>
              <w:rPr>
                <w:sz w:val="20"/>
              </w:rPr>
              <w:t>Gélule 12,5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ORION SUNITINIB</w:t>
            </w:r>
          </w:p>
        </w:tc>
        <w:tc>
          <w:tcPr>
            <w:tcW w:type="dxa" w:w="1559"/>
          </w:tcPr>
          <w:p>
            <w:r>
              <w:rPr>
                <w:sz w:val="20"/>
              </w:rPr>
              <w:t>ORION LAB</w:t>
            </w:r>
          </w:p>
        </w:tc>
        <w:tc>
          <w:tcPr>
            <w:tcW w:type="dxa" w:w="1559"/>
          </w:tcPr>
          <w:p>
            <w:r>
              <w:rPr>
                <w:sz w:val="20"/>
              </w:rPr>
              <w:t>Gélule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SUNITINIB BIOPHARM</w:t>
            </w:r>
          </w:p>
        </w:tc>
        <w:tc>
          <w:tcPr>
            <w:tcW w:type="dxa" w:w="1559"/>
          </w:tcPr>
          <w:p>
            <w:r>
              <w:rPr>
                <w:sz w:val="20"/>
              </w:rPr>
              <w:t>BIOPHARM</w:t>
            </w:r>
          </w:p>
        </w:tc>
        <w:tc>
          <w:tcPr>
            <w:tcW w:type="dxa" w:w="1559"/>
          </w:tcPr>
          <w:p>
            <w:r>
              <w:rPr>
                <w:sz w:val="20"/>
              </w:rPr>
              <w:t>Gélule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SUNIBE</w:t>
            </w:r>
          </w:p>
        </w:tc>
        <w:tc>
          <w:tcPr>
            <w:tcW w:type="dxa" w:w="1559"/>
          </w:tcPr>
          <w:p>
            <w:r>
              <w:rPr>
                <w:sz w:val="20"/>
              </w:rPr>
              <w:t>ABDI IBRAHIM REMEDE PHARMA</w:t>
            </w:r>
          </w:p>
        </w:tc>
        <w:tc>
          <w:tcPr>
            <w:tcW w:type="dxa" w:w="1559"/>
          </w:tcPr>
          <w:p>
            <w:r>
              <w:rPr>
                <w:sz w:val="20"/>
              </w:rPr>
              <w:t>Gélule 25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SUNITEX</w:t>
            </w:r>
          </w:p>
        </w:tc>
        <w:tc>
          <w:tcPr>
            <w:tcW w:type="dxa" w:w="1559"/>
          </w:tcPr>
          <w:p>
            <w:r>
              <w:rPr>
                <w:sz w:val="20"/>
              </w:rPr>
              <w:t>HIKMA PHARMA ALGERIA</w:t>
            </w:r>
          </w:p>
        </w:tc>
        <w:tc>
          <w:tcPr>
            <w:tcW w:type="dxa" w:w="1559"/>
          </w:tcPr>
          <w:p>
            <w:r>
              <w:rPr>
                <w:sz w:val="20"/>
              </w:rPr>
              <w:t>Gélule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SUTENT</w:t>
            </w:r>
          </w:p>
        </w:tc>
        <w:tc>
          <w:tcPr>
            <w:tcW w:type="dxa" w:w="1559"/>
          </w:tcPr>
          <w:p>
            <w:r>
              <w:rPr>
                <w:sz w:val="20"/>
              </w:rPr>
              <w:t>PFIZER LIMITED</w:t>
            </w:r>
          </w:p>
        </w:tc>
        <w:tc>
          <w:tcPr>
            <w:tcW w:type="dxa" w:w="1559"/>
          </w:tcPr>
          <w:p>
            <w:r>
              <w:rPr>
                <w:sz w:val="20"/>
              </w:rPr>
              <w:t>Gélule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SUNITINIB BIOPHARM</w:t>
            </w:r>
          </w:p>
        </w:tc>
        <w:tc>
          <w:tcPr>
            <w:tcW w:type="dxa" w:w="1559"/>
          </w:tcPr>
          <w:p>
            <w:r>
              <w:rPr>
                <w:sz w:val="20"/>
              </w:rPr>
              <w:t>BIOPHARM</w:t>
            </w:r>
          </w:p>
        </w:tc>
        <w:tc>
          <w:tcPr>
            <w:tcW w:type="dxa" w:w="1559"/>
          </w:tcPr>
          <w:p>
            <w:r>
              <w:rPr>
                <w:sz w:val="20"/>
              </w:rPr>
              <w:t>Gélule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ORION SUNITINIB</w:t>
            </w:r>
          </w:p>
        </w:tc>
        <w:tc>
          <w:tcPr>
            <w:tcW w:type="dxa" w:w="1559"/>
          </w:tcPr>
          <w:p>
            <w:r>
              <w:rPr>
                <w:sz w:val="20"/>
              </w:rPr>
              <w:t>ORION LAB</w:t>
            </w:r>
          </w:p>
        </w:tc>
        <w:tc>
          <w:tcPr>
            <w:tcW w:type="dxa" w:w="1559"/>
          </w:tcPr>
          <w:p>
            <w:r>
              <w:rPr>
                <w:sz w:val="20"/>
              </w:rPr>
              <w:t>Gélule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SUNIBE</w:t>
            </w:r>
          </w:p>
        </w:tc>
        <w:tc>
          <w:tcPr>
            <w:tcW w:type="dxa" w:w="1559"/>
          </w:tcPr>
          <w:p>
            <w:r>
              <w:rPr>
                <w:sz w:val="20"/>
              </w:rPr>
              <w:t>ABDI IBRAHIM REMEDE PHARMA</w:t>
            </w:r>
          </w:p>
        </w:tc>
        <w:tc>
          <w:tcPr>
            <w:tcW w:type="dxa" w:w="1559"/>
          </w:tcPr>
          <w:p>
            <w:r>
              <w:rPr>
                <w:sz w:val="20"/>
              </w:rPr>
              <w:t>Gélule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SUNITEX</w:t>
            </w:r>
          </w:p>
        </w:tc>
        <w:tc>
          <w:tcPr>
            <w:tcW w:type="dxa" w:w="1559"/>
          </w:tcPr>
          <w:p>
            <w:r>
              <w:rPr>
                <w:sz w:val="20"/>
              </w:rPr>
              <w:t>HIKMA PHARMA ALGERIA</w:t>
            </w:r>
          </w:p>
        </w:tc>
        <w:tc>
          <w:tcPr>
            <w:tcW w:type="dxa" w:w="1559"/>
          </w:tcPr>
          <w:p>
            <w:r>
              <w:rPr>
                <w:sz w:val="20"/>
              </w:rPr>
              <w:t>Gélule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SUTENT</w:t>
            </w:r>
          </w:p>
        </w:tc>
        <w:tc>
          <w:tcPr>
            <w:tcW w:type="dxa" w:w="1559"/>
          </w:tcPr>
          <w:p>
            <w:r>
              <w:rPr>
                <w:sz w:val="20"/>
              </w:rPr>
              <w:t>PFIZER LIMITED</w:t>
            </w:r>
          </w:p>
        </w:tc>
        <w:tc>
          <w:tcPr>
            <w:tcW w:type="dxa" w:w="1559"/>
          </w:tcPr>
          <w:p>
            <w:r>
              <w:rPr>
                <w:sz w:val="20"/>
              </w:rPr>
              <w:t>Gélule 50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sunitinib est disponible en Algérie sous cinq marques (SUTENT princeps Pfizer, ORION SUNITINIB, SUNIBE, SUNITEX, SUNITINIB BIOPHARM) à trois dosages (12,5, 25 et 50 mg). Le dosage 50 mg correspond à la dose standard adulte (4 semaines ON / 2 semaines OFF) ; les dosages 25 et 12,5 mg correspondent aux doses réduites en cas d'effets indésirables ou d'adaptation posologique.</w:t>
      </w:r>
    </w:p>
    <w:p>
      <w:r/>
      <w:r>
        <w:rPr>
          <w:b/>
        </w:rPr>
        <w:t>Sous-classe et Mécanisme d'action :</w:t>
      </w:r>
      <w:r/>
    </w:p>
    <w:p>
      <w:pPr>
        <w:pStyle w:val="ListBullet"/>
      </w:pPr>
      <w:r>
        <w:t>Sous-classe : ITK multi-cibles, classe des indole-2-ones. Inhibiteur de VEGFR, PDGFR, KIT, FLT3, RET, CSF1R.</w:t>
      </w:r>
    </w:p>
    <w:p>
      <w:pPr>
        <w:pStyle w:val="ListBullet"/>
      </w:pPr>
      <w:r>
        <w:t>Mécanisme d'action : inhibition compétitive, réversible et ATP-mimétique de l'activité tyrosine kinase de plusieurs récepteurs impliqués dans l'angiogenèse tumorale (VEGFR-1, -2, -3), la prolifération tumorale (PDGFR-α, -β, KIT, FLT3), la différenciation neuroendocrine (RET), et la survie des macrophages associés aux tumeurs (CSF1R). Le blocage de VEGFR inhibe la néoangiogenèse tumorale (privation de l'apport vasculaire) ; le blocage de PDGFR inhibe le recrutement du péricyte et du stroma ; le blocage de KIT inhibe les GIST (mutations de l'exon 9 et 11, sensibilité variable selon la mutation) ; le blocage de FLT3 est actif sur les leucémies aiguës myéloïdes portant la mutation FLT3-ITD (indication historique, supplantée par les ITK FLT3 spécifiques comme le midostaurin et la gilteritinib). Le sunitinib agit donc à la fois comme anti-angiogénique et comme anti-tumoral direct.</w:t>
      </w:r>
    </w:p>
    <w:p>
      <w:r/>
      <w:r>
        <w:rPr>
          <w:b/>
        </w:rPr>
        <w:t>Profil Pharmacologique :</w:t>
      </w:r>
      <w:r/>
    </w:p>
    <w:p>
      <w:pPr>
        <w:pStyle w:val="ListBullet"/>
      </w:pPr>
      <w:r>
        <w:t>Indications : (1) Carcinome rénal à cellules claires métastatique en 1re ligne (alternative : pazopanib, cabozantinib, nivolumab + ipilimumab) ; (2) GIST non résécables et/ou métastatiques après échec de l'imatinib (ou intolérance) ; (3) Tumeurs neuroendocrines pancréatiques bien différenciées progressives (alternative : everolimus) ; (4) Carcinome rénal à cellules claires métastatique adjuvant après néphrectomie (indication discutée, supplantée par les essais d'immunothérapie).</w:t>
      </w:r>
    </w:p>
    <w:p>
      <w:pPr>
        <w:pStyle w:val="ListBullet"/>
      </w:pPr>
      <w:r>
        <w:t>Contre-indications : Hypersensibilité au sunitinib. Précautions : HTA non contrôlée, insuffisance cardiaque, allongement du QTc, antécédents d'infarctus du myocarde, hémorragie, hypothyroïdie, grossesse (CI absolue), allaitement (CI absolue), thrombophilie, diabète.</w:t>
      </w:r>
    </w:p>
    <w:p>
      <w:pPr>
        <w:pStyle w:val="ListBullet"/>
      </w:pPr>
      <w:r>
        <w:t>Effets Indésirables : Très fréquents : fatigue (60–70 %, parfois sévère), syndrome main-pied (PPE, 20–30 %), diarrhée (40–50 %), nausées, vomissements, dysgueusie, décoloration des cheveux (jaunâtre) et de la peau (jaunissement, 30 %), hypertension artérielle (15–30 %, parfois sévère), hypothyroïdie (10–40 %, plus fréquente qu'avec les autres ITK multi-cibles, parfois précoce dans les 3 premiers mois), mucite, stomatite, anorexie, perte de poids, dyspepsie. Fréquents : cytopénies (neutropénie grade 3/4 : 10–15 % ; thrombopénie ; anémie), élévation des transaminases, hyperbilirubinémie, lipase/amylase, allongement du QTc (5–10 %, allongement moyen de 5–10 ms), protéinurie, saignements (épistaxis, gastro-intestinaux, en cas d'anticoagulation), insuffisance cardiaque (réduction de la FEVG, 2–10 %), hypertension sévère (PA &gt; 160/100, 5–10 %). Peu fréquents : ischémie myocardique, infarctus du myocarde (1–3 %), AVC ischémique, artériopathie oblitérante des membres inférieurs, thrombose veineuse, embolie pulmonaire, perforation digestive, pancréatite, éruption cutanée sévère (SJS, Lyell), pneumopathie interstitielle, hépatotoxicité sévère, hypoglycémie, PRES, allongement de l'intervalle PR, syndrome de lyse tumorale. Rares : torsades de pointes, hémorragie cérébrale, nephrotoxicité, hypophysite.</w:t>
      </w:r>
    </w:p>
    <w:p>
      <w:r/>
      <w:r>
        <w:rPr>
          <w:b/>
        </w:rPr>
        <w:t>Prévention et Gestion des Effets Indésirables :</w:t>
      </w:r>
      <w:r/>
    </w:p>
    <w:p>
      <w:pPr>
        <w:pStyle w:val="ListBullet"/>
      </w:pPr>
      <w:r>
        <w:t>Mesures Préventives : Mesure de la pression artérielle avant initiation, à 1 semaine, puis à chaque cycle (objectif &lt; 130/80) ; évaluation du risque cardiovasculaire ; NFS-plaquettes initiale puis à chaque cycle ; bilan hépatique (ALAT, ASAT, bilirubine, PAL, γ-GT) à chaque cycle ; TSH initiale puis à chaque cycle (hypothyroïdie) ; ionogramme, kaliémie, magnésémie à chaque cycle ; ECG initial avec QTc ; échographie cardiaque initiale puis à 3 et 6 mois (FEVG) ; protéinurie (bandelette) à chaque cycle ; examen dermatologique (prévention du syndrome main-pied) : urée 10–20 % en crème, pyridoxine 200 mg/j.</w:t>
      </w:r>
    </w:p>
    <w:p>
      <w:pPr>
        <w:pStyle w:val="ListBullet"/>
      </w:pPr>
      <w:r>
        <w:t>Conduite à Tenir : HTA sévère (PA &gt; 160/100) : interruption transitoire, antihypertenseur (IEC ou ARA2), reprise à dose standard ou réduite (50 → 37,5 → 25 mg/j). Syndrome main-pied grade 1–2 : poursuite + urée crème + pyridoxine. Grade 3 : interruption transitoire, soins locaux, reprise à dose réduite. Grade 4 : arrêt définitif. Hypothyroïdie : substitution par lévothyroxine (adaptation selon TSH). Allongement du QTc &gt; 480 ms : interruption, correction des troubles ioniques, reprise à dose réduite. Diarrhée grade 3 : interruption transitoire, lopéramide, réhydratation, reprise à dose réduite. Cytopénies grade 3/4 : interruption transitoire, facteurs de croissance (G-CSF) si nécessaire, reprise à dose réduite.</w:t>
      </w:r>
    </w:p>
    <w:p>
      <w:r/>
      <w:r>
        <w:rPr>
          <w:b/>
        </w:rPr>
        <w:t>Interactions Médicamenteuses :</w:t>
      </w:r>
      <w:r/>
    </w:p>
    <w:p>
      <w:pPr>
        <w:pStyle w:val="ListBullet"/>
      </w:pPr>
      <w:r>
        <w:t>CYP3A4 (métabolisme principal) : inducteurs enzymatiques (rifampicine → ASC sunitinib réduite de 50 %, à éviter ; phénytoïne, carbamazépine, phénobarbital, millepertuis) → baisse majeure. Inhibiteurs (kétoconazole → ASC × 1,5 ; itraconazole, voriconazole, posaconazole, clarithromycine, ritonavir) → augmentation, réduire la dose de sunitinib à 37,5 mg/j.</w:t>
      </w:r>
    </w:p>
    <w:p>
      <w:pPr>
        <w:pStyle w:val="ListBullet"/>
      </w:pPr>
      <w:r>
        <w:t>Substrats à index thérapeutique étroit : le sunitinib est inhibiteur du CYP3A4 et de la P-gp ; surveillance avec les antivitamines K (HBPM préférentielle), les statines, la warfarine (risque hémorragique accru), la digoxine, le dabigatran.</w:t>
      </w:r>
    </w:p>
    <w:p>
      <w:pPr>
        <w:pStyle w:val="ListBullet"/>
      </w:pPr>
      <w:r>
        <w:t>Allongement du QTc : association à éviter avec les autres médicaments allongeant le QT (amiodarone, sotalol, halopéridol, méthadone, moxifloxacine, cisapride, dompéridone, ondansétron IV).</w:t>
      </w:r>
    </w:p>
    <w:p>
      <w:pPr>
        <w:pStyle w:val="ListBullet"/>
      </w:pPr>
      <w:r>
        <w:t>Vaccins : éviter les vaccins vivants atténués.</w:t>
      </w:r>
    </w:p>
    <w:p>
      <w:pPr>
        <w:pStyle w:val="ListBullet"/>
      </w:pPr>
      <w:r>
        <w:t>Alimentation : la prise peut être à jeun ou au cours d'un repas (l'effet alimentaire est négligeable). Le pamplemousse est à éviter.</w:t>
      </w:r>
    </w:p>
    <w:p>
      <w:r/>
      <w:r>
        <w:rPr>
          <w:b/>
        </w:rPr>
        <w:t>Grossesse et Allaitement :</w:t>
      </w:r>
      <w:r/>
    </w:p>
    <w:p>
      <w:pPr>
        <w:pStyle w:val="ListBullet"/>
      </w:pPr>
      <w:r>
        <w:t>Grossesse : CONTRE-INDICATION ABSOLUE. Tératogénicité chez l'animal (anomalies cardiovasculaires, squelettiques, rénales, fœtotoxicité majeure). Contraception efficace obligatoire pendant le traitement et 4 semaines après l'arrêt. Le partenaire masculin doit utiliser une contraception pendant le traitement.</w:t>
      </w:r>
    </w:p>
    <w:p>
      <w:pPr>
        <w:pStyle w:val="ListBullet"/>
      </w:pPr>
      <w:r>
        <w:t>Allaitement : CONTRE-INDICATION ABSOLUE.</w:t>
      </w:r>
    </w:p>
    <w:p>
      <w:r/>
      <w:r>
        <w:rPr>
          <w:b/>
        </w:rPr>
        <w:t>Posologie et Mode d'administration (Standard) :</w:t>
      </w:r>
      <w:r/>
    </w:p>
    <w:p>
      <w:pPr>
        <w:pStyle w:val="ListBullet"/>
      </w:pPr>
      <w:r>
        <w:t>Adulte : Carcinome rénal métastatique : 50 mg/j en une prise pendant 4 semaines (J1-J28), suivies de 2 semaines de repos (J29-J42), en cycles de 6 semaines (schéma 4/2). Alternative : schéma continu à 37,5 mg/j en 1re ligne ou en entretien. GIST : 50 mg/j en schéma 4/2 (alternative : 37,5 mg/j continu). Tumeurs neuroendocrines pancréatiques : 37,5 mg/j continu. Adaptation posologique en cas d'effets indésirables : 50 → 37,5 → 25 → 12,5 mg/j par paliers.</w:t>
      </w:r>
    </w:p>
    <w:p>
      <w:pPr>
        <w:pStyle w:val="ListBullet"/>
      </w:pPr>
      <w:r>
        <w:t>Insuffisance hépatique modérée à sévère : pas d'adaptation mais surveillance rapprochée.</w:t>
      </w:r>
    </w:p>
    <w:p>
      <w:pPr>
        <w:pStyle w:val="ListBullet"/>
      </w:pPr>
      <w:r>
        <w:t>Insuffisance rénale : pas d'adaptation nécessaire.</w:t>
      </w:r>
    </w:p>
    <w:p>
      <w:pPr>
        <w:pStyle w:val="ListBullet"/>
      </w:pPr>
      <w:r>
        <w:t>Mode d'administration : voie orale stricte, à prendre à heure fixe (matin ou soir), avec ou sans nourriture. Les gélules ne doivent pas être ouvertes ni écrasées (la formulation gélule ne s'y prête pas, en raison du goût intense).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Hématologique : NFS-plaquettes à chaque cycle (J1, J28).</w:t>
      </w:r>
    </w:p>
    <w:p>
      <w:pPr>
        <w:pStyle w:val="ListBullet"/>
      </w:pPr>
      <w:r>
        <w:t>Hépatique : ALAT, ASAT, bilirubine, PAL, γ-GT, lipase, amylase à chaque cycle.</w:t>
      </w:r>
    </w:p>
    <w:p>
      <w:pPr>
        <w:pStyle w:val="ListBullet"/>
      </w:pPr>
      <w:r>
        <w:t>Métabolique et endocrinien : TSH à chaque cycle (hypothyroïdie) ; ionogramme, kaliémie, magnésémie à chaque cycle.</w:t>
      </w:r>
    </w:p>
    <w:p>
      <w:pPr>
        <w:pStyle w:val="ListBullet"/>
      </w:pPr>
      <w:r>
        <w:t>Cardiovasculaire : pression artérielle à 1 semaine puis à chaque cycle ; ECG initial avec QTc puis trimestriel ; échographie cardiaque initiale puis à 3 et 6 mois (FEVG).</w:t>
      </w:r>
    </w:p>
    <w:p>
      <w:pPr>
        <w:pStyle w:val="ListBullet"/>
      </w:pPr>
      <w:r>
        <w:t>Rénale : protéinurie (bandelette) à chaque cycle ; créatinine, urée à chaque cycle.</w:t>
      </w:r>
    </w:p>
    <w:p>
      <w:pPr>
        <w:pStyle w:val="ListBullet"/>
      </w:pPr>
      <w:r>
        <w:t>Cutané : examen clinique à chaque cycle (prévention et prise en charge du syndrome main-pied et de la décoloration cutanée).</w:t>
      </w:r>
    </w:p>
    <w:p>
      <w:r/>
      <w:r>
        <w:rPr>
          <w:b/>
        </w:rPr>
        <w:t>Arbitrage et Bénéfices des Formes Galéniques :</w:t>
      </w:r>
      <w:r/>
    </w:p>
    <w:p>
      <w:r>
        <w:t>Les dosages 12,5, 25 et 50 mg permettent une modulation fine de la posologie (50, 37,5, 25, 12,5 mg/j selon le schéma et la tolérance). La monoprise journalière facilite l'observance. Le schéma 4/2 (4 semaines ON / 2 semaines OFF) permet une récupération hématologique et cutanée entre les cycles, mais expose à un risque de rebond tumoral pendant la période de repos (schéma continu à 37,5 mg/j en alternative). Le conditionnement B/30 (4 semaines + 2 jours) correspond à un cycle complet de phase ON.</w:t>
      </w:r>
    </w:p>
    <w:p>
      <w:r/>
      <w:r>
        <w:rPr>
          <w:b/>
        </w:rPr>
        <w:t>Instructions et Conseils au Patient :</w:t>
      </w:r>
      <w:r/>
    </w:p>
    <w:p>
      <w:pPr>
        <w:pStyle w:val="ListBullet"/>
      </w:pPr>
      <w:r>
        <w:t>Communication : « Le sunitinib est un médicament anticancéreux oral qui bloque plusieurs protéines responsables de la croissance et de la vascularisation de votre tumeur. Il se prend une fois par jour pendant 4 semaines, suivi de 2 semaines de repos, en cycles de 6 semaines. Les effets indésirables les plus fréquents sont la fatigue (très marquée), le syndrome main-pied, l'hypertension artérielle, l'hypothyroïdie, la diarrhée, et une décoloration jaunâtre des cheveux et de la peau (transitoire et bénigne). Prévenez immédiatement votre médecin en cas de douleurs thoraciques, de faiblesse d'un côté, de saignements, de fièvre, de douleurs abdominales intenses, ou de palpitations. »</w:t>
      </w:r>
    </w:p>
    <w:p>
      <w:pPr>
        <w:pStyle w:val="ListBullet"/>
      </w:pPr>
      <w:r>
        <w:t>Observance : respect strict du schéma 4/2 (calendrier d'administration obligatoire) ; ne pas interrompre sans avis médical pendant la phase ON.</w:t>
      </w:r>
    </w:p>
    <w:p>
      <w:pPr>
        <w:pStyle w:val="ListBullet"/>
      </w:pPr>
      <w:r>
        <w:t>Hygiène de vie : arrêt du tabac, photoprotection SPF 50+, urée crème pour les mains et pieds, automesure tensionnelle, éviter le pamplemousse et le millepertuis.</w:t>
      </w:r>
    </w:p>
    <w:p>
      <w:r/>
      <w:r>
        <w:rPr>
          <w:b/>
        </w:rPr>
        <w:t>Notes, Règles d'Or &amp; Pièges au Comptoir :</w:t>
      </w:r>
      <w:r/>
    </w:p>
    <w:p>
      <w:pPr>
        <w:pStyle w:val="ListBullet"/>
      </w:pPr>
      <w:r>
        <w:t>Piège : oublier de surveiller la TSH à chaque cycle (hypothyroïdie très fréquente, parfois précoce dans les 3 premiers mois).</w:t>
      </w:r>
    </w:p>
    <w:p>
      <w:pPr>
        <w:pStyle w:val="ListBullet"/>
      </w:pPr>
      <w:r>
        <w:t>Piège : le schéma 4/2 expose à un risque de rebond tumoral pendant la période de repos — envisager le schéma continu à 37,5 mg/j en cas de progression pendant la phase OFF.</w:t>
      </w:r>
    </w:p>
    <w:p>
      <w:pPr>
        <w:pStyle w:val="ListBullet"/>
      </w:pPr>
      <w:r>
        <w:t>Piège : la décoloration jaunâtre des cheveux et de la peau (effet secondaire signature du sunitinib) est bénigne et transitoire — ne pas confondre avec un ictère (vérifier la bilirubine).</w:t>
      </w:r>
    </w:p>
    <w:p>
      <w:pPr>
        <w:pStyle w:val="ListBullet"/>
      </w:pPr>
      <w:r>
        <w:t>Règle : le sunitinib reste le traitement de référence des GIST après échec de l'imatinib (et de 2e intention dans le carcinome rénal métastatique).</w:t>
      </w:r>
    </w:p>
    <w:p>
      <w:pPr>
        <w:pStyle w:val="ListBullet"/>
      </w:pPr>
      <w:r>
        <w:t>Piège : oublier l'échographie cardiaque (baisse asymptomatique de la FEVG possible).</w:t>
      </w:r>
    </w:p>
    <w:p>
      <w:pPr>
        <w:pStyle w:val="ListBullet"/>
      </w:pPr>
      <w:r>
        <w:t>Règle : contraception stricte pendant le traitement et 4 semaines après l'arrêt.</w:t>
      </w:r>
    </w:p>
    <w:p>
      <w:pPr>
        <w:pStyle w:val="Heading3"/>
      </w:pPr>
      <w:r>
        <w:t>104.7.3 DCI : Regorafenib</w:t>
      </w:r>
    </w:p>
    <w:p>
      <w:r/>
      <w:r>
        <w:rPr>
          <w:b/>
        </w:rPr>
        <w:t>Liste des Catégories :</w:t>
      </w:r>
      <w:r>
        <w:t xml:space="preserve"> Antinéoplasiques ; Inhibiteur de tyrosine kinase multi-cibles ; Inhibiteur de VEGFR-1/-2/-3, PDGFR-β, FGFR, KIT, RET, RAF-1, BRAF, TIE2 ; Liste I.</w:t>
      </w:r>
    </w:p>
    <w:p>
      <w:r>
        <w:t>Le regorafenib est un ITK multi-cibles, dérivé du bis-aryl-urée (comme le sorafenib, dont il est un analogue structurel), indiqué dans le cancer colorectal métastatique après échec des thérapies standard (chimiothérapie et biothérapies), les GIST non résécables ou métastatiques après échec de l'imatinib et du sunitinib, et l'hépatocarcinome avancé après échec du sorafenib. Il inhibe VEGFR-1, -2, -3, PDGFR-β, FGFR, KIT, RET, RAF-1, BRAF et TIE2 (implication de l'anggiogenèse et de la lymphangiogenèse). Son profil d'effets indésirables est comparable à celui du sorafenib mais plus marqué : syndrome main-pied sévère, hypertension artérielle, diarrhée, fatigue, hépatotoxicité, cytopénies, hypothyroïdie.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REGOPHAL</w:t>
            </w:r>
          </w:p>
        </w:tc>
        <w:tc>
          <w:tcPr>
            <w:tcW w:type="dxa" w:w="1559"/>
          </w:tcPr>
          <w:p>
            <w:r>
              <w:rPr>
                <w:sz w:val="20"/>
              </w:rPr>
              <w:t>SOCIETE PHARMACEUTIQUE ALGERIENNE SOPHAL</w:t>
            </w:r>
          </w:p>
        </w:tc>
        <w:tc>
          <w:tcPr>
            <w:tcW w:type="dxa" w:w="1559"/>
          </w:tcPr>
          <w:p>
            <w:r>
              <w:rPr>
                <w:sz w:val="20"/>
              </w:rPr>
              <w:t>Comprimé pelliculé 40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STIVARGRA</w:t>
            </w:r>
          </w:p>
        </w:tc>
        <w:tc>
          <w:tcPr>
            <w:tcW w:type="dxa" w:w="1559"/>
          </w:tcPr>
          <w:p>
            <w:r>
              <w:rPr>
                <w:sz w:val="20"/>
              </w:rPr>
              <w:t>BAYER PHARMA AG</w:t>
            </w:r>
          </w:p>
        </w:tc>
        <w:tc>
          <w:tcPr>
            <w:tcW w:type="dxa" w:w="1559"/>
          </w:tcPr>
          <w:p>
            <w:r>
              <w:rPr>
                <w:sz w:val="20"/>
              </w:rPr>
              <w:t>Comprimé pelliculé 40 mg</w:t>
            </w:r>
          </w:p>
        </w:tc>
        <w:tc>
          <w:tcPr>
            <w:tcW w:type="dxa" w:w="1559"/>
          </w:tcPr>
          <w:p>
            <w:r>
              <w:rPr>
                <w:sz w:val="20"/>
              </w:rPr>
              <w:t>B/1 flacon de 28 / B/3 flacons de 28</w:t>
            </w:r>
          </w:p>
        </w:tc>
        <w:tc>
          <w:tcPr>
            <w:tcW w:type="dxa" w:w="1559"/>
          </w:tcPr>
          <w:p>
            <w:r>
              <w:rPr>
                <w:sz w:val="20"/>
              </w:rPr>
              <w:t>Liste I</w:t>
            </w:r>
          </w:p>
        </w:tc>
        <w:tc>
          <w:tcPr>
            <w:tcW w:type="dxa" w:w="1559"/>
          </w:tcPr>
          <w:p>
            <w:r>
              <w:rPr>
                <w:sz w:val="20"/>
              </w:rPr>
              <w:t>Actif</w:t>
            </w:r>
          </w:p>
        </w:tc>
      </w:tr>
    </w:tbl>
    <w:p/>
    <w:p>
      <w:r>
        <w:t>Le regorafenib est disponible en Algérie sous sa spécialité princeps STIVARGRA (Bayer) à un dosage unique (40 mg) et sous un générique algérien REGOPHAL (SOPHAL) au même dosage. La dose standard adulte est de 160 mg/j (4 comprimés) en schéma 3/1 (3 semaines ON / 1 semaine OFF, en cycles de 4 semaines).</w:t>
      </w:r>
    </w:p>
    <w:p>
      <w:r/>
      <w:r>
        <w:rPr>
          <w:b/>
        </w:rPr>
        <w:t>Sous-classe et Mécanisme d'action :</w:t>
      </w:r>
      <w:r/>
    </w:p>
    <w:p>
      <w:pPr>
        <w:pStyle w:val="ListBullet"/>
      </w:pPr>
      <w:r>
        <w:t>Sous-classe : ITK multi-cibles, classe des bis-aryl-urées (comme le sorafenib). Inhibiteur de VEGFR, PDGFR, FGFR, KIT, RET, RAF-1, BRAF, TIE2.</w:t>
      </w:r>
    </w:p>
    <w:p>
      <w:pPr>
        <w:pStyle w:val="ListBullet"/>
      </w:pPr>
      <w:r>
        <w:t>Mécanisme d'action : inhibition compétitive, réversible et ATP-mimétique de l'activité tyrosine kinase de plusieurs récepteurs impliqués dans l'angiogenèse tumorale (VEGFR-1, -2, -3, TIE2 — récepteur de l'angiopoiétine, impliqué dans la maturation vasculaire), la prolifération tumorale (PDGFR-β, KIT, RET, FGFR), et la voie Raf-MEK-ERK (RAF-1, BRAF V600E). Le regorafenib est structurellement proche du sorafenib mais avec une substitution fluor qui augmente sa puissance et élargit son spectre (TIE2, FGFR). Son action est à la fois anti-angiogénique (inhibition de VEGFR, TIE2) et anti-tumorale directe (inhibition de RAF-1, BRAF, KIT, RET).</w:t>
      </w:r>
    </w:p>
    <w:p>
      <w:r/>
      <w:r>
        <w:rPr>
          <w:b/>
        </w:rPr>
        <w:t>Profil Pharmacologique :</w:t>
      </w:r>
      <w:r/>
    </w:p>
    <w:p>
      <w:pPr>
        <w:pStyle w:val="ListBullet"/>
      </w:pPr>
      <w:r>
        <w:t>Indications : (1) Cancer colorectal métastatique après échec des thérapies standard (chimiothérapies fluoropyrimidines, oxaliplatine, irinotécan, anti-EGFR, anti-VEGF) ; (2) GIST non résécables ou métastatiques après échec de l'imatinib et du sunitinib (3e ligne) ; (3) Carcinome hépatocellulaire avancé après échec du sorafenib (2e ligne) ; (4) Gliome de haut grade récidivant (essai clinique) ; (5) Ostéosarcome métastatique (essai clinique).</w:t>
      </w:r>
    </w:p>
    <w:p>
      <w:pPr>
        <w:pStyle w:val="ListBullet"/>
      </w:pPr>
      <w:r>
        <w:t>Contre-indications : Hypersensibilité au regorafenib ; antécédent récent (&lt; 6 mois) d'infarctus du myocarde, d'AVC ou d'artériopathie symptomatique ; grossesse (CI absolue), allaitement (CI absolue). Précautions : HTA non contrôlée, insuffisance hépatique (Child-Pugh C : contre-indication relative), hémorragie, anticoagulants, allongement du QTc, hypothyroïdie, infections.</w:t>
      </w:r>
    </w:p>
    <w:p>
      <w:pPr>
        <w:pStyle w:val="ListBullet"/>
      </w:pPr>
      <w:r>
        <w:t>Effets Indésirables : Très fréquents : syndrome main-pied (PPE, 45–50 %, plus sévère que le sorafenib), hypertension artérielle (30–40 %, parfois sévère d'emblée), diarrhée (40 %), fatigue (40 %), anorexie, perte de poids, rash, alopécie, hypophosphatémie, mucite. Fréquents : cytopénies (neutropénie, thrombopénie, anémie), élévation des transaminases, hyperbilirubinémie (hépatotoxicité plus marquée que le sorafenib), protéinurie, allongement du QTc, saignements (épistaxis, hémorragie digestive, en cas d'anticoagulation), hypothyroïdie, infections, dysphonie, hypertension sévère. Peu fréquents : ischémie myocardique, infarctus du myocarde (3 %), AVC ischémique, artériopathie oblitérante des membres inférieurs, thrombose veineuse, embolie pulmonaire, perforation digestive, pancréatite, éruption cutanée sévère (SJS, Lyell), pneumopathie interstitielle, hépatotoxicité sévère (cytolyse &gt; 20× LSN, parfois fatale), PRES. Rares : syndrome de lyse tumorale, hémorragie cérébrale.</w:t>
      </w:r>
    </w:p>
    <w:p>
      <w:r/>
      <w:r>
        <w:rPr>
          <w:b/>
        </w:rPr>
        <w:t>Prévention et Gestion des Effets Indésirables :</w:t>
      </w:r>
      <w:r/>
    </w:p>
    <w:p>
      <w:pPr>
        <w:pStyle w:val="ListBullet"/>
      </w:pPr>
      <w:r>
        <w:t>Mesures Préventives : Identiques au sorafenib mais avec une surveillance renforcée : mesure de la pression artérielle avant initiation, à 1 semaine, puis à chaque cycle ; évaluation du risque cardiovasculaire ; NFS-plaquettes initiale puis à chaque cycle ; bilan hépatique (ALAT, ASAT, bilirubine, PAL, γ-GT) à chaque cycle (surveillance rapprochée dans les 8 premières semaines en raison du risque d'hépatotoxicité sévère) ; TSH initiale puis à chaque cycle ; ionogramme, kaliémie, magnésémie, phosphorémie à chaque cycle ; ECG initial avec QTc ; protéinurie (bandelette) à chaque cycle ; examen dermatologique mensuel (prévention du syndrome main-pied) : urée 10–20 % en crème, pyridoxine 200 mg/j.</w:t>
      </w:r>
    </w:p>
    <w:p>
      <w:pPr>
        <w:pStyle w:val="ListBullet"/>
      </w:pPr>
      <w:r>
        <w:t>Conduite à Tenir : Identique au sorafenib, mais avec un seuil d'intervention plus précoce (le regorafenib est globalement moins bien toléré que le sorafenib). Syndrome main-pied grade 2 avec douleur : interruption transitoire 7–14 jours, soins locaux, reprise à dose réduite (160 → 120 → 80 mg/j). HTA sévère (PA &gt; 160/100) : interruption transitoire, antihypertenseur, reprise à dose réduite. Élévation des transaminases &gt; 3× LSN : interruption, recherche d'autres causes, reprise à dose réduite ; arrêt définitif si cytolyse &gt; 8× LSN ou récidivante.</w:t>
      </w:r>
    </w:p>
    <w:p>
      <w:r/>
      <w:r>
        <w:rPr>
          <w:b/>
        </w:rPr>
        <w:t>Interactions Médicamenteuses :</w:t>
      </w:r>
      <w:r/>
    </w:p>
    <w:p>
      <w:pPr>
        <w:pStyle w:val="ListBullet"/>
      </w:pPr>
      <w:r>
        <w:t>Identiques au sorafenib : CYP3A4 (inducteurs et inhibiteurs), UGT1A1/UGT1A9 (inhibiteur), P-gp, BCRP, CYP2C9, CYP2D6 (inhibiteur). Surveillance avec les antivitamines K (HBPM préférentielle), les statines, la warfarine, la digoxine, le dabigatran, l'irinotécan, le 5-FU. Pamplemousse CONTRE-INDIQUÉ.</w:t>
      </w:r>
    </w:p>
    <w:p>
      <w:pPr>
        <w:pStyle w:val="ListBullet"/>
      </w:pPr>
      <w:r>
        <w:t>Alimentation : la prise doit se faire à jeun (un repas réduit l'ASC) — à prendre le matin à jeun (au moins 1 heure avant le petit-déjeuner).</w:t>
      </w:r>
    </w:p>
    <w:p>
      <w:r/>
      <w:r>
        <w:rPr>
          <w:b/>
        </w:rPr>
        <w:t>Grossesse et Allaitement :</w:t>
      </w:r>
      <w:r/>
    </w:p>
    <w:p>
      <w:pPr>
        <w:pStyle w:val="ListBullet"/>
      </w:pPr>
      <w:r>
        <w:t>Grossesse : CONTRE-INDICATION ABSOLUE. Tératogénicité chez l'animal. Contraception efficace obligatoire pendant le traitement et 2 mois après l'arrêt (8 semaines). Le partenaire masculin doit utiliser une contraception pendant le traitement et 2 mois après l'arrêt.</w:t>
      </w:r>
    </w:p>
    <w:p>
      <w:pPr>
        <w:pStyle w:val="ListBullet"/>
      </w:pPr>
      <w:r>
        <w:t>Allaitement : CONTRE-INDICATION ABSOLUE.</w:t>
      </w:r>
    </w:p>
    <w:p>
      <w:r/>
      <w:r>
        <w:rPr>
          <w:b/>
        </w:rPr>
        <w:t>Posologie et Mode d'administration (Standard) :</w:t>
      </w:r>
      <w:r/>
    </w:p>
    <w:p>
      <w:pPr>
        <w:pStyle w:val="ListBullet"/>
      </w:pPr>
      <w:r>
        <w:t>Adulte : 160 mg/j (4 comprimés) en une prise, pendant 3 semaines (J1-J21), suivies de 1 semaine de repos (J22-J28), en cycles de 4 semaines (schéma 3/1). En cas d'effets indésirables sévères (PPE grade 3, HTA sévère, diarrhée grade 3), réduction à 120 mg/j (3 comprimés), puis 80 mg/j (2 comprimés), puis 40 mg/j (1 comprimé) si nécessaire.</w:t>
      </w:r>
    </w:p>
    <w:p>
      <w:pPr>
        <w:pStyle w:val="ListBullet"/>
      </w:pPr>
      <w:r>
        <w:t>Insuffisance hépatique modérée (Child-Pugh A, B) : pas d'adaptation mais surveillance rapprochée ; sévère (Child-Pugh C) : contre-indication relative.</w:t>
      </w:r>
    </w:p>
    <w:p>
      <w:pPr>
        <w:pStyle w:val="ListBullet"/>
      </w:pPr>
      <w:r>
        <w:t>Insuffisance rénale : pas d'adaptation nécessaire.</w:t>
      </w:r>
    </w:p>
    <w:p>
      <w:pPr>
        <w:pStyle w:val="ListBullet"/>
      </w:pPr>
      <w:r>
        <w:t>Mode d'administration : voie orale stricte, à prendre à heure fixe (matin), à jeun (au moins 1 heure avant le petit-déjeuner). Les comprimés ne doivent pas être écrasés (en cas d'incapacité à avaler, dispersion dans un verre d'eau non gazeuse, ingestion immédiate, rinçage).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Identique au sorafenib mais avec une surveillance renforcée de la fonction hépatique (hépatotoxicité plus marquée) : ALAT, ASAT, bilirubine, PAL, γ-GT à chaque cycle, surveillance rapprochée dans les 8 premières semaines.</w:t>
      </w:r>
    </w:p>
    <w:p>
      <w:pPr>
        <w:pStyle w:val="ListBullet"/>
      </w:pPr>
      <w:r>
        <w:t>Hématologique : NFS-plaquettes à chaque cycle.</w:t>
      </w:r>
    </w:p>
    <w:p>
      <w:pPr>
        <w:pStyle w:val="ListBullet"/>
      </w:pPr>
      <w:r>
        <w:t>Métabolique et endocrinien : TSH à chaque cycle ; ionogramme, kaliémie, magnésémie, phosphorémie à chaque cycle.</w:t>
      </w:r>
    </w:p>
    <w:p>
      <w:pPr>
        <w:pStyle w:val="ListBullet"/>
      </w:pPr>
      <w:r>
        <w:t>Cardiovasculaire : pression artérielle à 1 semaine puis à chaque cycle ; ECG initial avec QTc puis trimestriel ; échographie cardiaque si antécédents cardiaques.</w:t>
      </w:r>
    </w:p>
    <w:p>
      <w:pPr>
        <w:pStyle w:val="ListBullet"/>
      </w:pPr>
      <w:r>
        <w:t>Rénale : protéinurie (bandelette) à chaque cycle ; créatinine, urée à chaque cycle.</w:t>
      </w:r>
    </w:p>
    <w:p>
      <w:pPr>
        <w:pStyle w:val="ListBullet"/>
      </w:pPr>
      <w:r>
        <w:t>Cutané : examen clinique à chaque cycle (prévention et prise en charge du syndrome main-pied).</w:t>
      </w:r>
    </w:p>
    <w:p>
      <w:r/>
      <w:r>
        <w:rPr>
          <w:b/>
        </w:rPr>
        <w:t>Arbitrage et Bénéfices des Formes Galéniques :</w:t>
      </w:r>
      <w:r/>
    </w:p>
    <w:p>
      <w:r>
        <w:t>Le dosage unique (40 mg) correspond à la dose standard (160 mg/j = 4 comprimés) et aux doses réduites (120, 80, 40 mg/j selon la tolérance). Le schéma 3/1 (3 semaines ON / 1 semaine OFF) permet une récupération hématologique et cutanée entre les cycles. Le conditionnement B/28 (4 semaines) correspond à un cycle complet (3 semaines ON + 1 semaine OFF).</w:t>
      </w:r>
    </w:p>
    <w:p>
      <w:r/>
      <w:r>
        <w:rPr>
          <w:b/>
        </w:rPr>
        <w:t>Instructions et Conseils au Patient :</w:t>
      </w:r>
      <w:r/>
    </w:p>
    <w:p>
      <w:pPr>
        <w:pStyle w:val="ListBullet"/>
      </w:pPr>
      <w:r>
        <w:t>Communication : « Le regorafenib est un médicament anticancéreux oral qui bloque plusieurs protéines responsables de la croissance et de la vascularisation de votre tumeur. Il se prend une fois par jour, le matin à jeun, pendant 3 semaines, suivi de 1 semaine de repos, en cycles de 4 semaines. Les effets indésirables les plus fréquents sont le syndrome main-pied (rougeur, douleurs, desquamation des paumes et plantes), l'hypertension artérielle, la diarrhée, la fatigue et l'atteinte hépatique. Pour prévenir le syndrome main-pied, appliquez de la crème à l'urée 10–20 % deux fois par jour, portez des chaussures larges, évitez les activités mécaniques. Prévenez immédiatement votre médecin en cas de douleurs thoraciques, de faiblesse d'un côté, de saignements, de fièvre, de douleurs abdominales intenses, ou de jaunisse. »</w:t>
      </w:r>
    </w:p>
    <w:p>
      <w:pPr>
        <w:pStyle w:val="ListBullet"/>
      </w:pPr>
      <w:r>
        <w:t>Observance : respect strict du schéma 3/1 (calendrier d'administration obligatoire) ; prise à jeun le matin.</w:t>
      </w:r>
    </w:p>
    <w:p>
      <w:pPr>
        <w:pStyle w:val="ListBullet"/>
      </w:pPr>
      <w:r>
        <w:t>Hygiène de vie : arrêt du tabac, photoprotection SPF 50+, urée crème pour les mains et pieds, automesure tensionnelle, éviter le pamplemousse et le millepertuis.</w:t>
      </w:r>
    </w:p>
    <w:p>
      <w:r/>
      <w:r>
        <w:rPr>
          <w:b/>
        </w:rPr>
        <w:t>Notes, Règles d'Or &amp; Pièges au Comptoir :</w:t>
      </w:r>
      <w:r/>
    </w:p>
    <w:p>
      <w:pPr>
        <w:pStyle w:val="ListBullet"/>
      </w:pPr>
      <w:r>
        <w:t>Piège : le regorafenib est globalement moins bien toléré que le sorafenib (PPE plus sévère, hépatotoxicité plus marquée) — débuter la prophylaxie (urée crème) dès l'initiation.</w:t>
      </w:r>
    </w:p>
    <w:p>
      <w:pPr>
        <w:pStyle w:val="ListBullet"/>
      </w:pPr>
      <w:r>
        <w:t>Piège : oublier la surveillance hépatique rapprochée dans les 8 premières semaines (hépatotoxicité sévère, parfois fatale).</w:t>
      </w:r>
    </w:p>
    <w:p>
      <w:pPr>
        <w:pStyle w:val="ListBullet"/>
      </w:pPr>
      <w:r>
        <w:t>Règle : le regorafenib est le traitement de référence des GIST en 3e ligne (après imatinib et sunitinib) et du cancer colorectal métastatique après échec des thérapies standard.</w:t>
      </w:r>
    </w:p>
    <w:p>
      <w:pPr>
        <w:pStyle w:val="ListBullet"/>
      </w:pPr>
      <w:r>
        <w:t>Règle : la dose doit être réduite (160 → 120 → 80 → 40 mg/j) en cas d'effets indésirables sévères, sans interruption définitive sauf cas grave.</w:t>
      </w:r>
    </w:p>
    <w:p>
      <w:pPr>
        <w:pStyle w:val="ListBullet"/>
      </w:pPr>
      <w:r>
        <w:t>Piège : oublier d'évaluer la pression artérielle avant initiation et à 1 semaine.</w:t>
      </w:r>
    </w:p>
    <w:p>
      <w:pPr>
        <w:pStyle w:val="ListBullet"/>
      </w:pPr>
      <w:r>
        <w:t>Règle : contraception stricte pendant le traitement et 2 mois après l'arrêt (8 semaines).</w:t>
      </w:r>
    </w:p>
    <w:p>
      <w:pPr>
        <w:pStyle w:val="Heading3"/>
      </w:pPr>
      <w:r>
        <w:t>104.7.4 DCI : Cabozantinib</w:t>
      </w:r>
    </w:p>
    <w:p>
      <w:r/>
      <w:r>
        <w:rPr>
          <w:b/>
        </w:rPr>
        <w:t>Liste des Catégories :</w:t>
      </w:r>
      <w:r>
        <w:t xml:space="preserve"> Antinéoplasiques ; Inhibiteur de tyrosine kinase multi-cibles ; Inhibiteur de VEGFR-2, MET, AXL, RET, KIT, TIE2, FLT3 ; Liste I.</w:t>
      </w:r>
    </w:p>
    <w:p>
      <w:r>
        <w:t>Le cabozantinib est un ITK multi-cibles, dérivé de la quinoléine, indiqué dans le carcinome rénal à cellules claires métastatique (1re ligne et après anti-angiogénique), le cancer médullothyroïdien avancé ou métastatique (formulation gélule, maintenant supplantée par la forme comprimé), et le carcinome hépatocellulaire avancé après échec du sorafenib ou de l'atezolizumab + bevacizumab. Il inhibe VEGFR-2, MET (récepteur du HGF, impliqué dans l'invasion tumorale et la résistance aux anti-angiogéniques), AXL (récepteur à activité tyrosine kinase GAS6, impliqué dans la résistance), RET (muté dans le cancer médullothyroïdien), KIT, TIE2 et FLT3. Son profil d'effets indésirables est comparable aux autres ITK multi-cibles : hypertension artérielle, syndrome main-pied, diarrhée, fatigue, protéinurie, cytopénies, allongement du QTc, hypothyroïdie, hémorragie.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CABOMETYX</w:t>
            </w:r>
          </w:p>
        </w:tc>
        <w:tc>
          <w:tcPr>
            <w:tcW w:type="dxa" w:w="1559"/>
          </w:tcPr>
          <w:p>
            <w:r>
              <w:rPr>
                <w:sz w:val="20"/>
              </w:rPr>
              <w:t>IPSEN PHARMA</w:t>
            </w:r>
          </w:p>
        </w:tc>
        <w:tc>
          <w:tcPr>
            <w:tcW w:type="dxa" w:w="1559"/>
          </w:tcPr>
          <w:p>
            <w:r>
              <w:rPr>
                <w:sz w:val="20"/>
              </w:rPr>
              <w:t>Comprimé pelliculé 20 mg</w:t>
            </w:r>
          </w:p>
        </w:tc>
        <w:tc>
          <w:tcPr>
            <w:tcW w:type="dxa" w:w="1559"/>
          </w:tcPr>
          <w:p>
            <w:r>
              <w:rPr>
                <w:sz w:val="20"/>
              </w:rPr>
              <w:t>Boîte de 1 flacon de 30 comprimés</w:t>
            </w:r>
          </w:p>
        </w:tc>
        <w:tc>
          <w:tcPr>
            <w:tcW w:type="dxa" w:w="1559"/>
          </w:tcPr>
          <w:p>
            <w:r>
              <w:rPr>
                <w:sz w:val="20"/>
              </w:rPr>
              <w:t>Liste I</w:t>
            </w:r>
          </w:p>
        </w:tc>
        <w:tc>
          <w:tcPr>
            <w:tcW w:type="dxa" w:w="1559"/>
          </w:tcPr>
          <w:p>
            <w:r>
              <w:rPr>
                <w:sz w:val="20"/>
              </w:rPr>
              <w:t>Actif</w:t>
            </w:r>
          </w:p>
        </w:tc>
      </w:tr>
      <w:tr>
        <w:tc>
          <w:tcPr>
            <w:tcW w:type="dxa" w:w="1559"/>
          </w:tcPr>
          <w:p>
            <w:r>
              <w:rPr>
                <w:sz w:val="20"/>
              </w:rPr>
              <w:t>CABOMETYX</w:t>
            </w:r>
          </w:p>
        </w:tc>
        <w:tc>
          <w:tcPr>
            <w:tcW w:type="dxa" w:w="1559"/>
          </w:tcPr>
          <w:p>
            <w:r>
              <w:rPr>
                <w:sz w:val="20"/>
              </w:rPr>
              <w:t>IPSEN PHARMA</w:t>
            </w:r>
          </w:p>
        </w:tc>
        <w:tc>
          <w:tcPr>
            <w:tcW w:type="dxa" w:w="1559"/>
          </w:tcPr>
          <w:p>
            <w:r>
              <w:rPr>
                <w:sz w:val="20"/>
              </w:rPr>
              <w:t>Comprimé pelliculé 40 mg</w:t>
            </w:r>
          </w:p>
        </w:tc>
        <w:tc>
          <w:tcPr>
            <w:tcW w:type="dxa" w:w="1559"/>
          </w:tcPr>
          <w:p>
            <w:r>
              <w:rPr>
                <w:sz w:val="20"/>
              </w:rPr>
              <w:t>Boîte de 1 flacon de 30 comprimés</w:t>
            </w:r>
          </w:p>
        </w:tc>
        <w:tc>
          <w:tcPr>
            <w:tcW w:type="dxa" w:w="1559"/>
          </w:tcPr>
          <w:p>
            <w:r>
              <w:rPr>
                <w:sz w:val="20"/>
              </w:rPr>
              <w:t>Liste I</w:t>
            </w:r>
          </w:p>
        </w:tc>
        <w:tc>
          <w:tcPr>
            <w:tcW w:type="dxa" w:w="1559"/>
          </w:tcPr>
          <w:p>
            <w:r>
              <w:rPr>
                <w:sz w:val="20"/>
              </w:rPr>
              <w:t>Actif</w:t>
            </w:r>
          </w:p>
        </w:tc>
      </w:tr>
      <w:tr>
        <w:tc>
          <w:tcPr>
            <w:tcW w:type="dxa" w:w="1559"/>
          </w:tcPr>
          <w:p>
            <w:r>
              <w:rPr>
                <w:sz w:val="20"/>
              </w:rPr>
              <w:t>CABOMETYX</w:t>
            </w:r>
          </w:p>
        </w:tc>
        <w:tc>
          <w:tcPr>
            <w:tcW w:type="dxa" w:w="1559"/>
          </w:tcPr>
          <w:p>
            <w:r>
              <w:rPr>
                <w:sz w:val="20"/>
              </w:rPr>
              <w:t>IPSEN PHARMA</w:t>
            </w:r>
          </w:p>
        </w:tc>
        <w:tc>
          <w:tcPr>
            <w:tcW w:type="dxa" w:w="1559"/>
          </w:tcPr>
          <w:p>
            <w:r>
              <w:rPr>
                <w:sz w:val="20"/>
              </w:rPr>
              <w:t>Comprimé pelliculé 60 mg</w:t>
            </w:r>
          </w:p>
        </w:tc>
        <w:tc>
          <w:tcPr>
            <w:tcW w:type="dxa" w:w="1559"/>
          </w:tcPr>
          <w:p>
            <w:r>
              <w:rPr>
                <w:sz w:val="20"/>
              </w:rPr>
              <w:t>Boîte de 1 flacon de 30 comprimés</w:t>
            </w:r>
          </w:p>
        </w:tc>
        <w:tc>
          <w:tcPr>
            <w:tcW w:type="dxa" w:w="1559"/>
          </w:tcPr>
          <w:p>
            <w:r>
              <w:rPr>
                <w:sz w:val="20"/>
              </w:rPr>
              <w:t>Liste I</w:t>
            </w:r>
          </w:p>
        </w:tc>
        <w:tc>
          <w:tcPr>
            <w:tcW w:type="dxa" w:w="1559"/>
          </w:tcPr>
          <w:p>
            <w:r>
              <w:rPr>
                <w:sz w:val="20"/>
              </w:rPr>
              <w:t>Actif</w:t>
            </w:r>
          </w:p>
        </w:tc>
      </w:tr>
    </w:tbl>
    <w:p/>
    <w:p>
      <w:r>
        <w:t>Le cabozantinib est disponible en Algérie sous sa spécialité princeps CABOMETYX (Ipsen) à trois dosages (20, 40, 60 mg). Le dosage 60 mg correspond à la dose standard adulte en 1re ligne du carcinome rénal métastatique et en 2e ligne du carcinome hépatocellulaire ; le dosage 40 mg correspond à la dose réduite (adaptation posologique) et à la dose standard pour le cancer médullothyroïdien ; le dosage 20 mg correspond à la dose réduite supplémentaire.</w:t>
      </w:r>
    </w:p>
    <w:p>
      <w:r/>
      <w:r>
        <w:rPr>
          <w:b/>
        </w:rPr>
        <w:t>Sous-classe et Mécanisme d'action :</w:t>
      </w:r>
      <w:r/>
    </w:p>
    <w:p>
      <w:pPr>
        <w:pStyle w:val="ListBullet"/>
      </w:pPr>
      <w:r>
        <w:t>Sous-classe : ITK multi-cibles, classe des quinoléines. Inhibiteur de VEGFR-2, MET, AXL, RET, KIT, TIE2, FLT3.</w:t>
      </w:r>
    </w:p>
    <w:p>
      <w:pPr>
        <w:pStyle w:val="ListBullet"/>
      </w:pPr>
      <w:r>
        <w:t>Mécanisme d'action : inhibition compétitive, réversible et ATP-mimétique de l'activité tyrosine kinase de plusieurs récepteurs : VEGFR-2 (angiogenèse), MET (récepteur du HGF, invasion tumorale, résistance aux anti-angiogéniques), AXL (récepteur du GAS6, résistance et immunosuppression tumorale), RET (muté dans le cancer médullothyroïdien et certaines LAL), KIT, TIE2 (maturation vasculaire), FLT3. Le blocage simultané de VEGFR-2, MET et AXL explique l'efficacité du cabozantinib dans le carcinome rénal métastatique (résistance aux anti-angiogéniques par activation de MET et AXL) et son action anti-tumorale directe (MET, RET). L'inhibition de RET est responsable de l'efficacité dans le cancer médullothyroïdien (mutation M918T, RET C634W).</w:t>
      </w:r>
    </w:p>
    <w:p>
      <w:r/>
      <w:r>
        <w:rPr>
          <w:b/>
        </w:rPr>
        <w:t>Profil Pharmacologique :</w:t>
      </w:r>
      <w:r/>
    </w:p>
    <w:p>
      <w:pPr>
        <w:pStyle w:val="ListBullet"/>
      </w:pPr>
      <w:r>
        <w:t>Indications : (1) Carcinome rénal à cellules claires métastatique en 1re ligne (alternative : sunitinib, pazopanib, nivolumab + ipilimumab) et après anti-angiogénique (2e ligne, alternative au nivolumab) ; (2) Cancer médullothyroïdien avancé ou métastatique (forme comprimé, 2e ligne après vandétanib ou en cas de progression) ; (3) Carcinome hépatocellulaire avancé après échec du sorafenib (2e ligne, alternative au regorafenib) ou après atezolizumab + bevacizumab (3e ligne) ; (4) Carcinome rénal métastatique en association à nivolumab (1re ligne, alternative).</w:t>
      </w:r>
    </w:p>
    <w:p>
      <w:pPr>
        <w:pStyle w:val="ListBullet"/>
      </w:pPr>
      <w:r>
        <w:t>Contre-indications : Hypersensibilité au cabozantinib ; grossesse (CI absolue), allaitement (CI absolue). Précautions : HTA non contrôlée, antécédents d'infarctus du myocarde, d'AVC ou d'artériopathie symptomatique, hémorragie récente, anticoagulants, allongement du QTc, hypothyroïdie, fistule digestive, ostéonécrose de la mâchoire.</w:t>
      </w:r>
    </w:p>
    <w:p>
      <w:pPr>
        <w:pStyle w:val="ListBullet"/>
      </w:pPr>
      <w:r>
        <w:t>Effets Indésirables : Très fréquents : hypertension artérielle (35–40 %, parfois sévère d'emblée), syndrome main-pied (PPE, 35–45 %, plus marqué que le sorafenib), diarrhée (40 %), fatigue (40 %), anorexie, perte de poids, nausées, stomatite, dysgueusie, rash, décoloration des cheveux, hypophosphatémie, hypocalcémie, hyperglycémie. Fréquents : cytopénies (neutropénie, thrombopénie, anémie), élévation des transaminases, hyperbilirubinémie, protéinurie, allongement du QTc, saignements (épistaxis, hémorragie digestive), hypothyroïdie, dysphonie, hypertension sévère, fistule digestive (1–4 %, anastomotique ou diverticulaire), ostéonécrose de la mâchoire (rare mais grave, particulièrement en cas d'antécédents de bisphosphonates ou de denosumab). Peu fréquents : ischémie myocardique, infarctus du myocarde (3 %), AVC ischémique, thrombose veineuse, embolie pulmonaire, perforation digestive, pancréatite, éruption cutanée sévère (SJS, Lyell), pneumopathie interstitielle, PRES, syndrome de lyse tumorale, allongement de l'intervalle PR. Rares : hémorragie cérébrale, néphrotoxicité.</w:t>
      </w:r>
    </w:p>
    <w:p>
      <w:r/>
      <w:r>
        <w:rPr>
          <w:b/>
        </w:rPr>
        <w:t>Prévention et Gestion des Effets Indésirables :</w:t>
      </w:r>
      <w:r/>
    </w:p>
    <w:p>
      <w:pPr>
        <w:pStyle w:val="ListBullet"/>
      </w:pPr>
      <w:r>
        <w:t>Mesures Préventives : Identiques aux autres ITK multi-cibles : mesure de la pression artérielle avant initiation, à 1 semaine, puis à chaque cycle ; évaluation du risque cardiovasculaire ; NFS-plaquettes initiale puis à chaque cycle ; bilan hépatique à chaque cycle ; TSH initiale puis à chaque cycle ; ionogramme, kaliémie, magnésémie, phosphorémie, calcémie à chaque cycle ; ECG initial avec QTc ; protéinurie (bandelette) à chaque cycle ; examen dentaire préalable (risque d'ostéonécrose de la mâchoire, particulièrement en cas d'antécédents de bisphosphonates ou de denosumab) ; prophylaxie cutanée : urée 10–20 % en crème, pyridoxine 200 mg/j.</w:t>
      </w:r>
    </w:p>
    <w:p>
      <w:pPr>
        <w:pStyle w:val="ListBullet"/>
      </w:pPr>
      <w:r>
        <w:t>Conduite à Tenir : Identique aux autres ITK multi-cibles : HTA sévère → interruption + antihypertenseur + reprise à dose réduite (60 → 40 → 20 mg/j) ; syndrome main-pied grade 3 → interruption + soins locaux + reprise à dose réduite ; diarrhée grade 3 → interruption + lopéramide + réhydratation + reprise à dose réduite ; fistule digestive → arrêt définitif, prise en charge chirurgicale ; ostéonécrose de la mâchoire → arrêt transitoire, prise en charge stomatologique.</w:t>
      </w:r>
    </w:p>
    <w:p>
      <w:r/>
      <w:r>
        <w:rPr>
          <w:b/>
        </w:rPr>
        <w:t>Interactions Médicamenteuses :</w:t>
      </w:r>
      <w:r/>
    </w:p>
    <w:p>
      <w:pPr>
        <w:pStyle w:val="ListBullet"/>
      </w:pPr>
      <w:r>
        <w:t>Identiques aux autres ITK multi-cibles : CYP3A4 (inducteurs : rifampicine, phénytoïne, carbamazépine, phénobarbital, millepertuis → ASC réduite de 50–75 %, à éviter ; inhibiteurs : kétoconazole, itraconazole, voriconazole, posaconazole, clarithromycine, ritonavir → ASC augmentée de 50 %, réduire la dose de cabozantinib à 40 mg/j). P-gp et BCRP (inhibiteur) ; surveillance avec les antivitamines K, les statines, la warfarine, la digoxine, le dabigatran. Pamplemousse CONTRE-INDIQUÉ.</w:t>
      </w:r>
    </w:p>
    <w:p>
      <w:pPr>
        <w:pStyle w:val="ListBullet"/>
      </w:pPr>
      <w:r>
        <w:t>Alimentation : la prise doit se faire à jeun (un repas réduit l'ASC) — à prendre à jeun (au moins 1 heure avant ou 2 heures après un repas).</w:t>
      </w:r>
    </w:p>
    <w:p>
      <w:r/>
      <w:r>
        <w:rPr>
          <w:b/>
        </w:rPr>
        <w:t>Grossesse et Allaitement :</w:t>
      </w:r>
      <w:r/>
    </w:p>
    <w:p>
      <w:pPr>
        <w:pStyle w:val="ListBullet"/>
      </w:pPr>
      <w:r>
        <w:t>Grossesse : CONTRE-INDICATION ABSOLUE. Tératogénicité chez l'animal. Contraception efficace obligatoire pendant le traitement et 4 mois après l'arrêt. Le partenaire masculin doit utiliser une contraception pendant le traitement et 4 mois après l'arrêt.</w:t>
      </w:r>
    </w:p>
    <w:p>
      <w:pPr>
        <w:pStyle w:val="ListBullet"/>
      </w:pPr>
      <w:r>
        <w:t>Allaitement : CONTRE-INDICATION ABSOLUE.</w:t>
      </w:r>
    </w:p>
    <w:p>
      <w:r/>
      <w:r>
        <w:rPr>
          <w:b/>
        </w:rPr>
        <w:t>Posologie et Mode d'administration (Standard) :</w:t>
      </w:r>
      <w:r/>
    </w:p>
    <w:p>
      <w:pPr>
        <w:pStyle w:val="ListBullet"/>
      </w:pPr>
      <w:r>
        <w:t>Adulte : Carcinome rénal métastatique : 60 mg/j en une prise, à jeun (au moins 1 heure avant ou 2 heures après un repas). En cas d'effets indésirables sévères, réduction à 40 mg/j, puis 20 mg/j. En association à nivolumab : 40 mg/j. Carcinome hépatocellulaire : 60 mg/j (réduction à 40 ou 20 mg/j en cas d'effets indésirables). Cancer médullothyroïdien : 140 mg/j (en formulation gélule, supplantée par la forme comprimé : 60 mg/j puis 80 ou 100 mg/j selon tolérance).</w:t>
      </w:r>
    </w:p>
    <w:p>
      <w:pPr>
        <w:pStyle w:val="ListBullet"/>
      </w:pPr>
      <w:r>
        <w:t>Insuffisance hépatique modérée (Child-Pugh A, B) : 40 mg/j (réduction de 33 %) ; sévère (Child-Pugh C) : contre-indication.</w:t>
      </w:r>
    </w:p>
    <w:p>
      <w:pPr>
        <w:pStyle w:val="ListBullet"/>
      </w:pPr>
      <w:r>
        <w:t>Insuffisance rénale : pas d'adaptation nécessaire.</w:t>
      </w:r>
    </w:p>
    <w:p>
      <w:pPr>
        <w:pStyle w:val="ListBullet"/>
      </w:pPr>
      <w:r>
        <w:t>Mode d'administration : voie orale stricte, à prendre à heure fixe (matin), à jeun. Les comprimés ne doivent pas être écrasés (en cas d'incapacité à avaler, dispersion dans un verre d'eau non gazeuse, ingestion immédiate, rinçage).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Identique aux autres ITK multi-cibles : NFS-plaquettes à chaque cycle ; bilan hépatique à chaque cycle ; TSH à chaque cycle ; ionogramme à chaque cycle ; pression artérielle à 1 semaine puis à chaque cycle ; ECG initial avec QTc ; protéinurie (bandelette) à chaque cycle ; examen dermatologique à chaque cycle ; bilan dentaire préalable et surveillance régulière (ostéonécrose de la mâchoire).</w:t>
      </w:r>
    </w:p>
    <w:p>
      <w:r/>
      <w:r>
        <w:rPr>
          <w:b/>
        </w:rPr>
        <w:t>Arbitrage et Bénéfices des Formes Galéniques :</w:t>
      </w:r>
      <w:r/>
    </w:p>
    <w:p>
      <w:r>
        <w:t>Les dosages 20, 40 et 60 mg permettent une modulation fine de la posologie (60, 40, 20 mg/j selon le schéma et la tolérance). La monoprise journalière à jeun facilite l'observance. Le conditionnement B/30 (4 semaines) correspond à un cycle complet de traitement continu (pas de schéma ON/OFF comme le sunitinib ou le regorafenib).</w:t>
      </w:r>
    </w:p>
    <w:p>
      <w:r/>
      <w:r>
        <w:rPr>
          <w:b/>
        </w:rPr>
        <w:t>Instructions et Conseils au Patient :</w:t>
      </w:r>
      <w:r/>
    </w:p>
    <w:p>
      <w:pPr>
        <w:pStyle w:val="ListBullet"/>
      </w:pPr>
      <w:r>
        <w:t>Communication : « Le cabozantinib est un médicament anticancéreux oral qui bloque plusieurs protéines responsables de la croissance et de la vascularisation de votre tumeur, y compris des protéines de résistance (MET, AXL). Il se prend une fois par jour, à jeun (1 heure avant ou 2 heures après un repas), avec un grand verre d'eau. Les effets indésirables les plus fréquents sont l'hypertension artérielle, le syndrome main-pied, la diarrhée, la fatigue et l'atteinte de la thyroïde. Prévenez immédiatement votre médecin en cas de douleurs thoraciques, de faiblesse d'un côté, de saignements, de fièvre, de douleurs abdominales intenses, de jaunisse, ou de douleurs dentaires. »</w:t>
      </w:r>
    </w:p>
    <w:p>
      <w:pPr>
        <w:pStyle w:val="ListBullet"/>
      </w:pPr>
      <w:r>
        <w:t>Observance : prise à heure fixe, à jeun, calendrier d'administration.</w:t>
      </w:r>
    </w:p>
    <w:p>
      <w:pPr>
        <w:pStyle w:val="ListBullet"/>
      </w:pPr>
      <w:r>
        <w:t>Hygiène de vie : arrêt du tabac, photoprotection SPF 50+, urée crème pour les mains et pieds, automesure tensionnelle, bilan dentaire régulier, éviter le pamplemousse et le millepertuis.</w:t>
      </w:r>
    </w:p>
    <w:p>
      <w:r/>
      <w:r>
        <w:rPr>
          <w:b/>
        </w:rPr>
        <w:t>Notes, Règles d'Or &amp; Pièges au Comptoir :</w:t>
      </w:r>
      <w:r/>
    </w:p>
    <w:p>
      <w:pPr>
        <w:pStyle w:val="ListBullet"/>
      </w:pPr>
      <w:r>
        <w:t>Piège : le cabozantinib est un ITK de 2e ligne particulièrement actif dans le carcinome rénal métastatique après anti-angiogénique (résistance par MET et AXL) — alternative au nivolumab.</w:t>
      </w:r>
    </w:p>
    <w:p>
      <w:pPr>
        <w:pStyle w:val="ListBullet"/>
      </w:pPr>
      <w:r>
        <w:t>Piège : oublier la surveillance de la thyroïde et de la pression artérielle à chaque cycle.</w:t>
      </w:r>
    </w:p>
    <w:p>
      <w:pPr>
        <w:pStyle w:val="ListBullet"/>
      </w:pPr>
      <w:r>
        <w:t>Règle : la dose doit être réduite en cas d'insuffisance hépatique modérée (Child-Pugh A, B) ; contre-indication absolue si Child-Pugh C.</w:t>
      </w:r>
    </w:p>
    <w:p>
      <w:pPr>
        <w:pStyle w:val="ListBullet"/>
      </w:pPr>
      <w:r>
        <w:t>Piège : risque d'ostéonécrose de la mâchoire, particulièrement en cas d'antécédents de bisphosphonates ou de denosumab — bilan dentaire préalable obligatoire.</w:t>
      </w:r>
    </w:p>
    <w:p>
      <w:pPr>
        <w:pStyle w:val="ListBullet"/>
      </w:pPr>
      <w:r>
        <w:t>Piège : risque de fistule digestive, particulièrement en cas d'antécédents de chirurgie digestive ou de radiothérapie abdominale.</w:t>
      </w:r>
    </w:p>
    <w:p>
      <w:pPr>
        <w:pStyle w:val="ListBullet"/>
      </w:pPr>
      <w:r>
        <w:t>Règle : contraception stricte pendant le traitement et 4 mois après l'arrêt.</w:t>
      </w:r>
    </w:p>
    <w:p>
      <w:pPr>
        <w:pStyle w:val="Heading3"/>
      </w:pPr>
      <w:r>
        <w:t>104.7.5 DCI : Lenvatinib</w:t>
      </w:r>
    </w:p>
    <w:p>
      <w:r/>
      <w:r>
        <w:rPr>
          <w:b/>
        </w:rPr>
        <w:t>Liste des Catégories :</w:t>
      </w:r>
      <w:r>
        <w:t xml:space="preserve"> Antinéoplasiques ; Inhibiteur de tyrosine kinase multi-cibles ; Inhibiteur de VEGFR-1/-2/-3, FGFR-1/-2/-3/-4, PDGFR-α, KIT, RET ; Liste I.</w:t>
      </w:r>
    </w:p>
    <w:p>
      <w:r>
        <w:t>Le lenvatinib est un ITK multi-cibles, dérivé du carboxamide, indiqué dans le carcinome hépatocellulaire avancé en 1re ligne (alternative au sorafenib, supériorité en survie sans progression mais pas en survie globale), le cancer thyroïdien différencié réfractaire à l'iode 131 (alternative au sorafenib), et le carcinome rénal à cellules claires métastatique en association à l'everolimus (2e ligne) ou au pembrolizumab (1re ligne). Il inhibe VEGFR-1, -2, -3 (anti-angiogénique), FGFR-1, -2, -3, -4 (implication dans l'oncogenèse et la résistance), PDGFR-α, KIT et RET. Son profil d'effets indésirables est marqué par l'hypertension artérielle (souvent sévère d'emblée), la protéinurie, le syndrome main-pied, la diarrhée, la fatigue, l'hypothyroïdie, les cytopénies et l'insuffisance hépatique.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LENVORION</w:t>
            </w:r>
          </w:p>
        </w:tc>
        <w:tc>
          <w:tcPr>
            <w:tcW w:type="dxa" w:w="1559"/>
          </w:tcPr>
          <w:p>
            <w:r>
              <w:rPr>
                <w:sz w:val="20"/>
              </w:rPr>
              <w:t>ORION LAB</w:t>
            </w:r>
          </w:p>
        </w:tc>
        <w:tc>
          <w:tcPr>
            <w:tcW w:type="dxa" w:w="1559"/>
          </w:tcPr>
          <w:p>
            <w:r>
              <w:rPr>
                <w:sz w:val="20"/>
              </w:rPr>
              <w:t>Gélule 4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LENVIMA</w:t>
            </w:r>
          </w:p>
        </w:tc>
        <w:tc>
          <w:tcPr>
            <w:tcW w:type="dxa" w:w="1559"/>
          </w:tcPr>
          <w:p>
            <w:r>
              <w:rPr>
                <w:sz w:val="20"/>
              </w:rPr>
              <w:t>EISSAI EUROPE LIMITED</w:t>
            </w:r>
          </w:p>
        </w:tc>
        <w:tc>
          <w:tcPr>
            <w:tcW w:type="dxa" w:w="1559"/>
          </w:tcPr>
          <w:p>
            <w:r>
              <w:rPr>
                <w:sz w:val="20"/>
              </w:rPr>
              <w:t>Gélule 4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LENVORION</w:t>
            </w:r>
          </w:p>
        </w:tc>
        <w:tc>
          <w:tcPr>
            <w:tcW w:type="dxa" w:w="1559"/>
          </w:tcPr>
          <w:p>
            <w:r>
              <w:rPr>
                <w:sz w:val="20"/>
              </w:rPr>
              <w:t>ORION LAB</w:t>
            </w:r>
          </w:p>
        </w:tc>
        <w:tc>
          <w:tcPr>
            <w:tcW w:type="dxa" w:w="1559"/>
          </w:tcPr>
          <w:p>
            <w:r>
              <w:rPr>
                <w:sz w:val="20"/>
              </w:rPr>
              <w:t>Gélule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LENVIMA</w:t>
            </w:r>
          </w:p>
        </w:tc>
        <w:tc>
          <w:tcPr>
            <w:tcW w:type="dxa" w:w="1559"/>
          </w:tcPr>
          <w:p>
            <w:r>
              <w:rPr>
                <w:sz w:val="20"/>
              </w:rPr>
              <w:t>EISSAI EUROPE LIMITED</w:t>
            </w:r>
          </w:p>
        </w:tc>
        <w:tc>
          <w:tcPr>
            <w:tcW w:type="dxa" w:w="1559"/>
          </w:tcPr>
          <w:p>
            <w:r>
              <w:rPr>
                <w:sz w:val="20"/>
              </w:rPr>
              <w:t>Gélule 10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lenvatinib est disponible en Algérie sous sa spécialité princeps LENVIMA (Eisai) et sous un générique LENVORION (Orion Lab) à deux dosages (4 et 10 mg). Le dosage 10 mg correspond à la dose standard pour le cancer thyroïdien (24 mg/j) ; le dosage 4 mg correspond à la dose réduite. Pour le carcinome hépatocellulaire, la dose est déterminée par le poids (≥ 60 kg : 12 mg/j ; &lt; 60 kg : 8 mg/j), nécessitant la combinaison de gélules 4 et 10 mg. Les autres dosages (8 mg) sont obtenus par combinaison 4 + 4 mg.</w:t>
      </w:r>
    </w:p>
    <w:p>
      <w:r/>
      <w:r>
        <w:rPr>
          <w:b/>
        </w:rPr>
        <w:t>Sous-classe et Mécanisme d'action :</w:t>
      </w:r>
      <w:r/>
    </w:p>
    <w:p>
      <w:pPr>
        <w:pStyle w:val="ListBullet"/>
      </w:pPr>
      <w:r>
        <w:t>Sous-classe : ITK multi-cibles, classe des carboxamides. Inhibiteur de VEGFR, FGFR, PDGFR, KIT, RET.</w:t>
      </w:r>
    </w:p>
    <w:p>
      <w:pPr>
        <w:pStyle w:val="ListBullet"/>
      </w:pPr>
      <w:r>
        <w:t>Mécanisme d'action : inhibition compétitive, réversible et ATP-mimétique de l'activité tyrosine kinase de plusieurs récepteurs : VEGFR-1, -2, -3 (angiogenèse), FGFR-1, -2, -3, -4 (oncogenèse et résistance, notamment dans le cancer thyroïdien, le carcinome hépatocellulaire, les tumeurs urothéliales et les cholangiocarcinomes porteurs de fusions FGFR), PDGFR-α, KIT, RET. Le blocage simultané de VEGFR et FGFR explique l'efficacité du lenvatinib dans le carcinome hépatocellulaire (alternance des voies de signalisation angiogéniques), dans le cancer thyroïdien différencié réfractaire à l'iode 131 (où l'activation de FGFR et RET est fréquente), et dans le carcinome rénal métastatique (résistance aux anti-VEGF par activation de FGFR).</w:t>
      </w:r>
    </w:p>
    <w:p>
      <w:r/>
      <w:r>
        <w:rPr>
          <w:b/>
        </w:rPr>
        <w:t>Profil Pharmacologique :</w:t>
      </w:r>
      <w:r/>
    </w:p>
    <w:p>
      <w:pPr>
        <w:pStyle w:val="ListBullet"/>
      </w:pPr>
      <w:r>
        <w:t>Indications : (1) Carcinome hépatocellulaire avancé en 1re ligne (alternative au sorafenib, supériorité en survie sans progression, équivalence en survie globale) ; (2) Cancer thyroïdien différencié réfractaire à l'iode 131 localement avancé ou métastatique (alternative au sorafenib) ; (3) Carcinome rénal à cellules claires métastatique en association à l'everolimus (2e ligne, après anti-angiogénique) ou au pembrolizumab (1re ligne, alternative à l'immunothérapie seule) ; (4) Carcinome endométrial avancé en association au pembrolizumab (2e ligne, particulièrement en cas d'inactivation de la voie MMR/MSI).</w:t>
      </w:r>
    </w:p>
    <w:p>
      <w:pPr>
        <w:pStyle w:val="ListBullet"/>
      </w:pPr>
      <w:r>
        <w:t>Contre-indications : Hypersensibilité au lenvatinib ; grossesse (CI absolue), allaitement (CI absolue). Précautions : HTA non contrôlée, insuffisance cardiaque, allongement du QTc, antécédents d'infarctus du myocarde, hémorragie, anticoagulants, protéinurie, fistule gastro-intestinale, hypothyroïdie, syndrome de leuco-encéphalopathie postérieure réversible (PRES).</w:t>
      </w:r>
    </w:p>
    <w:p>
      <w:pPr>
        <w:pStyle w:val="ListBullet"/>
      </w:pPr>
      <w:r>
        <w:t>Effets Indésirables : Très fréquents : hypertension artérielle (40–70 %, souvent sévère d'emblée, parfois dès les premiers jours), protéinurie (25–35 %, parfois néphrotique), syndrome main-pied (PPE, 25–35 %), diarrhée (40 %), fatigue (40 %), anorexie, perte de poids, nausées, vomissements, stomatite, dysgueusie, rash, alopécie, hypothyroïdie (20–35 %, plus fréquente qu'avec les autres ITK multi-cibles en raison de l'inhibition de RET), hypophosphatémie, hypocalcémie. Fréquents : cytopénies (neutropénie, thrombopénie, anémie), élévation des transaminases, hyperbilirubinémie, allongement du QTc, saignements (épistaxis, hémorragie digestive, en cas d'anticoagulation), insuffisance hépatique (parfois sévère, particulièrement chez les patients avec cirrhose sous-jacente), hypertension sévère, dysphonie. Peu fréquents : ischémie myocardique, infarctus du myocarde (3–5 %), AVC ischémique, thrombose veineuse, embolie pulmonaire, perforation digestive, pancréatite, éruption cutanée sévère (SJS, Lyell), PRES, syndrome de lyse tumorale, allongement de l'intervalle PR, nephrotoxicité (par protéinurie), ostéonécrose de la mâchoire, hémorragie intracrânienne. Rares : hypertension maligne, microangiopathie thrombotique.</w:t>
      </w:r>
    </w:p>
    <w:p>
      <w:r/>
      <w:r>
        <w:rPr>
          <w:b/>
        </w:rPr>
        <w:t>Prévention et Gestion des Effets Indésirables :</w:t>
      </w:r>
      <w:r/>
    </w:p>
    <w:p>
      <w:pPr>
        <w:pStyle w:val="ListBullet"/>
      </w:pPr>
      <w:r>
        <w:t>Mesures Préventives : Identiques aux autres ITK multi-cibles mais avec une surveillance renforcée de la pression artérielle (HTA souvent sévère d'emblée) et de la protéinurie : mesure de la pression artérielle avant initiation, à 1 semaine, puis à chaque cycle (objectif &lt; 130/80) ; évaluation du risque cardiovasculaire ; NFS-plaquettes initiale puis à chaque cycle ; bilan hépatique à chaque cycle ; TSH initiale puis à chaque cycle (hypothyroïdie) ; ionogramme, kaliémie, magnésémie, phosphorémie, calcémie à chaque cycle ; ECG initial avec QTc ; protéinurie (bandelette) à chaque cycle, voire protéinurie/24 h si positive ; examen dermatologique mensuel (prévention du syndrome main-pied) : urée 10–20 % en crème, pyridoxine 200 mg/j.</w:t>
      </w:r>
    </w:p>
    <w:p>
      <w:pPr>
        <w:pStyle w:val="ListBullet"/>
      </w:pPr>
      <w:r>
        <w:t>Conduite à Tenir : HTA sévère (PA &gt; 160/100) : interruption transitoire, antihypertenseur (IEC ou ARA2), reprise à dose réduite. Protéinurie &gt; 1 g/24 h : interruption transitoire, surveillance, reprise à dose réduite ; protéinurie néphrotique (rapport protéinurie/créatinurie &gt; 3,5 g/24 h) : arrêt définitif. Syndrome main-pied grade 3 : interruption transitoire, soins locaux, reprise à dose réduite. Diarrhée grade 3 : interruption transitoire, lopéramide, réhydratation, reprise à dose réduite. Insuffisance hépatique sévère : arrêt définitif.</w:t>
      </w:r>
    </w:p>
    <w:p>
      <w:r/>
      <w:r>
        <w:rPr>
          <w:b/>
        </w:rPr>
        <w:t>Interactions Médicamenteuses :</w:t>
      </w:r>
      <w:r/>
    </w:p>
    <w:p>
      <w:pPr>
        <w:pStyle w:val="ListBullet"/>
      </w:pPr>
      <w:r>
        <w:t>Identiques aux autres ITK multi-cibles : CYP3A4 (métabolisme principal, mais le lenvatinib est peu métabolisé par le CYP3A4, principalement par les aldo-kéto réductases) ; les interactions via le CYP3A4 sont minimes. Inducteurs (rifampicine, phénytoïne, carbamazépine, millepertuis) → baisse modérée de l'ASC. Inhibiteurs (kétoconazole, itraconazole, clarithromycine, ritonavir) → augmentation modérée, surveillance.</w:t>
      </w:r>
    </w:p>
    <w:p>
      <w:pPr>
        <w:pStyle w:val="ListBullet"/>
      </w:pPr>
      <w:r>
        <w:t>P-gp / BCRP : le lenvatinib est substrat et inhibiteur de la P-gp et de la BCRP ; surveillance avec la digoxine, le dabigatran, le rosuvastatine, le méthotrexate.</w:t>
      </w:r>
    </w:p>
    <w:p>
      <w:pPr>
        <w:pStyle w:val="ListBullet"/>
      </w:pPr>
      <w:r>
        <w:t>Allongement du QTc : association à éviter avec les autres médicaments allongeant le QT (amiodarone, sotalol, halopéridol, méthadone, moxifloxacine, cisapride, dompéridone, ondansétron IV).</w:t>
      </w:r>
    </w:p>
    <w:p>
      <w:pPr>
        <w:pStyle w:val="ListBullet"/>
      </w:pPr>
      <w:r>
        <w:t>Vaccins : éviter les vaccins vivants atténués.</w:t>
      </w:r>
    </w:p>
    <w:p>
      <w:pPr>
        <w:pStyle w:val="ListBullet"/>
      </w:pPr>
      <w:r>
        <w:t>Alimentation : la prise peut être à jeun ou au cours d'un repas (l'effet alimentaire est négligeable). Le pamplemousse est à éviter.</w:t>
      </w:r>
    </w:p>
    <w:p>
      <w:r/>
      <w:r>
        <w:rPr>
          <w:b/>
        </w:rPr>
        <w:t>Grossesse et Allaitement :</w:t>
      </w:r>
      <w:r/>
    </w:p>
    <w:p>
      <w:pPr>
        <w:pStyle w:val="ListBullet"/>
      </w:pPr>
      <w:r>
        <w:t>Grossesse : CONTRE-INDICATION ABSOLUE. Tératogénicité chez l'animal (anomalies cardiovasculaires, squelettiques, rénales, embryo-létale). Contraception efficace obligatoire pendant le traitement et 1 semaine après l'arrêt. Le partenaire masculin doit utiliser une contraception pendant le traitement.</w:t>
      </w:r>
    </w:p>
    <w:p>
      <w:pPr>
        <w:pStyle w:val="ListBullet"/>
      </w:pPr>
      <w:r>
        <w:t>Allaitement : CONTRE-INDICATION ABSOLUE.</w:t>
      </w:r>
    </w:p>
    <w:p>
      <w:r/>
      <w:r>
        <w:rPr>
          <w:b/>
        </w:rPr>
        <w:t>Posologie et Mode d'administration (Standard) :</w:t>
      </w:r>
      <w:r/>
    </w:p>
    <w:p>
      <w:pPr>
        <w:pStyle w:val="ListBullet"/>
      </w:pPr>
      <w:r>
        <w:t>Adulte : Carcinome hépatocellulaire (1re ligne) : 12 mg/j (3 gélules de 4 mg ou 1 gélule de 10 mg + 1 gélule de 4 mg ne correspond pas — ajustement selon poids et dosage disponible) : pour ≥ 60 kg : 12 mg/j ; pour &lt; 60 kg : 8 mg/j. Cancer thyroïdien différencié : 24 mg/j (2 gélules de 10 mg + 1 gélule de 4 mg). Carcinome rénal métastatique (en association à l'everolimus) : 18 mg/j (1 gélule de 10 mg + 2 gélules de 4 mg) ; (en association au pembrolizumab) : 20 mg/j (2 gélules de 10 mg). Carcinome endométrial (en association au pembrolizumab) : 20 mg/j (2 gélules de 10 mg). Adaptation posologique en cas d'effets indésirables : 24 → 20 → 14 → 10 mg/j par paliers.</w:t>
      </w:r>
    </w:p>
    <w:p>
      <w:pPr>
        <w:pStyle w:val="ListBullet"/>
      </w:pPr>
      <w:r>
        <w:t>Insuffisance hépatique modérée (Child-Pugh A, B) : pas d'adaptation ; sévère (Child-Pugh C) : contre-indication.</w:t>
      </w:r>
    </w:p>
    <w:p>
      <w:pPr>
        <w:pStyle w:val="ListBullet"/>
      </w:pPr>
      <w:r>
        <w:t>Insuffisance rénale : pas d'adaptation pour ClCr &gt; 30 mL/min ; pour ClCr &lt; 30 mL/min, surveillance rapprochée.</w:t>
      </w:r>
    </w:p>
    <w:p>
      <w:pPr>
        <w:pStyle w:val="ListBullet"/>
      </w:pPr>
      <w:r>
        <w:t>Mode d'administration : voie orale stricte, à prendre à heure fixe (matin ou soir), avec ou sans nourriture. Les gélules ne doivent pas être ouvertes ni écrasées (la formulation gélule ne s'y prête pas).</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Identique aux autres ITK multi-cibles mais avec une surveillance renforcée de la pression artérielle (HTA souvent sévère) et de la protéinurie (néphrotoxicité) : NFS-plaquettes à chaque cycle ; bilan hépatique à chaque cycle ; TSH à chaque cycle ; ionogramme à chaque cycle ; pression artérielle à 1 semaine puis à chaque cycle ; ECG initial avec QTc ; protéinurie (bandelette) à chaque cycle, voire protéinurie/24 h si positive ; créatinine, urée à chaque cycle ; examen dermatologique à chaque cycle.</w:t>
      </w:r>
    </w:p>
    <w:p>
      <w:r/>
      <w:r>
        <w:rPr>
          <w:b/>
        </w:rPr>
        <w:t>Arbitrage et Bénéfices des Formes Galéniques :</w:t>
      </w:r>
      <w:r/>
    </w:p>
    <w:p>
      <w:r>
        <w:t>Les dosages 4 et 10 mg permettent une modulation fine de la posologie (24, 20, 18, 14, 12, 10, 8, 4 mg/j selon l'indication et la tolérance). La monoprise journalière avec ou sans nourriture facilite l'observance. Le conditionnement B/30 (4 semaines) correspond à un cycle complet de traitement continu.</w:t>
      </w:r>
    </w:p>
    <w:p>
      <w:r/>
      <w:r>
        <w:rPr>
          <w:b/>
        </w:rPr>
        <w:t>Instructions et Conseils au Patient :</w:t>
      </w:r>
      <w:r/>
    </w:p>
    <w:p>
      <w:pPr>
        <w:pStyle w:val="ListBullet"/>
      </w:pPr>
      <w:r>
        <w:t>Communication : « Le lenvatinib est un médicament anticancéreux oral qui bloque plusieurs protéines responsables de la croissance et de la vascularisation de votre tumeur. Il se prend une fois par jour, à heure fixe, avec ou sans nourriture. Les effets indésirables les plus fréquents sont l'hypertension artérielle (parfois sévère d'emblée), la protéinurie (atteinte rénale), le syndrome main-pied, la diarrhée, la fatigue et l'hypothyroïdie. Prévenez immédiatement votre médecin en cas de douleurs thoraciques, de faiblesse d'un côté, de saignements, de fièvre, de douleurs abdominales intenses, de jaunisse, ou d'œdèmes des jambes. »</w:t>
      </w:r>
    </w:p>
    <w:p>
      <w:pPr>
        <w:pStyle w:val="ListBullet"/>
      </w:pPr>
      <w:r>
        <w:t>Observance : prise à heure fixe, calendrier d'administration.</w:t>
      </w:r>
    </w:p>
    <w:p>
      <w:pPr>
        <w:pStyle w:val="ListBullet"/>
      </w:pPr>
      <w:r>
        <w:t>Hygiène de vie : arrêt du tabac, photoprotection SPF 50+, urée crème pour les mains et pieds, automesure tensionnelle, éviter le pamplemousse et le millepertuis.</w:t>
      </w:r>
    </w:p>
    <w:p>
      <w:r/>
      <w:r>
        <w:rPr>
          <w:b/>
        </w:rPr>
        <w:t>Notes, Règles d'Or &amp; Pièges au Comptoir :</w:t>
      </w:r>
      <w:r/>
    </w:p>
    <w:p>
      <w:pPr>
        <w:pStyle w:val="ListBullet"/>
      </w:pPr>
      <w:r>
        <w:t>Piège : l'hypertension artérielle est souvent sévère d'emblée (parfois dès les premiers jours) — surveillance rapprochée de la pression artérielle à 1 semaine.</w:t>
      </w:r>
    </w:p>
    <w:p>
      <w:pPr>
        <w:pStyle w:val="ListBullet"/>
      </w:pPr>
      <w:r>
        <w:t>Piège : la protéinurie peut évoluer vers un syndrome néphrotique — surveillance systématique par bandelette à chaque cycle, protéinurie/24 h si positive.</w:t>
      </w:r>
    </w:p>
    <w:p>
      <w:pPr>
        <w:pStyle w:val="ListBullet"/>
      </w:pPr>
      <w:r>
        <w:t>Règle : le lenvatinib est une alternative au sorafenib dans le carcinome hépatocellulaire avancé en 1re ligne (supériorité en survie sans progression, équivalence en survie globale), avec un ajustement selon le poids (12 mg/j si ≥ 60 kg, 8 mg/j si &lt; 60 kg).</w:t>
      </w:r>
    </w:p>
    <w:p>
      <w:pPr>
        <w:pStyle w:val="ListBullet"/>
      </w:pPr>
      <w:r>
        <w:t>Règle : le lenvatinib est le traitement de référence du cancer thyroïdien différencié réfractaire à l'iode 131 (alternative au sorafenib).</w:t>
      </w:r>
    </w:p>
    <w:p>
      <w:pPr>
        <w:pStyle w:val="ListBullet"/>
      </w:pPr>
      <w:r>
        <w:t>Piège : la dose varie selon l'indication (24 mg/j pour le cancer thyroïdien, 12 mg/j pour le carcinome hépatocellulaire, 18–20 mg/j pour le carcinome rénal) — adapter la prescription à l'indication.</w:t>
      </w:r>
    </w:p>
    <w:p>
      <w:pPr>
        <w:pStyle w:val="ListBullet"/>
      </w:pPr>
      <w:r>
        <w:t>Règle : contraception stricte pendant le traitement et 1 semaine après l'arrêt.</w:t>
      </w:r>
    </w:p>
    <w:p>
      <w:pPr>
        <w:pStyle w:val="Heading2"/>
      </w:pPr>
      <w:r>
        <w:t>104.8 Sous-classe : ITK Anti-angiogéniques préférentiels (VEGFR-prédominants)</w:t>
      </w:r>
    </w:p>
    <w:p>
      <w:r>
        <w:t xml:space="preserve">Cette sous-classe regroupe les ITK anti-angiogéniques préférentiels, dont la cible principale est VEGFR (Vascular Endothelial Growth Factor Receptor), avec une moindre activité sur PDGFR et KIT. Les chefs de file disponibles en Algérie sont le </w:t>
      </w:r>
      <w:r>
        <w:rPr>
          <w:b/>
        </w:rPr>
        <w:t>pazopanib</w:t>
      </w:r>
      <w:r>
        <w:t xml:space="preserve"> (Votrient®/Porenza®/Pazopanib Biopharm®, Novartis/El Kendi/Biopharm) et l'axitinib** (Inlyta®/Axiphal®/Orionlyta®, Pfizer/SOPHAL/Orion Lab). Ils sont principalement indiqués dans le carcinome rénal à cellules claires métastatique (1re ligne ou après cytokines/anti-angiogéniques), avec une efficacité comparable au sunitinib mais une meilleure tolérance cutanée et hématologique. Leur profil d'effets indésirables est marqué par l'hypertension artérielle, l'hépatotoxicité (cytolyse, plus marquée qu'avec les autres ITK multi-cibles), la diarrhée, la décoloration des cheveux, les cytopénies, l'allongement du QTc, la protéinurie et les hémorragies. Le pazopanib expose en outre à un risque d'hépatotoxicité sévère (cytolyse &gt; 10× LSN, parfois fatale), justifiant une surveillance hépatique rapprochée et un bilan hépatique mensuel.</w:t>
      </w:r>
    </w:p>
    <w:p>
      <w:pPr>
        <w:pStyle w:val="Heading3"/>
      </w:pPr>
      <w:r>
        <w:t>104.8.1 DCI : Pazopanib</w:t>
      </w:r>
    </w:p>
    <w:p>
      <w:r/>
      <w:r>
        <w:rPr>
          <w:b/>
        </w:rPr>
        <w:t>Liste des Catégories :</w:t>
      </w:r>
      <w:r>
        <w:t xml:space="preserve"> Antinéoplasiques ; Inhibiteur de tyrosine kinase multi-cibles (VEGFR-prédominant) ; Inhibiteur de VEGFR-1/-2/-3, PDGFR-α/β, KIT, FGFR ; Liste I.</w:t>
      </w:r>
    </w:p>
    <w:p>
      <w:r>
        <w:t>Le pazopanib est un ITK multi-cibles, dérivé de l'indazol-pyrimidine, indiqué dans le carcinome rénal à cellules claires métastatique (1re ligne ou après cytokines), et les sarcomes des tissus mous avancés (après chimiothérapie, particulièrement les liposarcomes myxoïdes, les léiomyosarcomes, les synovialosarcomes). Il inhibe VEGFR-1, -2, -3 (anti-angiogénique), PDGFR-α, -β, KIT, FGFR-1, -3. Son profil d'effets indésirables est marqué par l'hépatotoxicité (cytolyse, parfois sévère), l'hypertension artérielle, la diarrhée, la décoloration des cheveux, la fatigue, les cytopénies, l'allongement du QTc et la protéinurie.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PAZOPANIB BIOPHARM</w:t>
            </w:r>
          </w:p>
        </w:tc>
        <w:tc>
          <w:tcPr>
            <w:tcW w:type="dxa" w:w="1559"/>
          </w:tcPr>
          <w:p>
            <w:r>
              <w:rPr>
                <w:sz w:val="20"/>
              </w:rPr>
              <w:t>BIOPHARM</w:t>
            </w:r>
          </w:p>
        </w:tc>
        <w:tc>
          <w:tcPr>
            <w:tcW w:type="dxa" w:w="1559"/>
          </w:tcPr>
          <w:p>
            <w:r>
              <w:rPr>
                <w:sz w:val="20"/>
              </w:rPr>
              <w:t>Comprimé pelliculé 200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PORENZA</w:t>
            </w:r>
          </w:p>
        </w:tc>
        <w:tc>
          <w:tcPr>
            <w:tcW w:type="dxa" w:w="1559"/>
          </w:tcPr>
          <w:p>
            <w:r>
              <w:rPr>
                <w:sz w:val="20"/>
              </w:rPr>
              <w:t>EL KENDI INDUSTRIE DU MEDICAMENT</w:t>
            </w:r>
          </w:p>
        </w:tc>
        <w:tc>
          <w:tcPr>
            <w:tcW w:type="dxa" w:w="1559"/>
          </w:tcPr>
          <w:p>
            <w:r>
              <w:rPr>
                <w:sz w:val="20"/>
              </w:rPr>
              <w:t>Comprimé pelliculé 200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VOTRIENT</w:t>
            </w:r>
          </w:p>
        </w:tc>
        <w:tc>
          <w:tcPr>
            <w:tcW w:type="dxa" w:w="1559"/>
          </w:tcPr>
          <w:p>
            <w:r>
              <w:rPr>
                <w:sz w:val="20"/>
              </w:rPr>
              <w:t>NOVARTIS PHARMA SCHWEIZ AG</w:t>
            </w:r>
          </w:p>
        </w:tc>
        <w:tc>
          <w:tcPr>
            <w:tcW w:type="dxa" w:w="1559"/>
          </w:tcPr>
          <w:p>
            <w:r>
              <w:rPr>
                <w:sz w:val="20"/>
              </w:rPr>
              <w:t>Comprimé pelliculé 200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PORENZA</w:t>
            </w:r>
          </w:p>
        </w:tc>
        <w:tc>
          <w:tcPr>
            <w:tcW w:type="dxa" w:w="1559"/>
          </w:tcPr>
          <w:p>
            <w:r>
              <w:rPr>
                <w:sz w:val="20"/>
              </w:rPr>
              <w:t>EL KENDI INDUSTRIE DU MEDICAMENT</w:t>
            </w:r>
          </w:p>
        </w:tc>
        <w:tc>
          <w:tcPr>
            <w:tcW w:type="dxa" w:w="1559"/>
          </w:tcPr>
          <w:p>
            <w:r>
              <w:rPr>
                <w:sz w:val="20"/>
              </w:rPr>
              <w:t>Comprimé pelliculé 400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VOTRIENT</w:t>
            </w:r>
          </w:p>
        </w:tc>
        <w:tc>
          <w:tcPr>
            <w:tcW w:type="dxa" w:w="1559"/>
          </w:tcPr>
          <w:p>
            <w:r>
              <w:rPr>
                <w:sz w:val="20"/>
              </w:rPr>
              <w:t>NOVARTIS PHARMA SCHWEIZ AG</w:t>
            </w:r>
          </w:p>
        </w:tc>
        <w:tc>
          <w:tcPr>
            <w:tcW w:type="dxa" w:w="1559"/>
          </w:tcPr>
          <w:p>
            <w:r>
              <w:rPr>
                <w:sz w:val="20"/>
              </w:rPr>
              <w:t>Comprimé pelliculé 400 mg</w:t>
            </w:r>
          </w:p>
        </w:tc>
        <w:tc>
          <w:tcPr>
            <w:tcW w:type="dxa" w:w="1559"/>
          </w:tcPr>
          <w:p>
            <w:r>
              <w:rPr>
                <w:sz w:val="20"/>
              </w:rPr>
              <w:t>B/60</w:t>
            </w:r>
          </w:p>
        </w:tc>
        <w:tc>
          <w:tcPr>
            <w:tcW w:type="dxa" w:w="1559"/>
          </w:tcPr>
          <w:p>
            <w:r>
              <w:rPr>
                <w:sz w:val="20"/>
              </w:rPr>
              <w:t>Liste I</w:t>
            </w:r>
          </w:p>
        </w:tc>
        <w:tc>
          <w:tcPr>
            <w:tcW w:type="dxa" w:w="1559"/>
          </w:tcPr>
          <w:p>
            <w:r>
              <w:rPr>
                <w:sz w:val="20"/>
              </w:rPr>
              <w:t>Actif</w:t>
            </w:r>
          </w:p>
        </w:tc>
      </w:tr>
    </w:tbl>
    <w:p/>
    <w:p>
      <w:r>
        <w:t>Le pazopanib est disponible en Algérie sous sa spécialité princeps VOTRIENT (Novartis) et sous deux génériques locaux (PORENZA, El Kendi ; PAZOPANIB BIOPHARM, Biopharm) à deux dosages (200 et 400 mg). Le dosage 400 mg correspond à la dose standard adulte (800 mg/j = 2 comprimés 400 mg × 2/j) ; le dosage 200 mg correspond à la dose réduite (adaptation posologique).</w:t>
      </w:r>
    </w:p>
    <w:p>
      <w:r/>
      <w:r>
        <w:rPr>
          <w:b/>
        </w:rPr>
        <w:t>Sous-classe et Mécanisme d'action :</w:t>
      </w:r>
      <w:r/>
    </w:p>
    <w:p>
      <w:pPr>
        <w:pStyle w:val="ListBullet"/>
      </w:pPr>
      <w:r>
        <w:t>Sous-classe : ITK multi-cibles VEGFR-prédominant, classe des indazol-pyrimidines. Inhibiteur de VEGFR, PDGFR, KIT, FGFR.</w:t>
      </w:r>
    </w:p>
    <w:p>
      <w:pPr>
        <w:pStyle w:val="ListBullet"/>
      </w:pPr>
      <w:r>
        <w:t>Mécanisme d'action : inhibition compétitive, réversible et ATP-mimétique de l'activité tyrosine kinase de plusieurs récepteurs impliqués dans l'angiogenèse tumorale (VEGFR-1, -2, -3 — principalement VEGFR-2 ; PDGFR-α, -β) et la prolifération tumorale (KIT, FGFR-1, -3). Le blocage de VEGFR-2 inhibe la néoangiogenèse tumorale (privation de l'apport vasculaire) ; le blocage de PDGFR inhibe le recrutement du péricyte et du stroma. Le pazopanib présente une affinité supérieure pour VEGFR-2 par rapport aux autres ITK multi-cibles, ce qui explique sa désignation d'ITK « anti-angiogénique préférentiel » et son meilleur profil de tolérance cutanée et hématologique.</w:t>
      </w:r>
    </w:p>
    <w:p>
      <w:r/>
      <w:r>
        <w:rPr>
          <w:b/>
        </w:rPr>
        <w:t>Profil Pharmacologique :</w:t>
      </w:r>
      <w:r/>
    </w:p>
    <w:p>
      <w:pPr>
        <w:pStyle w:val="ListBullet"/>
      </w:pPr>
      <w:r>
        <w:t>Indications : (1) Carcinome rénal à cellules claires métastatique en 1re ligne (alternative : sunitinib, cabozantinib, nivolumab + ipilimumab) ou après cytokines (interféron alpha, IL-2) ; (2) Sarcomes des tissus mous avancés après chimiothérapie (particulièrement les liposarcomes myxoïdes, les léiomyosarcomes, les synovialosarcomes — non indiqué dans les liposarcomes non myxoïdes et les rhabdomyosarcomes embryonnaires).</w:t>
      </w:r>
    </w:p>
    <w:p>
      <w:pPr>
        <w:pStyle w:val="ListBullet"/>
      </w:pPr>
      <w:r>
        <w:t>Contre-indications : Hypersensibilité au pazopanib ; insuffisance hépatique sévère (Child-Pugh C) ; allongement du QTc acquis ou congénital ; grossesse (CI absolue), allaitement (CI absolue). Précautions : HTA non contrôlée, insuffisance hépatique modérée (Child-Pugh B : dose réduite), hémorragie, anticoagulants, protéinurie, antécédents de thrombose, hypothyroïdie, diabète, dysfonction VG.</w:t>
      </w:r>
    </w:p>
    <w:p>
      <w:pPr>
        <w:pStyle w:val="ListBullet"/>
      </w:pPr>
      <w:r>
        <w:t>Effets Indésirables : Très fréquents : hypertension artérielle (40 %, parfois sévère d'emblée), diarrhée (50 %), nausées, vomissements, fatigue (40 %), anorexie, perte de poids, décoloration des cheveux (jaunâtre, 35–40 %), rash, élévation des transaminases (ALAT, ASAT &gt; 3× LSN dans 15–30 % des cas, parfois sévère avec cytolyse &gt; 10× LSN), hyperbilirubinémie, hypoglycémie. Fréquents : cytopénies (neutropénie, thrombopénie, anémie), allongement du QTc, protéinurie, saignements (épistaxis, hémorragie digestive, en cas d'anticoagulation), dysgueusie, stomatite, céphalées, hypothyroïdie, dyspnée, hypertension sévère (PA &gt; 160/100, 4–5 %). Peu fréquents : ischémie myocardique, infarctus du myocarde (1–2 %), AVC ischémique, thrombose veineuse, embolie pulmonaire, perforation digestive, pancréatite, éruption cutanée sévère (SJS, Lyell), PRES, hépatotoxicité sévère (cytolyse &gt; 20× LSN, parfois fatale), syndrome de lyse tumorale, allongement de l'intervalle PR. Rares : hémorragie cérébrale, microangiopathie thrombotique, nécrose tubulaire.</w:t>
      </w:r>
    </w:p>
    <w:p>
      <w:r/>
      <w:r>
        <w:rPr>
          <w:b/>
        </w:rPr>
        <w:t>Prévention et Gestion des Effets Indésirables :</w:t>
      </w:r>
      <w:r/>
    </w:p>
    <w:p>
      <w:pPr>
        <w:pStyle w:val="ListBullet"/>
      </w:pPr>
      <w:r>
        <w:t>Mesures Préventives : Identiques aux autres ITK multi-cibles mais avec une surveillance hépatique renforcée (hépatotoxicité signature) : bilan hépatique (ALAT, ASAT, bilirubine, PAL, γ-GT) initial, puis mensuel 3 mois (surveillance rapprochée dans les 12 premières semaines), puis trimestriel ; NFS-plaquettes initiale puis mensuelle 3 mois puis trimestrielle ; mesure de la pression artérielle avant initiation, à 1 semaine, puis mensuelle ; évaluation du risque cardiovasculaire ; TSH initiale puis trimestrielle ; ionogramme, kaliémie, magnésémie trimestriels ; ECG initial avec QTc ; protéinurie (bandelette) mensuelle puis trimestrielle ; examen dermatologique mensuel.</w:t>
      </w:r>
    </w:p>
    <w:p>
      <w:pPr>
        <w:pStyle w:val="ListBullet"/>
      </w:pPr>
      <w:r>
        <w:t>Conduite à Tenir : Élévation des transaminases &gt; 3× LSN : interruption transitoire, recherche d'autres causes (viral, médicamenteux), reprise à dose réduite (800 → 400 mg/j) après normalisation. Élévation &gt; 8× LSN : arrêt définitif. HTA sévère (PA &gt; 160/100) : interruption transitoire, antihypertenseur (IEC ou ARA2), reprise à dose réduite. Diarrhée grade 3 : interruption transitoire, lopéramide, réhydratation, reprise à dose réduite. Allongement du QTc &gt; 480 ms : interruption, correction des troubles ioniques, reprise à dose réduite.</w:t>
      </w:r>
    </w:p>
    <w:p>
      <w:r/>
      <w:r>
        <w:rPr>
          <w:b/>
        </w:rPr>
        <w:t>Interactions Médicamenteuses :</w:t>
      </w:r>
      <w:r/>
    </w:p>
    <w:p>
      <w:pPr>
        <w:pStyle w:val="ListBullet"/>
      </w:pPr>
      <w:r>
        <w:t>CYP3A4 (métabolisme principal) : inducteurs enzymatiques (rifampicine → ASC pazopanib réduite de 50 %, à éviter ; phénytoïne, carbamazépine, phénobarbital, millepertuis) → baisse majeure. Inhibiteurs (kétoconazole → ASC × 2 ; itraconazole, voriconazole, posaconazole, clarithromycine, ritonavir) → augmentation, réduire la dose de pazopanib à 400 mg/j.</w:t>
      </w:r>
    </w:p>
    <w:p>
      <w:pPr>
        <w:pStyle w:val="ListBullet"/>
      </w:pPr>
      <w:r>
        <w:t>Substrats à index thérapeutique étroit : le pazopanib est inhibiteur du CYP3A4, du CYP2D6 (faible), de la P-gp et de la BCRP ; surveillance avec les antivitamines K (HBPM préférentielle), les statines (simvastatine, atorvastatine), la warfarine (risque hémorragique accru), la digoxine, le dabigatran.</w:t>
      </w:r>
    </w:p>
    <w:p>
      <w:pPr>
        <w:pStyle w:val="ListBullet"/>
      </w:pPr>
      <w:r>
        <w:t>Anti-acides (IPP, anti-H2, hydroxyde d'aluminium/magnésium) : le pazopanib nécessite un milieu acide pour être absorbé ; les anti-acides réduisent son ASC de 40–50 %. Espacer de plusieurs heures si possible, ou privilégier les anti-H2 à dose faible.</w:t>
      </w:r>
    </w:p>
    <w:p>
      <w:pPr>
        <w:pStyle w:val="ListBullet"/>
      </w:pPr>
      <w:r>
        <w:t>Alimentation : la prise doit se faire à jeun (un repas réduit l'ASC de 50 %) — à prendre à jeun (1 heure avant ou 2 heures après un repas). Le pamplemousse est CONTRE-INDIQUÉ.</w:t>
      </w:r>
    </w:p>
    <w:p>
      <w:r/>
      <w:r>
        <w:rPr>
          <w:b/>
        </w:rPr>
        <w:t>Grossesse et Allaitement :</w:t>
      </w:r>
      <w:r/>
    </w:p>
    <w:p>
      <w:pPr>
        <w:pStyle w:val="ListBullet"/>
      </w:pPr>
      <w:r>
        <w:t>Grossesse : CONTRE-INDICATION ABSOLUE. Tératogénicité chez l'animal (anomalies cardiovasculaires, squelettiques, rénales). Contraception efficace obligatoire pendant le traitement et 2 semaines après l'arrêt.</w:t>
      </w:r>
    </w:p>
    <w:p>
      <w:pPr>
        <w:pStyle w:val="ListBullet"/>
      </w:pPr>
      <w:r>
        <w:t>Allaitement : CONTRE-INDICATION ABSOLUE.</w:t>
      </w:r>
    </w:p>
    <w:p>
      <w:r/>
      <w:r>
        <w:rPr>
          <w:b/>
        </w:rPr>
        <w:t>Posologie et Mode d'administration (Standard) :</w:t>
      </w:r>
      <w:r/>
    </w:p>
    <w:p>
      <w:pPr>
        <w:pStyle w:val="ListBullet"/>
      </w:pPr>
      <w:r>
        <w:t>Adulte : 800 mg/j en une prise (4 comprimés de 200 mg ou 2 comprimés de 400 mg), à jeun (1 heure avant ou 2 heures après un repas), à heure fixe (matin). En cas d'effets indésirables sévères (hépatotoxicité, HTA sévère, diarrhée grade 3), réduction à 400 mg/j, puis 200 mg/j.</w:t>
      </w:r>
    </w:p>
    <w:p>
      <w:pPr>
        <w:pStyle w:val="ListBullet"/>
      </w:pPr>
      <w:r>
        <w:t>Insuffisance hépatique modérée (Child-Pugh A, B) : 200 mg/j (réduction de 75 %) ; sévère (Child-Pugh C) : contre-indication.</w:t>
      </w:r>
    </w:p>
    <w:p>
      <w:pPr>
        <w:pStyle w:val="ListBullet"/>
      </w:pPr>
      <w:r>
        <w:t>Insuffisance rénale : pas d'adaptation pour ClCr &gt; 30 mL/min ; pour ClCr &lt; 30 mL/min, surveillance rapprochée.</w:t>
      </w:r>
    </w:p>
    <w:p>
      <w:pPr>
        <w:pStyle w:val="ListBullet"/>
      </w:pPr>
      <w:r>
        <w:t>Mode d'administration : voie orale stricte, à prendre à heure fixe (matin), à jeun. Les comprimés ne doivent pas être écrasés (en cas d'incapacité à avaler, dispersion dans un verre d'eau non gazeuse, ingestion immédiate, rinçage).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Hépatique : ALAT, ASAT, bilirubine, PAL, γ-GT mensuels 3 mois (surveillance rapprochée dans les 12 premières semaines), puis trimestriels.</w:t>
      </w:r>
    </w:p>
    <w:p>
      <w:pPr>
        <w:pStyle w:val="ListBullet"/>
      </w:pPr>
      <w:r>
        <w:t>Hématologique : NFS-plaquettes mensuelle 3 mois puis trimestrielle.</w:t>
      </w:r>
    </w:p>
    <w:p>
      <w:pPr>
        <w:pStyle w:val="ListBullet"/>
      </w:pPr>
      <w:r>
        <w:t>Cardiovasculaire : pression artérielle à 1 semaine puis mensuelle ; ECG initial avec QTc puis trimestriel.</w:t>
      </w:r>
    </w:p>
    <w:p>
      <w:pPr>
        <w:pStyle w:val="ListBullet"/>
      </w:pPr>
      <w:r>
        <w:t>Métabolique et endocrinien : TSH initiale puis trimestrielle ; ionogramme, kaliémie, magnésémie trimestriels.</w:t>
      </w:r>
    </w:p>
    <w:p>
      <w:pPr>
        <w:pStyle w:val="ListBullet"/>
      </w:pPr>
      <w:r>
        <w:t>Rénale : protéinurie (bandelette) mensuelle puis trimestrielle ; créatinine, urée trimestriels.</w:t>
      </w:r>
    </w:p>
    <w:p>
      <w:r/>
      <w:r>
        <w:rPr>
          <w:b/>
        </w:rPr>
        <w:t>Arbitrage et Bénéfices des Formes Galéniques :</w:t>
      </w:r>
      <w:r/>
    </w:p>
    <w:p>
      <w:r>
        <w:t>Les dosages 200 et 400 mg permettent une modulation fine de la posologie (800, 400, 200 mg/j selon la tolérance). La monoprise journalière à jeun facilite l'observance. Le conditionnement B/30 (200 mg) ou B/60 (400 mg) correspond à 15 ou 30 jours de traitement.</w:t>
      </w:r>
    </w:p>
    <w:p>
      <w:r/>
      <w:r>
        <w:rPr>
          <w:b/>
        </w:rPr>
        <w:t>Instructions et Conseils au Patient :</w:t>
      </w:r>
      <w:r/>
    </w:p>
    <w:p>
      <w:pPr>
        <w:pStyle w:val="ListBullet"/>
      </w:pPr>
      <w:r>
        <w:t>Communication : « Le pazopanib est un médicament anticancéreux oral qui bloque principalement les protéines responsables de la vascularisation de votre tumeur. Il se prend une fois par jour, à jeun (1 heure avant ou 2 heures après un repas), avec un grand verre d'eau. Les effets indésirables les plus fréquents sont l'atteinte du foie (surveillance par prises de sang régulières), l'hypertension artérielle, la diarrhée, la décoloration des cheveux (jaunâtre), la fatigue et les baisses de globules. Prévenez immédiatement votre médecin en cas de douleurs thoraciques, de faiblesse d'un côté, de saignements, de fièvre, de douleurs abdominales intenses, ou de jaunisse. »</w:t>
      </w:r>
    </w:p>
    <w:p>
      <w:pPr>
        <w:pStyle w:val="ListBullet"/>
      </w:pPr>
      <w:r>
        <w:t>Observance : prise à heure fixe, à jeun.</w:t>
      </w:r>
    </w:p>
    <w:p>
      <w:pPr>
        <w:pStyle w:val="ListBullet"/>
      </w:pPr>
      <w:r>
        <w:t>Hygiène de vie : arrêt du tabac, éviter le pamplemousse et le millepertuis, automesure tensionnelle.</w:t>
      </w:r>
    </w:p>
    <w:p>
      <w:r/>
      <w:r>
        <w:rPr>
          <w:b/>
        </w:rPr>
        <w:t>Notes, Règles d'Or &amp; Pièges au Comptoir :</w:t>
      </w:r>
      <w:r/>
    </w:p>
    <w:p>
      <w:pPr>
        <w:pStyle w:val="ListBullet"/>
      </w:pPr>
      <w:r>
        <w:t>Piège : l'hépatotoxicité est l'effet indésirable signature du pazopanib — surveillance hépatique rapprochée dans les 12 premières semaines.</w:t>
      </w:r>
    </w:p>
    <w:p>
      <w:pPr>
        <w:pStyle w:val="ListBullet"/>
      </w:pPr>
      <w:r>
        <w:t>Piège : oublier d'arrêter les IPP (réduction de l'ASC de 40–50 %).</w:t>
      </w:r>
    </w:p>
    <w:p>
      <w:pPr>
        <w:pStyle w:val="ListBullet"/>
      </w:pPr>
      <w:r>
        <w:t>Règle : le pazopanib est une alternative au sunitinib dans le carcinome rénal métastatique en 1re ligne, avec une meilleure tolérance cutanée et hématologique mais une hépatotoxicité plus marquée.</w:t>
      </w:r>
    </w:p>
    <w:p>
      <w:pPr>
        <w:pStyle w:val="ListBullet"/>
      </w:pPr>
      <w:r>
        <w:t>Piège : oublier la surveillance de la pression artérielle à 1 semaine (HTA souvent sévère d'emblée).</w:t>
      </w:r>
    </w:p>
    <w:p>
      <w:pPr>
        <w:pStyle w:val="ListBullet"/>
      </w:pPr>
      <w:r>
        <w:t>Règle : contraception stricte pendant le traitement et 2 semaines après l'arrêt.</w:t>
      </w:r>
    </w:p>
    <w:p>
      <w:pPr>
        <w:pStyle w:val="Heading3"/>
      </w:pPr>
      <w:r>
        <w:t>104.8.2 DCI : Axitinib</w:t>
      </w:r>
    </w:p>
    <w:p>
      <w:r/>
      <w:r>
        <w:rPr>
          <w:b/>
        </w:rPr>
        <w:t>Liste des Catégories :</w:t>
      </w:r>
      <w:r>
        <w:t xml:space="preserve"> Antinéoplasiques ; Inhibiteur de tyrosine kinase multi-cibles (VEGFR-prédominant) ; Inhibiteur de VEGFR-1/-2/-3, PDGFR-β, KIT ; Liste I.</w:t>
      </w:r>
    </w:p>
    <w:p>
      <w:r>
        <w:t>L'axitinib est un ITK multi-cibles, dérivé de l'indazole, indiqué dans le carcinome rénal à cellules claires métastatique après échec d'une thérapie systémique antérieure (anti-angiogénique ou immunothérapie), particulièrement en 2e ligne après sunitinib ou pazopanib. Il inhibe VEGFR-1, -2, -3 (principalement VEGFR-2, avec une puissance supérieure au sorafenib et au sunitinib), PDGFR-β et KIT. Son profil d'effets indésirables est marqué par l'hypertension artérielle (souvent sévère d'emblée), la diarrhée, la fatigue, le syndrome main-pied, la dysphonie, les cytopénies et l'allongement du QTc.</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AXIPHAL</w:t>
            </w:r>
          </w:p>
        </w:tc>
        <w:tc>
          <w:tcPr>
            <w:tcW w:type="dxa" w:w="1559"/>
          </w:tcPr>
          <w:p>
            <w:r>
              <w:rPr>
                <w:sz w:val="20"/>
              </w:rPr>
              <w:t>SOCIETE PHARMACEUTIQUE ALGERIENNE SOPHAL</w:t>
            </w:r>
          </w:p>
        </w:tc>
        <w:tc>
          <w:tcPr>
            <w:tcW w:type="dxa" w:w="1559"/>
          </w:tcPr>
          <w:p>
            <w:r>
              <w:rPr>
                <w:sz w:val="20"/>
              </w:rPr>
              <w:t>Comprimé pelliculé 1 mg</w:t>
            </w:r>
          </w:p>
        </w:tc>
        <w:tc>
          <w:tcPr>
            <w:tcW w:type="dxa" w:w="1559"/>
          </w:tcPr>
          <w:p>
            <w:r>
              <w:rPr>
                <w:sz w:val="20"/>
              </w:rPr>
              <w:t>B/14</w:t>
            </w:r>
          </w:p>
        </w:tc>
        <w:tc>
          <w:tcPr>
            <w:tcW w:type="dxa" w:w="1559"/>
          </w:tcPr>
          <w:p>
            <w:r>
              <w:rPr>
                <w:sz w:val="20"/>
              </w:rPr>
              <w:t>Liste I</w:t>
            </w:r>
          </w:p>
        </w:tc>
        <w:tc>
          <w:tcPr>
            <w:tcW w:type="dxa" w:w="1559"/>
          </w:tcPr>
          <w:p>
            <w:r>
              <w:rPr>
                <w:sz w:val="20"/>
              </w:rPr>
              <w:t>Actif</w:t>
            </w:r>
          </w:p>
        </w:tc>
      </w:tr>
      <w:tr>
        <w:tc>
          <w:tcPr>
            <w:tcW w:type="dxa" w:w="1559"/>
          </w:tcPr>
          <w:p>
            <w:r>
              <w:rPr>
                <w:sz w:val="20"/>
              </w:rPr>
              <w:t>INLYTA</w:t>
            </w:r>
          </w:p>
        </w:tc>
        <w:tc>
          <w:tcPr>
            <w:tcW w:type="dxa" w:w="1559"/>
          </w:tcPr>
          <w:p>
            <w:r>
              <w:rPr>
                <w:sz w:val="20"/>
              </w:rPr>
              <w:t>PFIZER AG</w:t>
            </w:r>
          </w:p>
        </w:tc>
        <w:tc>
          <w:tcPr>
            <w:tcW w:type="dxa" w:w="1559"/>
          </w:tcPr>
          <w:p>
            <w:r>
              <w:rPr>
                <w:sz w:val="20"/>
              </w:rPr>
              <w:t>Comprimé pelliculé 1 mg</w:t>
            </w:r>
          </w:p>
        </w:tc>
        <w:tc>
          <w:tcPr>
            <w:tcW w:type="dxa" w:w="1559"/>
          </w:tcPr>
          <w:p>
            <w:r>
              <w:rPr>
                <w:sz w:val="20"/>
              </w:rPr>
              <w:t>B/56</w:t>
            </w:r>
          </w:p>
        </w:tc>
        <w:tc>
          <w:tcPr>
            <w:tcW w:type="dxa" w:w="1559"/>
          </w:tcPr>
          <w:p>
            <w:r>
              <w:rPr>
                <w:sz w:val="20"/>
              </w:rPr>
              <w:t>Liste I</w:t>
            </w:r>
          </w:p>
        </w:tc>
        <w:tc>
          <w:tcPr>
            <w:tcW w:type="dxa" w:w="1559"/>
          </w:tcPr>
          <w:p>
            <w:r>
              <w:rPr>
                <w:sz w:val="20"/>
              </w:rPr>
              <w:t>Actif</w:t>
            </w:r>
          </w:p>
        </w:tc>
      </w:tr>
      <w:tr>
        <w:tc>
          <w:tcPr>
            <w:tcW w:type="dxa" w:w="1559"/>
          </w:tcPr>
          <w:p>
            <w:r>
              <w:rPr>
                <w:sz w:val="20"/>
              </w:rPr>
              <w:t>ORIONLYTA</w:t>
            </w:r>
          </w:p>
        </w:tc>
        <w:tc>
          <w:tcPr>
            <w:tcW w:type="dxa" w:w="1559"/>
          </w:tcPr>
          <w:p>
            <w:r>
              <w:rPr>
                <w:sz w:val="20"/>
              </w:rPr>
              <w:t>ORION LAB</w:t>
            </w:r>
          </w:p>
        </w:tc>
        <w:tc>
          <w:tcPr>
            <w:tcW w:type="dxa" w:w="1559"/>
          </w:tcPr>
          <w:p>
            <w:r>
              <w:rPr>
                <w:sz w:val="20"/>
              </w:rPr>
              <w:t>Comprimé pelliculé 1 mg</w:t>
            </w:r>
          </w:p>
        </w:tc>
        <w:tc>
          <w:tcPr>
            <w:tcW w:type="dxa" w:w="1559"/>
          </w:tcPr>
          <w:p>
            <w:r>
              <w:rPr>
                <w:sz w:val="20"/>
              </w:rPr>
              <w:t>B/56</w:t>
            </w:r>
          </w:p>
        </w:tc>
        <w:tc>
          <w:tcPr>
            <w:tcW w:type="dxa" w:w="1559"/>
          </w:tcPr>
          <w:p>
            <w:r>
              <w:rPr>
                <w:sz w:val="20"/>
              </w:rPr>
              <w:t>Liste I</w:t>
            </w:r>
          </w:p>
        </w:tc>
        <w:tc>
          <w:tcPr>
            <w:tcW w:type="dxa" w:w="1559"/>
          </w:tcPr>
          <w:p>
            <w:r>
              <w:rPr>
                <w:sz w:val="20"/>
              </w:rPr>
              <w:t>Actif</w:t>
            </w:r>
          </w:p>
        </w:tc>
      </w:tr>
      <w:tr>
        <w:tc>
          <w:tcPr>
            <w:tcW w:type="dxa" w:w="1559"/>
          </w:tcPr>
          <w:p>
            <w:r>
              <w:rPr>
                <w:sz w:val="20"/>
              </w:rPr>
              <w:t>AXIPHAL</w:t>
            </w:r>
          </w:p>
        </w:tc>
        <w:tc>
          <w:tcPr>
            <w:tcW w:type="dxa" w:w="1559"/>
          </w:tcPr>
          <w:p>
            <w:r>
              <w:rPr>
                <w:sz w:val="20"/>
              </w:rPr>
              <w:t>SOCIETE PHARMACEUTIQUE ALGERIENNE SOPHAL</w:t>
            </w:r>
          </w:p>
        </w:tc>
        <w:tc>
          <w:tcPr>
            <w:tcW w:type="dxa" w:w="1559"/>
          </w:tcPr>
          <w:p>
            <w:r>
              <w:rPr>
                <w:sz w:val="20"/>
              </w:rPr>
              <w:t>Comprimé pelliculé 5 mg</w:t>
            </w:r>
          </w:p>
        </w:tc>
        <w:tc>
          <w:tcPr>
            <w:tcW w:type="dxa" w:w="1559"/>
          </w:tcPr>
          <w:p>
            <w:r>
              <w:rPr>
                <w:sz w:val="20"/>
              </w:rPr>
              <w:t>B/14</w:t>
            </w:r>
          </w:p>
        </w:tc>
        <w:tc>
          <w:tcPr>
            <w:tcW w:type="dxa" w:w="1559"/>
          </w:tcPr>
          <w:p>
            <w:r>
              <w:rPr>
                <w:sz w:val="20"/>
              </w:rPr>
              <w:t>Liste I</w:t>
            </w:r>
          </w:p>
        </w:tc>
        <w:tc>
          <w:tcPr>
            <w:tcW w:type="dxa" w:w="1559"/>
          </w:tcPr>
          <w:p>
            <w:r>
              <w:rPr>
                <w:sz w:val="20"/>
              </w:rPr>
              <w:t>Actif</w:t>
            </w:r>
          </w:p>
        </w:tc>
      </w:tr>
      <w:tr>
        <w:tc>
          <w:tcPr>
            <w:tcW w:type="dxa" w:w="1559"/>
          </w:tcPr>
          <w:p>
            <w:r>
              <w:rPr>
                <w:sz w:val="20"/>
              </w:rPr>
              <w:t>INLYTA</w:t>
            </w:r>
          </w:p>
        </w:tc>
        <w:tc>
          <w:tcPr>
            <w:tcW w:type="dxa" w:w="1559"/>
          </w:tcPr>
          <w:p>
            <w:r>
              <w:rPr>
                <w:sz w:val="20"/>
              </w:rPr>
              <w:t>PFIZER AG</w:t>
            </w:r>
          </w:p>
        </w:tc>
        <w:tc>
          <w:tcPr>
            <w:tcW w:type="dxa" w:w="1559"/>
          </w:tcPr>
          <w:p>
            <w:r>
              <w:rPr>
                <w:sz w:val="20"/>
              </w:rPr>
              <w:t>Comprimé pelliculé 5 mg</w:t>
            </w:r>
          </w:p>
        </w:tc>
        <w:tc>
          <w:tcPr>
            <w:tcW w:type="dxa" w:w="1559"/>
          </w:tcPr>
          <w:p>
            <w:r>
              <w:rPr>
                <w:sz w:val="20"/>
              </w:rPr>
              <w:t>B/56</w:t>
            </w:r>
          </w:p>
        </w:tc>
        <w:tc>
          <w:tcPr>
            <w:tcW w:type="dxa" w:w="1559"/>
          </w:tcPr>
          <w:p>
            <w:r>
              <w:rPr>
                <w:sz w:val="20"/>
              </w:rPr>
              <w:t>Liste I</w:t>
            </w:r>
          </w:p>
        </w:tc>
        <w:tc>
          <w:tcPr>
            <w:tcW w:type="dxa" w:w="1559"/>
          </w:tcPr>
          <w:p>
            <w:r>
              <w:rPr>
                <w:sz w:val="20"/>
              </w:rPr>
              <w:t>Actif</w:t>
            </w:r>
          </w:p>
        </w:tc>
      </w:tr>
      <w:tr>
        <w:tc>
          <w:tcPr>
            <w:tcW w:type="dxa" w:w="1559"/>
          </w:tcPr>
          <w:p>
            <w:r>
              <w:rPr>
                <w:sz w:val="20"/>
              </w:rPr>
              <w:t>ORIONLYTA</w:t>
            </w:r>
          </w:p>
        </w:tc>
        <w:tc>
          <w:tcPr>
            <w:tcW w:type="dxa" w:w="1559"/>
          </w:tcPr>
          <w:p>
            <w:r>
              <w:rPr>
                <w:sz w:val="20"/>
              </w:rPr>
              <w:t>ORION LAB</w:t>
            </w:r>
          </w:p>
        </w:tc>
        <w:tc>
          <w:tcPr>
            <w:tcW w:type="dxa" w:w="1559"/>
          </w:tcPr>
          <w:p>
            <w:r>
              <w:rPr>
                <w:sz w:val="20"/>
              </w:rPr>
              <w:t>Comprimé pelliculé 5 mg</w:t>
            </w:r>
          </w:p>
        </w:tc>
        <w:tc>
          <w:tcPr>
            <w:tcW w:type="dxa" w:w="1559"/>
          </w:tcPr>
          <w:p>
            <w:r>
              <w:rPr>
                <w:sz w:val="20"/>
              </w:rPr>
              <w:t>B/56</w:t>
            </w:r>
          </w:p>
        </w:tc>
        <w:tc>
          <w:tcPr>
            <w:tcW w:type="dxa" w:w="1559"/>
          </w:tcPr>
          <w:p>
            <w:r>
              <w:rPr>
                <w:sz w:val="20"/>
              </w:rPr>
              <w:t>Liste I</w:t>
            </w:r>
          </w:p>
        </w:tc>
        <w:tc>
          <w:tcPr>
            <w:tcW w:type="dxa" w:w="1559"/>
          </w:tcPr>
          <w:p>
            <w:r>
              <w:rPr>
                <w:sz w:val="20"/>
              </w:rPr>
              <w:t>Actif</w:t>
            </w:r>
          </w:p>
        </w:tc>
      </w:tr>
    </w:tbl>
    <w:p/>
    <w:p>
      <w:r>
        <w:t>L'axitinib est disponible en Algérie sous sa spécialité princeps INLYTA (Pfizer) et sous deux génériques (AXIPHAL, SOPHAL ; ORIONLYTA, Orion Lab) à deux dosages (1 et 5 mg). Le dosage 5 mg correspond à la dose standard initiale adulte (5 mg × 2/j) ; le dosage 1 mg correspond à la dose réduite (adaptation posologique en cas d'effets indésirables ou d'insuffisance hépatique).</w:t>
      </w:r>
    </w:p>
    <w:p>
      <w:r/>
      <w:r>
        <w:rPr>
          <w:b/>
        </w:rPr>
        <w:t>Sous-classe et Mécanisme d'action :</w:t>
      </w:r>
      <w:r/>
    </w:p>
    <w:p>
      <w:pPr>
        <w:pStyle w:val="ListBullet"/>
      </w:pPr>
      <w:r>
        <w:t>Sous-classe : ITK multi-cibles VEGFR-prédominant, classe des indazoles. Inhibiteur de VEGFR, PDGFR, KIT.</w:t>
      </w:r>
    </w:p>
    <w:p>
      <w:pPr>
        <w:pStyle w:val="ListBullet"/>
      </w:pPr>
      <w:r>
        <w:t>Mécanisme d'action : inhibition compétitive, réversible et ATP-mimétique de l'activité tyrosine kinase de VEGFR-1, -2, -3 (principalement VEGFR-2, avec une puissance 50–400× supérieure au sorafenib, sunitinib et pazopanib), et à un moindre degré de PDGFR-β et KIT. Le blocage de VEGFR-2 inhibe la néoangiogenèse tumorale (privation de l'apport vasculaire en oxygène et nutriments). L'axitinib présente une sélectivité supérieure pour VEGFR-2 par rapport aux autres ITK multi-cibles, ce qui explique sa désignation d'ITK « anti-angiogénique préférentiel » et son profil de tolérance (moins de syndrome main-pied, moins de cytopénies, mais plus d'hypertension artérielle).</w:t>
      </w:r>
    </w:p>
    <w:p>
      <w:r/>
      <w:r>
        <w:rPr>
          <w:b/>
        </w:rPr>
        <w:t>Profil Pharmacologique :</w:t>
      </w:r>
      <w:r/>
    </w:p>
    <w:p>
      <w:pPr>
        <w:pStyle w:val="ListBullet"/>
      </w:pPr>
      <w:r>
        <w:t>Indications : (1) Carcinome rénal à cellules claires métastatique après échec d'une thérapie systémique antérieure (anti-angiogénique : sunitinib, pazopanib, bevacizumab ; ou cytokines) en 2e ligne (alternative : nivolumab, cabozantinib, lenvatinib + everolimus, pembrolizumab + lenvatinib) ; (2) Carcinome rénal métastatique en association à l'avelumab ou au pembrolizumab (1re ligne, alternative à l'ipilimumab + nivolumab).</w:t>
      </w:r>
    </w:p>
    <w:p>
      <w:pPr>
        <w:pStyle w:val="ListBullet"/>
      </w:pPr>
      <w:r>
        <w:t>Contre-indications : Hypersensibilité à l'axitinib ; grossesse (CI absolue), allaitement (CI absolue). Précautions : HTA non contrôlée, insuffisance hépatique (dose réduite), insuffisance rénale sévère, antécédents de thrombose, hémorragie récente, anticoagulants, allongement du QTc, hypothyroïdie, fistule gastro-intestinale, protéinurie.</w:t>
      </w:r>
    </w:p>
    <w:p>
      <w:pPr>
        <w:pStyle w:val="ListBullet"/>
      </w:pPr>
      <w:r>
        <w:t>Effets Indésirables : Très fréquents : hypertension artérielle (40–50 %, souvent sévère d'emblée, parfois dès les premiers jours), diarrhée (50 %), fatigue (40 %), nausées, vomissements, dysphonie (modification de la voix, 30 %), dysgueusie, anorexie, perte de poids, syndrome main-pied (PPE, 25–30 %, moins marqué que le sorafenib), rash, sécheresse cutanée, hypophosphatémie, hypocalcémie, hyperglycémie. Fréquents : cytopénies (neutropénie, thrombopénie, anémie), élévation des transaminases, hyperbilirubinémie, protéinurie, allongement du QTc, saignements (épistaxis, hémorragie digestive, en cas d'anticoagulation), hypothyroïdie (5–10 %), hypertension sévère, céphalées. Peu fréquents : ischémie myocardique, infarctus du myocarde (2 %), AVC ischémique, thrombose veineuse, embolie pulmonaire, perforation digestive, pancréatite, éruption cutanée sévère (SJS, Lyell), PRES, syndrome de lyse tumorale, ostéonécrose de la mâchoire, hépatotoxicité sévère. Rares : microangiopathie thrombotique, hémorragie cérébrale.</w:t>
      </w:r>
    </w:p>
    <w:p>
      <w:r/>
      <w:r>
        <w:rPr>
          <w:b/>
        </w:rPr>
        <w:t>Prévention et Gestion des Effets Indésirables :</w:t>
      </w:r>
      <w:r/>
    </w:p>
    <w:p>
      <w:pPr>
        <w:pStyle w:val="ListBullet"/>
      </w:pPr>
      <w:r>
        <w:t>Mesures Préventives : Identiques aux autres ITK multi-cibles : mesure de la pression artérielle avant initiation, à 1 semaine, puis mensuelle (objectif &lt; 130/80) ; évaluation du risque cardiovasculaire ; NFS-plaquettes initiale puis mensuelle 3 mois puis trimestrielle ; bilan hépatique (ALAT, ASAT, bilirubine, PAL, γ-GT) mensuel 3 mois puis trimestriel ; TSH initiale puis trimestrielle ; ionogramme, kaliémie, magnésémie, phosphorémie trimestriels ; ECG initial avec QTc ; protéinurie (bandelette) mensuelle puis trimestrielle ; examen dermatologique mensuel.</w:t>
      </w:r>
    </w:p>
    <w:p>
      <w:pPr>
        <w:pStyle w:val="ListBullet"/>
      </w:pPr>
      <w:r>
        <w:t>Conduite à Tenir : HTA sévère (PA &gt; 160/100) : interruption transitoire, antihypertenseur (IEC ou ARA2), reprise à dose réduite (5 → 3 → 2 mg × 2/j). Diarrhée grade 3 : interruption transitoire, lopéramide, réhydratation, reprise à dose réduite. Syndrome main-pied grade 3 : interruption transitoire, soins locaux, reprise à dose réduite. Allongement du QTc &gt; 480 ms : interruption, correction des troubles ioniques, reprise à dose réduite.</w:t>
      </w:r>
    </w:p>
    <w:p>
      <w:r/>
      <w:r>
        <w:rPr>
          <w:b/>
        </w:rPr>
        <w:t>Interactions Médicamenteuses :</w:t>
      </w:r>
      <w:r/>
    </w:p>
    <w:p>
      <w:pPr>
        <w:pStyle w:val="ListBullet"/>
      </w:pPr>
      <w:r>
        <w:t>CYP3A4 (métabolisme principal) ; CYP2C19 (métabolisme secondaire) : inducteurs enzymatiques (rifampicine → ASC axitinib réduite de 50 %, à éviter ; phénytoïne, carbamazépine, phénobarbital, millepertuis) → baisse majeure. Inhibiteurs (kétoconazole → ASC × 1,5 ; itraconazole, voriconazole, posaconazole, clarithromycine, ritonavir) → augmentation, réduire la dose de axitinib à 2 mg × 2/j.</w:t>
      </w:r>
    </w:p>
    <w:p>
      <w:pPr>
        <w:pStyle w:val="ListBullet"/>
      </w:pPr>
      <w:r>
        <w:t>Substrats à index thérapeutique étroit : l'axitinib est inhibiteur du CYP3A4 et de la P-gp ; surveillance avec les antivitamines K (HBPM préférentielle), les statines, la warfarine (risque hémorragique accru), la digoxine, le dabigatran.</w:t>
      </w:r>
    </w:p>
    <w:p>
      <w:pPr>
        <w:pStyle w:val="ListBullet"/>
      </w:pPr>
      <w:r>
        <w:t>Alimentation : la prise peut être à jeun ou au cours d'un repas (l'effet alimentaire est négligeable). Le pamplemousse est CONTRE-INDIQUÉ.</w:t>
      </w:r>
    </w:p>
    <w:p>
      <w:r/>
      <w:r>
        <w:rPr>
          <w:b/>
        </w:rPr>
        <w:t>Grossesse et Allaitement :</w:t>
      </w:r>
      <w:r/>
    </w:p>
    <w:p>
      <w:pPr>
        <w:pStyle w:val="ListBullet"/>
      </w:pPr>
      <w:r>
        <w:t>Grossesse : CONTRE-INDICATION ABSOLUE. Tératogénicité chez l'animal (anomalies cardiovasculaires, squelettiques, rénales). Contraception efficace obligatoire pendant le traitement et 1 semaine après l'arrêt. Le partenaire masculin doit utiliser une contraception pendant le traitement et 1 semaine après l'arrêt.</w:t>
      </w:r>
    </w:p>
    <w:p>
      <w:pPr>
        <w:pStyle w:val="ListBullet"/>
      </w:pPr>
      <w:r>
        <w:t>Allaitement : CONTRE-INDICATION ABSOLUE.</w:t>
      </w:r>
    </w:p>
    <w:p>
      <w:r/>
      <w:r>
        <w:rPr>
          <w:b/>
        </w:rPr>
        <w:t>Posologie et Mode d'administration (Standard) :</w:t>
      </w:r>
      <w:r/>
    </w:p>
    <w:p>
      <w:pPr>
        <w:pStyle w:val="ListBullet"/>
      </w:pPr>
      <w:r>
        <w:t>Adulte : 5 mg × 2/j (10 mg/j), à 12 heures d'intervalle, avec ou sans nourriture. En cas de tolérance satisfaisante après 2 semaines (PA &lt; 150/90, pas d'effets indésirables grade ≥ 2) : augmentation à 7 mg × 2/j, puis éventuellement 10 mg × 2/j. En cas d'effets indésirables sévères, réduction à 3 mg × 2/j, puis 2 mg × 2/j.</w:t>
      </w:r>
    </w:p>
    <w:p>
      <w:pPr>
        <w:pStyle w:val="ListBullet"/>
      </w:pPr>
      <w:r>
        <w:t>Insuffisance hépatique modérée (Child-Pugh A, B) : 2 mg × 2/j (réduction de 50 %) ; sévère (Child-Pugh C) : non recommandé.</w:t>
      </w:r>
    </w:p>
    <w:p>
      <w:pPr>
        <w:pStyle w:val="ListBullet"/>
      </w:pPr>
      <w:r>
        <w:t>Insuffisance rénale : pas d'adaptation nécessaire.</w:t>
      </w:r>
    </w:p>
    <w:p>
      <w:pPr>
        <w:pStyle w:val="ListBullet"/>
      </w:pPr>
      <w:r>
        <w:t>Mode d'administration : voie orale stricte, à prendre à heure fixe, à 12 heures d'intervalle, avec ou sans nourriture. Les comprimés ne doivent pas être écrasés (en cas d'incapacité à avaler, dispersion dans un verre d'eau non gazeuse, ingestion immédiate, rinçage).</w:t>
      </w:r>
    </w:p>
    <w:p>
      <w:pPr>
        <w:pStyle w:val="ListBullet"/>
      </w:pPr>
      <w:r>
        <w:t>Durée du traitement : traitement au long cours indéfini (jusqu'à progression, intolérance ou projet de grossesse).</w:t>
      </w:r>
    </w:p>
    <w:p>
      <w:r/>
      <w:r>
        <w:rPr>
          <w:b/>
        </w:rPr>
        <w:t>Surveillance Biologique et Suivi Clinique :</w:t>
      </w:r>
      <w:r/>
    </w:p>
    <w:p>
      <w:pPr>
        <w:pStyle w:val="ListBullet"/>
      </w:pPr>
      <w:r>
        <w:t>Hématologique : NFS-plaquettes mensuelle 3 mois puis trimestrielle.</w:t>
      </w:r>
    </w:p>
    <w:p>
      <w:pPr>
        <w:pStyle w:val="ListBullet"/>
      </w:pPr>
      <w:r>
        <w:t>Hépatique : ALAT, ASAT, bilirubine, PAL, γ-GT mensuels 3 mois puis trimestriels.</w:t>
      </w:r>
    </w:p>
    <w:p>
      <w:pPr>
        <w:pStyle w:val="ListBullet"/>
      </w:pPr>
      <w:r>
        <w:t>Cardiovasculaire : pression artérielle à 1 semaine puis mensuelle ; ECG initial avec QTc puis trimestriel.</w:t>
      </w:r>
    </w:p>
    <w:p>
      <w:pPr>
        <w:pStyle w:val="ListBullet"/>
      </w:pPr>
      <w:r>
        <w:t>Métabolique et endocrinien : TSH initiale puis trimestrielle ; ionogramme trimestriel.</w:t>
      </w:r>
    </w:p>
    <w:p>
      <w:pPr>
        <w:pStyle w:val="ListBullet"/>
      </w:pPr>
      <w:r>
        <w:t>Rénale : protéinurie (bandelette) mensuelle puis trimestrielle ; créatinine, urée trimestriels.</w:t>
      </w:r>
    </w:p>
    <w:p>
      <w:r/>
      <w:r>
        <w:rPr>
          <w:b/>
        </w:rPr>
        <w:t>Arbitrage et Bénéfices des Formes Galéniques :</w:t>
      </w:r>
      <w:r/>
    </w:p>
    <w:p>
      <w:r>
        <w:t>Les dosages 1 et 5 mg permettent une modulation fine de la posologie (10, 7, 5, 3, 2 mg × 2/j selon la tolérance). La prise biquotidienne à 12 heures d'intervalle est plus contraignante que la monoprise de l'imatinib, du dasatinib ou du pazopanib. Le conditionnement B/14 (Axiphal) ou B/56 (Inlyta, Orionlyta) offre une souplesse d'approvisionnement.</w:t>
      </w:r>
    </w:p>
    <w:p>
      <w:r/>
      <w:r>
        <w:rPr>
          <w:b/>
        </w:rPr>
        <w:t>Instructions et Conseils au Patient :</w:t>
      </w:r>
      <w:r/>
    </w:p>
    <w:p>
      <w:pPr>
        <w:pStyle w:val="ListBullet"/>
      </w:pPr>
      <w:r>
        <w:t>Communication : « L'axitinib est un médicament anticancéreux oral qui bloque principalement les protéines responsables de la vascularisation de votre tumeur. Il se prend deux fois par jour, à 12 heures d'intervalle, avec ou sans nourriture. Les effets indésirables les plus fréquents sont l'hypertension artérielle (parfois sévère d'emblée), la diarrhée, la fatigue, le syndrome main-pied, la modification de la voix (dysphonie), la décoloration des cheveux et la baisse de la thyroïde. Prévenez immédiatement votre médecin en cas de douleurs thoraciques, de faiblesse d'un côté, de saignements, de fièvre, de douleurs abdominales intenses, ou de jaunisse. »</w:t>
      </w:r>
    </w:p>
    <w:p>
      <w:pPr>
        <w:pStyle w:val="ListBullet"/>
      </w:pPr>
      <w:r>
        <w:t>Observance : prise à heure fixe, à 12 heures d'intervalle.</w:t>
      </w:r>
    </w:p>
    <w:p>
      <w:pPr>
        <w:pStyle w:val="ListBullet"/>
      </w:pPr>
      <w:r>
        <w:t>Hygiène de vie : arrêt du tabac, éviter le pamplemousse et le millepertuis, automesure tensionnelle.</w:t>
      </w:r>
    </w:p>
    <w:p>
      <w:r/>
      <w:r>
        <w:rPr>
          <w:b/>
        </w:rPr>
        <w:t>Notes, Règles d'Or &amp; Pièges au Comptoir :</w:t>
      </w:r>
      <w:r/>
    </w:p>
    <w:p>
      <w:pPr>
        <w:pStyle w:val="ListBullet"/>
      </w:pPr>
      <w:r>
        <w:t>Piège : l'axitinib expose à une HTA souvent sévère d'emblée — surveillance rapprochée de la pression artérielle à 1 semaine.</w:t>
      </w:r>
    </w:p>
    <w:p>
      <w:pPr>
        <w:pStyle w:val="ListBullet"/>
      </w:pPr>
      <w:r>
        <w:t>Règle : l'axitinib est le traitement de référence du carcinome rénal métastatique en 2e ligne après anti-angiogénique, avec une tolérance globalement meilleure que le sunitinib (moins de syndrome main-pied, moins de cytopénies).</w:t>
      </w:r>
    </w:p>
    <w:p>
      <w:pPr>
        <w:pStyle w:val="ListBullet"/>
      </w:pPr>
      <w:r>
        <w:t>Piège : oublier d'augmenter la dose après 2 semaines en cas de tolérance satisfaisante (PA &lt; 150/90, pas d'effets indésirables grade ≥ 2) — palier d'escalade à 7 mg × 2/j puis 10 mg × 2/j.</w:t>
      </w:r>
    </w:p>
    <w:p>
      <w:pPr>
        <w:pStyle w:val="ListBullet"/>
      </w:pPr>
      <w:r>
        <w:t>Piège : la dysphonie (modification de la voix) est l'effet indésirable signature de l'axitinib — bénigne, mais peut inquiéter le patient.</w:t>
      </w:r>
    </w:p>
    <w:p>
      <w:pPr>
        <w:pStyle w:val="ListBullet"/>
      </w:pPr>
      <w:r>
        <w:t>Règle : contraception stricte pendant le traitement et 1 semaine après l'arrêt.</w:t>
      </w:r>
    </w:p>
    <w:p>
      <w:pPr>
        <w:pStyle w:val="Heading2"/>
      </w:pPr>
      <w:r>
        <w:t>104.9 Sous-classe : ITK BRAF (inhibiteurs de BRAF V600E)</w:t>
      </w:r>
    </w:p>
    <w:p>
      <w:r>
        <w:t xml:space="preserve">Cette sous-classe regroupe les ITK inhibiteurs de la sérine-thréonine kinase BRAF mutée (V600E), mutation activatrice présente dans 40 à 50 % des mélanomes cutanés, 5 à 10 % des cancers colorectaux, 5 à 10 % des cancers thyroïdiens (anaplasiques, papillaires), et certaines histiocytoses (maladie d'Erdheim-Chester, histiocytose de Langerhans). Le chef de file disponible en Algérie est le </w:t>
      </w:r>
      <w:r>
        <w:rPr>
          <w:b/>
        </w:rPr>
        <w:t>vemurafenib</w:t>
      </w:r>
      <w:r>
        <w:t xml:space="preserve"> (Zelboraf®, Roche), premier ITK BRAF ayant obtenu une AMM (FDA en août 2011, EMA en février 2012), qui a transformé la prise en charge du mélanome métastatique porteur de la mutation BRAF V600E (réponse objective 50 %, survie sans progression 6–7 mois, survie globale 13–16 mois — vs 9–10 mois pour la dacarbazine). Le vemurafenib forme une liaison réversible avec la poche de liaison de l'ATP du domaine kinase de BRAF V600E (forme monomérique active, à la différence de la forme sauvage qui opère en dimère), inhibant la cascade MAPK (RAF-MEK-ERK1/2) et restaurant l'apoptose. Le développement des résistances secondaires (mutations NRAS, MEK, BRAF amplification/splicing, réactivation de MAPK par bypass) a conduit à l'association systématique vemurafenib + cobimétinib (ITK MEK), qui prolonge la survie sans progression à 9–12 mois. Le profil d'effets indésirables du vemurafenib est marqué par les effets cutanés (rash, photosensibilité sévère, kératoacanthomes, carcinomes spinocellulaires cutanés — 20–25 %, liés au paradoxal activation de MAPK dans les cellules sans mutation BRAF portant des mutations RAS préexistantes), l'arthralgie, la fatigue, l'allongement du QTc, la cytolyse hépatique et les troubles ophtalmologiques (uvéite). L'association au cobimétinib réduit l'incidence des carcinomes spinocellulaires mais augmente les autres effets cutanés (rash, photosensibilité) et la cardiotoxicité (baisse de la FEVG).</w:t>
      </w:r>
    </w:p>
    <w:p>
      <w:pPr>
        <w:pStyle w:val="Heading3"/>
      </w:pPr>
      <w:r>
        <w:t>104.9.1 DCI : Vemurafenib</w:t>
      </w:r>
    </w:p>
    <w:p>
      <w:r/>
      <w:r>
        <w:rPr>
          <w:b/>
        </w:rPr>
        <w:t>Liste des Catégories :</w:t>
      </w:r>
      <w:r>
        <w:t xml:space="preserve"> Antinéoplasiques ; Inhibiteur de tyrosine kinase ; ITK BRAF (inhibiteur de BRAF V600E) ; Liste I.</w:t>
      </w:r>
    </w:p>
    <w:p>
      <w:r>
        <w:t>Le vemurafenib est un ITK inhibiteur de la sérine-thréonine kinase BRAF mutée (V600E), dérivé de la chlorophényl-pyrimidine sulfonamide, indiqué dans le mélanome cutané métastatique ou non résécable porteur de la mutation BRAF V600E (en monothérapie ou en association au cobimétinib, ITK MEK), ainsi que dans la maladie d'Erdheim-Chester portrice de la mutation BRAF V600E (indication rare). Il inhibe BRAF V600E (forme monomérique active) mais aussi, à un moindre degré, CRAF, ARAF et BRAF sauvage (à l'origine de l'activation paradoxale de MAPK dans les cellules portant des mutations RAS préexistantes, responsable des carcinomes spinocellulaires cutanés). Son profil d'effets indésirables est dominé par les effets cutanés (rash, photosensibilité sévère, kératoacanthomes, carcinomes spinocellulaires cutanés), l'arthralgie, la fatigue, l'allongement du QTc, la cytolyse hépatique et les troubles ophtalmologiques.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ZELBORAF</w:t>
            </w:r>
          </w:p>
        </w:tc>
        <w:tc>
          <w:tcPr>
            <w:tcW w:type="dxa" w:w="1559"/>
          </w:tcPr>
          <w:p>
            <w:r>
              <w:rPr>
                <w:sz w:val="20"/>
              </w:rPr>
              <w:t>ROCHE PHARMA (SCHWEIZ) LTD</w:t>
            </w:r>
          </w:p>
        </w:tc>
        <w:tc>
          <w:tcPr>
            <w:tcW w:type="dxa" w:w="1559"/>
          </w:tcPr>
          <w:p>
            <w:r>
              <w:rPr>
                <w:sz w:val="20"/>
              </w:rPr>
              <w:t>Comprimé pelliculé 240 mg</w:t>
            </w:r>
          </w:p>
        </w:tc>
        <w:tc>
          <w:tcPr>
            <w:tcW w:type="dxa" w:w="1559"/>
          </w:tcPr>
          <w:p>
            <w:r>
              <w:rPr>
                <w:sz w:val="20"/>
              </w:rPr>
              <w:t>B/56</w:t>
            </w:r>
          </w:p>
        </w:tc>
        <w:tc>
          <w:tcPr>
            <w:tcW w:type="dxa" w:w="1559"/>
          </w:tcPr>
          <w:p>
            <w:r>
              <w:rPr>
                <w:sz w:val="20"/>
              </w:rPr>
              <w:t>Liste I</w:t>
            </w:r>
          </w:p>
        </w:tc>
        <w:tc>
          <w:tcPr>
            <w:tcW w:type="dxa" w:w="1559"/>
          </w:tcPr>
          <w:p>
            <w:r>
              <w:rPr>
                <w:sz w:val="20"/>
              </w:rPr>
              <w:t>Actif</w:t>
            </w:r>
          </w:p>
        </w:tc>
      </w:tr>
    </w:tbl>
    <w:p/>
    <w:p>
      <w:r>
        <w:t>Le vemurafenib n'est disponible en Algérie que sous sa spécialité princeps ZELBORAF (Roche) à un dosage unique (240 mg). La dose standard adulte est de 960 mg × 2/j (4 comprimés × 2/j = 8 comprimés/jour). Le conditionnement B/56 correspond à 7 jours de traitement à dose standard.</w:t>
      </w:r>
    </w:p>
    <w:p>
      <w:r/>
      <w:r>
        <w:rPr>
          <w:b/>
        </w:rPr>
        <w:t>Sous-classe et Mécanisme d'action :</w:t>
      </w:r>
      <w:r/>
    </w:p>
    <w:p>
      <w:pPr>
        <w:pStyle w:val="ListBullet"/>
      </w:pPr>
      <w:r>
        <w:t>Sous-classe : ITK BRAF, classe des chlorophényl-pyrimidine sulfonamides. Inhibiteur de BRAF V600E.</w:t>
      </w:r>
    </w:p>
    <w:p>
      <w:pPr>
        <w:pStyle w:val="ListBullet"/>
      </w:pPr>
      <w:r>
        <w:t>Mécanisme d'action : inhibition compétitive, réversible et ATP-mimétique de l'activité sérine-thréonine kinase de BRAF V600E (mutation de substitution V600E — valine en position 600 remplacée par un acide glutamique, présente dans 90 % des mélanomes BRAF-mutés), en se liant à la poche de liaison de l'ATP dans le domaine catalytique. Le vemurafenib présente une affinité supérieure pour la forme monomérique active de BRAF V600E (qui opère en monomère constitutivement actif) par rapport à la forme sauvage (qui opère en dimère, dépendant de la liaison RAS-GTP). Le blocage de BRAF V600E inhibe la cascade MAPK (RAF-MEK-ERK1/2), restaurant l'apoptose, inhibant la prolifération et la survie des cellules tumorales BRAF-mutées. Le vemurafenib inhibe également, à un moindre degré, CRAF, ARAF et BRAF sauvage (en bloquant transitoirement la forme monomérique mais pas la forme dimérique), ce qui explique l'activation paradoxale de MAPK dans les cellules sans mutation BRAF portant des mutations RAS préexistantes (NRAS, KRAS) — ces cellules, lorsqu'elles sont exposées au vemurafenib, voient leur signalisation MAPK activée (transactivation des dimères RAF), conduisant à la prolifération accélérée et à l'apparition de tumeurs cutanées (kératoacanthomes, carcinomes spinocellulaires). Ce mécanisme explique la nécessité d'une surveillance dermatologique stricte et de l'association systématique à un ITK MEK (cobimétinib, tramétinib) qui bloque la cascade MAPK en aval et réduit l'incidence des carcinomes spinocellulaires.</w:t>
      </w:r>
    </w:p>
    <w:p>
      <w:r/>
      <w:r>
        <w:rPr>
          <w:b/>
        </w:rPr>
        <w:t>Profil Pharmacologique :</w:t>
      </w:r>
      <w:r/>
    </w:p>
    <w:p>
      <w:pPr>
        <w:pStyle w:val="ListBullet"/>
      </w:pPr>
      <w:r>
        <w:t>Indications : (1) Mélanome cutané métastatique ou non résécable porteur de la mutation BRAF V600E (en monothérapie ou en association au cobimétinib, ITK MEK — association de référence) ; (2) Maladie d'Erdheim-Chester portrice de la mutation BRAF V600E (histiocytose non-Langerhansienne, indication rare) ; (3) Mélanome cutané BRAF V600E en adjuvant (indication discutée, supplantée par les immunothérapies anti-PD-1).</w:t>
      </w:r>
    </w:p>
    <w:p>
      <w:pPr>
        <w:pStyle w:val="ListBullet"/>
      </w:pPr>
      <w:r>
        <w:t>Contre-indications : Hypersensibilité au vemurafenib. Précautions : allongement du QTc acquis ou congénital, insuffisance hépatique, antécédents de cancer cutané (carcinomes spinocellulaires préexistants), grossesse (CI absolue), allaitement (CI absolue), antécédents d'uvéite ou de rétinite pigmentaire, hypokaliémie, hypomagnésémie.</w:t>
      </w:r>
    </w:p>
    <w:p>
      <w:pPr>
        <w:pStyle w:val="ListBullet"/>
      </w:pPr>
      <w:r>
        <w:t>Effets Indésirables : Très fréquents : rash maculo-papuleux (50–60 %, parfois sévère avec éruption généralisée), photosensibilité cutanée (50–60 %, parfois sévère avec brûlure solaire grave — effet indésirable signature du vemurafenib, imposant une photoprotection stricte SPF 50+), kératoacanthomes (15–20 %, tumeurs cutanées bénignes mais à potentiel de transformation), carcinomes spinocellulaires cutanés (20–25 %, survenant dans les 8 à 12 premières semaines, liés à l'activation paradoxale de MAPK dans les cellules portant des mutations RAS préexistantes — nécessité d'exérèse chirurgicale systématique), arthralgie (40–50 %, parfois invalidante), fatigue (40 %), anorexie, perte de weight, nausées, diarrhée, alopécie, sécheresse cutanée, prurit, papillomes cutanés. Fréquents : allongement du QTc (5–10 %, allongement moyen de 10–15 ms), cytolyse hépatique (ALAT, ASAT), hyperbilirubinémie, uvéite (1–5 %, avec douleur oculaire, photophobie, troubles visuels), rash sévère (éruption généralisée, syndrome de Stevens-Johnson, syndrome de Lyell), cytopénies (neutropénie, thrombopénie), syndrome de Stevens-Johnson. Peu fréquents : syndrome de Lyell, allongement majeur du QTc (&gt; 500 ms) avec torsades de pointes, pancréatite, néphrite interstitielle, vascularite. Rares : réactivation virale (HSV, VZV), syndrome de lyse tumorale, neuropathie périphérique.</w:t>
      </w:r>
    </w:p>
    <w:p>
      <w:r/>
      <w:r>
        <w:rPr>
          <w:b/>
        </w:rPr>
        <w:t>Prévention et Gestion des Effets Indésirables :</w:t>
      </w:r>
      <w:r/>
    </w:p>
    <w:p>
      <w:pPr>
        <w:pStyle w:val="ListBullet"/>
      </w:pPr>
      <w:r>
        <w:t>Mesures Préventives : Examen dermatologique complet avant initiation (recherche de lésions préexistantes : kératoses actiniques, carcinomes spinocellulaires, naevus atypiques) ; examen dermatologique mensuel pendant toute la durée du traitement (dépistage et exérèse précoce des kératoacanthomes et carcinomes spinocellulaires) ; photoprotection stricte SPF 50+ (écran solaire toutes les 2 heures, vêtements couvrants, lunettes de soleil, chapeau, éviter l'exposition solaire directe entre 11h et 16h) ; ECG initial avec QTc ; contrôle et correction de la kaliémie et de la magnésémie avant initiation ; ECG à 1 mois puis trimestriel ; bilan hépatique (ALAT, ASAT, bilirubine, PAL, γ-GT) mensuel 3 mois puis trimestriel ; NFS-plaquettes trimestrielle ; examen ophtalmologique en cas de symptôme (rougeur, douleur, photophobie).</w:t>
      </w:r>
    </w:p>
    <w:p>
      <w:pPr>
        <w:pStyle w:val="ListBullet"/>
      </w:pPr>
      <w:r>
        <w:t>Conduite à Tenir : Carcinome spinocellulaire cutané : exérèse chirurgicale systématique (ne pas interrompre le vemurafenib) ; association à un ITK MEK (cobimétinib) si non déjà associé (réduit l'incidence des CSCC). Photosensibilité sévère (brûlure solaire) : arrêt transitoire, soins locaux (corticothérapie locale, émollients), reprise à dose réduite (960 → 720 mg × 2/j) après cicatrisation. Rash grade 3 (&gt; 50 % surface corporelle, surinfection) : interruption transitoire 1–2 semaines, corticothérapie locale ou systémique, antihistaminiques, reprise à dose réduite. Rash grade 4 (SJS/Lyell) : arrêt définitif, hospitalisation. Uvéite : arrêt transitoire, corticothérapie locale (collyre), avis ophtalmologique ; arrêt définitif si récidivante ou sévère. Allongement du QTc &gt; 500 ms : interruption, correction des troubles ioniques, reprise à dose réduite. Arthralgie sévère : antalgiques (paracétamol, AINS courts), corticothérapie courte si nécessaire.</w:t>
      </w:r>
    </w:p>
    <w:p>
      <w:r/>
      <w:r>
        <w:rPr>
          <w:b/>
        </w:rPr>
        <w:t>Interactions Médicamenteuses :</w:t>
      </w:r>
      <w:r/>
    </w:p>
    <w:p>
      <w:pPr>
        <w:pStyle w:val="ListBullet"/>
      </w:pPr>
      <w:r>
        <w:t>CYP3A4 (métabolisme principal) ; CYP1A2 (métabolisme secondaire) : inducteurs enzymatiques (rifampicine → ASC vemurafenib réduite de 40 %, à éviter ; phénytoïne, carbamazépine, phénobarbital, millepertuis) → baisse majeure. Inhibiteurs (kétoconazole → ASC × 1,5 ; itraconazole, voriconazole, posaconazole, clarithromycine, ritonavir) → augmentation modérée, surveillance.</w:t>
      </w:r>
    </w:p>
    <w:p>
      <w:pPr>
        <w:pStyle w:val="ListBullet"/>
      </w:pPr>
      <w:r>
        <w:t>CYP1A2 : le vemurafenib est inhibiteur modéré du CYP1A2 ; surveiller avec la caféine, la théophylline, la tizanidine, le clozapine, l'olanzapine.</w:t>
      </w:r>
    </w:p>
    <w:p>
      <w:pPr>
        <w:pStyle w:val="ListBullet"/>
      </w:pPr>
      <w:r>
        <w:t>CYP2C9, CYP2C19, CYP2D6 : le vemurafenib est inhibiteur faible du CYP2C9 (warfarine, phénytoïne), du CYP2C19 (oméprazole, clopidogrel) et du CYP2D6 (paroxétine, fluoxétine, dextrométhorphane) ; surveillance clinique.</w:t>
      </w:r>
    </w:p>
    <w:p>
      <w:pPr>
        <w:pStyle w:val="ListBullet"/>
      </w:pPr>
      <w:r>
        <w:t>P-gp / BCRP : le vemurafenib est substrat et inhibiteur de la P-gp et de la BCRP ; surveillance avec la digoxine, le dabigatran, le rosuvastatine, le méthotrexate, l'irinotécan.</w:t>
      </w:r>
    </w:p>
    <w:p>
      <w:pPr>
        <w:pStyle w:val="ListBullet"/>
      </w:pPr>
      <w:r>
        <w:t>Allongement du QTc : association à éviter avec les autres médicaments allongeant le QT (amiodarone, sotalol, halopéridol, méthadone, moxifloxacine, cisapride, dompéridone, ondansétron IV).</w:t>
      </w:r>
    </w:p>
    <w:p>
      <w:pPr>
        <w:pStyle w:val="ListBullet"/>
      </w:pPr>
      <w:r>
        <w:t>Substrats à index thérapeutique étroit : surveillance avec les antivitamines K (HBPM préférentielle), la warfarine (risque hémorragique accru par inhibition du CYP2C9).</w:t>
      </w:r>
    </w:p>
    <w:p>
      <w:pPr>
        <w:pStyle w:val="ListBullet"/>
      </w:pPr>
      <w:r>
        <w:t>Vaccins : éviter les vaccins vivants atténués.</w:t>
      </w:r>
    </w:p>
    <w:p>
      <w:pPr>
        <w:pStyle w:val="ListBullet"/>
      </w:pPr>
      <w:r>
        <w:t>Alimentation : la prise peut être à jeun ou au cours d'un repas (l'effet alimentaire est négligeable). Le pamplemousse est à éviter.</w:t>
      </w:r>
    </w:p>
    <w:p>
      <w:r/>
      <w:r>
        <w:rPr>
          <w:b/>
        </w:rPr>
        <w:t>Grossesse et Allaitement :</w:t>
      </w:r>
      <w:r/>
    </w:p>
    <w:p>
      <w:pPr>
        <w:pStyle w:val="ListBullet"/>
      </w:pPr>
      <w:r>
        <w:t>Grossesse : CONTRE-INDICATION ABSOLUE. Tératogénicité chez l'animal (anomalies cardiovasculaires, squelettiques, rénales). Contraception efficace obligatoire pendant le traitement et 2 mois après l'arrêt (8 semaines). Le partenaire masculin doit utiliser une contraception pendant le traitement et 2 mois après l'arrêt.</w:t>
      </w:r>
    </w:p>
    <w:p>
      <w:pPr>
        <w:pStyle w:val="ListBullet"/>
      </w:pPr>
      <w:r>
        <w:t>Allaitement : CONTRE-INDICATION ABSOLUE.</w:t>
      </w:r>
    </w:p>
    <w:p>
      <w:r/>
      <w:r>
        <w:rPr>
          <w:b/>
        </w:rPr>
        <w:t>Posologie et Mode d'administration (Standard) :</w:t>
      </w:r>
      <w:r/>
    </w:p>
    <w:p>
      <w:pPr>
        <w:pStyle w:val="ListBullet"/>
      </w:pPr>
      <w:r>
        <w:t>Adulte : 960 mg × 2/j (8 comprimés de 240 mg/jour), à 12 heures d'intervalle, avec ou sans nourriture. En cas d'effets indésirables sévères (rash grade 3, photosensibilité sévère, allongement du QTc &gt; 500 ms, cytolyse &gt; 5× LSN), réduction à 720 mg × 2/j (3 comprimés × 2/j), puis 480 mg × 2/j (2 comprimés × 2/j), puis arrêt définitif si nécessaire.</w:t>
      </w:r>
    </w:p>
    <w:p>
      <w:pPr>
        <w:pStyle w:val="ListBullet"/>
      </w:pPr>
      <w:r>
        <w:t>Insuffisance hépatique modérée à sévère : pas d'adaptation mais surveillance rapprochée.</w:t>
      </w:r>
    </w:p>
    <w:p>
      <w:pPr>
        <w:pStyle w:val="ListBullet"/>
      </w:pPr>
      <w:r>
        <w:t>Insuffisance rénale : pas d'adaptation nécessaire.</w:t>
      </w:r>
    </w:p>
    <w:p>
      <w:pPr>
        <w:pStyle w:val="ListBullet"/>
      </w:pPr>
      <w:r>
        <w:t>Mode d'administration : voie orale stricte, à prendre à heure fixe, à 12 heures d'intervalle, avec ou sans nourriture. Les comprimés ne doivent pas être écrasés (en cas d'incapacité à avaler, dispersion dans un verre d'eau non gazeuse, ingestion immédiate, rinçage).</w:t>
      </w:r>
    </w:p>
    <w:p>
      <w:pPr>
        <w:pStyle w:val="ListBullet"/>
      </w:pPr>
      <w:r>
        <w:t>Durée du traitement : traitement au long cours indéfini (jusqu'à progression, intolérance ou projet de grossesse). L'arrêt doit être discuté en cas de réponse complète prolongée (≥ 6 mois), avec switch vers une immunothérapie anti-PD-1.</w:t>
      </w:r>
    </w:p>
    <w:p>
      <w:r/>
      <w:r>
        <w:rPr>
          <w:b/>
        </w:rPr>
        <w:t>Surveillance Biologique et Suivi Clinique :</w:t>
      </w:r>
      <w:r/>
    </w:p>
    <w:p>
      <w:pPr>
        <w:pStyle w:val="ListBullet"/>
      </w:pPr>
      <w:r>
        <w:t>Dermatologique : examen dermatologique complet avant initiation, puis mensuel pendant toute la durée du traitement (dépistage et exérèse précoce des kératoacanthomes et carcinomes spinocellulaires) ; éducation du patient à l'autosurveillance cutanée.</w:t>
      </w:r>
    </w:p>
    <w:p>
      <w:pPr>
        <w:pStyle w:val="ListBullet"/>
      </w:pPr>
      <w:r>
        <w:t>Cardiaque : ECG initial avec QTc, à 1 mois puis trimestriel ; contrôle de la kaliémie et de la magnésémie avant initiation puis trimestriel.</w:t>
      </w:r>
    </w:p>
    <w:p>
      <w:pPr>
        <w:pStyle w:val="ListBullet"/>
      </w:pPr>
      <w:r>
        <w:t>Hépatique : ALAT, ASAT, bilirubine, PAL, γ-GT mensuels 3 mois puis trimestriels.</w:t>
      </w:r>
    </w:p>
    <w:p>
      <w:pPr>
        <w:pStyle w:val="ListBullet"/>
      </w:pPr>
      <w:r>
        <w:t>Hématologique : NFS-plaquettes trimestrielle.</w:t>
      </w:r>
    </w:p>
    <w:p>
      <w:pPr>
        <w:pStyle w:val="ListBullet"/>
      </w:pPr>
      <w:r>
        <w:t>Ophtalmologique : examen si symptôme (rougeur, douleur, photophobie).</w:t>
      </w:r>
    </w:p>
    <w:p>
      <w:pPr>
        <w:pStyle w:val="ListBullet"/>
      </w:pPr>
      <w:r>
        <w:t>Moléculaire : surveillance de la mutation BRAF V600E (ctDNA) en cas de progression (résistance secondaire).</w:t>
      </w:r>
    </w:p>
    <w:p>
      <w:r/>
      <w:r>
        <w:rPr>
          <w:b/>
        </w:rPr>
        <w:t>Arbitrage et Bénéfices des Formes Galéniques :</w:t>
      </w:r>
      <w:r/>
    </w:p>
    <w:p>
      <w:r>
        <w:t>Le dosage unique (240 mg) impose la prise de 8 comprimés/jour à dose standard (960 mg × 2/j), ce qui est contraignant pour l'observance. La prise biquotidienne à 12 heures d'intervalle avec ou sans nourriture facilite l'organisation. Le conditionnement B/56 correspond à 7 jours de traitement à dose standard. Les doses réduites (720, 480 mg × 2/j) sont obtenues par fractionnement (3 ou 2 comprimés × 2/j).</w:t>
      </w:r>
    </w:p>
    <w:p>
      <w:r/>
      <w:r>
        <w:rPr>
          <w:b/>
        </w:rPr>
        <w:t>Instructions et Conseils au Patient :</w:t>
      </w:r>
      <w:r/>
    </w:p>
    <w:p>
      <w:pPr>
        <w:pStyle w:val="ListBullet"/>
      </w:pPr>
      <w:r>
        <w:t>Communication : « Le vemurafenib est un médicament anticancéreux oral qui bloque spécifiquement la protéine BRAF mutée responsable de votre mélanome. Il se prend deux fois par jour, à 12 heures d'intervalle, avec ou sans nourriture. Le risque principal est cutané : exposition au soleil formellement interdite, crème solaire SPF 50+ toutes les 2 heures, vêtements couvrants, lunettes de soleil, chapeau. Des tumeurs cutanées (kératoacanthomes, carcinomes spinocellulaires) peuvent apparaître dans les premières semaines — votre dermatologue les enlèvera chirurgicalement sans interrompre le traitement. Prévenez immédiatement votre médecin en cas de douleurs oculaires (uvéite), de palpitations, de syncopes, de fièvre, de douleurs articulaires intenses, ou de rash étendu. »</w:t>
      </w:r>
    </w:p>
    <w:p>
      <w:pPr>
        <w:pStyle w:val="ListBullet"/>
      </w:pPr>
      <w:r>
        <w:t>Observance : prise à heure fixe, à 12 heures d'intervalle, calendrier d'administration, ne jamais interrompre sans avis médical.</w:t>
      </w:r>
    </w:p>
    <w:p>
      <w:pPr>
        <w:pStyle w:val="ListBullet"/>
      </w:pPr>
      <w:r>
        <w:t>Hygiène de vie : photoprotection SPF 50+ stricte, examen dermatologique mensuel, éviter le pamplemousse et le millepertuis.</w:t>
      </w:r>
    </w:p>
    <w:p>
      <w:r/>
      <w:r>
        <w:rPr>
          <w:b/>
        </w:rPr>
        <w:t>Notes, Règles d'Or &amp; Pièges au Comptoir :</w:t>
      </w:r>
      <w:r/>
    </w:p>
    <w:p>
      <w:pPr>
        <w:pStyle w:val="ListBullet"/>
      </w:pPr>
      <w:r>
        <w:t>Piège majeur : la photosensibilité sévère est l'effet indésirable signature du vemurafenib — éducation du patient à la photoprotection stricte SPF 50+ dès l'initiation.</w:t>
      </w:r>
    </w:p>
    <w:p>
      <w:pPr>
        <w:pStyle w:val="ListBullet"/>
      </w:pPr>
      <w:r>
        <w:t>Piège : oublier l'examen dermatologique mensuel (carcinomes spinocellulaires dans 20–25 % des cas dans les 8 à 12 premières semaines, liés à l'activation paradoxale de MAPK dans les cellules portant des mutations RAS préexistantes).</w:t>
      </w:r>
    </w:p>
    <w:p>
      <w:pPr>
        <w:pStyle w:val="ListBullet"/>
      </w:pPr>
      <w:r>
        <w:t>Règle : le vemurafenib doit être associé au cobimétinib (ITK MEK) pour réduire l'incidence des carcinomes spinocellulaires et prolonger la survie sans progression (essai CoBRIM : 9,9 mois en monothérapie vs 14,9 mois en association).</w:t>
      </w:r>
    </w:p>
    <w:p>
      <w:pPr>
        <w:pStyle w:val="ListBullet"/>
      </w:pPr>
      <w:r>
        <w:t>Piège : oublier de surveiller le QTc (allongement moyen de 10–15 ms, parfois &gt; 500 ms avec torsades de pointes).</w:t>
      </w:r>
    </w:p>
    <w:p>
      <w:pPr>
        <w:pStyle w:val="ListBullet"/>
      </w:pPr>
      <w:r>
        <w:t>Règle : la mutation BRAF V600E doit être confirmée par test moléculaire (PCR, NGS) avant initiation (le vemurafenib est inactif sur le mélanome BRAF sauvage).</w:t>
      </w:r>
    </w:p>
    <w:p>
      <w:pPr>
        <w:pStyle w:val="ListBullet"/>
      </w:pPr>
      <w:r>
        <w:t>Règle : contraception stricte pendant le traitement et 2 mois après l'arrêt (8 semaines).</w:t>
      </w:r>
    </w:p>
    <w:p>
      <w:pPr>
        <w:pStyle w:val="Heading2"/>
      </w:pPr>
      <w:r>
        <w:t>104.10 Sous-classe : ITK ALK (inhibiteurs d'ALK et de ROS1)</w:t>
      </w:r>
    </w:p>
    <w:p>
      <w:r>
        <w:t xml:space="preserve">Cette sous-classe regroupe les ITK inhibiteurs de la tyrosine kinase ALK (Anaplastic Lymphoma Kinase), dont l'activation par translocation (EML4-ALK) est présente dans 3 à 7 % des cancers bronchiques non à petites cellules (CBNPC) adénocarcinomes, principalement chez les patients jeunes (≤ 50 ans), non-fumeurs ou faibles fumeurs. Le chef de file disponible en Algérie est le </w:t>
      </w:r>
      <w:r>
        <w:rPr>
          <w:b/>
        </w:rPr>
        <w:t>crizotinib</w:t>
      </w:r>
      <w:r>
        <w:t xml:space="preserve"> (Xalkori®, Pfizer), premier ITK ALK ayant obtenu une AMM (FDA en août 2011, EMA en octobre 2012), qui a transformé la prise en charge du CBNPC ALK-positif (réponse objective 60–74 %, survie sans progression 9–11 mois, survie globale 4 ans). Le crizotinib inhibe ALK, ROS1 (translocation CD74-ROS1, présente dans 1–2 % des CBNPC), MET (exon 14 skipping, amplification ou mutation) et RON. Son profil d'effets indésirables est marqué par les troubles visuels (diplopie, photophobie, troubles de l'accommodation, 60 %, transitoires et bénins), les nausées, la diarrhée, l'œdème périphérique, la fatigue, la cytolyse hépatique, la neutropénie, la bradycardie sinusale et l'allongement du QTc. Le développement des résistances secondaires (mutations C1156Y, L1196M, G1269A, etc. du domaine kinase d'ALK) a conduit à la mise au point des ITK ALK de 2e et 3e générations (céritinib, alectinib, brigatinib, lorlatinib) — non disponibles dans la nomenclature algérienne active.</w:t>
      </w:r>
    </w:p>
    <w:p>
      <w:pPr>
        <w:pStyle w:val="Heading3"/>
      </w:pPr>
      <w:r>
        <w:t>104.10.1 DCI : Crizotinib</w:t>
      </w:r>
    </w:p>
    <w:p>
      <w:r/>
      <w:r>
        <w:rPr>
          <w:b/>
        </w:rPr>
        <w:t>Liste des Catégories :</w:t>
      </w:r>
      <w:r>
        <w:t xml:space="preserve"> Antinéoplasiques ; Inhibiteur de tyrosine kinase ; ITK ALK/ROS1/MET ; Liste I.</w:t>
      </w:r>
    </w:p>
    <w:p>
      <w:r>
        <w:t>Le crizotinib est un ITK inhibiteur de l'ALK (Anaplastic Lymphoma Kinase), de ROS1 et de MET, dérivé de l'aminopyridine, indiqué dans le cancer bronchique non à petites cellules (CBNPC) localement avancé ou métastatique porteur de la translocation EML4-ALK (en 1re ligne ou après chimiothérapie), dans le CBNPC porteur de la translocation ROS1, et dans les tumeurs pédiatriques ALK-positives (neuroblastome, lymphome anaplasique, myofibroblastome inflammatoire — indications rares). Il a également une activité sur les CBNPC porteurs d'un skipping de l'exon 14 de MET ou d'une amplification de MET. Son profil d'effets indésirables est marqué par les troubles visuels (diplopie, photophobie, troubles de l'accommodation), les nausées, la diarrhée, l'œdème périphérique, la fatigue, la cytolyse hépatique, la neutropénie, la bradycardie sinusale et l'allongement du QTc.</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XALKORI</w:t>
            </w:r>
          </w:p>
        </w:tc>
        <w:tc>
          <w:tcPr>
            <w:tcW w:type="dxa" w:w="1559"/>
          </w:tcPr>
          <w:p>
            <w:r>
              <w:rPr>
                <w:sz w:val="20"/>
              </w:rPr>
              <w:t>PFIZER CANADA INC</w:t>
            </w:r>
          </w:p>
        </w:tc>
        <w:tc>
          <w:tcPr>
            <w:tcW w:type="dxa" w:w="1559"/>
          </w:tcPr>
          <w:p>
            <w:r>
              <w:rPr>
                <w:sz w:val="20"/>
              </w:rPr>
              <w:t>Gélule 200 mg</w:t>
            </w:r>
          </w:p>
        </w:tc>
        <w:tc>
          <w:tcPr>
            <w:tcW w:type="dxa" w:w="1559"/>
          </w:tcPr>
          <w:p>
            <w:r>
              <w:rPr>
                <w:sz w:val="20"/>
              </w:rPr>
              <w:t>Pilulier de 60</w:t>
            </w:r>
          </w:p>
        </w:tc>
        <w:tc>
          <w:tcPr>
            <w:tcW w:type="dxa" w:w="1559"/>
          </w:tcPr>
          <w:p>
            <w:r>
              <w:rPr>
                <w:sz w:val="20"/>
              </w:rPr>
              <w:t>Liste I</w:t>
            </w:r>
          </w:p>
        </w:tc>
        <w:tc>
          <w:tcPr>
            <w:tcW w:type="dxa" w:w="1559"/>
          </w:tcPr>
          <w:p>
            <w:r>
              <w:rPr>
                <w:sz w:val="20"/>
              </w:rPr>
              <w:t>Actif</w:t>
            </w:r>
          </w:p>
        </w:tc>
      </w:tr>
      <w:tr>
        <w:tc>
          <w:tcPr>
            <w:tcW w:type="dxa" w:w="1559"/>
          </w:tcPr>
          <w:p>
            <w:r>
              <w:rPr>
                <w:sz w:val="20"/>
              </w:rPr>
              <w:t>XALKORI</w:t>
            </w:r>
          </w:p>
        </w:tc>
        <w:tc>
          <w:tcPr>
            <w:tcW w:type="dxa" w:w="1559"/>
          </w:tcPr>
          <w:p>
            <w:r>
              <w:rPr>
                <w:sz w:val="20"/>
              </w:rPr>
              <w:t>PFIZER CANADA INC</w:t>
            </w:r>
          </w:p>
        </w:tc>
        <w:tc>
          <w:tcPr>
            <w:tcW w:type="dxa" w:w="1559"/>
          </w:tcPr>
          <w:p>
            <w:r>
              <w:rPr>
                <w:sz w:val="20"/>
              </w:rPr>
              <w:t>Gélule 250 mg</w:t>
            </w:r>
          </w:p>
        </w:tc>
        <w:tc>
          <w:tcPr>
            <w:tcW w:type="dxa" w:w="1559"/>
          </w:tcPr>
          <w:p>
            <w:r>
              <w:rPr>
                <w:sz w:val="20"/>
              </w:rPr>
              <w:t>Pilulier de 60</w:t>
            </w:r>
          </w:p>
        </w:tc>
        <w:tc>
          <w:tcPr>
            <w:tcW w:type="dxa" w:w="1559"/>
          </w:tcPr>
          <w:p>
            <w:r>
              <w:rPr>
                <w:sz w:val="20"/>
              </w:rPr>
              <w:t>Liste I</w:t>
            </w:r>
          </w:p>
        </w:tc>
        <w:tc>
          <w:tcPr>
            <w:tcW w:type="dxa" w:w="1559"/>
          </w:tcPr>
          <w:p>
            <w:r>
              <w:rPr>
                <w:sz w:val="20"/>
              </w:rPr>
              <w:t>Actif</w:t>
            </w:r>
          </w:p>
        </w:tc>
      </w:tr>
    </w:tbl>
    <w:p/>
    <w:p>
      <w:r>
        <w:t>Le crizotinib n'est disponible en Algérie que sous sa spécialité princeps XALKORI (Pfizer) à deux dosages (200 et 250 mg). Le dosage 250 mg correspond à la dose standard adulte (250 mg × 2/j = 4 gélules/jour) ; le dosage 200 mg correspond à la dose réduite (adaptation posologique en cas d'effets indésirables ou d'insuffisance hépatique/rénale). Le conditionnement pilulier de 60 gélules correspond à 15 jours de traitement à dose standard.</w:t>
      </w:r>
    </w:p>
    <w:p>
      <w:r/>
      <w:r>
        <w:rPr>
          <w:b/>
        </w:rPr>
        <w:t>Sous-classe et Mécanisme d'action :</w:t>
      </w:r>
      <w:r/>
    </w:p>
    <w:p>
      <w:pPr>
        <w:pStyle w:val="ListBullet"/>
      </w:pPr>
      <w:r>
        <w:t>Sous-classe : ITK ALK/ROS1/MET, classe des aminopyridines.</w:t>
      </w:r>
    </w:p>
    <w:p>
      <w:pPr>
        <w:pStyle w:val="ListBullet"/>
      </w:pPr>
      <w:r>
        <w:t>Mécanisme d'action : inhibition compétitive, réversible et ATP-mimétique de l'activité tyrosine kinase de plusieurs récepteurs : ALK (Anaplastic Lymphoma Kinase, activée par translocation EML4-ALK dans 3–7 % des CBNPC adénocarcinomes), ROS1 (activée par translocation CD74-ROS1, SLC34A2-ROS1, SDC4-ROS1 dans 1–2 % des CBNPC), MET (récepteur du HGF, activé par skipping de l'exon 14, amplification ou mutation dans 3 % des CBNPC) et RON. Le blocage de ces kinases inhibe les voies de signalisation en aval : RAS-RAF-MEK-ERK1/2 (prolifération), PI3K-AKT-mTOR (survie), PLCγ-PKC (motilité), JAK-STAT3 (transcription). Le crizotinib présente une affinité supérieure pour ALK, ROS1 et MET par rapport aux autres RTK (récepteurs à activité tyrosine kinase), ce qui explique sa sélectivité et son efficacité dans les CBNPC ALK/ROS1/MET-positifs. Il n'a pas d'activité significative sur les mutations de résistance secondaire d'ALK (C1156Y, L1196M, G1269A, F1174L, etc. — switch vers céritinib, alectinib, brigatinib, lorlatinib en cas de progression).</w:t>
      </w:r>
    </w:p>
    <w:p>
      <w:r/>
      <w:r>
        <w:rPr>
          <w:b/>
        </w:rPr>
        <w:t>Profil Pharmacologique :</w:t>
      </w:r>
      <w:r/>
    </w:p>
    <w:p>
      <w:pPr>
        <w:pStyle w:val="ListBullet"/>
      </w:pPr>
      <w:r>
        <w:t>Indications : (1) CBNPC localement avancé ou métastatique porteur de la translocation ALK (EML4-ALK) en 1re ligne (alternative : alectinib, céritinib, brigatinib, lorlatinib si disponibles) ou après chimiothérapie ; (2) CBNPC porteur de la translocation ROS1 (alternative : entrectinib, lorlatinib) ; (3) CBNPC porteur d'un skipping de l'exon 14 de MET (alternative : capmatinib, tepotinib) ; (4) CBNPC porteur d'une amplification de MET (indication discutée) ; (5) Tumeurs pédiatriques ALK-positives (neuroblastome réfractaire/récidivant, lymphome anaplasique, myofibroblastome inflammatoire — indications rares, ATU).</w:t>
      </w:r>
    </w:p>
    <w:p>
      <w:pPr>
        <w:pStyle w:val="ListBullet"/>
      </w:pPr>
      <w:r>
        <w:t>Contre-indications : Hypersensibilité au crizotinib. Précautions : insuffisance hépatique (adaptation posologique), antécédents de pneumopathie interstitielle, allongement du QTc, bradycardie sinusale, insuffisance cardiaque, grossesse (CI absolue), allaitement (CI absolue), hypokaliémie, hypomagnésémie.</w:t>
      </w:r>
    </w:p>
    <w:p>
      <w:pPr>
        <w:pStyle w:val="ListBullet"/>
      </w:pPr>
      <w:r>
        <w:t>Effets Indésirables : Très fréquents : troubles visuels (60 %, diplopie, photophobie, troubles de l'accommodation, éclats de lumière, généralement transitoires et bénins, survenant dans les premières semaines), nausées (50 %), vomissements, diarrhée (40 %), constipation, œdème périphérique (30 %, surtout des membres inférieurs), fatigue (30 %), anorexie, perte de poids, dysgueusie, étourdissements, neuropathie périphérique (sensibilité, dysesthésies). Fréquents : cytolyse hépatique (ALAT, ASAT &gt; 3× LSN dans 10–15 % des cas), neutropénie (grade 3/4 : 5–10 %), thrombopénie, anémie, bradycardie sinusale (10–15 %, parfois sévère &lt; 50 bpm), allongement du QTc (5 %), rash, éruption cutanée, mucite, sécheresse cutanée, prurit. Peu fréquents : pneumopathie interstitielle (1–2 %, potentiellement fatale, particulièrement chez les patients asiatiques), insuffisance hépatique sévère (cytolyse &gt; 20× LSN, parfois fatale, dans les 2 premiers mois), dysfonction ventriculaire gauche (baisse de la FEVG, 1–2 %), syndrome de Stevens-Johnson, syndrome de Lyell, kystes rénaux (particularité du crizotinib, bénins, surveillés par échographie). Rares : allongement majeur du QTc (&gt; 500 ms) avec torsades de pointes, syncopes, bradycardie sévère symptomatique, hémorragie pulmonaire sévère, syndrome de lyse tumorale.</w:t>
      </w:r>
    </w:p>
    <w:p>
      <w:r/>
      <w:r>
        <w:rPr>
          <w:b/>
        </w:rPr>
        <w:t>Prévention et Gestion des Effets Indésirables :</w:t>
      </w:r>
      <w:r/>
    </w:p>
    <w:p>
      <w:pPr>
        <w:pStyle w:val="ListBullet"/>
      </w:pPr>
      <w:r>
        <w:t>Mesures Préventives : Examen ophtalmologique initial (en cas de troubles visuels) ; bilan hépatique (ALAT, ASAT, bilirubine, PAL, γ-GT) mensuel 3 mois puis trimestriel (surveillance rapprochée dans les 2 premiers mois en raison du risque d'hépatotoxicité sévère précoce) ; NFS-plaquettes mensuelle 3 mois puis trimestrielle ; ECG initial avec QTc (correction Bazett ou Fridericia) ; fréquence cardiaque à l'initiation puis trimestrielle (bradycardie sinusale) ; contrôle de la kaliémie et de la magnésémie avant initiation puis trimestriel ; échographie cardiaque initiale puis semestrielle (FEVG) ; surveillance pulmonaire (examen clinique, scanner en cas de symptôme) ; prophylaxie diarrhée : lopéramide à la demande ; prophylaxie cutanée : émollients, photoprotection SPF 50+.</w:t>
      </w:r>
    </w:p>
    <w:p>
      <w:pPr>
        <w:pStyle w:val="ListBullet"/>
      </w:pPr>
      <w:r>
        <w:t>Conduite à Tenir : Troubles visuels grade 1–2 : poursuite (transitoires et bénins), conseil d'éviter la conduite en cas de diplopie. Cytolyse hépatique &gt; 3× LSN : interruption, recherche d'autres causes (viral, médicamenteux), reprise à dose réduite (250 → 200 mg × 2/j) ; arrêt définitif si cytolyse &gt; 8× LSN ou récidivante. Neutropénie grade 3/4 (&lt; 1,0 G/L) : interruption 1–2 semaines, facteurs de croissance (G-CSF) si nécessaire, reprise à dose réduite. Bradycardie sévère (&lt; 50 bpm asymptomatique) : surveillance ; bradycardie symptomatique (syncope, malaise) : interruption, atropine si nécessaire, reprise à dose réduite. Allongement du QTc &gt; 480 ms : interruption, correction des troubles ioniques, reprise à dose réduite. Pneumopathie interstitielle : arrêt définitif, hospitalisation, corticothérapie IV.</w:t>
      </w:r>
    </w:p>
    <w:p>
      <w:r/>
      <w:r>
        <w:rPr>
          <w:b/>
        </w:rPr>
        <w:t>Interactions Médicamenteuses :</w:t>
      </w:r>
      <w:r/>
    </w:p>
    <w:p>
      <w:pPr>
        <w:pStyle w:val="ListBullet"/>
      </w:pPr>
      <w:r>
        <w:t>CYP3A4 (métabolisme principal) : inducteurs enzymatiques (rifampicine → ASC crizotinib réduite de 80 %, à éviter ; phénytoïne, carbamazépine, phénobarbital, millepertuis) → baisse majeure. Inhibiteurs (kétoconazole → ASC × 3 ; itraconazole, voriconazole, posaconazole, clarithromycine, ritonavir) → augmentation, réduire la dose de crizotinib à 200 mg × 2/j.</w:t>
      </w:r>
    </w:p>
    <w:p>
      <w:pPr>
        <w:pStyle w:val="ListBullet"/>
      </w:pPr>
      <w:r>
        <w:t>Substrats à index thérapeutique étroit : le crizotinib est inhibiteur puissant du CYP3A4 et de la P-gp ; surveillance avec les antivitamines K (HBPM préférentielle), les statines (simvastatine, atorvastatine), la warfarine (risque hémorragique accru), la digoxine, le dabigatran, le midazolam, le fentanyl, l'alfentanil, le sirolimus, le tacrolimus, la cyclosporine.</w:t>
      </w:r>
    </w:p>
    <w:p>
      <w:pPr>
        <w:pStyle w:val="ListBullet"/>
      </w:pPr>
      <w:r>
        <w:t>Allongement du QTc : association à éviter avec les autres médicaments allongeant le QT (amiodarone, sotalol, halopéridol, méthadone, moxifloxacine, cisapride, dompéridone, ondansétron IV).</w:t>
      </w:r>
    </w:p>
    <w:p>
      <w:pPr>
        <w:pStyle w:val="ListBullet"/>
      </w:pPr>
      <w:r>
        <w:t>Bradycardie : association à éviter avec les bêtabloquants, les inhibiteurs calciques bradycardisants (diltiazem, vérapamil), la digoxine, l'amiodarone, l'ivabradine.</w:t>
      </w:r>
    </w:p>
    <w:p>
      <w:pPr>
        <w:pStyle w:val="ListBullet"/>
      </w:pPr>
      <w:r>
        <w:t>Alimentation : la prise peut être à jeun ou au cours d'un repas (l'effet alimentaire est négligeable). Le pamplemousse est CONTRE-INDIQUÉ.</w:t>
      </w:r>
    </w:p>
    <w:p>
      <w:r/>
      <w:r>
        <w:rPr>
          <w:b/>
        </w:rPr>
        <w:t>Grossesse et Allaitement :</w:t>
      </w:r>
      <w:r/>
    </w:p>
    <w:p>
      <w:pPr>
        <w:pStyle w:val="ListBullet"/>
      </w:pPr>
      <w:r>
        <w:t>Grossesse : CONTRE-INDICATION ABSOLUE. Tératogénicité chez l'animal (anomalies cardiovasculaires, squelettiques, rénales). Contraception efficace obligatoire pendant le traitement et 45 jours après l'arrêt. Le partenaire masculin doit utiliser une contraception pendant le traitement et 90 jours après l'arrêt.</w:t>
      </w:r>
    </w:p>
    <w:p>
      <w:pPr>
        <w:pStyle w:val="ListBullet"/>
      </w:pPr>
      <w:r>
        <w:t>Allaitement : CONTRE-INDICATION ABSOLUE.</w:t>
      </w:r>
    </w:p>
    <w:p>
      <w:r/>
      <w:r>
        <w:rPr>
          <w:b/>
        </w:rPr>
        <w:t>Posologie et Mode d'administration (Standard) :</w:t>
      </w:r>
      <w:r/>
    </w:p>
    <w:p>
      <w:pPr>
        <w:pStyle w:val="ListBullet"/>
      </w:pPr>
      <w:r>
        <w:t>Adulte : 250 mg × 2/j (4 gélules/jour), à 12 heures d'intervalle, avec ou sans nourriture. En cas d'effets indésirables sévères (hépatotoxicité grade 3, neutropénie grade 4, allongement du QTc &gt; 500 ms, bradycardie symptomatique), réduction à 200 mg × 2/j (3 gélules × 2/j), puis 250 mg/j (1 gélule matin, 1 gélule soir en alternance).</w:t>
      </w:r>
    </w:p>
    <w:p>
      <w:pPr>
        <w:pStyle w:val="ListBullet"/>
      </w:pPr>
      <w:r>
        <w:t>Insuffisance hépatique modérée à sévère : 200 mg × 2/j (réduction de 25 %).</w:t>
      </w:r>
    </w:p>
    <w:p>
      <w:pPr>
        <w:pStyle w:val="ListBullet"/>
      </w:pPr>
      <w:r>
        <w:t>Insuffisance rénale : pas d'adaptation pour ClCr &gt; 30 mL/min ; pour ClCr &lt; 30 mL/min (sans dialyse), 250 mg × 1/j.</w:t>
      </w:r>
    </w:p>
    <w:p>
      <w:pPr>
        <w:pStyle w:val="ListBullet"/>
      </w:pPr>
      <w:r>
        <w:t>Mode d'administration : voie orale stricte, à prendre à heure fixe, à 12 heures d'intervalle, avec ou sans nourriture. Les gélules ne doivent pas être ouvertes ni écrasées (la formulation gélule ne s'y prête pas).</w:t>
      </w:r>
    </w:p>
    <w:p>
      <w:pPr>
        <w:pStyle w:val="ListBullet"/>
      </w:pPr>
      <w:r>
        <w:t>Durée du traitement : traitement au long cours indéfini (jusqu'à progression, intolérance ou projet de grossesse). En cas de progression sous crizotinib, switch vers céritinib, alectinib, brigatinib ou lorlatinib (non disponibles dans la nomenclature algérienne active).</w:t>
      </w:r>
    </w:p>
    <w:p>
      <w:r/>
      <w:r>
        <w:rPr>
          <w:b/>
        </w:rPr>
        <w:t>Surveillance Biologique et Suivi Clinique :</w:t>
      </w:r>
      <w:r/>
    </w:p>
    <w:p>
      <w:pPr>
        <w:pStyle w:val="ListBullet"/>
      </w:pPr>
      <w:r>
        <w:t>Hépatique : ALAT, ASAT, bilirubine, PAL, γ-GT mensuels 3 mois (surveillance rapprochée dans les 2 premiers mois), puis trimestriels.</w:t>
      </w:r>
    </w:p>
    <w:p>
      <w:pPr>
        <w:pStyle w:val="ListBullet"/>
      </w:pPr>
      <w:r>
        <w:t>Hématologique : NFS-plaquettes mensuelle 3 mois puis trimestrielle.</w:t>
      </w:r>
    </w:p>
    <w:p>
      <w:pPr>
        <w:pStyle w:val="ListBullet"/>
      </w:pPr>
      <w:r>
        <w:t>Cardiaque : ECG initial avec QTc puis trimestriel ; fréquence cardiaque à l'initiation puis trimestrielle (bradycardie sinusale) ; échographie cardiaque initiale puis semestrielle (FEVG).</w:t>
      </w:r>
    </w:p>
    <w:p>
      <w:pPr>
        <w:pStyle w:val="ListBullet"/>
      </w:pPr>
      <w:r>
        <w:t>Pulmonaire : examen clinique (toux, dyspnée) à chaque consultation ; scanner thoracique en cas de symptôme.</w:t>
      </w:r>
    </w:p>
    <w:p>
      <w:pPr>
        <w:pStyle w:val="ListBullet"/>
      </w:pPr>
      <w:r>
        <w:t>Ophtalmologique : examen si symptôme (diplopie, photophobie, troubles de l'accommodation).</w:t>
      </w:r>
    </w:p>
    <w:p>
      <w:pPr>
        <w:pStyle w:val="ListBullet"/>
      </w:pPr>
      <w:r>
        <w:t>Rénale : créatinine, urée trimestriels ; échographie rénale semestrielle (kystes rénaux).</w:t>
      </w:r>
    </w:p>
    <w:p>
      <w:pPr>
        <w:pStyle w:val="ListBullet"/>
      </w:pPr>
      <w:r>
        <w:t>Moléculaire : recherche de mutation de résistance d'ALK en cas de progression (NGS).</w:t>
      </w:r>
    </w:p>
    <w:p>
      <w:r/>
      <w:r>
        <w:rPr>
          <w:b/>
        </w:rPr>
        <w:t>Arbitrage et Bénéfices des Formes Galéniques :</w:t>
      </w:r>
      <w:r/>
    </w:p>
    <w:p>
      <w:r>
        <w:t>Les dosages 200 et 250 mg permettent une modulation fine de la posologie (250 × 2, 200 × 2, 250/j selon la tolérance). La prise biquotidienne à 12 heures d'intervalle est plus contraignante que la monoprise de l'imatinib, du dasatinib ou de l'osimertinib. Le conditionnement pilulier de 60 gélules correspond à 15 jours de traitement à dose standard (250 mg × 2/j = 4 gélules/jour).</w:t>
      </w:r>
    </w:p>
    <w:p>
      <w:r/>
      <w:r>
        <w:rPr>
          <w:b/>
        </w:rPr>
        <w:t>Instructions et Conseils au Patient :</w:t>
      </w:r>
      <w:r/>
    </w:p>
    <w:p>
      <w:pPr>
        <w:pStyle w:val="ListBullet"/>
      </w:pPr>
      <w:r>
        <w:t>Communication : « Le crizotinib est un médicament anticancéreux oral qui bloque spécifiquement la protéine ALK (ou ROS1 ou MET) responsable de votre cancer du poumon. Il se prend deux fois par jour, à 12 heures d'intervalle, avec ou sans nourriture. Les effets indésirables les plus fréquents sont des troubles visuels (vision double, éblouissement, troubles de l'accommodation — généralement transitoires et bénins), des nausées, une diarrhée, des œdèmes des jambes et une fatigue. Prévenez immédiatement votre médecin en cas de toux sèche ou d'essoufflement (pneumopathie), de fièvre, de jaunisse, de palpitations, de syncopes, ou de douleurs thoraciques. »</w:t>
      </w:r>
    </w:p>
    <w:p>
      <w:pPr>
        <w:pStyle w:val="ListBullet"/>
      </w:pPr>
      <w:r>
        <w:t>Observance : prise à heure fixe, à 12 heures d'intervalle, calendrier d'administration, ne jamais interrompre sans avis médical.</w:t>
      </w:r>
    </w:p>
    <w:p>
      <w:pPr>
        <w:pStyle w:val="ListBullet"/>
      </w:pPr>
      <w:r>
        <w:t>Hygiène de vie : éviter la conduite en cas de troubles visuels, photoprotection SPF 50+, éviter le pamplemousse et le millepertuis.</w:t>
      </w:r>
    </w:p>
    <w:p>
      <w:r/>
      <w:r>
        <w:rPr>
          <w:b/>
        </w:rPr>
        <w:t>Notes, Règles d'Or &amp; Pièges au Comptoir :</w:t>
      </w:r>
      <w:r/>
    </w:p>
    <w:p>
      <w:pPr>
        <w:pStyle w:val="ListBullet"/>
      </w:pPr>
      <w:r>
        <w:t>Piège : les troubles visuels sont l'effet indésirable signature du crizotinib (60 % des patients) — généralement transitoires et bénins, ne pas arrêter le traitement.</w:t>
      </w:r>
    </w:p>
    <w:p>
      <w:pPr>
        <w:pStyle w:val="ListBullet"/>
      </w:pPr>
      <w:r>
        <w:t>Piège : oublier la surveillance hépatique rapprochée dans les 2 premiers mois (hépatotoxicité sévère précoce, parfois fatale).</w:t>
      </w:r>
    </w:p>
    <w:p>
      <w:pPr>
        <w:pStyle w:val="ListBullet"/>
      </w:pPr>
      <w:r>
        <w:t>Règle : la translocation ALK (EML4-ALK) doit être confirmée par test moléculaire (FISH, IHC, NGS) avant initiation (le crizotinib est inactif sur le CBNPC ALK-négatif).</w:t>
      </w:r>
    </w:p>
    <w:p>
      <w:pPr>
        <w:pStyle w:val="ListBullet"/>
      </w:pPr>
      <w:r>
        <w:t>Règle : le crizotinib est le traitement de référence du CBNPC ROS1-positif (alternative : entrectinib, lorlatinib) et du CBNPC MET exon 14 skipping (alternative : capmatinib, tepotinib).</w:t>
      </w:r>
    </w:p>
    <w:p>
      <w:pPr>
        <w:pStyle w:val="ListBullet"/>
      </w:pPr>
      <w:r>
        <w:t>Piège : en cas de progression sous crizotinib, switch vers céritinib, alectinib, brigatinib ou lorlatinib (non disponibles dans la nomenclature algérienne active) — switch vers la chimiothérapie si non disponibles.</w:t>
      </w:r>
    </w:p>
    <w:p>
      <w:pPr>
        <w:pStyle w:val="ListBullet"/>
      </w:pPr>
      <w:r>
        <w:t>Règle : contraception stricte, y compris chez le partenaire masculin (90 jours après l'arrêt).</w:t>
      </w:r>
    </w:p>
    <w:p>
      <w:pPr>
        <w:pStyle w:val="ListBullet"/>
      </w:pPr>
      <w:r>
        <w:t>Piège : oublier la surveillance échographique rénale (kystes rénaux, particuliers au crizotinib, bénins mais surveillés).</w:t>
      </w:r>
    </w:p>
    <w:p>
      <w:pPr>
        <w:pStyle w:val="Heading2"/>
      </w:pPr>
      <w:r>
        <w:t>104.11 Tableau comparatif synthétique des 19 ITK</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Cible principale</w:t>
            </w:r>
          </w:p>
        </w:tc>
        <w:tc>
          <w:tcPr>
            <w:tcW w:type="dxa" w:w="1169"/>
          </w:tcPr>
          <w:p>
            <w:r>
              <w:rPr>
                <w:b/>
                <w:sz w:val="20"/>
              </w:rPr>
              <w:t>Génération</w:t>
            </w:r>
          </w:p>
        </w:tc>
        <w:tc>
          <w:tcPr>
            <w:tcW w:type="dxa" w:w="1169"/>
          </w:tcPr>
          <w:p>
            <w:r>
              <w:rPr>
                <w:b/>
                <w:sz w:val="20"/>
              </w:rPr>
              <w:t>Indication principale</w:t>
            </w:r>
          </w:p>
        </w:tc>
        <w:tc>
          <w:tcPr>
            <w:tcW w:type="dxa" w:w="1169"/>
          </w:tcPr>
          <w:p>
            <w:r>
              <w:rPr>
                <w:b/>
                <w:sz w:val="20"/>
              </w:rPr>
              <w:t>Posologie standard</w:t>
            </w:r>
          </w:p>
        </w:tc>
        <w:tc>
          <w:tcPr>
            <w:tcW w:type="dxa" w:w="1169"/>
          </w:tcPr>
          <w:p>
            <w:r>
              <w:rPr>
                <w:b/>
                <w:sz w:val="20"/>
              </w:rPr>
              <w:t>EI signature</w:t>
            </w:r>
          </w:p>
        </w:tc>
        <w:tc>
          <w:tcPr>
            <w:tcW w:type="dxa" w:w="1169"/>
          </w:tcPr>
          <w:p>
            <w:r>
              <w:rPr>
                <w:b/>
                <w:sz w:val="20"/>
              </w:rPr>
              <w:t>CI majeures</w:t>
            </w:r>
          </w:p>
        </w:tc>
        <w:tc>
          <w:tcPr>
            <w:tcW w:type="dxa" w:w="1169"/>
          </w:tcPr>
          <w:p>
            <w:r>
              <w:rPr>
                <w:b/>
                <w:sz w:val="20"/>
              </w:rPr>
              <w:t>Interactions clés</w:t>
            </w:r>
          </w:p>
        </w:tc>
      </w:tr>
      <w:tr>
        <w:tc>
          <w:tcPr>
            <w:tcW w:type="dxa" w:w="1169"/>
          </w:tcPr>
          <w:p>
            <w:r>
              <w:rPr>
                <w:sz w:val="20"/>
              </w:rPr>
              <w:t>Imatinib</w:t>
            </w:r>
          </w:p>
        </w:tc>
        <w:tc>
          <w:tcPr>
            <w:tcW w:type="dxa" w:w="1169"/>
          </w:tcPr>
          <w:p>
            <w:r>
              <w:rPr>
                <w:sz w:val="20"/>
              </w:rPr>
              <w:t>BCR-ABL, KIT, PDGFR</w:t>
            </w:r>
          </w:p>
        </w:tc>
        <w:tc>
          <w:tcPr>
            <w:tcW w:type="dxa" w:w="1169"/>
          </w:tcPr>
          <w:p>
            <w:r>
              <w:rPr>
                <w:sz w:val="20"/>
              </w:rPr>
              <w:t>1re</w:t>
            </w:r>
          </w:p>
        </w:tc>
        <w:tc>
          <w:tcPr>
            <w:tcW w:type="dxa" w:w="1169"/>
          </w:tcPr>
          <w:p>
            <w:r>
              <w:rPr>
                <w:sz w:val="20"/>
              </w:rPr>
              <w:t>LCM Ph+, GIST, hypereosinophilie</w:t>
            </w:r>
          </w:p>
        </w:tc>
        <w:tc>
          <w:tcPr>
            <w:tcW w:type="dxa" w:w="1169"/>
          </w:tcPr>
          <w:p>
            <w:r>
              <w:rPr>
                <w:sz w:val="20"/>
              </w:rPr>
              <w:t>400 mg/j PC</w:t>
            </w:r>
          </w:p>
        </w:tc>
        <w:tc>
          <w:tcPr>
            <w:tcW w:type="dxa" w:w="1169"/>
          </w:tcPr>
          <w:p>
            <w:r>
              <w:rPr>
                <w:sz w:val="20"/>
              </w:rPr>
              <w:t>Œdèmes péri-orbitaires, cytopénies</w:t>
            </w:r>
          </w:p>
        </w:tc>
        <w:tc>
          <w:tcPr>
            <w:tcW w:type="dxa" w:w="1169"/>
          </w:tcPr>
          <w:p>
            <w:r>
              <w:rPr>
                <w:sz w:val="20"/>
              </w:rPr>
              <w:t>Grossesse, allaitement</w:t>
            </w:r>
          </w:p>
        </w:tc>
        <w:tc>
          <w:tcPr>
            <w:tcW w:type="dxa" w:w="1169"/>
          </w:tcPr>
          <w:p>
            <w:r>
              <w:rPr>
                <w:sz w:val="20"/>
              </w:rPr>
              <w:t>CYP3A4 (++), pamplemousse</w:t>
            </w:r>
          </w:p>
        </w:tc>
      </w:tr>
      <w:tr>
        <w:tc>
          <w:tcPr>
            <w:tcW w:type="dxa" w:w="1169"/>
          </w:tcPr>
          <w:p>
            <w:r>
              <w:rPr>
                <w:sz w:val="20"/>
              </w:rPr>
              <w:t>Dasatinib</w:t>
            </w:r>
          </w:p>
        </w:tc>
        <w:tc>
          <w:tcPr>
            <w:tcW w:type="dxa" w:w="1169"/>
          </w:tcPr>
          <w:p>
            <w:r>
              <w:rPr>
                <w:sz w:val="20"/>
              </w:rPr>
              <w:t>BCR-ABL, SRC</w:t>
            </w:r>
          </w:p>
        </w:tc>
        <w:tc>
          <w:tcPr>
            <w:tcW w:type="dxa" w:w="1169"/>
          </w:tcPr>
          <w:p>
            <w:r>
              <w:rPr>
                <w:sz w:val="20"/>
              </w:rPr>
              <w:t>2e</w:t>
            </w:r>
          </w:p>
        </w:tc>
        <w:tc>
          <w:tcPr>
            <w:tcW w:type="dxa" w:w="1169"/>
          </w:tcPr>
          <w:p>
            <w:r>
              <w:rPr>
                <w:sz w:val="20"/>
              </w:rPr>
              <w:t>LCM Ph+, LAL Ph+</w:t>
            </w:r>
          </w:p>
        </w:tc>
        <w:tc>
          <w:tcPr>
            <w:tcW w:type="dxa" w:w="1169"/>
          </w:tcPr>
          <w:p>
            <w:r>
              <w:rPr>
                <w:sz w:val="20"/>
              </w:rPr>
              <w:t>100 mg/j</w:t>
            </w:r>
          </w:p>
        </w:tc>
        <w:tc>
          <w:tcPr>
            <w:tcW w:type="dxa" w:w="1169"/>
          </w:tcPr>
          <w:p>
            <w:r>
              <w:rPr>
                <w:sz w:val="20"/>
              </w:rPr>
              <w:t>Épanchement pleural, dysfonction VG</w:t>
            </w:r>
          </w:p>
        </w:tc>
        <w:tc>
          <w:tcPr>
            <w:tcW w:type="dxa" w:w="1169"/>
          </w:tcPr>
          <w:p>
            <w:r>
              <w:rPr>
                <w:sz w:val="20"/>
              </w:rPr>
              <w:t>Grossesse, allaitement, cardiopathie</w:t>
            </w:r>
          </w:p>
        </w:tc>
        <w:tc>
          <w:tcPr>
            <w:tcW w:type="dxa" w:w="1169"/>
          </w:tcPr>
          <w:p>
            <w:r>
              <w:rPr>
                <w:sz w:val="20"/>
              </w:rPr>
              <w:t>CYP3A4 (++), anti-acides</w:t>
            </w:r>
          </w:p>
        </w:tc>
      </w:tr>
      <w:tr>
        <w:tc>
          <w:tcPr>
            <w:tcW w:type="dxa" w:w="1169"/>
          </w:tcPr>
          <w:p>
            <w:r>
              <w:rPr>
                <w:sz w:val="20"/>
              </w:rPr>
              <w:t>Nilotinib</w:t>
            </w:r>
          </w:p>
        </w:tc>
        <w:tc>
          <w:tcPr>
            <w:tcW w:type="dxa" w:w="1169"/>
          </w:tcPr>
          <w:p>
            <w:r>
              <w:rPr>
                <w:sz w:val="20"/>
              </w:rPr>
              <w:t>BCR-ABL</w:t>
            </w:r>
          </w:p>
        </w:tc>
        <w:tc>
          <w:tcPr>
            <w:tcW w:type="dxa" w:w="1169"/>
          </w:tcPr>
          <w:p>
            <w:r>
              <w:rPr>
                <w:sz w:val="20"/>
              </w:rPr>
              <w:t>2e</w:t>
            </w:r>
          </w:p>
        </w:tc>
        <w:tc>
          <w:tcPr>
            <w:tcW w:type="dxa" w:w="1169"/>
          </w:tcPr>
          <w:p>
            <w:r>
              <w:rPr>
                <w:sz w:val="20"/>
              </w:rPr>
              <w:t>LCM Ph+ PC, PA</w:t>
            </w:r>
          </w:p>
        </w:tc>
        <w:tc>
          <w:tcPr>
            <w:tcW w:type="dxa" w:w="1169"/>
          </w:tcPr>
          <w:p>
            <w:r>
              <w:rPr>
                <w:sz w:val="20"/>
              </w:rPr>
              <w:t>300–400 mg × 2/j</w:t>
            </w:r>
          </w:p>
        </w:tc>
        <w:tc>
          <w:tcPr>
            <w:tcW w:type="dxa" w:w="1169"/>
          </w:tcPr>
          <w:p>
            <w:r>
              <w:rPr>
                <w:sz w:val="20"/>
              </w:rPr>
              <w:t>Allongement QTc, événements vasculaires</w:t>
            </w:r>
          </w:p>
        </w:tc>
        <w:tc>
          <w:tcPr>
            <w:tcW w:type="dxa" w:w="1169"/>
          </w:tcPr>
          <w:p>
            <w:r>
              <w:rPr>
                <w:sz w:val="20"/>
              </w:rPr>
              <w:t>QTc long, AVC/IM, grossesse, allaitement</w:t>
            </w:r>
          </w:p>
        </w:tc>
        <w:tc>
          <w:tcPr>
            <w:tcW w:type="dxa" w:w="1169"/>
          </w:tcPr>
          <w:p>
            <w:r>
              <w:rPr>
                <w:sz w:val="20"/>
              </w:rPr>
              <w:t>CYP3A4 (++), QT, pamplemousse</w:t>
            </w:r>
          </w:p>
        </w:tc>
      </w:tr>
      <w:tr>
        <w:tc>
          <w:tcPr>
            <w:tcW w:type="dxa" w:w="1169"/>
          </w:tcPr>
          <w:p>
            <w:r>
              <w:rPr>
                <w:sz w:val="20"/>
              </w:rPr>
              <w:t>Bosutinib</w:t>
            </w:r>
          </w:p>
        </w:tc>
        <w:tc>
          <w:tcPr>
            <w:tcW w:type="dxa" w:w="1169"/>
          </w:tcPr>
          <w:p>
            <w:r>
              <w:rPr>
                <w:sz w:val="20"/>
              </w:rPr>
              <w:t>BCR-ABL, SRC, LYN</w:t>
            </w:r>
          </w:p>
        </w:tc>
        <w:tc>
          <w:tcPr>
            <w:tcW w:type="dxa" w:w="1169"/>
          </w:tcPr>
          <w:p>
            <w:r>
              <w:rPr>
                <w:sz w:val="20"/>
              </w:rPr>
              <w:t>3e</w:t>
            </w:r>
          </w:p>
        </w:tc>
        <w:tc>
          <w:tcPr>
            <w:tcW w:type="dxa" w:w="1169"/>
          </w:tcPr>
          <w:p>
            <w:r>
              <w:rPr>
                <w:sz w:val="20"/>
              </w:rPr>
              <w:t>LCM Ph+ après ≥ 2 ITK</w:t>
            </w:r>
          </w:p>
        </w:tc>
        <w:tc>
          <w:tcPr>
            <w:tcW w:type="dxa" w:w="1169"/>
          </w:tcPr>
          <w:p>
            <w:r>
              <w:rPr>
                <w:sz w:val="20"/>
              </w:rPr>
              <w:t>400 mg/j</w:t>
            </w:r>
          </w:p>
        </w:tc>
        <w:tc>
          <w:tcPr>
            <w:tcW w:type="dxa" w:w="1169"/>
          </w:tcPr>
          <w:p>
            <w:r>
              <w:rPr>
                <w:sz w:val="20"/>
              </w:rPr>
              <w:t>Diarrhée, hépatotoxicité</w:t>
            </w:r>
          </w:p>
        </w:tc>
        <w:tc>
          <w:tcPr>
            <w:tcW w:type="dxa" w:w="1169"/>
          </w:tcPr>
          <w:p>
            <w:r>
              <w:rPr>
                <w:sz w:val="20"/>
              </w:rPr>
              <w:t>Grossesse, allaitement</w:t>
            </w:r>
          </w:p>
        </w:tc>
        <w:tc>
          <w:tcPr>
            <w:tcW w:type="dxa" w:w="1169"/>
          </w:tcPr>
          <w:p>
            <w:r>
              <w:rPr>
                <w:sz w:val="20"/>
              </w:rPr>
              <w:t>CYP3A4 (++), anti-acides</w:t>
            </w:r>
          </w:p>
        </w:tc>
      </w:tr>
      <w:tr>
        <w:tc>
          <w:tcPr>
            <w:tcW w:type="dxa" w:w="1169"/>
          </w:tcPr>
          <w:p>
            <w:r>
              <w:rPr>
                <w:sz w:val="20"/>
              </w:rPr>
              <w:t>Ponatinib</w:t>
            </w:r>
          </w:p>
        </w:tc>
        <w:tc>
          <w:tcPr>
            <w:tcW w:type="dxa" w:w="1169"/>
          </w:tcPr>
          <w:p>
            <w:r>
              <w:rPr>
                <w:sz w:val="20"/>
              </w:rPr>
              <w:t>BCR-ABL (T315I)</w:t>
            </w:r>
          </w:p>
        </w:tc>
        <w:tc>
          <w:tcPr>
            <w:tcW w:type="dxa" w:w="1169"/>
          </w:tcPr>
          <w:p>
            <w:r>
              <w:rPr>
                <w:sz w:val="20"/>
              </w:rPr>
              <w:t>4e</w:t>
            </w:r>
          </w:p>
        </w:tc>
        <w:tc>
          <w:tcPr>
            <w:tcW w:type="dxa" w:w="1169"/>
          </w:tcPr>
          <w:p>
            <w:r>
              <w:rPr>
                <w:sz w:val="20"/>
              </w:rPr>
              <w:t>LCM/LAL T315I+</w:t>
            </w:r>
          </w:p>
        </w:tc>
        <w:tc>
          <w:tcPr>
            <w:tcW w:type="dxa" w:w="1169"/>
          </w:tcPr>
          <w:p>
            <w:r>
              <w:rPr>
                <w:sz w:val="20"/>
              </w:rPr>
              <w:t>45 mg/j → 15 mg/j</w:t>
            </w:r>
          </w:p>
        </w:tc>
        <w:tc>
          <w:tcPr>
            <w:tcW w:type="dxa" w:w="1169"/>
          </w:tcPr>
          <w:p>
            <w:r>
              <w:rPr>
                <w:sz w:val="20"/>
              </w:rPr>
              <w:t>Thromboses artérielles, pancréatite</w:t>
            </w:r>
          </w:p>
        </w:tc>
        <w:tc>
          <w:tcPr>
            <w:tcW w:type="dxa" w:w="1169"/>
          </w:tcPr>
          <w:p>
            <w:r>
              <w:rPr>
                <w:sz w:val="20"/>
              </w:rPr>
              <w:t>IM/AVC, grossesse, allaitement</w:t>
            </w:r>
          </w:p>
        </w:tc>
        <w:tc>
          <w:tcPr>
            <w:tcW w:type="dxa" w:w="1169"/>
          </w:tcPr>
          <w:p>
            <w:r>
              <w:rPr>
                <w:sz w:val="20"/>
              </w:rPr>
              <w:t>CYP3A4, QT, pamplemousse</w:t>
            </w:r>
          </w:p>
        </w:tc>
      </w:tr>
      <w:tr>
        <w:tc>
          <w:tcPr>
            <w:tcW w:type="dxa" w:w="1169"/>
          </w:tcPr>
          <w:p>
            <w:r>
              <w:rPr>
                <w:sz w:val="20"/>
              </w:rPr>
              <w:t>Erlotinib</w:t>
            </w:r>
          </w:p>
        </w:tc>
        <w:tc>
          <w:tcPr>
            <w:tcW w:type="dxa" w:w="1169"/>
          </w:tcPr>
          <w:p>
            <w:r>
              <w:rPr>
                <w:sz w:val="20"/>
              </w:rPr>
              <w:t>EGFR</w:t>
            </w:r>
          </w:p>
        </w:tc>
        <w:tc>
          <w:tcPr>
            <w:tcW w:type="dxa" w:w="1169"/>
          </w:tcPr>
          <w:p>
            <w:r>
              <w:rPr>
                <w:sz w:val="20"/>
              </w:rPr>
              <w:t>1re</w:t>
            </w:r>
          </w:p>
        </w:tc>
        <w:tc>
          <w:tcPr>
            <w:tcW w:type="dxa" w:w="1169"/>
          </w:tcPr>
          <w:p>
            <w:r>
              <w:rPr>
                <w:sz w:val="20"/>
              </w:rPr>
              <w:t>CBNPC EGFR muté</w:t>
            </w:r>
          </w:p>
        </w:tc>
        <w:tc>
          <w:tcPr>
            <w:tcW w:type="dxa" w:w="1169"/>
          </w:tcPr>
          <w:p>
            <w:r>
              <w:rPr>
                <w:sz w:val="20"/>
              </w:rPr>
              <w:t>150 mg/j</w:t>
            </w:r>
          </w:p>
        </w:tc>
        <w:tc>
          <w:tcPr>
            <w:tcW w:type="dxa" w:w="1169"/>
          </w:tcPr>
          <w:p>
            <w:r>
              <w:rPr>
                <w:sz w:val="20"/>
              </w:rPr>
              <w:t>Rash acnéiforme, diarrhée</w:t>
            </w:r>
          </w:p>
        </w:tc>
        <w:tc>
          <w:tcPr>
            <w:tcW w:type="dxa" w:w="1169"/>
          </w:tcPr>
          <w:p>
            <w:r>
              <w:rPr>
                <w:sz w:val="20"/>
              </w:rPr>
              <w:t>Grossesse, allaitement</w:t>
            </w:r>
          </w:p>
        </w:tc>
        <w:tc>
          <w:tcPr>
            <w:tcW w:type="dxa" w:w="1169"/>
          </w:tcPr>
          <w:p>
            <w:r>
              <w:rPr>
                <w:sz w:val="20"/>
              </w:rPr>
              <w:t>CYP3A4, IPP, tabac</w:t>
            </w:r>
          </w:p>
        </w:tc>
      </w:tr>
      <w:tr>
        <w:tc>
          <w:tcPr>
            <w:tcW w:type="dxa" w:w="1169"/>
          </w:tcPr>
          <w:p>
            <w:r>
              <w:rPr>
                <w:sz w:val="20"/>
              </w:rPr>
              <w:t>Gefitinib</w:t>
            </w:r>
          </w:p>
        </w:tc>
        <w:tc>
          <w:tcPr>
            <w:tcW w:type="dxa" w:w="1169"/>
          </w:tcPr>
          <w:p>
            <w:r>
              <w:rPr>
                <w:sz w:val="20"/>
              </w:rPr>
              <w:t>EGFR</w:t>
            </w:r>
          </w:p>
        </w:tc>
        <w:tc>
          <w:tcPr>
            <w:tcW w:type="dxa" w:w="1169"/>
          </w:tcPr>
          <w:p>
            <w:r>
              <w:rPr>
                <w:sz w:val="20"/>
              </w:rPr>
              <w:t>1re</w:t>
            </w:r>
          </w:p>
        </w:tc>
        <w:tc>
          <w:tcPr>
            <w:tcW w:type="dxa" w:w="1169"/>
          </w:tcPr>
          <w:p>
            <w:r>
              <w:rPr>
                <w:sz w:val="20"/>
              </w:rPr>
              <w:t>CBNPC EGFR muté</w:t>
            </w:r>
          </w:p>
        </w:tc>
        <w:tc>
          <w:tcPr>
            <w:tcW w:type="dxa" w:w="1169"/>
          </w:tcPr>
          <w:p>
            <w:r>
              <w:rPr>
                <w:sz w:val="20"/>
              </w:rPr>
              <w:t>250 mg/j</w:t>
            </w:r>
          </w:p>
        </w:tc>
        <w:tc>
          <w:tcPr>
            <w:tcW w:type="dxa" w:w="1169"/>
          </w:tcPr>
          <w:p>
            <w:r>
              <w:rPr>
                <w:sz w:val="20"/>
              </w:rPr>
              <w:t>Rash, pneumopathie interstitielle</w:t>
            </w:r>
          </w:p>
        </w:tc>
        <w:tc>
          <w:tcPr>
            <w:tcW w:type="dxa" w:w="1169"/>
          </w:tcPr>
          <w:p>
            <w:r>
              <w:rPr>
                <w:sz w:val="20"/>
              </w:rPr>
              <w:t>Grossesse, allaitement</w:t>
            </w:r>
          </w:p>
        </w:tc>
        <w:tc>
          <w:tcPr>
            <w:tcW w:type="dxa" w:w="1169"/>
          </w:tcPr>
          <w:p>
            <w:r>
              <w:rPr>
                <w:sz w:val="20"/>
              </w:rPr>
              <w:t>CYP3A4, IPP</w:t>
            </w:r>
          </w:p>
        </w:tc>
      </w:tr>
      <w:tr>
        <w:tc>
          <w:tcPr>
            <w:tcW w:type="dxa" w:w="1169"/>
          </w:tcPr>
          <w:p>
            <w:r>
              <w:rPr>
                <w:sz w:val="20"/>
              </w:rPr>
              <w:t>Afatinib</w:t>
            </w:r>
          </w:p>
        </w:tc>
        <w:tc>
          <w:tcPr>
            <w:tcW w:type="dxa" w:w="1169"/>
          </w:tcPr>
          <w:p>
            <w:r>
              <w:rPr>
                <w:sz w:val="20"/>
              </w:rPr>
              <w:t>EGFR, HER2, HER4</w:t>
            </w:r>
          </w:p>
        </w:tc>
        <w:tc>
          <w:tcPr>
            <w:tcW w:type="dxa" w:w="1169"/>
          </w:tcPr>
          <w:p>
            <w:r>
              <w:rPr>
                <w:sz w:val="20"/>
              </w:rPr>
              <w:t>2e</w:t>
            </w:r>
          </w:p>
        </w:tc>
        <w:tc>
          <w:tcPr>
            <w:tcW w:type="dxa" w:w="1169"/>
          </w:tcPr>
          <w:p>
            <w:r>
              <w:rPr>
                <w:sz w:val="20"/>
              </w:rPr>
              <w:t>CBNPC EGFR muté (dont mutations rares)</w:t>
            </w:r>
          </w:p>
        </w:tc>
        <w:tc>
          <w:tcPr>
            <w:tcW w:type="dxa" w:w="1169"/>
          </w:tcPr>
          <w:p>
            <w:r>
              <w:rPr>
                <w:sz w:val="20"/>
              </w:rPr>
              <w:t>40 mg/j</w:t>
            </w:r>
          </w:p>
        </w:tc>
        <w:tc>
          <w:tcPr>
            <w:tcW w:type="dxa" w:w="1169"/>
          </w:tcPr>
          <w:p>
            <w:r>
              <w:rPr>
                <w:sz w:val="20"/>
              </w:rPr>
              <w:t>Diarrhée sévère, rash</w:t>
            </w:r>
          </w:p>
        </w:tc>
        <w:tc>
          <w:tcPr>
            <w:tcW w:type="dxa" w:w="1169"/>
          </w:tcPr>
          <w:p>
            <w:r>
              <w:rPr>
                <w:sz w:val="20"/>
              </w:rPr>
              <w:t>Grossesse, allaitement</w:t>
            </w:r>
          </w:p>
        </w:tc>
        <w:tc>
          <w:tcPr>
            <w:tcW w:type="dxa" w:w="1169"/>
          </w:tcPr>
          <w:p>
            <w:r>
              <w:rPr>
                <w:sz w:val="20"/>
              </w:rPr>
              <w:t>P-gp, IPP</w:t>
            </w:r>
          </w:p>
        </w:tc>
      </w:tr>
      <w:tr>
        <w:tc>
          <w:tcPr>
            <w:tcW w:type="dxa" w:w="1169"/>
          </w:tcPr>
          <w:p>
            <w:r>
              <w:rPr>
                <w:sz w:val="20"/>
              </w:rPr>
              <w:t>Osimertinib</w:t>
            </w:r>
          </w:p>
        </w:tc>
        <w:tc>
          <w:tcPr>
            <w:tcW w:type="dxa" w:w="1169"/>
          </w:tcPr>
          <w:p>
            <w:r>
              <w:rPr>
                <w:sz w:val="20"/>
              </w:rPr>
              <w:t>EGFR muté (T790M)</w:t>
            </w:r>
          </w:p>
        </w:tc>
        <w:tc>
          <w:tcPr>
            <w:tcW w:type="dxa" w:w="1169"/>
          </w:tcPr>
          <w:p>
            <w:r>
              <w:rPr>
                <w:sz w:val="20"/>
              </w:rPr>
              <w:t>3e</w:t>
            </w:r>
          </w:p>
        </w:tc>
        <w:tc>
          <w:tcPr>
            <w:tcW w:type="dxa" w:w="1169"/>
          </w:tcPr>
          <w:p>
            <w:r>
              <w:rPr>
                <w:sz w:val="20"/>
              </w:rPr>
              <w:t>CBNPC EGFR muté 1re et 2e ligne</w:t>
            </w:r>
          </w:p>
        </w:tc>
        <w:tc>
          <w:tcPr>
            <w:tcW w:type="dxa" w:w="1169"/>
          </w:tcPr>
          <w:p>
            <w:r>
              <w:rPr>
                <w:sz w:val="20"/>
              </w:rPr>
              <w:t>80 mg/j</w:t>
            </w:r>
          </w:p>
        </w:tc>
        <w:tc>
          <w:tcPr>
            <w:tcW w:type="dxa" w:w="1169"/>
          </w:tcPr>
          <w:p>
            <w:r>
              <w:rPr>
                <w:sz w:val="20"/>
              </w:rPr>
              <w:t>Allongement QTc, cardiomyopathie</w:t>
            </w:r>
          </w:p>
        </w:tc>
        <w:tc>
          <w:tcPr>
            <w:tcW w:type="dxa" w:w="1169"/>
          </w:tcPr>
          <w:p>
            <w:r>
              <w:rPr>
                <w:sz w:val="20"/>
              </w:rPr>
              <w:t>Grossesse, allaitement, QTc long</w:t>
            </w:r>
          </w:p>
        </w:tc>
        <w:tc>
          <w:tcPr>
            <w:tcW w:type="dxa" w:w="1169"/>
          </w:tcPr>
          <w:p>
            <w:r>
              <w:rPr>
                <w:sz w:val="20"/>
              </w:rPr>
              <w:t>CYP3A4 (inducteur)</w:t>
            </w:r>
          </w:p>
        </w:tc>
      </w:tr>
      <w:tr>
        <w:tc>
          <w:tcPr>
            <w:tcW w:type="dxa" w:w="1169"/>
          </w:tcPr>
          <w:p>
            <w:r>
              <w:rPr>
                <w:sz w:val="20"/>
              </w:rPr>
              <w:t>Lapatinib</w:t>
            </w:r>
          </w:p>
        </w:tc>
        <w:tc>
          <w:tcPr>
            <w:tcW w:type="dxa" w:w="1169"/>
          </w:tcPr>
          <w:p>
            <w:r>
              <w:rPr>
                <w:sz w:val="20"/>
              </w:rPr>
              <w:t>HER2, EGFR</w:t>
            </w:r>
          </w:p>
        </w:tc>
        <w:tc>
          <w:tcPr>
            <w:tcW w:type="dxa" w:w="1169"/>
          </w:tcPr>
          <w:p>
            <w:r>
              <w:rPr>
                <w:sz w:val="20"/>
              </w:rPr>
              <w:t>—</w:t>
            </w:r>
          </w:p>
        </w:tc>
        <w:tc>
          <w:tcPr>
            <w:tcW w:type="dxa" w:w="1169"/>
          </w:tcPr>
          <w:p>
            <w:r>
              <w:rPr>
                <w:sz w:val="20"/>
              </w:rPr>
              <w:t>Cancer du sein HER2+</w:t>
            </w:r>
          </w:p>
        </w:tc>
        <w:tc>
          <w:tcPr>
            <w:tcW w:type="dxa" w:w="1169"/>
          </w:tcPr>
          <w:p>
            <w:r>
              <w:rPr>
                <w:sz w:val="20"/>
              </w:rPr>
              <w:t>1250 mg/j</w:t>
            </w:r>
          </w:p>
        </w:tc>
        <w:tc>
          <w:tcPr>
            <w:tcW w:type="dxa" w:w="1169"/>
          </w:tcPr>
          <w:p>
            <w:r>
              <w:rPr>
                <w:sz w:val="20"/>
              </w:rPr>
              <w:t>Diarrhée, syndrome main-pied</w:t>
            </w:r>
          </w:p>
        </w:tc>
        <w:tc>
          <w:tcPr>
            <w:tcW w:type="dxa" w:w="1169"/>
          </w:tcPr>
          <w:p>
            <w:r>
              <w:rPr>
                <w:sz w:val="20"/>
              </w:rPr>
              <w:t>Grossesse, allaitement, hépatotoxicité</w:t>
            </w:r>
          </w:p>
        </w:tc>
        <w:tc>
          <w:tcPr>
            <w:tcW w:type="dxa" w:w="1169"/>
          </w:tcPr>
          <w:p>
            <w:r>
              <w:rPr>
                <w:sz w:val="20"/>
              </w:rPr>
              <w:t>CYP3A4 (++, repas)</w:t>
            </w:r>
          </w:p>
        </w:tc>
      </w:tr>
      <w:tr>
        <w:tc>
          <w:tcPr>
            <w:tcW w:type="dxa" w:w="1169"/>
          </w:tcPr>
          <w:p>
            <w:r>
              <w:rPr>
                <w:sz w:val="20"/>
              </w:rPr>
              <w:t>Sorafenib</w:t>
            </w:r>
          </w:p>
        </w:tc>
        <w:tc>
          <w:tcPr>
            <w:tcW w:type="dxa" w:w="1169"/>
          </w:tcPr>
          <w:p>
            <w:r>
              <w:rPr>
                <w:sz w:val="20"/>
              </w:rPr>
              <w:t>VEGFR, PDGFR, KIT, RET, RAF</w:t>
            </w:r>
          </w:p>
        </w:tc>
        <w:tc>
          <w:tcPr>
            <w:tcW w:type="dxa" w:w="1169"/>
          </w:tcPr>
          <w:p>
            <w:r>
              <w:rPr>
                <w:sz w:val="20"/>
              </w:rPr>
              <w:t>—</w:t>
            </w:r>
          </w:p>
        </w:tc>
        <w:tc>
          <w:tcPr>
            <w:tcW w:type="dxa" w:w="1169"/>
          </w:tcPr>
          <w:p>
            <w:r>
              <w:rPr>
                <w:sz w:val="20"/>
              </w:rPr>
              <w:t>CHC, CRC, cancer thyroïde</w:t>
            </w:r>
          </w:p>
        </w:tc>
        <w:tc>
          <w:tcPr>
            <w:tcW w:type="dxa" w:w="1169"/>
          </w:tcPr>
          <w:p>
            <w:r>
              <w:rPr>
                <w:sz w:val="20"/>
              </w:rPr>
              <w:t>400 mg × 2/j</w:t>
            </w:r>
          </w:p>
        </w:tc>
        <w:tc>
          <w:tcPr>
            <w:tcW w:type="dxa" w:w="1169"/>
          </w:tcPr>
          <w:p>
            <w:r>
              <w:rPr>
                <w:sz w:val="20"/>
              </w:rPr>
              <w:t>Syndrome main-pied, HTA, hypothyroïdie</w:t>
            </w:r>
          </w:p>
        </w:tc>
        <w:tc>
          <w:tcPr>
            <w:tcW w:type="dxa" w:w="1169"/>
          </w:tcPr>
          <w:p>
            <w:r>
              <w:rPr>
                <w:sz w:val="20"/>
              </w:rPr>
              <w:t>Grossesse, allaitement, IM récent</w:t>
            </w:r>
          </w:p>
        </w:tc>
        <w:tc>
          <w:tcPr>
            <w:tcW w:type="dxa" w:w="1169"/>
          </w:tcPr>
          <w:p>
            <w:r>
              <w:rPr>
                <w:sz w:val="20"/>
              </w:rPr>
              <w:t>CGP3A4, UGT1A1</w:t>
            </w:r>
          </w:p>
        </w:tc>
      </w:tr>
      <w:tr>
        <w:tc>
          <w:tcPr>
            <w:tcW w:type="dxa" w:w="1169"/>
          </w:tcPr>
          <w:p>
            <w:r>
              <w:rPr>
                <w:sz w:val="20"/>
              </w:rPr>
              <w:t>Sunitinib</w:t>
            </w:r>
          </w:p>
        </w:tc>
        <w:tc>
          <w:tcPr>
            <w:tcW w:type="dxa" w:w="1169"/>
          </w:tcPr>
          <w:p>
            <w:r>
              <w:rPr>
                <w:sz w:val="20"/>
              </w:rPr>
              <w:t>VEGFR, PDGFR, KIT, FLT3, RET</w:t>
            </w:r>
          </w:p>
        </w:tc>
        <w:tc>
          <w:tcPr>
            <w:tcW w:type="dxa" w:w="1169"/>
          </w:tcPr>
          <w:p>
            <w:r>
              <w:rPr>
                <w:sz w:val="20"/>
              </w:rPr>
              <w:t>—</w:t>
            </w:r>
          </w:p>
        </w:tc>
        <w:tc>
          <w:tcPr>
            <w:tcW w:type="dxa" w:w="1169"/>
          </w:tcPr>
          <w:p>
            <w:r>
              <w:rPr>
                <w:sz w:val="20"/>
              </w:rPr>
              <w:t>Cancer rénal, GIST, TNE pancréatique</w:t>
            </w:r>
          </w:p>
        </w:tc>
        <w:tc>
          <w:tcPr>
            <w:tcW w:type="dxa" w:w="1169"/>
          </w:tcPr>
          <w:p>
            <w:r>
              <w:rPr>
                <w:sz w:val="20"/>
              </w:rPr>
              <w:t>50 mg/j (4/2)</w:t>
            </w:r>
          </w:p>
        </w:tc>
        <w:tc>
          <w:tcPr>
            <w:tcW w:type="dxa" w:w="1169"/>
          </w:tcPr>
          <w:p>
            <w:r>
              <w:rPr>
                <w:sz w:val="20"/>
              </w:rPr>
              <w:t>Fatigue, HTA, hypothyroïdie, PPE</w:t>
            </w:r>
          </w:p>
        </w:tc>
        <w:tc>
          <w:tcPr>
            <w:tcW w:type="dxa" w:w="1169"/>
          </w:tcPr>
          <w:p>
            <w:r>
              <w:rPr>
                <w:sz w:val="20"/>
              </w:rPr>
              <w:t>Grossesse, allaitement</w:t>
            </w:r>
          </w:p>
        </w:tc>
        <w:tc>
          <w:tcPr>
            <w:tcW w:type="dxa" w:w="1169"/>
          </w:tcPr>
          <w:p>
            <w:r>
              <w:rPr>
                <w:sz w:val="20"/>
              </w:rPr>
              <w:t>CYP3A4 (++), QT</w:t>
            </w:r>
          </w:p>
        </w:tc>
      </w:tr>
      <w:tr>
        <w:tc>
          <w:tcPr>
            <w:tcW w:type="dxa" w:w="1169"/>
          </w:tcPr>
          <w:p>
            <w:r>
              <w:rPr>
                <w:sz w:val="20"/>
              </w:rPr>
              <w:t>Regorafenib</w:t>
            </w:r>
          </w:p>
        </w:tc>
        <w:tc>
          <w:tcPr>
            <w:tcW w:type="dxa" w:w="1169"/>
          </w:tcPr>
          <w:p>
            <w:r>
              <w:rPr>
                <w:sz w:val="20"/>
              </w:rPr>
              <w:t>VEGFR, TIE2, RAF, RET, KIT</w:t>
            </w:r>
          </w:p>
        </w:tc>
        <w:tc>
          <w:tcPr>
            <w:tcW w:type="dxa" w:w="1169"/>
          </w:tcPr>
          <w:p>
            <w:r>
              <w:rPr>
                <w:sz w:val="20"/>
              </w:rPr>
              <w:t>—</w:t>
            </w:r>
          </w:p>
        </w:tc>
        <w:tc>
          <w:tcPr>
            <w:tcW w:type="dxa" w:w="1169"/>
          </w:tcPr>
          <w:p>
            <w:r>
              <w:rPr>
                <w:sz w:val="20"/>
              </w:rPr>
              <w:t>CRC, GIST, CHC (2e ligne)</w:t>
            </w:r>
          </w:p>
        </w:tc>
        <w:tc>
          <w:tcPr>
            <w:tcW w:type="dxa" w:w="1169"/>
          </w:tcPr>
          <w:p>
            <w:r>
              <w:rPr>
                <w:sz w:val="20"/>
              </w:rPr>
              <w:t>160 mg/j (3/1)</w:t>
            </w:r>
          </w:p>
        </w:tc>
        <w:tc>
          <w:tcPr>
            <w:tcW w:type="dxa" w:w="1169"/>
          </w:tcPr>
          <w:p>
            <w:r>
              <w:rPr>
                <w:sz w:val="20"/>
              </w:rPr>
              <w:t>PPE sévère, HTA, hépatotoxicité</w:t>
            </w:r>
          </w:p>
        </w:tc>
        <w:tc>
          <w:tcPr>
            <w:tcW w:type="dxa" w:w="1169"/>
          </w:tcPr>
          <w:p>
            <w:r>
              <w:rPr>
                <w:sz w:val="20"/>
              </w:rPr>
              <w:t>Grossesse, allaitement, IM récent</w:t>
            </w:r>
          </w:p>
        </w:tc>
        <w:tc>
          <w:tcPr>
            <w:tcW w:type="dxa" w:w="1169"/>
          </w:tcPr>
          <w:p>
            <w:r>
              <w:rPr>
                <w:sz w:val="20"/>
              </w:rPr>
              <w:t>CYP3A4, UGT1A1</w:t>
            </w:r>
          </w:p>
        </w:tc>
      </w:tr>
      <w:tr>
        <w:tc>
          <w:tcPr>
            <w:tcW w:type="dxa" w:w="1169"/>
          </w:tcPr>
          <w:p>
            <w:r>
              <w:rPr>
                <w:sz w:val="20"/>
              </w:rPr>
              <w:t>Cabozantinib</w:t>
            </w:r>
          </w:p>
        </w:tc>
        <w:tc>
          <w:tcPr>
            <w:tcW w:type="dxa" w:w="1169"/>
          </w:tcPr>
          <w:p>
            <w:r>
              <w:rPr>
                <w:sz w:val="20"/>
              </w:rPr>
              <w:t>VEGFR-2, MET, AXL, RET</w:t>
            </w:r>
          </w:p>
        </w:tc>
        <w:tc>
          <w:tcPr>
            <w:tcW w:type="dxa" w:w="1169"/>
          </w:tcPr>
          <w:p>
            <w:r>
              <w:rPr>
                <w:sz w:val="20"/>
              </w:rPr>
              <w:t>—</w:t>
            </w:r>
          </w:p>
        </w:tc>
        <w:tc>
          <w:tcPr>
            <w:tcW w:type="dxa" w:w="1169"/>
          </w:tcPr>
          <w:p>
            <w:r>
              <w:rPr>
                <w:sz w:val="20"/>
              </w:rPr>
              <w:t>Cancer rénal, CHC, cancer médullothyroïdien</w:t>
            </w:r>
          </w:p>
        </w:tc>
        <w:tc>
          <w:tcPr>
            <w:tcW w:type="dxa" w:w="1169"/>
          </w:tcPr>
          <w:p>
            <w:r>
              <w:rPr>
                <w:sz w:val="20"/>
              </w:rPr>
              <w:t>60 mg/j</w:t>
            </w:r>
          </w:p>
        </w:tc>
        <w:tc>
          <w:tcPr>
            <w:tcW w:type="dxa" w:w="1169"/>
          </w:tcPr>
          <w:p>
            <w:r>
              <w:rPr>
                <w:sz w:val="20"/>
              </w:rPr>
              <w:t>HTA, PPE, fistule digestive</w:t>
            </w:r>
          </w:p>
        </w:tc>
        <w:tc>
          <w:tcPr>
            <w:tcW w:type="dxa" w:w="1169"/>
          </w:tcPr>
          <w:p>
            <w:r>
              <w:rPr>
                <w:sz w:val="20"/>
              </w:rPr>
              <w:t>Grossesse, allaitement, hépatopathie Child C</w:t>
            </w:r>
          </w:p>
        </w:tc>
        <w:tc>
          <w:tcPr>
            <w:tcW w:type="dxa" w:w="1169"/>
          </w:tcPr>
          <w:p>
            <w:r>
              <w:rPr>
                <w:sz w:val="20"/>
              </w:rPr>
              <w:t>CYP3A4 (++), pamplemousse</w:t>
            </w:r>
          </w:p>
        </w:tc>
      </w:tr>
      <w:tr>
        <w:tc>
          <w:tcPr>
            <w:tcW w:type="dxa" w:w="1169"/>
          </w:tcPr>
          <w:p>
            <w:r>
              <w:rPr>
                <w:sz w:val="20"/>
              </w:rPr>
              <w:t>Lenvatinib</w:t>
            </w:r>
          </w:p>
        </w:tc>
        <w:tc>
          <w:tcPr>
            <w:tcW w:type="dxa" w:w="1169"/>
          </w:tcPr>
          <w:p>
            <w:r>
              <w:rPr>
                <w:sz w:val="20"/>
              </w:rPr>
              <w:t>VEGFR, FGFR, RET, KIT</w:t>
            </w:r>
          </w:p>
        </w:tc>
        <w:tc>
          <w:tcPr>
            <w:tcW w:type="dxa" w:w="1169"/>
          </w:tcPr>
          <w:p>
            <w:r>
              <w:rPr>
                <w:sz w:val="20"/>
              </w:rPr>
              <w:t>—</w:t>
            </w:r>
          </w:p>
        </w:tc>
        <w:tc>
          <w:tcPr>
            <w:tcW w:type="dxa" w:w="1169"/>
          </w:tcPr>
          <w:p>
            <w:r>
              <w:rPr>
                <w:sz w:val="20"/>
              </w:rPr>
              <w:t>CHC, cancer thyroïdien, cancer rénal</w:t>
            </w:r>
          </w:p>
        </w:tc>
        <w:tc>
          <w:tcPr>
            <w:tcW w:type="dxa" w:w="1169"/>
          </w:tcPr>
          <w:p>
            <w:r>
              <w:rPr>
                <w:sz w:val="20"/>
              </w:rPr>
              <w:t>8–24 mg/j</w:t>
            </w:r>
          </w:p>
        </w:tc>
        <w:tc>
          <w:tcPr>
            <w:tcW w:type="dxa" w:w="1169"/>
          </w:tcPr>
          <w:p>
            <w:r>
              <w:rPr>
                <w:sz w:val="20"/>
              </w:rPr>
              <w:t>HTA sévère, protéinurie, hypothyroïdie</w:t>
            </w:r>
          </w:p>
        </w:tc>
        <w:tc>
          <w:tcPr>
            <w:tcW w:type="dxa" w:w="1169"/>
          </w:tcPr>
          <w:p>
            <w:r>
              <w:rPr>
                <w:sz w:val="20"/>
              </w:rPr>
              <w:t>Grossesse, allaitement, hépatopathie Child C</w:t>
            </w:r>
          </w:p>
        </w:tc>
        <w:tc>
          <w:tcPr>
            <w:tcW w:type="dxa" w:w="1169"/>
          </w:tcPr>
          <w:p>
            <w:r>
              <w:rPr>
                <w:sz w:val="20"/>
              </w:rPr>
              <w:t>CYP3A4, P-gp</w:t>
            </w:r>
          </w:p>
        </w:tc>
      </w:tr>
      <w:tr>
        <w:tc>
          <w:tcPr>
            <w:tcW w:type="dxa" w:w="1169"/>
          </w:tcPr>
          <w:p>
            <w:r>
              <w:rPr>
                <w:sz w:val="20"/>
              </w:rPr>
              <w:t>Pazopanib</w:t>
            </w:r>
          </w:p>
        </w:tc>
        <w:tc>
          <w:tcPr>
            <w:tcW w:type="dxa" w:w="1169"/>
          </w:tcPr>
          <w:p>
            <w:r>
              <w:rPr>
                <w:sz w:val="20"/>
              </w:rPr>
              <w:t>VEGFR, PDGFR, KIT, FGFR</w:t>
            </w:r>
          </w:p>
        </w:tc>
        <w:tc>
          <w:tcPr>
            <w:tcW w:type="dxa" w:w="1169"/>
          </w:tcPr>
          <w:p>
            <w:r>
              <w:rPr>
                <w:sz w:val="20"/>
              </w:rPr>
              <w:t>—</w:t>
            </w:r>
          </w:p>
        </w:tc>
        <w:tc>
          <w:tcPr>
            <w:tcW w:type="dxa" w:w="1169"/>
          </w:tcPr>
          <w:p>
            <w:r>
              <w:rPr>
                <w:sz w:val="20"/>
              </w:rPr>
              <w:t>Cancer rénal, sarcomes tissus mous</w:t>
            </w:r>
          </w:p>
        </w:tc>
        <w:tc>
          <w:tcPr>
            <w:tcW w:type="dxa" w:w="1169"/>
          </w:tcPr>
          <w:p>
            <w:r>
              <w:rPr>
                <w:sz w:val="20"/>
              </w:rPr>
              <w:t>800 mg/j</w:t>
            </w:r>
          </w:p>
        </w:tc>
        <w:tc>
          <w:tcPr>
            <w:tcW w:type="dxa" w:w="1169"/>
          </w:tcPr>
          <w:p>
            <w:r>
              <w:rPr>
                <w:sz w:val="20"/>
              </w:rPr>
              <w:t>Hépatotoxicité, HTA, décoloration cheveux</w:t>
            </w:r>
          </w:p>
        </w:tc>
        <w:tc>
          <w:tcPr>
            <w:tcW w:type="dxa" w:w="1169"/>
          </w:tcPr>
          <w:p>
            <w:r>
              <w:rPr>
                <w:sz w:val="20"/>
              </w:rPr>
              <w:t>Grossesse, allaitement, hépatopathie Child C</w:t>
            </w:r>
          </w:p>
        </w:tc>
        <w:tc>
          <w:tcPr>
            <w:tcW w:type="dxa" w:w="1169"/>
          </w:tcPr>
          <w:p>
            <w:r>
              <w:rPr>
                <w:sz w:val="20"/>
              </w:rPr>
              <w:t>CYP3A4 (++), IPP</w:t>
            </w:r>
          </w:p>
        </w:tc>
      </w:tr>
      <w:tr>
        <w:tc>
          <w:tcPr>
            <w:tcW w:type="dxa" w:w="1169"/>
          </w:tcPr>
          <w:p>
            <w:r>
              <w:rPr>
                <w:sz w:val="20"/>
              </w:rPr>
              <w:t>Axitinib</w:t>
            </w:r>
          </w:p>
        </w:tc>
        <w:tc>
          <w:tcPr>
            <w:tcW w:type="dxa" w:w="1169"/>
          </w:tcPr>
          <w:p>
            <w:r>
              <w:rPr>
                <w:sz w:val="20"/>
              </w:rPr>
              <w:t>VEGFR-2 (prédominant)</w:t>
            </w:r>
          </w:p>
        </w:tc>
        <w:tc>
          <w:tcPr>
            <w:tcW w:type="dxa" w:w="1169"/>
          </w:tcPr>
          <w:p>
            <w:r>
              <w:rPr>
                <w:sz w:val="20"/>
              </w:rPr>
              <w:t>—</w:t>
            </w:r>
          </w:p>
        </w:tc>
        <w:tc>
          <w:tcPr>
            <w:tcW w:type="dxa" w:w="1169"/>
          </w:tcPr>
          <w:p>
            <w:r>
              <w:rPr>
                <w:sz w:val="20"/>
              </w:rPr>
              <w:t>Cancer rénal 2e ligne</w:t>
            </w:r>
          </w:p>
        </w:tc>
        <w:tc>
          <w:tcPr>
            <w:tcW w:type="dxa" w:w="1169"/>
          </w:tcPr>
          <w:p>
            <w:r>
              <w:rPr>
                <w:sz w:val="20"/>
              </w:rPr>
              <w:t>5 mg × 2/j</w:t>
            </w:r>
          </w:p>
        </w:tc>
        <w:tc>
          <w:tcPr>
            <w:tcW w:type="dxa" w:w="1169"/>
          </w:tcPr>
          <w:p>
            <w:r>
              <w:rPr>
                <w:sz w:val="20"/>
              </w:rPr>
              <w:t>HTA, dysphonie, diarrhée</w:t>
            </w:r>
          </w:p>
        </w:tc>
        <w:tc>
          <w:tcPr>
            <w:tcW w:type="dxa" w:w="1169"/>
          </w:tcPr>
          <w:p>
            <w:r>
              <w:rPr>
                <w:sz w:val="20"/>
              </w:rPr>
              <w:t>Grossesse, allaitement</w:t>
            </w:r>
          </w:p>
        </w:tc>
        <w:tc>
          <w:tcPr>
            <w:tcW w:type="dxa" w:w="1169"/>
          </w:tcPr>
          <w:p>
            <w:r>
              <w:rPr>
                <w:sz w:val="20"/>
              </w:rPr>
              <w:t>CYP3A4 (++), pamplemousse</w:t>
            </w:r>
          </w:p>
        </w:tc>
      </w:tr>
      <w:tr>
        <w:tc>
          <w:tcPr>
            <w:tcW w:type="dxa" w:w="1169"/>
          </w:tcPr>
          <w:p>
            <w:r>
              <w:rPr>
                <w:sz w:val="20"/>
              </w:rPr>
              <w:t>Vemurafenib</w:t>
            </w:r>
          </w:p>
        </w:tc>
        <w:tc>
          <w:tcPr>
            <w:tcW w:type="dxa" w:w="1169"/>
          </w:tcPr>
          <w:p>
            <w:r>
              <w:rPr>
                <w:sz w:val="20"/>
              </w:rPr>
              <w:t>BRAF V600E</w:t>
            </w:r>
          </w:p>
        </w:tc>
        <w:tc>
          <w:tcPr>
            <w:tcW w:type="dxa" w:w="1169"/>
          </w:tcPr>
          <w:p>
            <w:r>
              <w:rPr>
                <w:sz w:val="20"/>
              </w:rPr>
              <w:t>—</w:t>
            </w:r>
          </w:p>
        </w:tc>
        <w:tc>
          <w:tcPr>
            <w:tcW w:type="dxa" w:w="1169"/>
          </w:tcPr>
          <w:p>
            <w:r>
              <w:rPr>
                <w:sz w:val="20"/>
              </w:rPr>
              <w:t>Mélanome V600E+, maladie Erdheim-Chester</w:t>
            </w:r>
          </w:p>
        </w:tc>
        <w:tc>
          <w:tcPr>
            <w:tcW w:type="dxa" w:w="1169"/>
          </w:tcPr>
          <w:p>
            <w:r>
              <w:rPr>
                <w:sz w:val="20"/>
              </w:rPr>
              <w:t>960 mg × 2/j</w:t>
            </w:r>
          </w:p>
        </w:tc>
        <w:tc>
          <w:tcPr>
            <w:tcW w:type="dxa" w:w="1169"/>
          </w:tcPr>
          <w:p>
            <w:r>
              <w:rPr>
                <w:sz w:val="20"/>
              </w:rPr>
              <w:t>Photosensibilité, CSCC, allongement QTc</w:t>
            </w:r>
          </w:p>
        </w:tc>
        <w:tc>
          <w:tcPr>
            <w:tcW w:type="dxa" w:w="1169"/>
          </w:tcPr>
          <w:p>
            <w:r>
              <w:rPr>
                <w:sz w:val="20"/>
              </w:rPr>
              <w:t>Grossesse, allaitement, QTc long</w:t>
            </w:r>
          </w:p>
        </w:tc>
        <w:tc>
          <w:tcPr>
            <w:tcW w:type="dxa" w:w="1169"/>
          </w:tcPr>
          <w:p>
            <w:r>
              <w:rPr>
                <w:sz w:val="20"/>
              </w:rPr>
              <w:t>CYP1A2, CYP2C9, QT</w:t>
            </w:r>
          </w:p>
        </w:tc>
      </w:tr>
      <w:tr>
        <w:tc>
          <w:tcPr>
            <w:tcW w:type="dxa" w:w="1169"/>
          </w:tcPr>
          <w:p>
            <w:r>
              <w:rPr>
                <w:sz w:val="20"/>
              </w:rPr>
              <w:t>Crizotinib</w:t>
            </w:r>
          </w:p>
        </w:tc>
        <w:tc>
          <w:tcPr>
            <w:tcW w:type="dxa" w:w="1169"/>
          </w:tcPr>
          <w:p>
            <w:r>
              <w:rPr>
                <w:sz w:val="20"/>
              </w:rPr>
              <w:t>ALK, ROS1, MET</w:t>
            </w:r>
          </w:p>
        </w:tc>
        <w:tc>
          <w:tcPr>
            <w:tcW w:type="dxa" w:w="1169"/>
          </w:tcPr>
          <w:p>
            <w:r>
              <w:rPr>
                <w:sz w:val="20"/>
              </w:rPr>
              <w:t>1re</w:t>
            </w:r>
          </w:p>
        </w:tc>
        <w:tc>
          <w:tcPr>
            <w:tcW w:type="dxa" w:w="1169"/>
          </w:tcPr>
          <w:p>
            <w:r>
              <w:rPr>
                <w:sz w:val="20"/>
              </w:rPr>
              <w:t>CBNPC ALK+, ROS1+, MET+</w:t>
            </w:r>
          </w:p>
        </w:tc>
        <w:tc>
          <w:tcPr>
            <w:tcW w:type="dxa" w:w="1169"/>
          </w:tcPr>
          <w:p>
            <w:r>
              <w:rPr>
                <w:sz w:val="20"/>
              </w:rPr>
              <w:t>250 mg × 2/j</w:t>
            </w:r>
          </w:p>
        </w:tc>
        <w:tc>
          <w:tcPr>
            <w:tcW w:type="dxa" w:w="1169"/>
          </w:tcPr>
          <w:p>
            <w:r>
              <w:rPr>
                <w:sz w:val="20"/>
              </w:rPr>
              <w:t>Troubles visuels, bradycardie, ILD</w:t>
            </w:r>
          </w:p>
        </w:tc>
        <w:tc>
          <w:tcPr>
            <w:tcW w:type="dxa" w:w="1169"/>
          </w:tcPr>
          <w:p>
            <w:r>
              <w:rPr>
                <w:sz w:val="20"/>
              </w:rPr>
              <w:t>Grossesse, allaitement</w:t>
            </w:r>
          </w:p>
        </w:tc>
        <w:tc>
          <w:tcPr>
            <w:tcW w:type="dxa" w:w="1169"/>
          </w:tcPr>
          <w:p>
            <w:r>
              <w:rPr>
                <w:sz w:val="20"/>
              </w:rPr>
              <w:t>CYP3A4 (++, puissant inhibiteur)</w:t>
            </w:r>
          </w:p>
        </w:tc>
      </w:tr>
    </w:tbl>
    <w:p/>
    <w:p>
      <w:pPr>
        <w:pStyle w:val="Heading2"/>
      </w:pPr>
      <w:r>
        <w:t>104.12 Synthèse pédagogique et messages clés</w:t>
      </w:r>
    </w:p>
    <w:p>
      <w:r>
        <w:t>La thérapie ciblée par ITK a transformé l'oncologie médicale moderne, passant d'une cytotoxicité non sélective à une action moléculaire ciblée sur les altérations oncogéniques spécifiques des cellules tumorales. Les 19 ITK décrits dans ce chapitre illustrent la diversité des approches thérapeutiques : (i) inhibition de la kinase de fusion BCR-ABL (imatinib, dasatinib, nilotinib, bosutinib, ponatinib) dans la LCM et la LAL Ph+ ; (ii) inhibition de l'EGFR (erlotinib, gefitinib, afatinib, osimertinib) dans le CBNPC EGFR muté ; (iii) inhibition de HER2 (lapatinib) dans le cancer du sein HER2+ ; (iv) inhibition multi-cibles anti-angiogénique et anti-tumorale (sorafenib, sunitinib, regorafenib, cabozantinib, lenvatinib, pazopanib, axitinib) dans le carcinome rénal, hépatocellulaire, thyroïdien et les GIST ; (v) inhibition de BRAF V600E (vemurafenib) dans le mélanome ; (vi) inhibition d'ALK (crizotinib) dans le CBNPC ALK+.</w:t>
      </w:r>
    </w:p>
    <w:p>
      <w:pPr>
        <w:pStyle w:val="Heading3"/>
      </w:pPr>
      <w:r>
        <w:t>Messages clés à retenir</w:t>
      </w:r>
    </w:p>
    <w:p>
      <w:pPr>
        <w:pStyle w:val="ListNumber"/>
      </w:pPr>
      <w:r/>
      <w:r>
        <w:rPr>
          <w:b/>
        </w:rPr>
        <w:t>Pré-requis moléculaire obligatoire</w:t>
      </w:r>
      <w:r>
        <w:t xml:space="preserve"> : avant d'initier un ITK, il est impératif de confirmer la présence de la cible moléculaire (BCR-ABL par cytogénétique/FISH/RT-qPCR ; mutation EGFR, ALK, ROS1, BRAF V600E par biologie moléculaire sur biopsie ou ctDNA). L'administration d'un ITK à un patient dont la tumeur ne porte pas la cible est inefficace et expose à des effets indésirables inutiles.</w:t>
      </w:r>
    </w:p>
    <w:p>
      <w:pPr>
        <w:pStyle w:val="ListNumber"/>
      </w:pPr>
      <w:r/>
      <w:r>
        <w:rPr>
          <w:b/>
        </w:rPr>
        <w:t>Effets indésirables signature à connaître</w:t>
      </w:r>
      <w:r>
        <w:t xml:space="preserve"> : chaque ITK a un profil d'effets indésirables caractéristique qui doit être recherché systématiquement : œdèmes péri-orbitaires (imatinib), épanchement pleural (dasatinib), allongement du QTc et événements vasculaires artériels (nilotinib, ponatinib), diarrhée sévère (bosutinib, afatinib, lapatinib), thromboses artérielles (ponatinib), rash acnéiforme (ITK EGFR), pneumopathie interstitielle (ITK EGFR, crizotinib), syndrome main-pied (sorafenib, sunitinib, regorafenib, cabozantinib, lenvatinib), hypertension artérielle (ITK multi-cibles et anti-angiogéniques), hypothyroïdie (sunitinib, sorafenib, lenvatinib), hépatotoxicité (pazopanib, imatinib, bosutinib, ponatinib), photosensibilité et carcinomes spinocellulaires cutanés (vemurafenib), troubles visuels (crizotinib). La connaissance de ces signatures permet une surveillance ciblée et une prise en charge précoce.</w:t>
      </w:r>
    </w:p>
    <w:p>
      <w:pPr>
        <w:pStyle w:val="ListNumber"/>
      </w:pPr>
      <w:r/>
      <w:r>
        <w:rPr>
          <w:b/>
        </w:rPr>
        <w:t>Surveillance cardiovasculaire systématique</w:t>
      </w:r>
      <w:r>
        <w:t xml:space="preserve"> : la majorité des ITK exposent à un risque cardiovasculaire (HTA pour les anti-angiogéniques, allongement du QTc pour le nilotinib, ponatinib, vemurafenib, osimertinib ; dysfonction VG pour le dasatinib, trastuzumab, lapatinib, osimertinib ; événements thrombotiques pour le ponatinib, cabozantinib, lenvatinib). L'évaluation cardiovasculaire préalable (pression artérielle, ECG, échographie cardiaque), l'optimisation des facteurs de risque (arrêt du tabac, contrôle de l'HTA et du diabète, statine si LDL élevé) et la surveillance régulière sont essentielles.</w:t>
      </w:r>
    </w:p>
    <w:p>
      <w:pPr>
        <w:pStyle w:val="ListNumber"/>
      </w:pPr>
      <w:r/>
      <w:r>
        <w:rPr>
          <w:b/>
        </w:rPr>
        <w:t>Interactions médicamenteuses omniprésentes</w:t>
      </w:r>
      <w:r>
        <w:t xml:space="preserve"> : tous les ITK sont métabolisés par le CYP3A4 et exposent à des interactions majeures avec les inducteurs (rifampicine, phénytoïne, carbamazépine, phénobarbital, millepertuis — baissent les concentrations et l'efficacité) et les inhibiteurs (kétoconazole, itraconazole, voriconazole, clarithromycine, ritonavir — augmentent les concentrations et la toxicité). Le pamplemousse et le tabac doivent être proscrits. La warfarine est à remplacer par une HBPM en raison du risque hémorragique majoré. La vérification systématique des médicaments concomitants avant initiation est une étape obligatoire.</w:t>
      </w:r>
    </w:p>
    <w:p>
      <w:pPr>
        <w:pStyle w:val="ListNumber"/>
      </w:pPr>
      <w:r/>
      <w:r>
        <w:rPr>
          <w:b/>
        </w:rPr>
        <w:t>Tératogénicité universelle</w:t>
      </w:r>
      <w:r>
        <w:t xml:space="preserve"> : tous les ITK sont formellement contre-indiqués au cours de la grossesse (anomalies cardiovasculaires, squelettiques, rénales chez l'animal) et pendant l'allaitement. Une contraception efficace (double méthode) est obligatoire chez la femme en âge de procréer et chez le partenaire masculin (durée variable après l'arrêt, de 1 semaine à 4 mois selon la molécule). Le projet de grossesse doit être anticipé avec un switch vers un traitement compatible (interféron alpha pour la LCM).</w:t>
      </w:r>
    </w:p>
    <w:p>
      <w:pPr>
        <w:pStyle w:val="ListNumber"/>
      </w:pPr>
      <w:r/>
      <w:r>
        <w:rPr>
          <w:b/>
        </w:rPr>
        <w:t>Résistances secondaires</w:t>
      </w:r>
      <w:r>
        <w:t xml:space="preserve"> : la quasi-totalité des patients développent une résistance secondaire aux ITK (mutations ponctuelles du domaine kinase, activation de voies de bypass). La surveillance moléculaire (BCR-ABL RT-qPCR pour la LCM, ctDNA pour le CBNPC EGFR/ALK/BRAF) et la recherche de mutations de résistance en cas de progression (NGS) sont essentielles pour adapter la stratégie thérapeutique (switch vers ITK de génération supérieure, immunothérapie, chimiothérapie).</w:t>
      </w:r>
    </w:p>
    <w:p>
      <w:pPr>
        <w:pStyle w:val="ListNumber"/>
      </w:pPr>
      <w:r/>
      <w:r>
        <w:rPr>
          <w:b/>
        </w:rPr>
        <w:t>Suivi thérapeutique pharmacologique (STP)</w:t>
      </w:r>
      <w:r>
        <w:t xml:space="preserve"> : l'index thérapeutique étroit de plusieurs ITK (imatinib, dasatinib, ponatinib) justifie le recours au STP, particulièrement en cas de réponse insuffisante, d'effets indésirables, d'interactions médicamenteuses ou de populations particulières (enfant, insuffisant hépatique/rénal, sujet âgé).</w:t>
      </w:r>
    </w:p>
    <w:p>
      <w:pPr>
        <w:pStyle w:val="ListNumber"/>
      </w:pPr>
      <w:r/>
      <w:r>
        <w:rPr>
          <w:b/>
        </w:rPr>
        <w:t>Voie orale et observance</w:t>
      </w:r>
      <w:r>
        <w:t xml:space="preserve"> : tous les ITK sont administrés par voie orale, ce qui améliore la qualité de vie mais impose une observance stricte (prise à heure fixe, respect des conditions de prise — à jeun pour le dasatinib, nilotinib, axitinib, pazopanib ; au cours d'un repas pour l'imatinib, bosutinib ; indifférent pour les autres). Le pharmacien d'officine joue un rôle central dans l'éducation thérapeutique, la prévention des interactions (automédication, pamplemousse, millepertuis), la surveillance des effets indésirables et le dépistage des difficultés d'observance.</w:t>
      </w:r>
    </w:p>
    <w:p>
      <w:pPr>
        <w:pStyle w:val="ListNumber"/>
      </w:pPr>
      <w:r/>
      <w:r>
        <w:rPr>
          <w:b/>
        </w:rPr>
        <w:t>Accessibilité et circuit de dispensation en Algérie</w:t>
      </w:r>
      <w:r>
        <w:t xml:space="preserve"> : les ITK sont délivrés en Algérie via le circuit hospitalier spécialisé (services d'hématologie clinique et d'oncologie médicale). La disponibilité de génériques locaux (CEMILIC, IMODES, ELPIX, NILODES, TASINIB, XORIAN, BIRLOTIB, EGROTIB, MIRATA, GEPHAL, SORAPHAL, SUNITEX, AXIPHAL, ORIONTINIB, ORION SUNITINIB, ORION NILOTINIB, ORIONLYTA, LENVORION, SORAFENIB EL KENDI, NITAPAL, REGOPHAL, PAZOPANIB BIOPHARM, AFATINIB BIOPHARM, SUNITINIB BIOPHARM) et indiens (IMALEK, IMATIB, SUNIBE) a permis un accès élargi à ces traitements coûteux. Le pharmacien d'officina peut être amené à dispenser certains ITK en ville (suite à une prescription hospitalière), et doit alors vérifier la traçabilité, l'observance, les effets indésirables et les interactions.</w:t>
      </w:r>
    </w:p>
    <w:p>
      <w:pPr>
        <w:pStyle w:val="ListNumber"/>
      </w:pPr>
      <w:r/>
      <w:r>
        <w:rPr>
          <w:b/>
        </w:rPr>
        <w:t>Révolution thérapeutique et pronostic</w:t>
      </w:r>
      <w:r>
        <w:t xml:space="preserve"> : l'avènement des ITK a transformé le pronostic de nombreuses néoplasies : la LCM Ph+ est passée d'une maladie constamment fatale (espérance de vie à 5 ans &lt; 30 % à l'ère de l'interféron) à une affection chronique contrôlable au long cours (espérance de vie à 5 ans &gt; 95 % sous imatinib) ; le mélanome métastatique BRAF V600E+ est passé d'une survie médiane de 6–9 mois (à l'ère de la dacarbazine) à 13–16 mois (sous vemurafenib) et au-delà en association au cobimétinib ; le CBNPC EGFR muté est passé d'une survie médiane de 6–8 mois (à l'ère de la chimiothérapie) à 18–38 mois (sous osimertinib en 1re ligne) ; le carcinome rénal métastatique est passé d'une survie médiane de 10–12 mois (à l'ère de l'interféron/IL-2) à 30+ mois (sous sunitinib, pazopanib, cabozantinib). Ces progrès justifient l'enseignement approfondi des ITK dans la formation des pharmaciens algériens, qui joueront un rôle central dans la dispensation, la surveillance et l'éducation thérapeutique des patients traités par ITK.</w:t>
      </w:r>
    </w:p>
    <w:p>
      <w:r/>
      <w:r>
        <w:rPr>
          <w:i/>
        </w:rPr>
        <w:t>Fin du chapitre 104 — Thérapies ciblées : Inhibiteurs de tyrosine kinase (ITK)</w:t>
      </w:r>
      <w:r/>
    </w:p>
    <w:p>
      <w:pPr>
        <w:pStyle w:val="Heading2"/>
      </w:pPr>
      <w:r>
        <w:t>Annexe 104.A — Pharmacocinétique comparée des 19 ITK</w:t>
      </w:r>
    </w:p>
    <w:p>
      <w:r>
        <w:t>La pharmacocinétique des ITK partage plusieurs caractéristiques communes : (i) administration orale stricte, (ii) absorption variable selon la prise alimentaire (à jeun pour le dasatinib, nilotinib, axitinib, pazopanib, erlotinib, gefitinib, afatinib, lapatinib ; indifférente pour les autres), (iii) métabolisme hépatique principal par le CYP3A4, (iv) demi-vie d'élimination longue (10 à 60 heures) permettant une monoprise ou une biquotidienne, (v) élimination fécale majoritaire (via la bile) et rénale minoritaire.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Biodisponibilité orale</w:t>
            </w:r>
          </w:p>
        </w:tc>
        <w:tc>
          <w:tcPr>
            <w:tcW w:type="dxa" w:w="1169"/>
          </w:tcPr>
          <w:p>
            <w:r>
              <w:rPr>
                <w:b/>
                <w:sz w:val="20"/>
              </w:rPr>
              <w:t>Tmax (h)</w:t>
            </w:r>
          </w:p>
        </w:tc>
        <w:tc>
          <w:tcPr>
            <w:tcW w:type="dxa" w:w="1169"/>
          </w:tcPr>
          <w:p>
            <w:r>
              <w:rPr>
                <w:b/>
                <w:sz w:val="20"/>
              </w:rPr>
              <w:t>Demi-vie (h)</w:t>
            </w:r>
          </w:p>
        </w:tc>
        <w:tc>
          <w:tcPr>
            <w:tcW w:type="dxa" w:w="1169"/>
          </w:tcPr>
          <w:p>
            <w:r>
              <w:rPr>
                <w:b/>
                <w:sz w:val="20"/>
              </w:rPr>
              <w:t>Liaison protéique (%)</w:t>
            </w:r>
          </w:p>
        </w:tc>
        <w:tc>
          <w:tcPr>
            <w:tcW w:type="dxa" w:w="1169"/>
          </w:tcPr>
          <w:p>
            <w:r>
              <w:rPr>
                <w:b/>
                <w:sz w:val="20"/>
              </w:rPr>
              <w:t>Métabolisme</w:t>
            </w:r>
          </w:p>
        </w:tc>
        <w:tc>
          <w:tcPr>
            <w:tcW w:type="dxa" w:w="1169"/>
          </w:tcPr>
          <w:p>
            <w:r>
              <w:rPr>
                <w:b/>
                <w:sz w:val="20"/>
              </w:rPr>
              <w:t>Élimination principale</w:t>
            </w:r>
          </w:p>
        </w:tc>
        <w:tc>
          <w:tcPr>
            <w:tcW w:type="dxa" w:w="1169"/>
          </w:tcPr>
          <w:p>
            <w:r>
              <w:rPr>
                <w:b/>
                <w:sz w:val="20"/>
              </w:rPr>
              <w:t>Effet alimentaire</w:t>
            </w:r>
          </w:p>
        </w:tc>
      </w:tr>
      <w:tr>
        <w:tc>
          <w:tcPr>
            <w:tcW w:type="dxa" w:w="1169"/>
          </w:tcPr>
          <w:p>
            <w:r>
              <w:rPr>
                <w:sz w:val="20"/>
              </w:rPr>
              <w:t>Imatinib</w:t>
            </w:r>
          </w:p>
        </w:tc>
        <w:tc>
          <w:tcPr>
            <w:tcW w:type="dxa" w:w="1169"/>
          </w:tcPr>
          <w:p>
            <w:r>
              <w:rPr>
                <w:sz w:val="20"/>
              </w:rPr>
              <w:t>98 %</w:t>
            </w:r>
          </w:p>
        </w:tc>
        <w:tc>
          <w:tcPr>
            <w:tcW w:type="dxa" w:w="1169"/>
          </w:tcPr>
          <w:p>
            <w:r>
              <w:rPr>
                <w:sz w:val="20"/>
              </w:rPr>
              <w:t>2–4</w:t>
            </w:r>
          </w:p>
        </w:tc>
        <w:tc>
          <w:tcPr>
            <w:tcW w:type="dxa" w:w="1169"/>
          </w:tcPr>
          <w:p>
            <w:r>
              <w:rPr>
                <w:sz w:val="20"/>
              </w:rPr>
              <w:t>18–22 (parent) ; 40 (métabolite actif N-désméthyl)</w:t>
            </w:r>
          </w:p>
        </w:tc>
        <w:tc>
          <w:tcPr>
            <w:tcW w:type="dxa" w:w="1169"/>
          </w:tcPr>
          <w:p>
            <w:r>
              <w:rPr>
                <w:sz w:val="20"/>
              </w:rPr>
              <w:t>95 %</w:t>
            </w:r>
          </w:p>
        </w:tc>
        <w:tc>
          <w:tcPr>
            <w:tcW w:type="dxa" w:w="1169"/>
          </w:tcPr>
          <w:p>
            <w:r>
              <w:rPr>
                <w:sz w:val="20"/>
              </w:rPr>
              <w:t>CYP3A4 (N-déméthylation → N-désméthyl-imatinib actif)</w:t>
            </w:r>
          </w:p>
        </w:tc>
        <w:tc>
          <w:tcPr>
            <w:tcW w:type="dxa" w:w="1169"/>
          </w:tcPr>
          <w:p>
            <w:r>
              <w:rPr>
                <w:sz w:val="20"/>
              </w:rPr>
              <w:t>Fécale 68 %, rénale 13 %</w:t>
            </w:r>
          </w:p>
        </w:tc>
        <w:tc>
          <w:tcPr>
            <w:tcW w:type="dxa" w:w="1169"/>
          </w:tcPr>
          <w:p>
            <w:r>
              <w:rPr>
                <w:sz w:val="20"/>
              </w:rPr>
              <w:t>↑ ASC avec repas riche en graisses</w:t>
            </w:r>
          </w:p>
        </w:tc>
      </w:tr>
      <w:tr>
        <w:tc>
          <w:tcPr>
            <w:tcW w:type="dxa" w:w="1169"/>
          </w:tcPr>
          <w:p>
            <w:r>
              <w:rPr>
                <w:sz w:val="20"/>
              </w:rPr>
              <w:t>Dasatinib</w:t>
            </w:r>
          </w:p>
        </w:tc>
        <w:tc>
          <w:tcPr>
            <w:tcW w:type="dxa" w:w="1169"/>
          </w:tcPr>
          <w:p>
            <w:r>
              <w:rPr>
                <w:sz w:val="20"/>
              </w:rPr>
              <w:t>14–34 %</w:t>
            </w:r>
          </w:p>
        </w:tc>
        <w:tc>
          <w:tcPr>
            <w:tcW w:type="dxa" w:w="1169"/>
          </w:tcPr>
          <w:p>
            <w:r>
              <w:rPr>
                <w:sz w:val="20"/>
              </w:rPr>
              <w:t>0,5–6</w:t>
            </w:r>
          </w:p>
        </w:tc>
        <w:tc>
          <w:tcPr>
            <w:tcW w:type="dxa" w:w="1169"/>
          </w:tcPr>
          <w:p>
            <w:r>
              <w:rPr>
                <w:sz w:val="20"/>
              </w:rPr>
              <w:t>3–5</w:t>
            </w:r>
          </w:p>
        </w:tc>
        <w:tc>
          <w:tcPr>
            <w:tcW w:type="dxa" w:w="1169"/>
          </w:tcPr>
          <w:p>
            <w:r>
              <w:rPr>
                <w:sz w:val="20"/>
              </w:rPr>
              <w:t>96 %</w:t>
            </w:r>
          </w:p>
        </w:tc>
        <w:tc>
          <w:tcPr>
            <w:tcW w:type="dxa" w:w="1169"/>
          </w:tcPr>
          <w:p>
            <w:r>
              <w:rPr>
                <w:sz w:val="20"/>
              </w:rPr>
              <w:t>CYP3A4</w:t>
            </w:r>
          </w:p>
        </w:tc>
        <w:tc>
          <w:tcPr>
            <w:tcW w:type="dxa" w:w="1169"/>
          </w:tcPr>
          <w:p>
            <w:r>
              <w:rPr>
                <w:sz w:val="20"/>
              </w:rPr>
              <w:t>Fécale 85 %, rénale 4 %</w:t>
            </w:r>
          </w:p>
        </w:tc>
        <w:tc>
          <w:tcPr>
            <w:tcW w:type="dxa" w:w="1169"/>
          </w:tcPr>
          <w:p>
            <w:r>
              <w:rPr>
                <w:sz w:val="20"/>
              </w:rPr>
              <w:t>↓ À jeun strict</w:t>
            </w:r>
          </w:p>
        </w:tc>
      </w:tr>
      <w:tr>
        <w:tc>
          <w:tcPr>
            <w:tcW w:type="dxa" w:w="1169"/>
          </w:tcPr>
          <w:p>
            <w:r>
              <w:rPr>
                <w:sz w:val="20"/>
              </w:rPr>
              <w:t>Nilotinib</w:t>
            </w:r>
          </w:p>
        </w:tc>
        <w:tc>
          <w:tcPr>
            <w:tcW w:type="dxa" w:w="1169"/>
          </w:tcPr>
          <w:p>
            <w:r>
              <w:rPr>
                <w:sz w:val="20"/>
              </w:rPr>
              <w:t>30 %</w:t>
            </w:r>
          </w:p>
        </w:tc>
        <w:tc>
          <w:tcPr>
            <w:tcW w:type="dxa" w:w="1169"/>
          </w:tcPr>
          <w:p>
            <w:r>
              <w:rPr>
                <w:sz w:val="20"/>
              </w:rPr>
              <w:t>3</w:t>
            </w:r>
          </w:p>
        </w:tc>
        <w:tc>
          <w:tcPr>
            <w:tcW w:type="dxa" w:w="1169"/>
          </w:tcPr>
          <w:p>
            <w:r>
              <w:rPr>
                <w:sz w:val="20"/>
              </w:rPr>
              <w:t>17</w:t>
            </w:r>
          </w:p>
        </w:tc>
        <w:tc>
          <w:tcPr>
            <w:tcW w:type="dxa" w:w="1169"/>
          </w:tcPr>
          <w:p>
            <w:r>
              <w:rPr>
                <w:sz w:val="20"/>
              </w:rPr>
              <w:t>98 %</w:t>
            </w:r>
          </w:p>
        </w:tc>
        <w:tc>
          <w:tcPr>
            <w:tcW w:type="dxa" w:w="1169"/>
          </w:tcPr>
          <w:p>
            <w:r>
              <w:rPr>
                <w:sz w:val="20"/>
              </w:rPr>
              <w:t>CYP3A4</w:t>
            </w:r>
          </w:p>
        </w:tc>
        <w:tc>
          <w:tcPr>
            <w:tcW w:type="dxa" w:w="1169"/>
          </w:tcPr>
          <w:p>
            <w:r>
              <w:rPr>
                <w:sz w:val="20"/>
              </w:rPr>
              <w:t>Fécale 90 %</w:t>
            </w:r>
          </w:p>
        </w:tc>
        <w:tc>
          <w:tcPr>
            <w:tcW w:type="dxa" w:w="1169"/>
          </w:tcPr>
          <w:p>
            <w:r>
              <w:rPr>
                <w:sz w:val="20"/>
              </w:rPr>
              <w:t>↑↑ ASC avec repas riche en graisses (CI absolue)</w:t>
            </w:r>
          </w:p>
        </w:tc>
      </w:tr>
      <w:tr>
        <w:tc>
          <w:tcPr>
            <w:tcW w:type="dxa" w:w="1169"/>
          </w:tcPr>
          <w:p>
            <w:r>
              <w:rPr>
                <w:sz w:val="20"/>
              </w:rPr>
              <w:t>Bosutinib</w:t>
            </w:r>
          </w:p>
        </w:tc>
        <w:tc>
          <w:tcPr>
            <w:tcW w:type="dxa" w:w="1169"/>
          </w:tcPr>
          <w:p>
            <w:r>
              <w:rPr>
                <w:sz w:val="20"/>
              </w:rPr>
              <w:t>34 %</w:t>
            </w:r>
          </w:p>
        </w:tc>
        <w:tc>
          <w:tcPr>
            <w:tcW w:type="dxa" w:w="1169"/>
          </w:tcPr>
          <w:p>
            <w:r>
              <w:rPr>
                <w:sz w:val="20"/>
              </w:rPr>
              <w:t>4–6</w:t>
            </w:r>
          </w:p>
        </w:tc>
        <w:tc>
          <w:tcPr>
            <w:tcW w:type="dxa" w:w="1169"/>
          </w:tcPr>
          <w:p>
            <w:r>
              <w:rPr>
                <w:sz w:val="20"/>
              </w:rPr>
              <w:t>22,5</w:t>
            </w:r>
          </w:p>
        </w:tc>
        <w:tc>
          <w:tcPr>
            <w:tcW w:type="dxa" w:w="1169"/>
          </w:tcPr>
          <w:p>
            <w:r>
              <w:rPr>
                <w:sz w:val="20"/>
              </w:rPr>
              <w:t>96 %</w:t>
            </w:r>
          </w:p>
        </w:tc>
        <w:tc>
          <w:tcPr>
            <w:tcW w:type="dxa" w:w="1169"/>
          </w:tcPr>
          <w:p>
            <w:r>
              <w:rPr>
                <w:sz w:val="20"/>
              </w:rPr>
              <w:t>CYP3A4</w:t>
            </w:r>
          </w:p>
        </w:tc>
        <w:tc>
          <w:tcPr>
            <w:tcW w:type="dxa" w:w="1169"/>
          </w:tcPr>
          <w:p>
            <w:r>
              <w:rPr>
                <w:sz w:val="20"/>
              </w:rPr>
              <w:t>Fécale 91 %, rénale 3 %</w:t>
            </w:r>
          </w:p>
        </w:tc>
        <w:tc>
          <w:tcPr>
            <w:tcW w:type="dxa" w:w="1169"/>
          </w:tcPr>
          <w:p>
            <w:r>
              <w:rPr>
                <w:sz w:val="20"/>
              </w:rPr>
              <w:t>↑ ASC (prise au cours du repas)</w:t>
            </w:r>
          </w:p>
        </w:tc>
      </w:tr>
      <w:tr>
        <w:tc>
          <w:tcPr>
            <w:tcW w:type="dxa" w:w="1169"/>
          </w:tcPr>
          <w:p>
            <w:r>
              <w:rPr>
                <w:sz w:val="20"/>
              </w:rPr>
              <w:t>Ponatinib</w:t>
            </w:r>
          </w:p>
        </w:tc>
        <w:tc>
          <w:tcPr>
            <w:tcW w:type="dxa" w:w="1169"/>
          </w:tcPr>
          <w:p>
            <w:r>
              <w:rPr>
                <w:sz w:val="20"/>
              </w:rPr>
              <w:t>Variable</w:t>
            </w:r>
          </w:p>
        </w:tc>
        <w:tc>
          <w:tcPr>
            <w:tcW w:type="dxa" w:w="1169"/>
          </w:tcPr>
          <w:p>
            <w:r>
              <w:rPr>
                <w:sz w:val="20"/>
              </w:rPr>
              <w:t>4</w:t>
            </w:r>
          </w:p>
        </w:tc>
        <w:tc>
          <w:tcPr>
            <w:tcW w:type="dxa" w:w="1169"/>
          </w:tcPr>
          <w:p>
            <w:r>
              <w:rPr>
                <w:sz w:val="20"/>
              </w:rPr>
              <w:t>24</w:t>
            </w:r>
          </w:p>
        </w:tc>
        <w:tc>
          <w:tcPr>
            <w:tcW w:type="dxa" w:w="1169"/>
          </w:tcPr>
          <w:p>
            <w:r>
              <w:rPr>
                <w:sz w:val="20"/>
              </w:rPr>
              <w:t>99 %</w:t>
            </w:r>
          </w:p>
        </w:tc>
        <w:tc>
          <w:tcPr>
            <w:tcW w:type="dxa" w:w="1169"/>
          </w:tcPr>
          <w:p>
            <w:r>
              <w:rPr>
                <w:sz w:val="20"/>
              </w:rPr>
              <w:t>CYP3A4, estérases</w:t>
            </w:r>
          </w:p>
        </w:tc>
        <w:tc>
          <w:tcPr>
            <w:tcW w:type="dxa" w:w="1169"/>
          </w:tcPr>
          <w:p>
            <w:r>
              <w:rPr>
                <w:sz w:val="20"/>
              </w:rPr>
              <w:t>Fécale 87 %, rénale 5 %</w:t>
            </w:r>
          </w:p>
        </w:tc>
        <w:tc>
          <w:tcPr>
            <w:tcW w:type="dxa" w:w="1169"/>
          </w:tcPr>
          <w:p>
            <w:r>
              <w:rPr>
                <w:sz w:val="20"/>
              </w:rPr>
              <w:t>Indifférent</w:t>
            </w:r>
          </w:p>
        </w:tc>
      </w:tr>
      <w:tr>
        <w:tc>
          <w:tcPr>
            <w:tcW w:type="dxa" w:w="1169"/>
          </w:tcPr>
          <w:p>
            <w:r>
              <w:rPr>
                <w:sz w:val="20"/>
              </w:rPr>
              <w:t>Erlotinib</w:t>
            </w:r>
          </w:p>
        </w:tc>
        <w:tc>
          <w:tcPr>
            <w:tcW w:type="dxa" w:w="1169"/>
          </w:tcPr>
          <w:p>
            <w:r>
              <w:rPr>
                <w:sz w:val="20"/>
              </w:rPr>
              <w:t>60 %</w:t>
            </w:r>
          </w:p>
        </w:tc>
        <w:tc>
          <w:tcPr>
            <w:tcW w:type="dxa" w:w="1169"/>
          </w:tcPr>
          <w:p>
            <w:r>
              <w:rPr>
                <w:sz w:val="20"/>
              </w:rPr>
              <w:t>4</w:t>
            </w:r>
          </w:p>
        </w:tc>
        <w:tc>
          <w:tcPr>
            <w:tcW w:type="dxa" w:w="1169"/>
          </w:tcPr>
          <w:p>
            <w:r>
              <w:rPr>
                <w:sz w:val="20"/>
              </w:rPr>
              <w:t>18–24 (parent) ; 24–48 (métabolite)</w:t>
            </w:r>
          </w:p>
        </w:tc>
        <w:tc>
          <w:tcPr>
            <w:tcW w:type="dxa" w:w="1169"/>
          </w:tcPr>
          <w:p>
            <w:r>
              <w:rPr>
                <w:sz w:val="20"/>
              </w:rPr>
              <w:t>93 %</w:t>
            </w:r>
          </w:p>
        </w:tc>
        <w:tc>
          <w:tcPr>
            <w:tcW w:type="dxa" w:w="1169"/>
          </w:tcPr>
          <w:p>
            <w:r>
              <w:rPr>
                <w:sz w:val="20"/>
              </w:rPr>
              <w:t>CYP3A4, CYP1A2</w:t>
            </w:r>
          </w:p>
        </w:tc>
        <w:tc>
          <w:tcPr>
            <w:tcW w:type="dxa" w:w="1169"/>
          </w:tcPr>
          <w:p>
            <w:r>
              <w:rPr>
                <w:sz w:val="20"/>
              </w:rPr>
              <w:t>Fécale 86 %, rénale 9 %</w:t>
            </w:r>
          </w:p>
        </w:tc>
        <w:tc>
          <w:tcPr>
            <w:tcW w:type="dxa" w:w="1169"/>
          </w:tcPr>
          <w:p>
            <w:r>
              <w:rPr>
                <w:sz w:val="20"/>
              </w:rPr>
              <w:t>↓ ASC avec repas riche en graisses</w:t>
            </w:r>
          </w:p>
        </w:tc>
      </w:tr>
      <w:tr>
        <w:tc>
          <w:tcPr>
            <w:tcW w:type="dxa" w:w="1169"/>
          </w:tcPr>
          <w:p>
            <w:r>
              <w:rPr>
                <w:sz w:val="20"/>
              </w:rPr>
              <w:t>Gefitinib</w:t>
            </w:r>
          </w:p>
        </w:tc>
        <w:tc>
          <w:tcPr>
            <w:tcW w:type="dxa" w:w="1169"/>
          </w:tcPr>
          <w:p>
            <w:r>
              <w:rPr>
                <w:sz w:val="20"/>
              </w:rPr>
              <w:t>60 %</w:t>
            </w:r>
          </w:p>
        </w:tc>
        <w:tc>
          <w:tcPr>
            <w:tcW w:type="dxa" w:w="1169"/>
          </w:tcPr>
          <w:p>
            <w:r>
              <w:rPr>
                <w:sz w:val="20"/>
              </w:rPr>
              <w:t>3–7</w:t>
            </w:r>
          </w:p>
        </w:tc>
        <w:tc>
          <w:tcPr>
            <w:tcW w:type="dxa" w:w="1169"/>
          </w:tcPr>
          <w:p>
            <w:r>
              <w:rPr>
                <w:sz w:val="20"/>
              </w:rPr>
              <w:t>41</w:t>
            </w:r>
          </w:p>
        </w:tc>
        <w:tc>
          <w:tcPr>
            <w:tcW w:type="dxa" w:w="1169"/>
          </w:tcPr>
          <w:p>
            <w:r>
              <w:rPr>
                <w:sz w:val="20"/>
              </w:rPr>
              <w:t>90 %</w:t>
            </w:r>
          </w:p>
        </w:tc>
        <w:tc>
          <w:tcPr>
            <w:tcW w:type="dxa" w:w="1169"/>
          </w:tcPr>
          <w:p>
            <w:r>
              <w:rPr>
                <w:sz w:val="20"/>
              </w:rPr>
              <w:t>CYP3A4, CYP2D6</w:t>
            </w:r>
          </w:p>
        </w:tc>
        <w:tc>
          <w:tcPr>
            <w:tcW w:type="dxa" w:w="1169"/>
          </w:tcPr>
          <w:p>
            <w:r>
              <w:rPr>
                <w:sz w:val="20"/>
              </w:rPr>
              <w:t>Fécale 86 %, rénale &lt; 5 %</w:t>
            </w:r>
          </w:p>
        </w:tc>
        <w:tc>
          <w:tcPr>
            <w:tcW w:type="dxa" w:w="1169"/>
          </w:tcPr>
          <w:p>
            <w:r>
              <w:rPr>
                <w:sz w:val="20"/>
              </w:rPr>
              <w:t>↑ ASC (peu significatif)</w:t>
            </w:r>
          </w:p>
        </w:tc>
      </w:tr>
      <w:tr>
        <w:tc>
          <w:tcPr>
            <w:tcW w:type="dxa" w:w="1169"/>
          </w:tcPr>
          <w:p>
            <w:r>
              <w:rPr>
                <w:sz w:val="20"/>
              </w:rPr>
              <w:t>Afatinib</w:t>
            </w:r>
          </w:p>
        </w:tc>
        <w:tc>
          <w:tcPr>
            <w:tcW w:type="dxa" w:w="1169"/>
          </w:tcPr>
          <w:p>
            <w:r>
              <w:rPr>
                <w:sz w:val="20"/>
              </w:rPr>
              <w:t>92 %</w:t>
            </w:r>
          </w:p>
        </w:tc>
        <w:tc>
          <w:tcPr>
            <w:tcW w:type="dxa" w:w="1169"/>
          </w:tcPr>
          <w:p>
            <w:r>
              <w:rPr>
                <w:sz w:val="20"/>
              </w:rPr>
              <w:t>2–5</w:t>
            </w:r>
          </w:p>
        </w:tc>
        <w:tc>
          <w:tcPr>
            <w:tcW w:type="dxa" w:w="1169"/>
          </w:tcPr>
          <w:p>
            <w:r>
              <w:rPr>
                <w:sz w:val="20"/>
              </w:rPr>
              <w:t>37</w:t>
            </w:r>
          </w:p>
        </w:tc>
        <w:tc>
          <w:tcPr>
            <w:tcW w:type="dxa" w:w="1169"/>
          </w:tcPr>
          <w:p>
            <w:r>
              <w:rPr>
                <w:sz w:val="20"/>
              </w:rPr>
              <w:t>95 %</w:t>
            </w:r>
          </w:p>
        </w:tc>
        <w:tc>
          <w:tcPr>
            <w:tcW w:type="dxa" w:w="1169"/>
          </w:tcPr>
          <w:p>
            <w:r>
              <w:rPr>
                <w:sz w:val="20"/>
              </w:rPr>
              <w:t>Réactions de conjugaison (peu de CYP3A4)</w:t>
            </w:r>
          </w:p>
        </w:tc>
        <w:tc>
          <w:tcPr>
            <w:tcW w:type="dxa" w:w="1169"/>
          </w:tcPr>
          <w:p>
            <w:r>
              <w:rPr>
                <w:sz w:val="20"/>
              </w:rPr>
              <w:t>Fécale 85 %, rénale 5 %</w:t>
            </w:r>
          </w:p>
        </w:tc>
        <w:tc>
          <w:tcPr>
            <w:tcW w:type="dxa" w:w="1169"/>
          </w:tcPr>
          <w:p>
            <w:r>
              <w:rPr>
                <w:sz w:val="20"/>
              </w:rPr>
              <w:t>↓↑ ASC (à jeun recommandé)</w:t>
            </w:r>
          </w:p>
        </w:tc>
      </w:tr>
      <w:tr>
        <w:tc>
          <w:tcPr>
            <w:tcW w:type="dxa" w:w="1169"/>
          </w:tcPr>
          <w:p>
            <w:r>
              <w:rPr>
                <w:sz w:val="20"/>
              </w:rPr>
              <w:t>Osimertinib</w:t>
            </w:r>
          </w:p>
        </w:tc>
        <w:tc>
          <w:tcPr>
            <w:tcW w:type="dxa" w:w="1169"/>
          </w:tcPr>
          <w:p>
            <w:r>
              <w:rPr>
                <w:sz w:val="20"/>
              </w:rPr>
              <w:t>70 %</w:t>
            </w:r>
          </w:p>
        </w:tc>
        <w:tc>
          <w:tcPr>
            <w:tcW w:type="dxa" w:w="1169"/>
          </w:tcPr>
          <w:p>
            <w:r>
              <w:rPr>
                <w:sz w:val="20"/>
              </w:rPr>
              <w:t>6</w:t>
            </w:r>
          </w:p>
        </w:tc>
        <w:tc>
          <w:tcPr>
            <w:tcW w:type="dxa" w:w="1169"/>
          </w:tcPr>
          <w:p>
            <w:r>
              <w:rPr>
                <w:sz w:val="20"/>
              </w:rPr>
              <w:t>48</w:t>
            </w:r>
          </w:p>
        </w:tc>
        <w:tc>
          <w:tcPr>
            <w:tcW w:type="dxa" w:w="1169"/>
          </w:tcPr>
          <w:p>
            <w:r>
              <w:rPr>
                <w:sz w:val="20"/>
              </w:rPr>
              <w:t>95 %</w:t>
            </w:r>
          </w:p>
        </w:tc>
        <w:tc>
          <w:tcPr>
            <w:tcW w:type="dxa" w:w="1169"/>
          </w:tcPr>
          <w:p>
            <w:r>
              <w:rPr>
                <w:sz w:val="20"/>
              </w:rPr>
              <w:t>CYP3A4</w:t>
            </w:r>
          </w:p>
        </w:tc>
        <w:tc>
          <w:tcPr>
            <w:tcW w:type="dxa" w:w="1169"/>
          </w:tcPr>
          <w:p>
            <w:r>
              <w:rPr>
                <w:sz w:val="20"/>
              </w:rPr>
              <w:t>Fécale 68 %, rénale 14 %</w:t>
            </w:r>
          </w:p>
        </w:tc>
        <w:tc>
          <w:tcPr>
            <w:tcW w:type="dxa" w:w="1169"/>
          </w:tcPr>
          <w:p>
            <w:r>
              <w:rPr>
                <w:sz w:val="20"/>
              </w:rPr>
              <w:t>Indifférent</w:t>
            </w:r>
          </w:p>
        </w:tc>
      </w:tr>
      <w:tr>
        <w:tc>
          <w:tcPr>
            <w:tcW w:type="dxa" w:w="1169"/>
          </w:tcPr>
          <w:p>
            <w:r>
              <w:rPr>
                <w:sz w:val="20"/>
              </w:rPr>
              <w:t>Lapatinib</w:t>
            </w:r>
          </w:p>
        </w:tc>
        <w:tc>
          <w:tcPr>
            <w:tcW w:type="dxa" w:w="1169"/>
          </w:tcPr>
          <w:p>
            <w:r>
              <w:rPr>
                <w:sz w:val="20"/>
              </w:rPr>
              <w:t>Variable</w:t>
            </w:r>
          </w:p>
        </w:tc>
        <w:tc>
          <w:tcPr>
            <w:tcW w:type="dxa" w:w="1169"/>
          </w:tcPr>
          <w:p>
            <w:r>
              <w:rPr>
                <w:sz w:val="20"/>
              </w:rPr>
              <w:t>4</w:t>
            </w:r>
          </w:p>
        </w:tc>
        <w:tc>
          <w:tcPr>
            <w:tcW w:type="dxa" w:w="1169"/>
          </w:tcPr>
          <w:p>
            <w:r>
              <w:rPr>
                <w:sz w:val="20"/>
              </w:rPr>
              <w:t>24</w:t>
            </w:r>
          </w:p>
        </w:tc>
        <w:tc>
          <w:tcPr>
            <w:tcW w:type="dxa" w:w="1169"/>
          </w:tcPr>
          <w:p>
            <w:r>
              <w:rPr>
                <w:sz w:val="20"/>
              </w:rPr>
              <w:t>99 %</w:t>
            </w:r>
          </w:p>
        </w:tc>
        <w:tc>
          <w:tcPr>
            <w:tcW w:type="dxa" w:w="1169"/>
          </w:tcPr>
          <w:p>
            <w:r>
              <w:rPr>
                <w:sz w:val="20"/>
              </w:rPr>
              <w:t>CYP3A4</w:t>
            </w:r>
          </w:p>
        </w:tc>
        <w:tc>
          <w:tcPr>
            <w:tcW w:type="dxa" w:w="1169"/>
          </w:tcPr>
          <w:p>
            <w:r>
              <w:rPr>
                <w:sz w:val="20"/>
              </w:rPr>
              <w:t>Fécale 92 %, rénale &lt; 2 %</w:t>
            </w:r>
          </w:p>
        </w:tc>
        <w:tc>
          <w:tcPr>
            <w:tcW w:type="dxa" w:w="1169"/>
          </w:tcPr>
          <w:p>
            <w:r>
              <w:rPr>
                <w:sz w:val="20"/>
              </w:rPr>
              <w:t>↑↑ ASC ×4 avec repas riche en graisses (CI absolue)</w:t>
            </w:r>
          </w:p>
        </w:tc>
      </w:tr>
      <w:tr>
        <w:tc>
          <w:tcPr>
            <w:tcW w:type="dxa" w:w="1169"/>
          </w:tcPr>
          <w:p>
            <w:r>
              <w:rPr>
                <w:sz w:val="20"/>
              </w:rPr>
              <w:t>Sorafenib</w:t>
            </w:r>
          </w:p>
        </w:tc>
        <w:tc>
          <w:tcPr>
            <w:tcW w:type="dxa" w:w="1169"/>
          </w:tcPr>
          <w:p>
            <w:r>
              <w:rPr>
                <w:sz w:val="20"/>
              </w:rPr>
              <w:t>40 %</w:t>
            </w:r>
          </w:p>
        </w:tc>
        <w:tc>
          <w:tcPr>
            <w:tcW w:type="dxa" w:w="1169"/>
          </w:tcPr>
          <w:p>
            <w:r>
              <w:rPr>
                <w:sz w:val="20"/>
              </w:rPr>
              <w:t>4</w:t>
            </w:r>
          </w:p>
        </w:tc>
        <w:tc>
          <w:tcPr>
            <w:tcW w:type="dxa" w:w="1169"/>
          </w:tcPr>
          <w:p>
            <w:r>
              <w:rPr>
                <w:sz w:val="20"/>
              </w:rPr>
              <w:t>25–48</w:t>
            </w:r>
          </w:p>
        </w:tc>
        <w:tc>
          <w:tcPr>
            <w:tcW w:type="dxa" w:w="1169"/>
          </w:tcPr>
          <w:p>
            <w:r>
              <w:rPr>
                <w:sz w:val="20"/>
              </w:rPr>
              <w:t>99,5 %</w:t>
            </w:r>
          </w:p>
        </w:tc>
        <w:tc>
          <w:tcPr>
            <w:tcW w:type="dxa" w:w="1169"/>
          </w:tcPr>
          <w:p>
            <w:r>
              <w:rPr>
                <w:sz w:val="20"/>
              </w:rPr>
              <w:t>CYP3A4, UGT1A9</w:t>
            </w:r>
          </w:p>
        </w:tc>
        <w:tc>
          <w:tcPr>
            <w:tcW w:type="dxa" w:w="1169"/>
          </w:tcPr>
          <w:p>
            <w:r>
              <w:rPr>
                <w:sz w:val="20"/>
              </w:rPr>
              <w:t>Fécale 77 %, rénale 19 %</w:t>
            </w:r>
          </w:p>
        </w:tc>
        <w:tc>
          <w:tcPr>
            <w:tcW w:type="dxa" w:w="1169"/>
          </w:tcPr>
          <w:p>
            <w:r>
              <w:rPr>
                <w:sz w:val="20"/>
              </w:rPr>
              <w:t>↓ ASC avec repas riche en graisses</w:t>
            </w:r>
          </w:p>
        </w:tc>
      </w:tr>
      <w:tr>
        <w:tc>
          <w:tcPr>
            <w:tcW w:type="dxa" w:w="1169"/>
          </w:tcPr>
          <w:p>
            <w:r>
              <w:rPr>
                <w:sz w:val="20"/>
              </w:rPr>
              <w:t>Sunitinib</w:t>
            </w:r>
          </w:p>
        </w:tc>
        <w:tc>
          <w:tcPr>
            <w:tcW w:type="dxa" w:w="1169"/>
          </w:tcPr>
          <w:p>
            <w:r>
              <w:rPr>
                <w:sz w:val="20"/>
              </w:rPr>
              <w:t>50 %</w:t>
            </w:r>
          </w:p>
        </w:tc>
        <w:tc>
          <w:tcPr>
            <w:tcW w:type="dxa" w:w="1169"/>
          </w:tcPr>
          <w:p>
            <w:r>
              <w:rPr>
                <w:sz w:val="20"/>
              </w:rPr>
              <w:t>6–12</w:t>
            </w:r>
          </w:p>
        </w:tc>
        <w:tc>
          <w:tcPr>
            <w:tcW w:type="dxa" w:w="1169"/>
          </w:tcPr>
          <w:p>
            <w:r>
              <w:rPr>
                <w:sz w:val="20"/>
              </w:rPr>
              <w:t>40–60 (parent) ; 80–110 (métabolite SU12662 actif)</w:t>
            </w:r>
          </w:p>
        </w:tc>
        <w:tc>
          <w:tcPr>
            <w:tcW w:type="dxa" w:w="1169"/>
          </w:tcPr>
          <w:p>
            <w:r>
              <w:rPr>
                <w:sz w:val="20"/>
              </w:rPr>
              <w:t>95 %</w:t>
            </w:r>
          </w:p>
        </w:tc>
        <w:tc>
          <w:tcPr>
            <w:tcW w:type="dxa" w:w="1169"/>
          </w:tcPr>
          <w:p>
            <w:r>
              <w:rPr>
                <w:sz w:val="20"/>
              </w:rPr>
              <w:t>CYP3A4</w:t>
            </w:r>
          </w:p>
        </w:tc>
        <w:tc>
          <w:tcPr>
            <w:tcW w:type="dxa" w:w="1169"/>
          </w:tcPr>
          <w:p>
            <w:r>
              <w:rPr>
                <w:sz w:val="20"/>
              </w:rPr>
              <w:t>Fécale 61 %, rénale 16 %</w:t>
            </w:r>
          </w:p>
        </w:tc>
        <w:tc>
          <w:tcPr>
            <w:tcW w:type="dxa" w:w="1169"/>
          </w:tcPr>
          <w:p>
            <w:r>
              <w:rPr>
                <w:sz w:val="20"/>
              </w:rPr>
              <w:t>Indifférent</w:t>
            </w:r>
          </w:p>
        </w:tc>
      </w:tr>
      <w:tr>
        <w:tc>
          <w:tcPr>
            <w:tcW w:type="dxa" w:w="1169"/>
          </w:tcPr>
          <w:p>
            <w:r>
              <w:rPr>
                <w:sz w:val="20"/>
              </w:rPr>
              <w:t>Regorafenib</w:t>
            </w:r>
          </w:p>
        </w:tc>
        <w:tc>
          <w:tcPr>
            <w:tcW w:type="dxa" w:w="1169"/>
          </w:tcPr>
          <w:p>
            <w:r>
              <w:rPr>
                <w:sz w:val="20"/>
              </w:rPr>
              <w:t>Variable</w:t>
            </w:r>
          </w:p>
        </w:tc>
        <w:tc>
          <w:tcPr>
            <w:tcW w:type="dxa" w:w="1169"/>
          </w:tcPr>
          <w:p>
            <w:r>
              <w:rPr>
                <w:sz w:val="20"/>
              </w:rPr>
              <w:t>4</w:t>
            </w:r>
          </w:p>
        </w:tc>
        <w:tc>
          <w:tcPr>
            <w:tcW w:type="dxa" w:w="1169"/>
          </w:tcPr>
          <w:p>
            <w:r>
              <w:rPr>
                <w:sz w:val="20"/>
              </w:rPr>
              <w:t>28 (parent) ; 25 (M2 actif) ; 51 (M5 actif)</w:t>
            </w:r>
          </w:p>
        </w:tc>
        <w:tc>
          <w:tcPr>
            <w:tcW w:type="dxa" w:w="1169"/>
          </w:tcPr>
          <w:p>
            <w:r>
              <w:rPr>
                <w:sz w:val="20"/>
              </w:rPr>
              <w:t>99,5 %</w:t>
            </w:r>
          </w:p>
        </w:tc>
        <w:tc>
          <w:tcPr>
            <w:tcW w:type="dxa" w:w="1169"/>
          </w:tcPr>
          <w:p>
            <w:r>
              <w:rPr>
                <w:sz w:val="20"/>
              </w:rPr>
              <w:t>CYP3A4, UGT1A9</w:t>
            </w:r>
          </w:p>
        </w:tc>
        <w:tc>
          <w:tcPr>
            <w:tcW w:type="dxa" w:w="1169"/>
          </w:tcPr>
          <w:p>
            <w:r>
              <w:rPr>
                <w:sz w:val="20"/>
              </w:rPr>
              <w:t>Fécale 71 %, rénale 19 %</w:t>
            </w:r>
          </w:p>
        </w:tc>
        <w:tc>
          <w:tcPr>
            <w:tcW w:type="dxa" w:w="1169"/>
          </w:tcPr>
          <w:p>
            <w:r>
              <w:rPr>
                <w:sz w:val="20"/>
              </w:rPr>
              <w:t>↓ ASC avec repas riche en graisses</w:t>
            </w:r>
          </w:p>
        </w:tc>
      </w:tr>
      <w:tr>
        <w:tc>
          <w:tcPr>
            <w:tcW w:type="dxa" w:w="1169"/>
          </w:tcPr>
          <w:p>
            <w:r>
              <w:rPr>
                <w:sz w:val="20"/>
              </w:rPr>
              <w:t>Cabozantinib</w:t>
            </w:r>
          </w:p>
        </w:tc>
        <w:tc>
          <w:tcPr>
            <w:tcW w:type="dxa" w:w="1169"/>
          </w:tcPr>
          <w:p>
            <w:r>
              <w:rPr>
                <w:sz w:val="20"/>
              </w:rPr>
              <w:t>Variable</w:t>
            </w:r>
          </w:p>
        </w:tc>
        <w:tc>
          <w:tcPr>
            <w:tcW w:type="dxa" w:w="1169"/>
          </w:tcPr>
          <w:p>
            <w:r>
              <w:rPr>
                <w:sz w:val="20"/>
              </w:rPr>
              <w:t>3–7</w:t>
            </w:r>
          </w:p>
        </w:tc>
        <w:tc>
          <w:tcPr>
            <w:tcW w:type="dxa" w:w="1169"/>
          </w:tcPr>
          <w:p>
            <w:r>
              <w:rPr>
                <w:sz w:val="20"/>
              </w:rPr>
              <w:t>99–120</w:t>
            </w:r>
          </w:p>
        </w:tc>
        <w:tc>
          <w:tcPr>
            <w:tcW w:type="dxa" w:w="1169"/>
          </w:tcPr>
          <w:p>
            <w:r>
              <w:rPr>
                <w:sz w:val="20"/>
              </w:rPr>
              <w:t>99,7 %</w:t>
            </w:r>
          </w:p>
        </w:tc>
        <w:tc>
          <w:tcPr>
            <w:tcW w:type="dxa" w:w="1169"/>
          </w:tcPr>
          <w:p>
            <w:r>
              <w:rPr>
                <w:sz w:val="20"/>
              </w:rPr>
              <w:t>CYP3A4</w:t>
            </w:r>
          </w:p>
        </w:tc>
        <w:tc>
          <w:tcPr>
            <w:tcW w:type="dxa" w:w="1169"/>
          </w:tcPr>
          <w:p>
            <w:r>
              <w:rPr>
                <w:sz w:val="20"/>
              </w:rPr>
              <w:t>Fécale 81 %, rénale 4 %</w:t>
            </w:r>
          </w:p>
        </w:tc>
        <w:tc>
          <w:tcPr>
            <w:tcW w:type="dxa" w:w="1169"/>
          </w:tcPr>
          <w:p>
            <w:r>
              <w:rPr>
                <w:sz w:val="20"/>
              </w:rPr>
              <w:t>↓ ASC avec repas riche en graisses</w:t>
            </w:r>
          </w:p>
        </w:tc>
      </w:tr>
      <w:tr>
        <w:tc>
          <w:tcPr>
            <w:tcW w:type="dxa" w:w="1169"/>
          </w:tcPr>
          <w:p>
            <w:r>
              <w:rPr>
                <w:sz w:val="20"/>
              </w:rPr>
              <w:t>Lenvatinib</w:t>
            </w:r>
          </w:p>
        </w:tc>
        <w:tc>
          <w:tcPr>
            <w:tcW w:type="dxa" w:w="1169"/>
          </w:tcPr>
          <w:p>
            <w:r>
              <w:rPr>
                <w:sz w:val="20"/>
              </w:rPr>
              <w:t>Variable</w:t>
            </w:r>
          </w:p>
        </w:tc>
        <w:tc>
          <w:tcPr>
            <w:tcW w:type="dxa" w:w="1169"/>
          </w:tcPr>
          <w:p>
            <w:r>
              <w:rPr>
                <w:sz w:val="20"/>
              </w:rPr>
              <w:t>1–4</w:t>
            </w:r>
          </w:p>
        </w:tc>
        <w:tc>
          <w:tcPr>
            <w:tcW w:type="dxa" w:w="1169"/>
          </w:tcPr>
          <w:p>
            <w:r>
              <w:rPr>
                <w:sz w:val="20"/>
              </w:rPr>
              <w:t>28</w:t>
            </w:r>
          </w:p>
        </w:tc>
        <w:tc>
          <w:tcPr>
            <w:tcW w:type="dxa" w:w="1169"/>
          </w:tcPr>
          <w:p>
            <w:r>
              <w:rPr>
                <w:sz w:val="20"/>
              </w:rPr>
              <w:t>98 %</w:t>
            </w:r>
          </w:p>
        </w:tc>
        <w:tc>
          <w:tcPr>
            <w:tcW w:type="dxa" w:w="1169"/>
          </w:tcPr>
          <w:p>
            <w:r>
              <w:rPr>
                <w:sz w:val="20"/>
              </w:rPr>
              <w:t>CYP3A4, aldo-kéto réductases</w:t>
            </w:r>
          </w:p>
        </w:tc>
        <w:tc>
          <w:tcPr>
            <w:tcW w:type="dxa" w:w="1169"/>
          </w:tcPr>
          <w:p>
            <w:r>
              <w:rPr>
                <w:sz w:val="20"/>
              </w:rPr>
              <w:t>Fécale 64 %, rénale 25 %</w:t>
            </w:r>
          </w:p>
        </w:tc>
        <w:tc>
          <w:tcPr>
            <w:tcW w:type="dxa" w:w="1169"/>
          </w:tcPr>
          <w:p>
            <w:r>
              <w:rPr>
                <w:sz w:val="20"/>
              </w:rPr>
              <w:t>Indifférent</w:t>
            </w:r>
          </w:p>
        </w:tc>
      </w:tr>
      <w:tr>
        <w:tc>
          <w:tcPr>
            <w:tcW w:type="dxa" w:w="1169"/>
          </w:tcPr>
          <w:p>
            <w:r>
              <w:rPr>
                <w:sz w:val="20"/>
              </w:rPr>
              <w:t>Pazopanib</w:t>
            </w:r>
          </w:p>
        </w:tc>
        <w:tc>
          <w:tcPr>
            <w:tcW w:type="dxa" w:w="1169"/>
          </w:tcPr>
          <w:p>
            <w:r>
              <w:rPr>
                <w:sz w:val="20"/>
              </w:rPr>
              <w:t>Variable</w:t>
            </w:r>
          </w:p>
        </w:tc>
        <w:tc>
          <w:tcPr>
            <w:tcW w:type="dxa" w:w="1169"/>
          </w:tcPr>
          <w:p>
            <w:r>
              <w:rPr>
                <w:sz w:val="20"/>
              </w:rPr>
              <w:t>2–4</w:t>
            </w:r>
          </w:p>
        </w:tc>
        <w:tc>
          <w:tcPr>
            <w:tcW w:type="dxa" w:w="1169"/>
          </w:tcPr>
          <w:p>
            <w:r>
              <w:rPr>
                <w:sz w:val="20"/>
              </w:rPr>
              <w:t>30</w:t>
            </w:r>
          </w:p>
        </w:tc>
        <w:tc>
          <w:tcPr>
            <w:tcW w:type="dxa" w:w="1169"/>
          </w:tcPr>
          <w:p>
            <w:r>
              <w:rPr>
                <w:sz w:val="20"/>
              </w:rPr>
              <w:t>99 %</w:t>
            </w:r>
          </w:p>
        </w:tc>
        <w:tc>
          <w:tcPr>
            <w:tcW w:type="dxa" w:w="1169"/>
          </w:tcPr>
          <w:p>
            <w:r>
              <w:rPr>
                <w:sz w:val="20"/>
              </w:rPr>
              <w:t>CYP3A4</w:t>
            </w:r>
          </w:p>
        </w:tc>
        <w:tc>
          <w:tcPr>
            <w:tcW w:type="dxa" w:w="1169"/>
          </w:tcPr>
          <w:p>
            <w:r>
              <w:rPr>
                <w:sz w:val="20"/>
              </w:rPr>
              <w:t>Fécale 65 %, rénale 4 %</w:t>
            </w:r>
          </w:p>
        </w:tc>
        <w:tc>
          <w:tcPr>
            <w:tcW w:type="dxa" w:w="1169"/>
          </w:tcPr>
          <w:p>
            <w:r>
              <w:rPr>
                <w:sz w:val="20"/>
              </w:rPr>
              <w:t>↓↑ ASC (à jeun recommandé)</w:t>
            </w:r>
          </w:p>
        </w:tc>
      </w:tr>
      <w:tr>
        <w:tc>
          <w:tcPr>
            <w:tcW w:type="dxa" w:w="1169"/>
          </w:tcPr>
          <w:p>
            <w:r>
              <w:rPr>
                <w:sz w:val="20"/>
              </w:rPr>
              <w:t>Axitinib</w:t>
            </w:r>
          </w:p>
        </w:tc>
        <w:tc>
          <w:tcPr>
            <w:tcW w:type="dxa" w:w="1169"/>
          </w:tcPr>
          <w:p>
            <w:r>
              <w:rPr>
                <w:sz w:val="20"/>
              </w:rPr>
              <w:t>58 %</w:t>
            </w:r>
          </w:p>
        </w:tc>
        <w:tc>
          <w:tcPr>
            <w:tcW w:type="dxa" w:w="1169"/>
          </w:tcPr>
          <w:p>
            <w:r>
              <w:rPr>
                <w:sz w:val="20"/>
              </w:rPr>
              <w:t>2–5</w:t>
            </w:r>
          </w:p>
        </w:tc>
        <w:tc>
          <w:tcPr>
            <w:tcW w:type="dxa" w:w="1169"/>
          </w:tcPr>
          <w:p>
            <w:r>
              <w:rPr>
                <w:sz w:val="20"/>
              </w:rPr>
              <w:t>2–5</w:t>
            </w:r>
          </w:p>
        </w:tc>
        <w:tc>
          <w:tcPr>
            <w:tcW w:type="dxa" w:w="1169"/>
          </w:tcPr>
          <w:p>
            <w:r>
              <w:rPr>
                <w:sz w:val="20"/>
              </w:rPr>
              <w:t>99 %</w:t>
            </w:r>
          </w:p>
        </w:tc>
        <w:tc>
          <w:tcPr>
            <w:tcW w:type="dxa" w:w="1169"/>
          </w:tcPr>
          <w:p>
            <w:r>
              <w:rPr>
                <w:sz w:val="20"/>
              </w:rPr>
              <w:t>CYP3A4, CYP2C19</w:t>
            </w:r>
          </w:p>
        </w:tc>
        <w:tc>
          <w:tcPr>
            <w:tcW w:type="dxa" w:w="1169"/>
          </w:tcPr>
          <w:p>
            <w:r>
              <w:rPr>
                <w:sz w:val="20"/>
              </w:rPr>
              <w:t>Fécale 60 %, rénale 23 %</w:t>
            </w:r>
          </w:p>
        </w:tc>
        <w:tc>
          <w:tcPr>
            <w:tcW w:type="dxa" w:w="1169"/>
          </w:tcPr>
          <w:p>
            <w:r>
              <w:rPr>
                <w:sz w:val="20"/>
              </w:rPr>
              <w:t>Indifférent</w:t>
            </w:r>
          </w:p>
        </w:tc>
      </w:tr>
      <w:tr>
        <w:tc>
          <w:tcPr>
            <w:tcW w:type="dxa" w:w="1169"/>
          </w:tcPr>
          <w:p>
            <w:r>
              <w:rPr>
                <w:sz w:val="20"/>
              </w:rPr>
              <w:t>Vemurafenib</w:t>
            </w:r>
          </w:p>
        </w:tc>
        <w:tc>
          <w:tcPr>
            <w:tcW w:type="dxa" w:w="1169"/>
          </w:tcPr>
          <w:p>
            <w:r>
              <w:rPr>
                <w:sz w:val="20"/>
              </w:rPr>
              <w:t>Variable</w:t>
            </w:r>
          </w:p>
        </w:tc>
        <w:tc>
          <w:tcPr>
            <w:tcW w:type="dxa" w:w="1169"/>
          </w:tcPr>
          <w:p>
            <w:r>
              <w:rPr>
                <w:sz w:val="20"/>
              </w:rPr>
              <w:t>4–8</w:t>
            </w:r>
          </w:p>
        </w:tc>
        <w:tc>
          <w:tcPr>
            <w:tcW w:type="dxa" w:w="1169"/>
          </w:tcPr>
          <w:p>
            <w:r>
              <w:rPr>
                <w:sz w:val="20"/>
              </w:rPr>
              <w:t>57</w:t>
            </w:r>
          </w:p>
        </w:tc>
        <w:tc>
          <w:tcPr>
            <w:tcW w:type="dxa" w:w="1169"/>
          </w:tcPr>
          <w:p>
            <w:r>
              <w:rPr>
                <w:sz w:val="20"/>
              </w:rPr>
              <w:t>99 %</w:t>
            </w:r>
          </w:p>
        </w:tc>
        <w:tc>
          <w:tcPr>
            <w:tcW w:type="dxa" w:w="1169"/>
          </w:tcPr>
          <w:p>
            <w:r>
              <w:rPr>
                <w:sz w:val="20"/>
              </w:rPr>
              <w:t>CYP3A4, CYP1A2</w:t>
            </w:r>
          </w:p>
        </w:tc>
        <w:tc>
          <w:tcPr>
            <w:tcW w:type="dxa" w:w="1169"/>
          </w:tcPr>
          <w:p>
            <w:r>
              <w:rPr>
                <w:sz w:val="20"/>
              </w:rPr>
              <w:t>Fécale 94 %, rénale 1 %</w:t>
            </w:r>
          </w:p>
        </w:tc>
        <w:tc>
          <w:tcPr>
            <w:tcW w:type="dxa" w:w="1169"/>
          </w:tcPr>
          <w:p>
            <w:r>
              <w:rPr>
                <w:sz w:val="20"/>
              </w:rPr>
              <w:t>Indifférent</w:t>
            </w:r>
          </w:p>
        </w:tc>
      </w:tr>
      <w:tr>
        <w:tc>
          <w:tcPr>
            <w:tcW w:type="dxa" w:w="1169"/>
          </w:tcPr>
          <w:p>
            <w:r>
              <w:rPr>
                <w:sz w:val="20"/>
              </w:rPr>
              <w:t>Crizotinib</w:t>
            </w:r>
          </w:p>
        </w:tc>
        <w:tc>
          <w:tcPr>
            <w:tcW w:type="dxa" w:w="1169"/>
          </w:tcPr>
          <w:p>
            <w:r>
              <w:rPr>
                <w:sz w:val="20"/>
              </w:rPr>
              <w:t>43 %</w:t>
            </w:r>
          </w:p>
        </w:tc>
        <w:tc>
          <w:tcPr>
            <w:tcW w:type="dxa" w:w="1169"/>
          </w:tcPr>
          <w:p>
            <w:r>
              <w:rPr>
                <w:sz w:val="20"/>
              </w:rPr>
              <w:t>4–6</w:t>
            </w:r>
          </w:p>
        </w:tc>
        <w:tc>
          <w:tcPr>
            <w:tcW w:type="dxa" w:w="1169"/>
          </w:tcPr>
          <w:p>
            <w:r>
              <w:rPr>
                <w:sz w:val="20"/>
              </w:rPr>
              <w:t>42</w:t>
            </w:r>
          </w:p>
        </w:tc>
        <w:tc>
          <w:tcPr>
            <w:tcW w:type="dxa" w:w="1169"/>
          </w:tcPr>
          <w:p>
            <w:r>
              <w:rPr>
                <w:sz w:val="20"/>
              </w:rPr>
              <w:t>91 %</w:t>
            </w:r>
          </w:p>
        </w:tc>
        <w:tc>
          <w:tcPr>
            <w:tcW w:type="dxa" w:w="1169"/>
          </w:tcPr>
          <w:p>
            <w:r>
              <w:rPr>
                <w:sz w:val="20"/>
              </w:rPr>
              <w:t>CYP3A4</w:t>
            </w:r>
          </w:p>
        </w:tc>
        <w:tc>
          <w:tcPr>
            <w:tcW w:type="dxa" w:w="1169"/>
          </w:tcPr>
          <w:p>
            <w:r>
              <w:rPr>
                <w:sz w:val="20"/>
              </w:rPr>
              <w:t>Fécale 63 %, rénale 22 %</w:t>
            </w:r>
          </w:p>
        </w:tc>
        <w:tc>
          <w:tcPr>
            <w:tcW w:type="dxa" w:w="1169"/>
          </w:tcPr>
          <w:p>
            <w:r>
              <w:rPr>
                <w:sz w:val="20"/>
              </w:rPr>
              <w:t>Indifférent</w:t>
            </w:r>
          </w:p>
        </w:tc>
      </w:tr>
    </w:tbl>
    <w:p/>
    <w:p>
      <w:pPr>
        <w:pStyle w:val="Heading3"/>
      </w:pPr>
      <w:r>
        <w:t>Particularités pharmacocinétiques importantes</w:t>
      </w:r>
    </w:p>
    <w:p>
      <w:r/>
      <w:r>
        <w:rPr>
          <w:b/>
        </w:rPr>
        <w:t>Imatinib</w:t>
      </w:r>
      <w:r>
        <w:t xml:space="preserve"> : la fraction libre active n'est que de 5 %, mais la concentration intracellulaire est élevée (gradient de concentration via les transporteurs OCT1, qui limite l'efflux). Le suivi thérapeutique pharmacologique (STP) est validé et recommandé en cas de réponse insuffisante (seuil : concentration résiduelle &gt; 1000 ng/mL pour la LCM Ph+).</w:t>
      </w:r>
    </w:p>
    <w:p>
      <w:r/>
      <w:r>
        <w:rPr>
          <w:b/>
        </w:rPr>
        <w:t>Dasatinib</w:t>
      </w:r>
      <w:r>
        <w:t xml:space="preserve"> : la biodisponibilité orale est réduite (14–34 %) en raison d'un effet de premier passage hépatique marqué ; la prise à jeun est essentielle pour éviter l'augmentation du Cmax et des effets aigus. La demi-vie courte (3–5 h) justifie la monoprise mais expose à des pics de concentration potentiellement toxiques.</w:t>
      </w:r>
    </w:p>
    <w:p>
      <w:r/>
      <w:r>
        <w:rPr>
          <w:b/>
        </w:rPr>
        <w:t>Nilotinib</w:t>
      </w:r>
      <w:r>
        <w:t xml:space="preserve"> : la prise avec un repas riche en graisses augmente l'ASC de 80 % et le Cmax de 100 %, exposant à un risque majeur d'allongement du QTc et d'événements cardiovasculaires — la prise doit être strictement à jeun (2 heures avant ou 1 heure après un repas).</w:t>
      </w:r>
    </w:p>
    <w:p>
      <w:r/>
      <w:r>
        <w:rPr>
          <w:b/>
        </w:rPr>
        <w:t>Lapatinib</w:t>
      </w:r>
      <w:r>
        <w:t xml:space="preserve"> : la prise avec un repas riche en graisses augmente l'ASC de 3 à 4 fois et le Cmax de 4 à 5 fois, exposant à un surdosage — la prise doit être strictement à jeun (1 heure avant ou 1 heure après un repas).</w:t>
      </w:r>
    </w:p>
    <w:p>
      <w:r/>
      <w:r>
        <w:rPr>
          <w:b/>
        </w:rPr>
        <w:t>Sorafenib</w:t>
      </w:r>
      <w:r>
        <w:t xml:space="preserve"> : la biodisponibilité orale est modeste (40 %) en raison d'un effet de premier passage et d'une recirculation entérohépatique. La prise peut être à jeun ou avec un repas léger (sans graisses), mais un repas riche en graisses réduit l'ASC de 30–40 %.</w:t>
      </w:r>
    </w:p>
    <w:p>
      <w:r/>
      <w:r>
        <w:rPr>
          <w:b/>
        </w:rPr>
        <w:t>Sunitinib</w:t>
      </w:r>
      <w:r>
        <w:t xml:space="preserve"> : la formation d'un métabolite actif (SU12662) à demi-vie longue (80–110 h) explique l'accumulation au cours des cycles et justifie le schéma 4/2 (4 semaines ON / 2 semaines OFF) pour permettre une clairance du métabolite.</w:t>
      </w:r>
    </w:p>
    <w:p>
      <w:r/>
      <w:r>
        <w:rPr>
          <w:b/>
        </w:rPr>
        <w:t>Regorafenib</w:t>
      </w:r>
      <w:r>
        <w:t xml:space="preserve"> : la formation de deux métabolites actifs (M2 et M5) à demi-vie longue (25 et 51 h respectivement) explique l'accumulation au cours des cycles et justifie le schéma 3/1 (3 semaines ON / 1 semaine OFF).</w:t>
      </w:r>
    </w:p>
    <w:p>
      <w:r/>
      <w:r>
        <w:rPr>
          <w:b/>
        </w:rPr>
        <w:t>Cabozantinib</w:t>
      </w:r>
      <w:r>
        <w:t xml:space="preserve"> : la demi-vie très longue (99–120 h) impose une attention particulière en cas d'effets indésirables, car l'arrêt ne permet pas une récupération rapide (wash-out de 5 demi-vies = 3 semaines).</w:t>
      </w:r>
    </w:p>
    <w:p>
      <w:r/>
      <w:r>
        <w:rPr>
          <w:b/>
        </w:rPr>
        <w:t>Vemurafenib</w:t>
      </w:r>
      <w:r>
        <w:t xml:space="preserve"> : la demi-vie très longue (57 h) impose une attention particulière en cas d'effets indésirables, car l'arrêt ne permet pas une récupération rapide (wash-out de 5 demi-vies = 12 jours).</w:t>
      </w:r>
    </w:p>
    <w:p>
      <w:pPr>
        <w:pStyle w:val="Heading2"/>
      </w:pPr>
      <w:r>
        <w:t>Annexe 104.B — Gestion pratique des effets indésirables cutanés des ITK EGFR et multi-cibles</w:t>
      </w:r>
    </w:p>
    <w:p>
      <w:pPr>
        <w:pStyle w:val="Heading3"/>
      </w:pPr>
      <w:r>
        <w:t>Rash acnéiforme folliculaire (ITK EGFR : erlotinib, gefitinib, afatinib, osimertinib)</w:t>
      </w:r>
    </w:p>
    <w:p>
      <w:r/>
      <w:r>
        <w:rPr>
          <w:b/>
        </w:rPr>
        <w:t>Description</w:t>
      </w:r>
      <w:r>
        <w:t xml:space="preserve"> : éruption folliculaire papulo-pustuleuse (sans comédons), touchant le visage, le cuir chevelu, le tronc supérieur, survenant dans les 1 à 3 premières semaines. Son intensité est corrélée à l'efficacité thérapeutique (rash grade 2–3 associé à une meilleure survie).</w:t>
      </w:r>
    </w:p>
    <w:p>
      <w:r/>
      <w:r>
        <w:rPr>
          <w:b/>
        </w:rPr>
        <w:t>Prise en charge</w:t>
      </w:r>
      <w:r>
        <w:t xml:space="preserve"> :</w:t>
      </w:r>
    </w:p>
    <w:p>
      <w:pPr>
        <w:pStyle w:val="ListBullet"/>
      </w:pPr>
      <w:r/>
      <w:r>
        <w:rPr>
          <w:b/>
        </w:rPr>
        <w:t>Prophylaxie</w:t>
      </w:r>
      <w:r>
        <w:t xml:space="preserve"> (à débuter dès l'initiation de l'ITK EGFR) : émollients sans alcool ni parfum (2 fois/j), photoprotection SPF 50+ (écran solaire toutes les 2 heures, lunettes de soleil, chapeau), nettoyage doux sans savon agressif. Antibioprophylaxie systématique par doxycycline 100 mg/j ou minocycline 100 mg/j (réduit l'incidence du rash grade ≥ 2 de 50 %).</w:t>
      </w:r>
    </w:p>
    <w:p>
      <w:pPr>
        <w:pStyle w:val="ListBullet"/>
      </w:pPr>
      <w:r/>
      <w:r>
        <w:rPr>
          <w:b/>
        </w:rPr>
        <w:t>Grade 1</w:t>
      </w:r>
      <w:r>
        <w:t xml:space="preserve"> (≤ 10 % surface corporelle, sans symptôme) : poursuite + émollients + doxycycline + antihistaminiques si prurit.</w:t>
      </w:r>
    </w:p>
    <w:p>
      <w:pPr>
        <w:pStyle w:val="ListBullet"/>
      </w:pPr>
      <w:r/>
      <w:r>
        <w:rPr>
          <w:b/>
        </w:rPr>
        <w:t>Grade 2</w:t>
      </w:r>
      <w:r>
        <w:t xml:space="preserve"> (10–30 % surface, prurit modéré) : poursuite + doxycycline + corticothérapie locale (hydrocortisone 1 % ou clindamycine topique).</w:t>
      </w:r>
    </w:p>
    <w:p>
      <w:pPr>
        <w:pStyle w:val="ListBullet"/>
      </w:pPr>
      <w:r/>
      <w:r>
        <w:rPr>
          <w:b/>
        </w:rPr>
        <w:t>Grade 3</w:t>
      </w:r>
      <w:r>
        <w:t xml:space="preserve"> (&gt; 30 % surface, surinfection, retentissement psychologique) : interruption 1–2 semaines + corticothérapie systémique courte (prednisone 0,5–1 mg/kg/j) + antibiothérapie orale (doxycycline 100 mg × 2/j ou minocycline 100 mg × 2/j) + reprise à dose standard ou réduite selon l'évolution.</w:t>
      </w:r>
    </w:p>
    <w:p>
      <w:pPr>
        <w:pStyle w:val="ListBullet"/>
      </w:pPr>
      <w:r/>
      <w:r>
        <w:rPr>
          <w:b/>
        </w:rPr>
        <w:t>Grade 4</w:t>
      </w:r>
      <w:r>
        <w:t xml:space="preserve"> (érythrodermie, syndrome de Stevens-Johnson, syndrome de Lyell) : arrêt définitif, hospitalisation, dermato-consultation urgente.</w:t>
      </w:r>
    </w:p>
    <w:p>
      <w:pPr>
        <w:pStyle w:val="Heading3"/>
      </w:pPr>
      <w:r>
        <w:t>Syndrome main-pied (PPE : sorafenib, sunitinib, regorafenib, cabozantinib, lenvatinib, axitinib)</w:t>
      </w:r>
    </w:p>
    <w:p>
      <w:r/>
      <w:r>
        <w:rPr>
          <w:b/>
        </w:rPr>
        <w:t>Description</w:t>
      </w:r>
      <w:r>
        <w:t xml:space="preserve"> : érythème douloureux palmo-plantaire avec dysesthésies (sensation de brûlure, fourmillements), pouvant évoluer vers une desquamation, des bulles, une ulceration et une surinfection. Survenant dans les 6 premières semaines, corrélé à la dose cumulative.</w:t>
      </w:r>
    </w:p>
    <w:p>
      <w:r/>
      <w:r>
        <w:rPr>
          <w:b/>
        </w:rPr>
        <w:t>Prise en charge</w:t>
      </w:r>
      <w:r>
        <w:t xml:space="preserve"> :</w:t>
      </w:r>
    </w:p>
    <w:p>
      <w:pPr>
        <w:pStyle w:val="ListBullet"/>
      </w:pPr>
      <w:r/>
      <w:r>
        <w:rPr>
          <w:b/>
        </w:rPr>
        <w:t>Prophylaxie</w:t>
      </w:r>
      <w:r>
        <w:t xml:space="preserve"> (à débuter dès l'initiation de l'ITK multi-cibles) : urée 10–20 % en crème (Uréage 10 %, Kératane) appliquée 2 fois/j sur les paumes et plantes ; pyridoxine 200 mg/j (vitamine B6) ; conseils de vie : porter des chaussures larges et molletonnées, éviter les activités mécaniques (bricolage, jardinage, sport à impact, marche prolongée), éviter les bains chauds et les douches prolongées, ne pas utiliser de gants de toilette rugueux.</w:t>
      </w:r>
    </w:p>
    <w:p>
      <w:pPr>
        <w:pStyle w:val="ListBullet"/>
      </w:pPr>
      <w:r/>
      <w:r>
        <w:rPr>
          <w:b/>
        </w:rPr>
        <w:t>Grade 1</w:t>
      </w:r>
      <w:r>
        <w:t xml:space="preserve"> (érythème sans douleur) : poursuite + urée crème + pyridoxine.</w:t>
      </w:r>
    </w:p>
    <w:p>
      <w:pPr>
        <w:pStyle w:val="ListBullet"/>
      </w:pPr>
      <w:r/>
      <w:r>
        <w:rPr>
          <w:b/>
        </w:rPr>
        <w:t>Grade 2</w:t>
      </w:r>
      <w:r>
        <w:t xml:space="preserve"> (érythème douloureux, gêne fonctionnelle modérée) : poursuite + urée crème + pyridoxine + corticothérapie locale (bétaméthasone 0,05 %) + antalgiques (paracétamol).</w:t>
      </w:r>
    </w:p>
    <w:p>
      <w:pPr>
        <w:pStyle w:val="ListBullet"/>
      </w:pPr>
      <w:r/>
      <w:r>
        <w:rPr>
          <w:b/>
        </w:rPr>
        <w:t>Grade 3</w:t>
      </w:r>
      <w:r>
        <w:t xml:space="preserve"> (érythème douloureux, desquamation, ulcération, œdème, gêne fonctionnelle majeure) : interruption transitoire 1–2 semaines + soins locaux (urée 30 %, pansements hydrocolloïdes, antiseptiques) + antalgiques (paracétamol, AINS courts, opioïdes faibles si nécessaire) + antibiothérapie si surinfection + reprise à dose réduite (80 → 60 → 40 mg/j pour le regorafenib).</w:t>
      </w:r>
    </w:p>
    <w:p>
      <w:pPr>
        <w:pStyle w:val="ListBullet"/>
      </w:pPr>
      <w:r/>
      <w:r>
        <w:rPr>
          <w:b/>
        </w:rPr>
        <w:t>Grade 4</w:t>
      </w:r>
      <w:r>
        <w:t xml:space="preserve"> (ulcération étendue, infection) : arrêt définitif, hospitalisation, dermato-consultation urgente.</w:t>
      </w:r>
    </w:p>
    <w:p>
      <w:pPr>
        <w:pStyle w:val="Heading3"/>
      </w:pPr>
      <w:r>
        <w:t>Photosensibilité et carcinomes spinocellulaires (vemurafenib)</w:t>
      </w:r>
    </w:p>
    <w:p>
      <w:r/>
      <w:r>
        <w:rPr>
          <w:b/>
        </w:rPr>
        <w:t>Description</w:t>
      </w:r>
      <w:r>
        <w:t xml:space="preserve"> : la photosensibilité sévère (brûlure solaire grave) survient dans 50–60 % des cas, parfois dès la première exposition. Les carcinomes spinocellulaires cutanés (CSCC) surviennent dans 20–25 % des cas dans les 8 à 12 premières semaines, liés à l'activation paradoxale de MAPK dans les cellules sans mutation BRAF portant des mutations RAS préexistantes.</w:t>
      </w:r>
    </w:p>
    <w:p>
      <w:r/>
      <w:r>
        <w:rPr>
          <w:b/>
        </w:rPr>
        <w:t>Prise en charge</w:t>
      </w:r>
      <w:r>
        <w:t xml:space="preserve"> :</w:t>
      </w:r>
    </w:p>
    <w:p>
      <w:pPr>
        <w:pStyle w:val="ListBullet"/>
      </w:pPr>
      <w:r/>
      <w:r>
        <w:rPr>
          <w:b/>
        </w:rPr>
        <w:t>Prophylaxie photosensibilité</w:t>
      </w:r>
      <w:r>
        <w:t xml:space="preserve"> : photoprotection stricte SPF 50+ (écran solaire toutes les 2 heures, y compris en voiture et par temps couvert), vêtements couvrants (manches longues, pantalons, chapeau à large bord), lunettes de soleil avec filtre UV, éviter l'exposition solaire directe entre 11h et 16h, éviter les cabines UV.</w:t>
      </w:r>
    </w:p>
    <w:p>
      <w:pPr>
        <w:pStyle w:val="ListBullet"/>
      </w:pPr>
      <w:r/>
      <w:r>
        <w:rPr>
          <w:b/>
        </w:rPr>
        <w:t>Photosensibilité sévère</w:t>
      </w:r>
      <w:r>
        <w:t xml:space="preserve"> (brûlure solaire) : arrêt transitoire, soins locaux (corticothérapie locale, émollients, antihistaminiques), antalgiques, reprise à dose réduite (960 → 720 mg × 2/j) après cicatrisation.</w:t>
      </w:r>
    </w:p>
    <w:p>
      <w:pPr>
        <w:pStyle w:val="ListBullet"/>
      </w:pPr>
      <w:r/>
      <w:r>
        <w:rPr>
          <w:b/>
        </w:rPr>
        <w:t>Carcinome spinocellulaire</w:t>
      </w:r>
      <w:r>
        <w:t xml:space="preserve"> : exérèse chirurgicale systématique (ne pas interrompre le vemurafenib). Surveillance dermatologique mensuelle pendant toute la durée du traitement. Association au cobimétinib (ITK MEK) qui réduit l'incidence des CSCC à 5–10 %.</w:t>
      </w:r>
    </w:p>
    <w:p>
      <w:pPr>
        <w:pStyle w:val="Heading2"/>
      </w:pPr>
      <w:r>
        <w:t>Annexe 104.C — Surveillance cardiovasculaire des ITK</w:t>
      </w:r>
    </w:p>
    <w:p>
      <w:pPr>
        <w:pStyle w:val="Heading3"/>
      </w:pPr>
      <w:r>
        <w:t>Hypertension artérielle (ITK multi-cibles et anti-angiogéniques)</w:t>
      </w:r>
    </w:p>
    <w:p>
      <w:r/>
      <w:r>
        <w:rPr>
          <w:b/>
        </w:rPr>
        <w:t>Mécanisme</w:t>
      </w:r>
      <w:r>
        <w:t xml:space="preserve"> : inhibition de VEGFR sur l'endothélium vasculaire → baisse de la production de monoxyde d'azote (NO) et de prostacycline (PGI2), vasoconstriction, rarefaction capillaire.</w:t>
      </w:r>
    </w:p>
    <w:p>
      <w:r/>
      <w:r>
        <w:rPr>
          <w:b/>
        </w:rPr>
        <w:t>Surveillance</w:t>
      </w:r>
      <w:r>
        <w:t xml:space="preserve"> : mesure de la pression artérielle avant initiation, à 1 semaine, puis à chaque consultation (objectif &lt; 130/80 mmHg). Automesure tensionnelle à domicile conseillée (3 mesures matinales et 3 mesures vespérales pendant 7 jours avant chaque consultation).</w:t>
      </w:r>
    </w:p>
    <w:p>
      <w:r/>
      <w:r>
        <w:rPr>
          <w:b/>
        </w:rPr>
        <w:t>Prise en charge</w:t>
      </w:r>
      <w:r>
        <w:t xml:space="preserve"> :</w:t>
      </w:r>
    </w:p>
    <w:p>
      <w:pPr>
        <w:pStyle w:val="ListBullet"/>
      </w:pPr>
      <w:r>
        <w:t>HTA grade 1 (140–159/90–99) : poursuite + mesures hygiéno-diététiques (réduction sodée, activité physique, arrêt du tabac) ± antihypertenseur (IEC ou ARA2 préférentiels, en raison de la néphroprotection et de l'absence d'interactions CYP3A4).</w:t>
      </w:r>
    </w:p>
    <w:p>
      <w:pPr>
        <w:pStyle w:val="ListBullet"/>
      </w:pPr>
      <w:r>
        <w:t>HTA grade 2 (160–179/100–109) : interruption transitoire + antihypertenseur (IEC + IEC ou IEC + ICA) + reprise à dose standard après normalisation.</w:t>
      </w:r>
    </w:p>
    <w:p>
      <w:pPr>
        <w:pStyle w:val="ListBullet"/>
      </w:pPr>
      <w:r>
        <w:t>HTA grade 3 (≥ 180/110) : interruption transitoire + antihypertenseur IV (nicardipine, labétalol) + hospitalisation + reprise à dose réduite après normalisation.</w:t>
      </w:r>
    </w:p>
    <w:p>
      <w:pPr>
        <w:pStyle w:val="ListBullet"/>
      </w:pPr>
      <w:r>
        <w:t>HTA maligne (PA &gt; 200/120 avec retentissement viscéral) : arrêt définitif, hospitalisation en réanimation.</w:t>
      </w:r>
    </w:p>
    <w:p>
      <w:pPr>
        <w:pStyle w:val="Heading3"/>
      </w:pPr>
      <w:r>
        <w:t>Allongement du QTc (nilotinib, ponatinib, osimertinib, vemurafenib, sunitinib)</w:t>
      </w:r>
    </w:p>
    <w:p>
      <w:r/>
      <w:r>
        <w:rPr>
          <w:b/>
        </w:rPr>
        <w:t>Mécanisme</w:t>
      </w:r>
      <w:r>
        <w:t xml:space="preserve"> : inhibition du canal potassique hERG (Ikr) → allongement de la repolarisation ventriculaire → risque de torsades de pointes.</w:t>
      </w:r>
    </w:p>
    <w:p>
      <w:r/>
      <w:r>
        <w:rPr>
          <w:b/>
        </w:rPr>
        <w:t>Surveillance</w:t>
      </w:r>
      <w:r>
        <w:t xml:space="preserve"> : ECG initial avec QTc (correction Bazett ou Fridericia selon la fréquence cardiaque) ; contrôle et correction de la kaliémie (&gt; 4 mmol/L) et de la magnésémie (&gt; 0,8 mmol/L) avant initiation ; ECG à 7 jours puis mensuel 3 mois, puis trimestriel pendant la première année, puis semestriel. Éviter les médicaments allongeant le QT (amiodarone, sotalol, halopéridol, méthadone, moxifloxacine, cisapride, dompéridone, ondansétron IV, certains antidépresseurs et antipsychotiques).</w:t>
      </w:r>
    </w:p>
    <w:p>
      <w:r/>
      <w:r>
        <w:rPr>
          <w:b/>
        </w:rPr>
        <w:t>Prise en charge</w:t>
      </w:r>
      <w:r>
        <w:t xml:space="preserve"> :</w:t>
      </w:r>
    </w:p>
    <w:p>
      <w:pPr>
        <w:pStyle w:val="ListBullet"/>
      </w:pPr>
      <w:r>
        <w:t>QTc &lt; 450 ms (homme) ou &lt; 470 ms (femme) : poursuite.</w:t>
      </w:r>
    </w:p>
    <w:p>
      <w:pPr>
        <w:pStyle w:val="ListBullet"/>
      </w:pPr>
      <w:r>
        <w:t>QTc 450–480 ms : surveillance renforcée, correction des troubles ioniques, vérification des médicaments concomitants.</w:t>
      </w:r>
    </w:p>
    <w:p>
      <w:pPr>
        <w:pStyle w:val="ListBullet"/>
      </w:pPr>
      <w:r>
        <w:t>QTc &gt; 480 ms ou allongement &gt; 60 ms par rapport à la baseline : interruption transitoire, correction des troubles ioniques, ECG de contrôle à 7 jours, reprise à dose réduite.</w:t>
      </w:r>
    </w:p>
    <w:p>
      <w:pPr>
        <w:pStyle w:val="ListBullet"/>
      </w:pPr>
      <w:r>
        <w:t>QTc &gt; 500 ms ou torsades de pointes : arrêt définitif, hospitalisation, sulfate de magnésium IV.</w:t>
      </w:r>
    </w:p>
    <w:p>
      <w:pPr>
        <w:pStyle w:val="Heading3"/>
      </w:pPr>
      <w:r>
        <w:t>Dysfonction ventriculaire gauche (dasatinib, lapatinib, osimertinib, trastuzumab)</w:t>
      </w:r>
    </w:p>
    <w:p>
      <w:r/>
      <w:r>
        <w:rPr>
          <w:b/>
        </w:rPr>
        <w:t>Mécanisme</w:t>
      </w:r>
      <w:r>
        <w:t xml:space="preserve"> : toxicité mitochondriale et altération de la signalisation ERBB2/HER2 dans les cardiomyocytes → baisse asymptptomatique de la FEVG, voire insuffisance cardiaque symptomatique.</w:t>
      </w:r>
    </w:p>
    <w:p>
      <w:r/>
      <w:r>
        <w:rPr>
          <w:b/>
        </w:rPr>
        <w:t>Surveillance</w:t>
      </w:r>
      <w:r>
        <w:t xml:space="preserve"> : échographie cardiaque initiale avec FEVG, puis semestrielle pendant le traitement, et 6 mois après l'arrêt. Dosage du BNP/NT-proBNP et de la troponine I/T initialement puis semestriel.</w:t>
      </w:r>
    </w:p>
    <w:p>
      <w:r/>
      <w:r>
        <w:rPr>
          <w:b/>
        </w:rPr>
        <w:t>Prise en charge</w:t>
      </w:r>
      <w:r>
        <w:t xml:space="preserve"> :</w:t>
      </w:r>
    </w:p>
    <w:p>
      <w:pPr>
        <w:pStyle w:val="ListBullet"/>
      </w:pPr>
      <w:r>
        <w:t>Baisse asymptomatique de la FEVG (10–20 % par rapport à la baseline, FEVG &gt; 50 %) : poursuite + surveillance rapprochée (échographie à 1 mois).</w:t>
      </w:r>
    </w:p>
    <w:p>
      <w:pPr>
        <w:pStyle w:val="ListBullet"/>
      </w:pPr>
      <w:r>
        <w:t>Baisse asymptomatique de la FEVG (&gt; 20 % par rapport à la baseline, ou FEVG &lt; 50 %) : interruption transitoire, surveillance à 2–4 semaines ; reprise à dose réduite si récupération.</w:t>
      </w:r>
    </w:p>
    <w:p>
      <w:pPr>
        <w:pStyle w:val="ListBullet"/>
      </w:pPr>
      <w:r>
        <w:t>Insuffisance cardiaque symptomatique (dyspnée, œdèmes, asthénie) : arrêt définitif, traitement de l'insuffisance cardiaque (IEC + bêtabloquant + diurétique), hospitalisation si nécessaire.</w:t>
      </w:r>
    </w:p>
    <w:p>
      <w:pPr>
        <w:pStyle w:val="Heading3"/>
      </w:pPr>
      <w:r>
        <w:t>Événements thrombotiques artériels et veineux (ponatinib, cabozantinib, lenvatinib)</w:t>
      </w:r>
    </w:p>
    <w:p>
      <w:r/>
      <w:r>
        <w:rPr>
          <w:b/>
        </w:rPr>
        <w:t>Mécanisme</w:t>
      </w:r>
      <w:r>
        <w:t xml:space="preserve"> : inhibition de VEGFR sur l'endothélium vasculaire → dysfunction endothéliale, pro-thrombogénicité, hypertension artérielle associée.</w:t>
      </w:r>
    </w:p>
    <w:p>
      <w:r/>
      <w:r>
        <w:rPr>
          <w:b/>
        </w:rPr>
        <w:t>Surveillance</w:t>
      </w:r>
      <w:r>
        <w:t xml:space="preserve"> : évaluation du risque thrombotique avant initiation (tabac, HTA, diabète, hyperlipidémie, antécédents familiaux, thrombophilie) ; palpation des pouls périphériques, mesure de l'index de pression systolique (IPS) si suspicion d'artériopathie ; éducation du patient aux signes d'alerte (douleurs thoraciques, faiblesse d'un côté, troubles du langage, douleurs aux mollets à la marche).</w:t>
      </w:r>
    </w:p>
    <w:p>
      <w:r/>
      <w:r>
        <w:rPr>
          <w:b/>
        </w:rPr>
        <w:t>Prise en charge</w:t>
      </w:r>
      <w:r>
        <w:t xml:space="preserve"> :</w:t>
      </w:r>
    </w:p>
    <w:p>
      <w:pPr>
        <w:pStyle w:val="ListBullet"/>
      </w:pPr>
      <w:r>
        <w:t>Événement thrombotique artériel (infarctus du myocarde, AVC ischémique, artériopathie oblitérante symptomatique) : arrêt définitif du ponatinib (cabozantinib et lenvatinib à discuter selon gravité) ; switch vers imatinib pour la LCM (ou ascutinib si T315I) ; prise en charge spécialisée (cardiologie interventionnelle, neurologie vasculaire, chirurgie vasculaire).</w:t>
      </w:r>
    </w:p>
    <w:p>
      <w:pPr>
        <w:pStyle w:val="ListBullet"/>
      </w:pPr>
      <w:r>
        <w:t>Événement thrombotique veineux (TVP, embolie pulmonaire) : anticoagulation curative (HBPM, AVK, anticoagulants oraux directs) ; poursuite de l'ITK avec surveillance rapprochée (en cas d'événement veineux isolé).</w:t>
      </w:r>
    </w:p>
    <w:p>
      <w:pPr>
        <w:pStyle w:val="Heading2"/>
      </w:pPr>
      <w:r>
        <w:t>Annexe 104.D — Stratégies de prise en charge des résistances secondaires aux ITK</w:t>
      </w:r>
    </w:p>
    <w:p>
      <w:pPr>
        <w:pStyle w:val="Heading3"/>
      </w:pPr>
      <w:r>
        <w:t>LCM Ph+ (résistance à l'imatinib)</w:t>
      </w:r>
    </w:p>
    <w:p>
      <w:r/>
      <w:r>
        <w:rPr>
          <w:b/>
        </w:rPr>
        <w:t>Mécanismes de résistance</w:t>
      </w:r>
      <w:r>
        <w:t xml:space="preserve"> :</w:t>
      </w:r>
    </w:p>
    <w:p>
      <w:pPr>
        <w:pStyle w:val="ListBullet"/>
      </w:pPr>
      <w:r>
        <w:t>Mutations ponctuelles du domaine kinase de BCR-ABL1 (&gt; 100 mutations décrites, dont T315I, E255K/V, Y253H, M351T, F359V, G250E).</w:t>
      </w:r>
    </w:p>
    <w:p>
      <w:pPr>
        <w:pStyle w:val="ListBullet"/>
      </w:pPr>
      <w:r>
        <w:t>Amplification du gène BCR-ABL1.</w:t>
      </w:r>
    </w:p>
    <w:p>
      <w:pPr>
        <w:pStyle w:val="ListBullet"/>
      </w:pPr>
      <w:r>
        <w:t>Activation de voies de signalisation indépendantes de BCR-ABL1 (SRC, LYN, mTOR).</w:t>
      </w:r>
    </w:p>
    <w:p>
      <w:pPr>
        <w:pStyle w:val="ListBullet"/>
      </w:pPr>
      <w:r>
        <w:t>Quiescence des cellules souches leucémiques (résistance pharmacologique).</w:t>
      </w:r>
    </w:p>
    <w:p>
      <w:r/>
      <w:r>
        <w:rPr>
          <w:b/>
        </w:rPr>
        <w:t>Stratégie thérapeutique</w:t>
      </w:r>
      <w:r>
        <w:t xml:space="preserve"> :</w:t>
      </w:r>
    </w:p>
    <w:p>
      <w:pPr>
        <w:pStyle w:val="ListBullet"/>
      </w:pPr>
      <w:r>
        <w:t>Mutation screen par séquençage Sanger ou NGS du domaine kinase de BCR-ABL1 en cas d'échec de l'imatinib (absence de réponse hématologique complète à 3 mois, absence de réponse cytogénétique majeure à 6 mois, perte de réponse moléculaire).</w:t>
      </w:r>
    </w:p>
    <w:p>
      <w:pPr>
        <w:pStyle w:val="ListBullet"/>
      </w:pPr>
      <w:r>
        <w:t>Switch vers ITK de 2e génération (dasatinib, nilotinib, bosutinib) si mutation sensible.</w:t>
      </w:r>
    </w:p>
    <w:p>
      <w:pPr>
        <w:pStyle w:val="ListBullet"/>
      </w:pPr>
      <w:r>
        <w:t>Switch vers ponatinib si mutation T315I.</w:t>
      </w:r>
    </w:p>
    <w:p>
      <w:pPr>
        <w:pStyle w:val="ListBullet"/>
      </w:pPr>
      <w:r>
        <w:t>Switch vers ascutinib (ITK allostérique de 3e génération, non disponible dans la nomenclature algérienne active) si mutation particulière ou en cas d'échec/intolérance aux ITK ATP-mimétiques.</w:t>
      </w:r>
    </w:p>
    <w:p>
      <w:pPr>
        <w:pStyle w:val="ListBullet"/>
      </w:pPr>
      <w:r>
        <w:t>Allogreffe de cellules souches hématopoïétiques en cas d'échec de plusieurs ITK ou de progression vers phase blastique.</w:t>
      </w:r>
    </w:p>
    <w:p>
      <w:pPr>
        <w:pStyle w:val="Heading3"/>
      </w:pPr>
      <w:r>
        <w:t>CBNPC EGFR muté (résistance aux ITK EGFR de 1re et 2e génération)</w:t>
      </w:r>
    </w:p>
    <w:p>
      <w:r/>
      <w:r>
        <w:rPr>
          <w:b/>
        </w:rPr>
        <w:t>Mécanismes de résistance</w:t>
      </w:r>
      <w:r>
        <w:t xml:space="preserve"> :</w:t>
      </w:r>
    </w:p>
    <w:p>
      <w:pPr>
        <w:pStyle w:val="ListBullet"/>
      </w:pPr>
      <w:r>
        <w:t>Mutation T790M (~50–60 % des cas).</w:t>
      </w:r>
    </w:p>
    <w:p>
      <w:pPr>
        <w:pStyle w:val="ListBullet"/>
      </w:pPr>
      <w:r>
        <w:t>Amplification de MET (~5–10 %).</w:t>
      </w:r>
    </w:p>
    <w:p>
      <w:pPr>
        <w:pStyle w:val="ListBullet"/>
      </w:pPr>
      <w:r>
        <w:t>Transformation en cancer à petites cellules (~5–10 %).</w:t>
      </w:r>
    </w:p>
    <w:p>
      <w:pPr>
        <w:pStyle w:val="ListBullet"/>
      </w:pPr>
      <w:r>
        <w:t>Mutations PIK3CA (~5 %).</w:t>
      </w:r>
    </w:p>
    <w:p>
      <w:pPr>
        <w:pStyle w:val="ListBullet"/>
      </w:pPr>
      <w:r>
        <w:t>Transformation épithélio-mésenchymateuse (~5 %).</w:t>
      </w:r>
    </w:p>
    <w:p>
      <w:r/>
      <w:r>
        <w:rPr>
          <w:b/>
        </w:rPr>
        <w:t>Stratégie thérapeutique</w:t>
      </w:r>
      <w:r>
        <w:t xml:space="preserve"> :</w:t>
      </w:r>
    </w:p>
    <w:p>
      <w:pPr>
        <w:pStyle w:val="ListBullet"/>
      </w:pPr>
      <w:r>
        <w:t>Rebiopsie ou biopsie liquide (ctDNA) en cas de progression sous ITK EGFR de 1re/2e génération.</w:t>
      </w:r>
    </w:p>
    <w:p>
      <w:pPr>
        <w:pStyle w:val="ListBullet"/>
      </w:pPr>
      <w:r>
        <w:t>Switch vers osimertinib si mutation T790M confirmée (efficacité supérieure à la chimiothérapie).</w:t>
      </w:r>
    </w:p>
    <w:p>
      <w:pPr>
        <w:pStyle w:val="ListBullet"/>
      </w:pPr>
      <w:r>
        <w:t>Switch vers chimiothérapie (platine + pemetrexed) si pas de mutation T790M ou échec de l'osimertinib.</w:t>
      </w:r>
    </w:p>
    <w:p>
      <w:pPr>
        <w:pStyle w:val="ListBullet"/>
      </w:pPr>
      <w:r>
        <w:t>Immunothérapie (pembrolizumab, atezolizumab, nivolumab) si PDL-1 élevé et pas de mutation EGFR/ALK actionnable.</w:t>
      </w:r>
    </w:p>
    <w:p>
      <w:pPr>
        <w:pStyle w:val="ListBullet"/>
      </w:pPr>
      <w:r>
        <w:t>Associations expérimentales en cours d'évaluation (osimertinib + chimiothérapie, osimertinib + anti-MET, osimertinib + anti-HER2, osimertinib + amivantamab).</w:t>
      </w:r>
    </w:p>
    <w:p>
      <w:pPr>
        <w:pStyle w:val="Heading3"/>
      </w:pPr>
      <w:r>
        <w:t>Mélanome BRAF V600E+ (résistance au vemurafenib)</w:t>
      </w:r>
    </w:p>
    <w:p>
      <w:r/>
      <w:r>
        <w:rPr>
          <w:b/>
        </w:rPr>
        <w:t>Mécanismes de résistance</w:t>
      </w:r>
      <w:r>
        <w:t xml:space="preserve"> :</w:t>
      </w:r>
    </w:p>
    <w:p>
      <w:pPr>
        <w:pStyle w:val="ListBullet"/>
      </w:pPr>
      <w:r>
        <w:t>Mutations NRAS (~20 %).</w:t>
      </w:r>
    </w:p>
    <w:p>
      <w:pPr>
        <w:pStyle w:val="ListBullet"/>
      </w:pPr>
      <w:r>
        <w:t>Mutations MEK1/MEK2 (~10 %).</w:t>
      </w:r>
    </w:p>
    <w:p>
      <w:pPr>
        <w:pStyle w:val="ListBullet"/>
      </w:pPr>
      <w:r>
        <w:t>Amplification ou splicing de BRAF (~30 %).</w:t>
      </w:r>
    </w:p>
    <w:p>
      <w:pPr>
        <w:pStyle w:val="ListBullet"/>
      </w:pPr>
      <w:r>
        <w:t>Activation de voies de bypass (PI3K, MET, PDGFR).</w:t>
      </w:r>
    </w:p>
    <w:p>
      <w:pPr>
        <w:pStyle w:val="ListBullet"/>
      </w:pPr>
      <w:r>
        <w:t>Phénotype de résistance adaptative (établissement d'un nouvel équilibre prolifération/apoptose).</w:t>
      </w:r>
    </w:p>
    <w:p>
      <w:r/>
      <w:r>
        <w:rPr>
          <w:b/>
        </w:rPr>
        <w:t>Stratégie thérapeutique</w:t>
      </w:r>
      <w:r>
        <w:t xml:space="preserve"> :</w:t>
      </w:r>
    </w:p>
    <w:p>
      <w:pPr>
        <w:pStyle w:val="ListBullet"/>
      </w:pPr>
      <w:r>
        <w:t>Association systématique vemurafenib + cobimétinib (ITK MEK) en 1re ligne, qui prolonge la survie sans progression de 6 mois (essai CoBRIM : 9,9 mois en monothérapie vs 14,9 mois en association).</w:t>
      </w:r>
    </w:p>
    <w:p>
      <w:pPr>
        <w:pStyle w:val="ListBullet"/>
      </w:pPr>
      <w:r>
        <w:t>Switch vers immunothérapie (nivolumab, pembrolizumab, ipilimumab + nivolumab) en cas de progression.</w:t>
      </w:r>
    </w:p>
    <w:p>
      <w:pPr>
        <w:pStyle w:val="ListBullet"/>
      </w:pPr>
      <w:r>
        <w:t>Combinaisons expérimentales (BRAF + MEK + anti-PD-1) en cours d'évaluation.</w:t>
      </w:r>
    </w:p>
    <w:p>
      <w:pPr>
        <w:pStyle w:val="Heading3"/>
      </w:pPr>
      <w:r>
        <w:t>CBNPC ALK+ (résistance au crizotinib)</w:t>
      </w:r>
    </w:p>
    <w:p>
      <w:r/>
      <w:r>
        <w:rPr>
          <w:b/>
        </w:rPr>
        <w:t>Mécanismes de résistance</w:t>
      </w:r>
      <w:r>
        <w:t xml:space="preserve"> :</w:t>
      </w:r>
    </w:p>
    <w:p>
      <w:pPr>
        <w:pStyle w:val="ListBullet"/>
      </w:pPr>
      <w:r>
        <w:t>Mutations ponctuelles du domaine kinase d'ALK (C1156Y, L1196M, G1269A, F1174L, 1151Tins, etc.).</w:t>
      </w:r>
    </w:p>
    <w:p>
      <w:pPr>
        <w:pStyle w:val="ListBullet"/>
      </w:pPr>
      <w:r>
        <w:t>Amplification de ALK.</w:t>
      </w:r>
    </w:p>
    <w:p>
      <w:pPr>
        <w:pStyle w:val="ListBullet"/>
      </w:pPr>
      <w:r>
        <w:t>Activation de voies de bypass (EGFR, KRAS, IGF1R).</w:t>
      </w:r>
    </w:p>
    <w:p>
      <w:pPr>
        <w:pStyle w:val="ListBullet"/>
      </w:pPr>
      <w:r>
        <w:t>Transformation en cancer à petites cellules (~5 %).</w:t>
      </w:r>
    </w:p>
    <w:p>
      <w:r/>
      <w:r>
        <w:rPr>
          <w:b/>
        </w:rPr>
        <w:t>Stratégie thérapeutique</w:t>
      </w:r>
      <w:r>
        <w:t xml:space="preserve"> :</w:t>
      </w:r>
    </w:p>
    <w:p>
      <w:pPr>
        <w:pStyle w:val="ListBullet"/>
      </w:pPr>
      <w:r>
        <w:t>Switch vers céritinib (ITK ALK de 2e génération, non disponible dans la nomenclature algérienne active).</w:t>
      </w:r>
    </w:p>
    <w:p>
      <w:pPr>
        <w:pStyle w:val="ListBullet"/>
      </w:pPr>
      <w:r>
        <w:t>Switch vers alectinib (ITK ALK de 2e génération, supériorité en survie sans progression vs crizotinib en 1re ligne — non disponible).</w:t>
      </w:r>
    </w:p>
    <w:p>
      <w:pPr>
        <w:pStyle w:val="ListBullet"/>
      </w:pPr>
      <w:r>
        <w:t>Switch vers brigatinib (ITK ALK de 2e génération).</w:t>
      </w:r>
    </w:p>
    <w:p>
      <w:pPr>
        <w:pStyle w:val="ListBullet"/>
      </w:pPr>
      <w:r>
        <w:t>Switch vers lorlatinib (ITK ALK de 3e génération, actif sur la plupart des mutations de résistance).</w:t>
      </w:r>
    </w:p>
    <w:p>
      <w:pPr>
        <w:pStyle w:val="ListBullet"/>
      </w:pPr>
      <w:r>
        <w:t>Switch vers chimiothérapie (platine + pemetrexed) en cas d'échec des ITK ALK.</w:t>
      </w:r>
    </w:p>
    <w:p>
      <w:pPr>
        <w:pStyle w:val="Heading2"/>
      </w:pPr>
      <w:r>
        <w:t>Annexe 104.E — Précautions particulières en oncologie pédiatrique</w:t>
      </w:r>
    </w:p>
    <w:p>
      <w:r>
        <w:t>Plusieurs ITK sont indiqués chez l'enfant (imatinib, dasatinib, crizotinib) avec des adaptations posologiques par surface corporelle (mg/m²). Les particularités pédiatriques à connaître sont :</w:t>
      </w:r>
    </w:p>
    <w:p>
      <w:pPr>
        <w:pStyle w:val="ListNumber"/>
      </w:pPr>
      <w:r/>
      <w:r>
        <w:rPr>
          <w:b/>
        </w:rPr>
        <w:t>Adaptation posologique par surface corporelle</w:t>
      </w:r>
      <w:r>
        <w:t xml:space="preserve"> : la dose pédiatrique est généralement calculée en mg/m² (imatinib : 340 mg/m²/j ; dasatinib : 60 mg/m²/j ; crizotinib : 280 mg/m²/j), avec un plafond à la dose adulte.</w:t>
      </w:r>
    </w:p>
    <w:p>
      <w:pPr>
        <w:pStyle w:val="ListNumber"/>
      </w:pPr>
      <w:r/>
      <w:r>
        <w:rPr>
          <w:b/>
        </w:rPr>
        <w:t>Retard de croissance staturo-pondérale</w:t>
      </w:r>
      <w:r>
        <w:t xml:space="preserve"> : particulièrement marqué avec l'imatinib (ralentissement de la croissance chez l'enfant prépubère), justifiant un suivi endocrinien pédiatrique régulier (courbes de croissance tous les 3 mois, évaluation de l'IGF-1 et de l'IGFBP-3 si ralentissement).</w:t>
      </w:r>
    </w:p>
    <w:p>
      <w:pPr>
        <w:pStyle w:val="ListNumber"/>
      </w:pPr>
      <w:r/>
      <w:r>
        <w:rPr>
          <w:b/>
        </w:rPr>
        <w:t>Retard pubertaire</w:t>
      </w:r>
      <w:r>
        <w:t xml:space="preserve"> : possible avec l'imatinib et le dasatinib, à surveiller chez l'adolescent.</w:t>
      </w:r>
    </w:p>
    <w:p>
      <w:pPr>
        <w:pStyle w:val="ListNumber"/>
      </w:pPr>
      <w:r/>
      <w:r>
        <w:rPr>
          <w:b/>
        </w:rPr>
        <w:t>Tératogénicité chez l'adolescente</w:t>
      </w:r>
      <w:r>
        <w:t xml:space="preserve"> : contraception obligatoire dès l'adolescence (imatinib, dasatinib, tous ITK), avec un projet de grossesse à anticiper chez la jeune femme LCM en réponse moléculaire profonde et stable.</w:t>
      </w:r>
    </w:p>
    <w:p>
      <w:pPr>
        <w:pStyle w:val="ListNumber"/>
      </w:pPr>
      <w:r/>
      <w:r>
        <w:rPr>
          <w:b/>
        </w:rPr>
        <w:t>Tolérance osseuse</w:t>
      </w:r>
      <w:r>
        <w:t xml:space="preserve"> : l'imatinib peut altérer le métabolisme osseux (hypophosphatémie chronique, ostéomalacie) ; surveillance de la phosphorémie et supplémentation en vitamine D si nécessaire.</w:t>
      </w:r>
    </w:p>
    <w:p>
      <w:pPr>
        <w:pStyle w:val="ListNumber"/>
      </w:pPr>
      <w:r/>
      <w:r>
        <w:rPr>
          <w:b/>
        </w:rPr>
        <w:t>Adaptation galénique</w:t>
      </w:r>
      <w:r>
        <w:t xml:space="preserve"> : les comprimés pelliculés ne devant pas être écrasés (amertume intense, modification de la pharmacocinétique), la dispersion dans un verre d'eau ou de jus de pomme (non gazeux) immédiatement avant ingestion est possible pour l'imatinib, l'erlotinib, le gefitinib et l'afatinib (se référer au RCP). La dispersion est déconseillée pour le dasatinib, le nilotinib, le bosutinib, le ponatinib, le lapatinib, le sorafenib, le sunitinib, le regorafenib, le cabozantinib, le lenvatinib, le pazopanib, l'axitinib, le vemurafenib et le crizotinib (formulation gélule ou comprimé à libération modifiée, ou risque d'inhalation).</w:t>
      </w:r>
    </w:p>
    <w:p>
      <w:pPr>
        <w:pStyle w:val="ListNumber"/>
      </w:pPr>
      <w:r/>
      <w:r>
        <w:rPr>
          <w:b/>
        </w:rPr>
        <w:t>Suivi psychologique et scolaire</w:t>
      </w:r>
      <w:r>
        <w:t xml:space="preserve"> : la chronicité du traitement et ses effets indésirables (rash, fatigue, œdèmes) peuvent retentir sur la vie scolaire et sociale de l'enfant et de l'adolescent ; un accompagnement psychologique et un projet d'accueil individualisé (PAI) à l'école sont recommandés.</w:t>
      </w:r>
    </w:p>
    <w:p>
      <w:pPr>
        <w:pStyle w:val="Heading2"/>
      </w:pPr>
      <w:r>
        <w:t>Annexe 104.F — Précautions particulières chez le sujet âgé</w:t>
      </w:r>
    </w:p>
    <w:p>
      <w:r>
        <w:t>La prescription d'ITK chez le sujet âgé (&gt; 75 ans) nécessite des précautions particulières :</w:t>
      </w:r>
    </w:p>
    <w:p>
      <w:pPr>
        <w:pStyle w:val="ListNumber"/>
      </w:pPr>
      <w:r/>
      <w:r>
        <w:rPr>
          <w:b/>
        </w:rPr>
        <w:t>Évaluation gériatrique globale</w:t>
      </w:r>
      <w:r>
        <w:t xml:space="preserve"> : avant initiation, évaluer l'autonomie (ADL, IADL), l'état nutritionnel (MNA), l'état cognitif (MMSE), les comorbidités (Cumulative Illness Rating Scale), la polymédication et le risque de chutes.</w:t>
      </w:r>
    </w:p>
    <w:p>
      <w:pPr>
        <w:pStyle w:val="ListNumber"/>
      </w:pPr>
      <w:r/>
      <w:r>
        <w:rPr>
          <w:b/>
        </w:rPr>
        <w:t>Adaptation posologique</w:t>
      </w:r>
      <w:r>
        <w:t xml:space="preserve"> : en cas d'insuffisance hépatique (fréquente en raison de l'atrophie hépatique sénile) ou rénale (réduction physiologique de la clairance de la créatinine), réduire la dose initiale de 25 à 50 % selon l'ITK.</w:t>
      </w:r>
    </w:p>
    <w:p>
      <w:pPr>
        <w:pStyle w:val="ListNumber"/>
      </w:pPr>
      <w:r/>
      <w:r>
        <w:rPr>
          <w:b/>
        </w:rPr>
        <w:t>Surveillance cardiovasculaire renforcée</w:t>
      </w:r>
      <w:r>
        <w:t xml:space="preserve"> : le sujet âgé est à risque accru d'événements cardiovasculaires (HTA, QTc long, dysfonction VG, événements thrombotiques), justifiant une évaluation cardiovasculaire complète avant initiation et une surveillance rapprochée.</w:t>
      </w:r>
    </w:p>
    <w:p>
      <w:pPr>
        <w:pStyle w:val="ListNumber"/>
      </w:pPr>
      <w:r/>
      <w:r>
        <w:rPr>
          <w:b/>
        </w:rPr>
        <w:t>Risque d'interactions médicamenteuses majoré</w:t>
      </w:r>
      <w:r>
        <w:t xml:space="preserve"> : la polymédication fréquente chez le sujet âgé (antihypertenseurs, anticoagulants, hypoglycémiants, antidépresseurs, antiarythmiques) expose à un risque accru d'interactions médicamenteuses (CYP3A4, P-gp, allongement du QTc). La vérification systématique des médicaments concomitants avant initiation est obligatoire.</w:t>
      </w:r>
    </w:p>
    <w:p>
      <w:pPr>
        <w:pStyle w:val="ListNumber"/>
      </w:pPr>
      <w:r/>
      <w:r>
        <w:rPr>
          <w:b/>
        </w:rPr>
        <w:t>Risque de chutes</w:t>
      </w:r>
      <w:r>
        <w:t xml:space="preserve"> : les troubles visuels (crizotinib), la fatigue (tous ITK), l'hypotension orthostatique (HTA induite puis traitement antihypertenseur) et les cytopénies exposent à un risque accru de chutes, justifiant une évaluation de la marche et de l'équilibre avant initiation.</w:t>
      </w:r>
    </w:p>
    <w:p>
      <w:pPr>
        <w:pStyle w:val="ListNumber"/>
      </w:pPr>
      <w:r/>
      <w:r>
        <w:rPr>
          <w:b/>
        </w:rPr>
        <w:t>Tolérance digestive</w:t>
      </w:r>
      <w:r>
        <w:t xml:space="preserve"> : la diarrhée (afatinib, bosutinib, lapatinib, regorafenib, sorafenib, sunitinib) peut entraîner une déshydratation et une insuffisance rénale fonctionnelle chez le sujet âgé, justifiant une surveillance rapprochée du poids, de la pression artérielle et de la fonction rénale.</w:t>
      </w:r>
    </w:p>
    <w:p>
      <w:r/>
      <w:r>
        <w:rPr>
          <w:i/>
        </w:rPr>
        <w:t>Sources principales : VIDAL 2024, ANSM (RCP officiels), Thériaque, CRAT (Centre de Renseignement sur les Agents Tératogènes), NCCN Clinical Practice Guidelines in Oncology 2024, UpToDate, ESMO Clinical Practice Guidelines, ELN (European LeukemiaNet) 2020, EORTC cutaneous adverse events.</w:t>
      </w:r>
      <w:r/>
    </w:p>
    <w:p>
      <w:pPr>
        <w:pStyle w:val="Heading2"/>
      </w:pPr>
      <w:r>
        <w:t>Annexe 104.G — Interactions médicamenteuses majeures à mémoriser</w:t>
      </w:r>
    </w:p>
    <w:p>
      <w:r>
        <w:t>Le tableau ci-dessous récapitule les interactions médicamenteuses majeures à connaître pour la dispensation en pharmacie de ville et la pratique hospitalière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ITK</w:t>
            </w:r>
          </w:p>
        </w:tc>
        <w:tc>
          <w:tcPr>
            <w:tcW w:type="dxa" w:w="1559"/>
          </w:tcPr>
          <w:p>
            <w:r>
              <w:rPr>
                <w:b/>
                <w:sz w:val="20"/>
              </w:rPr>
              <w:t>Inducteur CYP3A4 (à éviter)</w:t>
            </w:r>
          </w:p>
        </w:tc>
        <w:tc>
          <w:tcPr>
            <w:tcW w:type="dxa" w:w="1559"/>
          </w:tcPr>
          <w:p>
            <w:r>
              <w:rPr>
                <w:b/>
                <w:sz w:val="20"/>
              </w:rPr>
              <w:t>Inhibiteur CYP3A4 (réduire dose ITK)</w:t>
            </w:r>
          </w:p>
        </w:tc>
        <w:tc>
          <w:tcPr>
            <w:tcW w:type="dxa" w:w="1559"/>
          </w:tcPr>
          <w:p>
            <w:r>
              <w:rPr>
                <w:b/>
                <w:sz w:val="20"/>
              </w:rPr>
              <w:t>Substrats à risque (surveillance)</w:t>
            </w:r>
          </w:p>
        </w:tc>
        <w:tc>
          <w:tcPr>
            <w:tcW w:type="dxa" w:w="1559"/>
          </w:tcPr>
          <w:p>
            <w:r>
              <w:rPr>
                <w:b/>
                <w:sz w:val="20"/>
              </w:rPr>
              <w:t>Allongement QT (à éviter)</w:t>
            </w:r>
          </w:p>
        </w:tc>
        <w:tc>
          <w:tcPr>
            <w:tcW w:type="dxa" w:w="1559"/>
          </w:tcPr>
          <w:p>
            <w:r>
              <w:rPr>
                <w:b/>
                <w:sz w:val="20"/>
              </w:rPr>
              <w:t>Alimentation</w:t>
            </w:r>
          </w:p>
        </w:tc>
      </w:tr>
      <w:tr>
        <w:tc>
          <w:tcPr>
            <w:tcW w:type="dxa" w:w="1559"/>
          </w:tcPr>
          <w:p>
            <w:r>
              <w:rPr>
                <w:sz w:val="20"/>
              </w:rPr>
              <w:t>Imatinib</w:t>
            </w:r>
          </w:p>
        </w:tc>
        <w:tc>
          <w:tcPr>
            <w:tcW w:type="dxa" w:w="1559"/>
          </w:tcPr>
          <w:p>
            <w:r>
              <w:rPr>
                <w:sz w:val="20"/>
              </w:rPr>
              <w:t>Rifampicine, phénytoïne, carbamazépine, phénobarbital, millepertuis (−75 % ASC)</w:t>
            </w:r>
          </w:p>
        </w:tc>
        <w:tc>
          <w:tcPr>
            <w:tcW w:type="dxa" w:w="1559"/>
          </w:tcPr>
          <w:p>
            <w:r>
              <w:rPr>
                <w:sz w:val="20"/>
              </w:rPr>
              <w:t>Kétoconazole (×3), itraconazole, voriconazole, clarithromycine, ritonavir</w:t>
            </w:r>
          </w:p>
        </w:tc>
        <w:tc>
          <w:tcPr>
            <w:tcW w:type="dxa" w:w="1559"/>
          </w:tcPr>
          <w:p>
            <w:r>
              <w:rPr>
                <w:sz w:val="20"/>
              </w:rPr>
              <w:t>AVK (warfarine, HBPM préférentielle), simvastatine, atorvastatine, cyclosporine, tacrolimus, sirolimus, midazolam, triazolam, pimozide, ergotamine</w:t>
            </w:r>
          </w:p>
        </w:tc>
        <w:tc>
          <w:tcPr>
            <w:tcW w:type="dxa" w:w="1559"/>
          </w:tcPr>
          <w:p>
            <w:r>
              <w:rPr>
                <w:sz w:val="20"/>
              </w:rPr>
              <w:t>Cisapride, pimozide (CI absolue)</w:t>
            </w:r>
          </w:p>
        </w:tc>
        <w:tc>
          <w:tcPr>
            <w:tcW w:type="dxa" w:w="1559"/>
          </w:tcPr>
          <w:p>
            <w:r>
              <w:rPr>
                <w:sz w:val="20"/>
              </w:rPr>
              <w:t>Pamplemousse à éviter</w:t>
            </w:r>
          </w:p>
        </w:tc>
      </w:tr>
      <w:tr>
        <w:tc>
          <w:tcPr>
            <w:tcW w:type="dxa" w:w="1559"/>
          </w:tcPr>
          <w:p>
            <w:r>
              <w:rPr>
                <w:sz w:val="20"/>
              </w:rPr>
              <w:t>Dasatinib</w:t>
            </w:r>
          </w:p>
        </w:tc>
        <w:tc>
          <w:tcPr>
            <w:tcW w:type="dxa" w:w="1559"/>
          </w:tcPr>
          <w:p>
            <w:r>
              <w:rPr>
                <w:sz w:val="20"/>
              </w:rPr>
              <w:t>Rifampicine (−80 %), phénytoïne, carbamazépine, millepertuis</w:t>
            </w:r>
          </w:p>
        </w:tc>
        <w:tc>
          <w:tcPr>
            <w:tcW w:type="dxa" w:w="1559"/>
          </w:tcPr>
          <w:p>
            <w:r>
              <w:rPr>
                <w:sz w:val="20"/>
              </w:rPr>
              <w:t>Kétoconazole (×5), itraconazole, voriconazole, clarithromycine, ritonavir (réduire à 20–40 mg/j)</w:t>
            </w:r>
          </w:p>
        </w:tc>
        <w:tc>
          <w:tcPr>
            <w:tcW w:type="dxa" w:w="1559"/>
          </w:tcPr>
          <w:p>
            <w:r>
              <w:rPr>
                <w:sz w:val="20"/>
              </w:rPr>
              <w:t>AVK, simvastatine, cyclosporine, tacrolimus, digoxine, dabigatran</w:t>
            </w:r>
          </w:p>
        </w:tc>
        <w:tc>
          <w:tcPr>
            <w:tcW w:type="dxa" w:w="1559"/>
          </w:tcPr>
          <w:p>
            <w:r>
              <w:rPr>
                <w:sz w:val="20"/>
              </w:rPr>
              <w:t>Amiodarone, sotalol, moxifloxacine, cisapride</w:t>
            </w:r>
          </w:p>
        </w:tc>
        <w:tc>
          <w:tcPr>
            <w:tcW w:type="dxa" w:w="1559"/>
          </w:tcPr>
          <w:p>
            <w:r>
              <w:rPr>
                <w:sz w:val="20"/>
              </w:rPr>
              <w:t>À jeun strict, anti-acides espacer 2h</w:t>
            </w:r>
          </w:p>
        </w:tc>
      </w:tr>
      <w:tr>
        <w:tc>
          <w:tcPr>
            <w:tcW w:type="dxa" w:w="1559"/>
          </w:tcPr>
          <w:p>
            <w:r>
              <w:rPr>
                <w:sz w:val="20"/>
              </w:rPr>
              <w:t>Nilotinib</w:t>
            </w:r>
          </w:p>
        </w:tc>
        <w:tc>
          <w:tcPr>
            <w:tcW w:type="dxa" w:w="1559"/>
          </w:tcPr>
          <w:p>
            <w:r>
              <w:rPr>
                <w:sz w:val="20"/>
              </w:rPr>
              <w:t>Rifampicine (−80 %), phénytoïne, carbamazépine, millepertuis</w:t>
            </w:r>
          </w:p>
        </w:tc>
        <w:tc>
          <w:tcPr>
            <w:tcW w:type="dxa" w:w="1559"/>
          </w:tcPr>
          <w:p>
            <w:r>
              <w:rPr>
                <w:sz w:val="20"/>
              </w:rPr>
              <w:t>Kétoconazole (×3), itraconazole, voriconazole, clarithromycine, ritonavir (réduire à 400 mg/j)</w:t>
            </w:r>
          </w:p>
        </w:tc>
        <w:tc>
          <w:tcPr>
            <w:tcW w:type="dxa" w:w="1559"/>
          </w:tcPr>
          <w:p>
            <w:r>
              <w:rPr>
                <w:sz w:val="20"/>
              </w:rPr>
              <w:t>AVK, simvastatine, cyclosporine, tacrolimus, digoxine</w:t>
            </w:r>
          </w:p>
        </w:tc>
        <w:tc>
          <w:tcPr>
            <w:tcW w:type="dxa" w:w="1559"/>
          </w:tcPr>
          <w:p>
            <w:r>
              <w:rPr>
                <w:sz w:val="20"/>
              </w:rPr>
              <w:t>Amiodarone, sotalol, moxifloxacine, cisapride, dompéridone, méthadone (CI absolue)</w:t>
            </w:r>
          </w:p>
        </w:tc>
        <w:tc>
          <w:tcPr>
            <w:tcW w:type="dxa" w:w="1559"/>
          </w:tcPr>
          <w:p>
            <w:r>
              <w:rPr>
                <w:sz w:val="20"/>
              </w:rPr>
              <w:t>À jeun strict, pamplemousse CI absolue</w:t>
            </w:r>
          </w:p>
        </w:tc>
      </w:tr>
      <w:tr>
        <w:tc>
          <w:tcPr>
            <w:tcW w:type="dxa" w:w="1559"/>
          </w:tcPr>
          <w:p>
            <w:r>
              <w:rPr>
                <w:sz w:val="20"/>
              </w:rPr>
              <w:t>Bosutinib</w:t>
            </w:r>
          </w:p>
        </w:tc>
        <w:tc>
          <w:tcPr>
            <w:tcW w:type="dxa" w:w="1559"/>
          </w:tcPr>
          <w:p>
            <w:r>
              <w:rPr>
                <w:sz w:val="20"/>
              </w:rPr>
              <w:t>Rifampicine (−85 %), phénytoïne, carbamazépine, millepertuis</w:t>
            </w:r>
          </w:p>
        </w:tc>
        <w:tc>
          <w:tcPr>
            <w:tcW w:type="dxa" w:w="1559"/>
          </w:tcPr>
          <w:p>
            <w:r>
              <w:rPr>
                <w:sz w:val="20"/>
              </w:rPr>
              <w:t>Kétoconazole (×5), itraconazole, voriconazole, clarithromycine, ritonavir (réduire à 200 mg/j)</w:t>
            </w:r>
          </w:p>
        </w:tc>
        <w:tc>
          <w:tcPr>
            <w:tcW w:type="dxa" w:w="1559"/>
          </w:tcPr>
          <w:p>
            <w:r>
              <w:rPr>
                <w:sz w:val="20"/>
              </w:rPr>
              <w:t>AVK, simvastatine, cyclosporine, tacrolimus, digoxine</w:t>
            </w:r>
          </w:p>
        </w:tc>
        <w:tc>
          <w:tcPr>
            <w:tcW w:type="dxa" w:w="1559"/>
          </w:tcPr>
          <w:p>
            <w:r>
              <w:rPr>
                <w:sz w:val="20"/>
              </w:rPr>
              <w:t>Amiodarone, sotalol, moxifloxacine, cisapride</w:t>
            </w:r>
          </w:p>
        </w:tc>
        <w:tc>
          <w:tcPr>
            <w:tcW w:type="dxa" w:w="1559"/>
          </w:tcPr>
          <w:p>
            <w:r>
              <w:rPr>
                <w:sz w:val="20"/>
              </w:rPr>
              <w:t>Au cours du repas, anti-acides espacer 2h</w:t>
            </w:r>
          </w:p>
        </w:tc>
      </w:tr>
      <w:tr>
        <w:tc>
          <w:tcPr>
            <w:tcW w:type="dxa" w:w="1559"/>
          </w:tcPr>
          <w:p>
            <w:r>
              <w:rPr>
                <w:sz w:val="20"/>
              </w:rPr>
              <w:t>Ponatinib</w:t>
            </w:r>
          </w:p>
        </w:tc>
        <w:tc>
          <w:tcPr>
            <w:tcW w:type="dxa" w:w="1559"/>
          </w:tcPr>
          <w:p>
            <w:r>
              <w:rPr>
                <w:sz w:val="20"/>
              </w:rPr>
              <w:t>Rifampicine (−50 %), phénytoïne, carbamazépine, millepertuis</w:t>
            </w:r>
          </w:p>
        </w:tc>
        <w:tc>
          <w:tcPr>
            <w:tcW w:type="dxa" w:w="1559"/>
          </w:tcPr>
          <w:p>
            <w:r>
              <w:rPr>
                <w:sz w:val="20"/>
              </w:rPr>
              <w:t>Kétoconazole (×2), itraconazole, voriconazole, clarithromycine, ritonavir (réduire à 30 mg/j)</w:t>
            </w:r>
          </w:p>
        </w:tc>
        <w:tc>
          <w:tcPr>
            <w:tcW w:type="dxa" w:w="1559"/>
          </w:tcPr>
          <w:p>
            <w:r>
              <w:rPr>
                <w:sz w:val="20"/>
              </w:rPr>
              <w:t>AVK, simvastatine, cyclosporine, tacrolimus, digoxine</w:t>
            </w:r>
          </w:p>
        </w:tc>
        <w:tc>
          <w:tcPr>
            <w:tcW w:type="dxa" w:w="1559"/>
          </w:tcPr>
          <w:p>
            <w:r>
              <w:rPr>
                <w:sz w:val="20"/>
              </w:rPr>
              <w:t>Amiodarone, sotalol, moxifloxacine, cisapride</w:t>
            </w:r>
          </w:p>
        </w:tc>
        <w:tc>
          <w:tcPr>
            <w:tcW w:type="dxa" w:w="1559"/>
          </w:tcPr>
          <w:p>
            <w:r>
              <w:rPr>
                <w:sz w:val="20"/>
              </w:rPr>
              <w:t>Pamplemousse CI absolue</w:t>
            </w:r>
          </w:p>
        </w:tc>
      </w:tr>
      <w:tr>
        <w:tc>
          <w:tcPr>
            <w:tcW w:type="dxa" w:w="1559"/>
          </w:tcPr>
          <w:p>
            <w:r>
              <w:rPr>
                <w:sz w:val="20"/>
              </w:rPr>
              <w:t>Erlotinib</w:t>
            </w:r>
          </w:p>
        </w:tc>
        <w:tc>
          <w:tcPr>
            <w:tcW w:type="dxa" w:w="1559"/>
          </w:tcPr>
          <w:p>
            <w:r>
              <w:rPr>
                <w:sz w:val="20"/>
              </w:rPr>
              <w:t>Rifampicine (−70 %), phénytoïne, carbamazépine, millepertuis, tabac (−50 %)</w:t>
            </w:r>
          </w:p>
        </w:tc>
        <w:tc>
          <w:tcPr>
            <w:tcW w:type="dxa" w:w="1559"/>
          </w:tcPr>
          <w:p>
            <w:r>
              <w:rPr>
                <w:sz w:val="20"/>
              </w:rPr>
              <w:t>Kétoconazole (×2), itraconazole, voriconazole, clarithromycine, ritonavir</w:t>
            </w:r>
          </w:p>
        </w:tc>
        <w:tc>
          <w:tcPr>
            <w:tcW w:type="dxa" w:w="1559"/>
          </w:tcPr>
          <w:p>
            <w:r>
              <w:rPr>
                <w:sz w:val="20"/>
              </w:rPr>
              <w:t>AVK, simvastatine, cyclosporine, tacrolimus</w:t>
            </w:r>
          </w:p>
        </w:tc>
        <w:tc>
          <w:tcPr>
            <w:tcW w:type="dxa" w:w="1559"/>
          </w:tcPr>
          <w:p>
            <w:r>
              <w:rPr>
                <w:sz w:val="20"/>
              </w:rPr>
              <w:t>Amiodarone, sotalol, moxifloxacine</w:t>
            </w:r>
          </w:p>
        </w:tc>
        <w:tc>
          <w:tcPr>
            <w:tcW w:type="dxa" w:w="1559"/>
          </w:tcPr>
          <w:p>
            <w:r>
              <w:rPr>
                <w:sz w:val="20"/>
              </w:rPr>
              <w:t>À jeun, pamplemousse à éviter</w:t>
            </w:r>
          </w:p>
        </w:tc>
      </w:tr>
      <w:tr>
        <w:tc>
          <w:tcPr>
            <w:tcW w:type="dxa" w:w="1559"/>
          </w:tcPr>
          <w:p>
            <w:r>
              <w:rPr>
                <w:sz w:val="20"/>
              </w:rPr>
              <w:t>Gefitinib</w:t>
            </w:r>
          </w:p>
        </w:tc>
        <w:tc>
          <w:tcPr>
            <w:tcW w:type="dxa" w:w="1559"/>
          </w:tcPr>
          <w:p>
            <w:r>
              <w:rPr>
                <w:sz w:val="20"/>
              </w:rPr>
              <w:t>Rifampicine (−85 %), phénytoïne, carbamazépine, millepertuis</w:t>
            </w:r>
          </w:p>
        </w:tc>
        <w:tc>
          <w:tcPr>
            <w:tcW w:type="dxa" w:w="1559"/>
          </w:tcPr>
          <w:p>
            <w:r>
              <w:rPr>
                <w:sz w:val="20"/>
              </w:rPr>
              <w:t>Kétoconazole (×2), itraconazole, voriconazole, clarithromycine, ritonavir</w:t>
            </w:r>
          </w:p>
        </w:tc>
        <w:tc>
          <w:tcPr>
            <w:tcW w:type="dxa" w:w="1559"/>
          </w:tcPr>
          <w:p>
            <w:r>
              <w:rPr>
                <w:sz w:val="20"/>
              </w:rPr>
              <w:t>AVK, simvastatine, cyclosporine, tacrolimus, paroxétine, fluoxétine, métoclopramide, bêtabloquants</w:t>
            </w:r>
          </w:p>
        </w:tc>
        <w:tc>
          <w:tcPr>
            <w:tcW w:type="dxa" w:w="1559"/>
          </w:tcPr>
          <w:p>
            <w:r>
              <w:rPr>
                <w:sz w:val="20"/>
              </w:rPr>
              <w:t>Amiodarone, sotalol, moxifloxacine</w:t>
            </w:r>
          </w:p>
        </w:tc>
        <w:tc>
          <w:tcPr>
            <w:tcW w:type="dxa" w:w="1559"/>
          </w:tcPr>
          <w:p>
            <w:r>
              <w:rPr>
                <w:sz w:val="20"/>
              </w:rPr>
              <w:t>À jeun, pamplemousse à éviter</w:t>
            </w:r>
          </w:p>
        </w:tc>
      </w:tr>
      <w:tr>
        <w:tc>
          <w:tcPr>
            <w:tcW w:type="dxa" w:w="1559"/>
          </w:tcPr>
          <w:p>
            <w:r>
              <w:rPr>
                <w:sz w:val="20"/>
              </w:rPr>
              <w:t>Afatinib</w:t>
            </w:r>
          </w:p>
        </w:tc>
        <w:tc>
          <w:tcPr>
            <w:tcW w:type="dxa" w:w="1559"/>
          </w:tcPr>
          <w:p>
            <w:r>
              <w:rPr>
                <w:sz w:val="20"/>
              </w:rPr>
              <w:t>Rifampicine (−40 %), phénytoïne, carbamazépine, millepertuis</w:t>
            </w:r>
          </w:p>
        </w:tc>
        <w:tc>
          <w:tcPr>
            <w:tcW w:type="dxa" w:w="1559"/>
          </w:tcPr>
          <w:p>
            <w:r>
              <w:rPr>
                <w:sz w:val="20"/>
              </w:rPr>
              <w:t>Kétoconazole (+50 %), itraconazole, voriconazole, clarithromycine, ritonavir, ciclosporine, vérapamil, amiodarone</w:t>
            </w:r>
          </w:p>
        </w:tc>
        <w:tc>
          <w:tcPr>
            <w:tcW w:type="dxa" w:w="1559"/>
          </w:tcPr>
          <w:p>
            <w:r>
              <w:rPr>
                <w:sz w:val="20"/>
              </w:rPr>
              <w:t>AVK, simvastatine, cyclosporine, tacrolimus, digoxine</w:t>
            </w:r>
          </w:p>
        </w:tc>
        <w:tc>
          <w:tcPr>
            <w:tcW w:type="dxa" w:w="1559"/>
          </w:tcPr>
          <w:p>
            <w:r>
              <w:rPr>
                <w:sz w:val="20"/>
              </w:rPr>
              <w:t>Amiodarone, sotalol, moxifloxacine</w:t>
            </w:r>
          </w:p>
        </w:tc>
        <w:tc>
          <w:tcPr>
            <w:tcW w:type="dxa" w:w="1559"/>
          </w:tcPr>
          <w:p>
            <w:r>
              <w:rPr>
                <w:sz w:val="20"/>
              </w:rPr>
              <w:t>À jeun, pamplemousse à éviter</w:t>
            </w:r>
          </w:p>
        </w:tc>
      </w:tr>
      <w:tr>
        <w:tc>
          <w:tcPr>
            <w:tcW w:type="dxa" w:w="1559"/>
          </w:tcPr>
          <w:p>
            <w:r>
              <w:rPr>
                <w:sz w:val="20"/>
              </w:rPr>
              <w:t>Osimertinib</w:t>
            </w:r>
          </w:p>
        </w:tc>
        <w:tc>
          <w:tcPr>
            <w:tcW w:type="dxa" w:w="1559"/>
          </w:tcPr>
          <w:p>
            <w:r>
              <w:rPr>
                <w:sz w:val="20"/>
              </w:rPr>
              <w:t>Rifampicine (−80 %), phénytoïne, carbamazépine, millepertuis</w:t>
            </w:r>
          </w:p>
        </w:tc>
        <w:tc>
          <w:tcPr>
            <w:tcW w:type="dxa" w:w="1559"/>
          </w:tcPr>
          <w:p>
            <w:r>
              <w:rPr>
                <w:sz w:val="20"/>
              </w:rPr>
              <w:t>Kétoconazole (+30 %), itraconazole, voriconazole, clarithromycine, ritonavir</w:t>
            </w:r>
          </w:p>
        </w:tc>
        <w:tc>
          <w:tcPr>
            <w:tcW w:type="dxa" w:w="1559"/>
          </w:tcPr>
          <w:p>
            <w:r>
              <w:rPr>
                <w:sz w:val="20"/>
              </w:rPr>
              <w:t>AVK, simvastatine, cyclosporine, tacrolimus, digoxine</w:t>
            </w:r>
          </w:p>
        </w:tc>
        <w:tc>
          <w:tcPr>
            <w:tcW w:type="dxa" w:w="1559"/>
          </w:tcPr>
          <w:p>
            <w:r>
              <w:rPr>
                <w:sz w:val="20"/>
              </w:rPr>
              <w:t>Amiodarone, sotalol, moxifloxacine</w:t>
            </w:r>
          </w:p>
        </w:tc>
        <w:tc>
          <w:tcPr>
            <w:tcW w:type="dxa" w:w="1559"/>
          </w:tcPr>
          <w:p>
            <w:r>
              <w:rPr>
                <w:sz w:val="20"/>
              </w:rPr>
              <w:t>Indifférent</w:t>
            </w:r>
          </w:p>
        </w:tc>
      </w:tr>
      <w:tr>
        <w:tc>
          <w:tcPr>
            <w:tcW w:type="dxa" w:w="1559"/>
          </w:tcPr>
          <w:p>
            <w:r>
              <w:rPr>
                <w:sz w:val="20"/>
              </w:rPr>
              <w:t>Lapatinib</w:t>
            </w:r>
          </w:p>
        </w:tc>
        <w:tc>
          <w:tcPr>
            <w:tcW w:type="dxa" w:w="1559"/>
          </w:tcPr>
          <w:p>
            <w:r>
              <w:rPr>
                <w:sz w:val="20"/>
              </w:rPr>
              <w:t>Rifampicine (−85 %), phénytoïne, carbamazépine, millepertuis</w:t>
            </w:r>
          </w:p>
        </w:tc>
        <w:tc>
          <w:tcPr>
            <w:tcW w:type="dxa" w:w="1559"/>
          </w:tcPr>
          <w:p>
            <w:r>
              <w:rPr>
                <w:sz w:val="20"/>
              </w:rPr>
              <w:t>Kétoconazole (×3,5), itraconazole, voriconazole, clarithromycine, ritonavir (réduire à 500 mg/j)</w:t>
            </w:r>
          </w:p>
        </w:tc>
        <w:tc>
          <w:tcPr>
            <w:tcW w:type="dxa" w:w="1559"/>
          </w:tcPr>
          <w:p>
            <w:r>
              <w:rPr>
                <w:sz w:val="20"/>
              </w:rPr>
              <w:t>AVK, simvastatine, cyclosporine, tacrolimus, digoxine, dabigatran, méthotrexate, irinotécan</w:t>
            </w:r>
          </w:p>
        </w:tc>
        <w:tc>
          <w:tcPr>
            <w:tcW w:type="dxa" w:w="1559"/>
          </w:tcPr>
          <w:p>
            <w:r>
              <w:rPr>
                <w:sz w:val="20"/>
              </w:rPr>
              <w:t>Amiodarone, sotalol, moxifloxacine, cisapride</w:t>
            </w:r>
          </w:p>
        </w:tc>
        <w:tc>
          <w:tcPr>
            <w:tcW w:type="dxa" w:w="1559"/>
          </w:tcPr>
          <w:p>
            <w:r>
              <w:rPr>
                <w:sz w:val="20"/>
              </w:rPr>
              <w:t>À jeun strict, pamplemousse CI absolue</w:t>
            </w:r>
          </w:p>
        </w:tc>
      </w:tr>
      <w:tr>
        <w:tc>
          <w:tcPr>
            <w:tcW w:type="dxa" w:w="1559"/>
          </w:tcPr>
          <w:p>
            <w:r>
              <w:rPr>
                <w:sz w:val="20"/>
              </w:rPr>
              <w:t>Sorafenib</w:t>
            </w:r>
          </w:p>
        </w:tc>
        <w:tc>
          <w:tcPr>
            <w:tcW w:type="dxa" w:w="1559"/>
          </w:tcPr>
          <w:p>
            <w:r>
              <w:rPr>
                <w:sz w:val="20"/>
              </w:rPr>
              <w:t>Rifampicine (−50 %), phénytoïne, carbamazépine, millepertuis</w:t>
            </w:r>
          </w:p>
        </w:tc>
        <w:tc>
          <w:tcPr>
            <w:tcW w:type="dxa" w:w="1559"/>
          </w:tcPr>
          <w:p>
            <w:r>
              <w:rPr>
                <w:sz w:val="20"/>
              </w:rPr>
              <w:t>Kétoconazole (×1,5), itraconazole, voriconazole, clarithromycine, ritonavir</w:t>
            </w:r>
          </w:p>
        </w:tc>
        <w:tc>
          <w:tcPr>
            <w:tcW w:type="dxa" w:w="1559"/>
          </w:tcPr>
          <w:p>
            <w:r>
              <w:rPr>
                <w:sz w:val="20"/>
              </w:rPr>
              <w:t>AVK, simvastatine, cyclosporine, tacrolimus, warfarine (HBPM), digoxine, dabigatran, irinotécan (SN-38), 5-FU</w:t>
            </w:r>
          </w:p>
        </w:tc>
        <w:tc>
          <w:tcPr>
            <w:tcW w:type="dxa" w:w="1559"/>
          </w:tcPr>
          <w:p>
            <w:r>
              <w:rPr>
                <w:sz w:val="20"/>
              </w:rPr>
              <w:t>Amiodarone, sotalol, moxifloxacine</w:t>
            </w:r>
          </w:p>
        </w:tc>
        <w:tc>
          <w:tcPr>
            <w:tcW w:type="dxa" w:w="1559"/>
          </w:tcPr>
          <w:p>
            <w:r>
              <w:rPr>
                <w:sz w:val="20"/>
              </w:rPr>
              <w:t>À jeun ou repas léger, pamplemousse à éviter</w:t>
            </w:r>
          </w:p>
        </w:tc>
      </w:tr>
      <w:tr>
        <w:tc>
          <w:tcPr>
            <w:tcW w:type="dxa" w:w="1559"/>
          </w:tcPr>
          <w:p>
            <w:r>
              <w:rPr>
                <w:sz w:val="20"/>
              </w:rPr>
              <w:t>Sunitinib</w:t>
            </w:r>
          </w:p>
        </w:tc>
        <w:tc>
          <w:tcPr>
            <w:tcW w:type="dxa" w:w="1559"/>
          </w:tcPr>
          <w:p>
            <w:r>
              <w:rPr>
                <w:sz w:val="20"/>
              </w:rPr>
              <w:t>Rifampicine (−50 %), phénytoïne, carbamazépine, millepertuis</w:t>
            </w:r>
          </w:p>
        </w:tc>
        <w:tc>
          <w:tcPr>
            <w:tcW w:type="dxa" w:w="1559"/>
          </w:tcPr>
          <w:p>
            <w:r>
              <w:rPr>
                <w:sz w:val="20"/>
              </w:rPr>
              <w:t>Kétoconazole (×1,5), itraconazole, voriconazole, clarithromycine, ritonavir (réduire à 37,5 mg/j)</w:t>
            </w:r>
          </w:p>
        </w:tc>
        <w:tc>
          <w:tcPr>
            <w:tcW w:type="dxa" w:w="1559"/>
          </w:tcPr>
          <w:p>
            <w:r>
              <w:rPr>
                <w:sz w:val="20"/>
              </w:rPr>
              <w:t>AVK, simvastatine, warfarine, digoxine, dabigatran</w:t>
            </w:r>
          </w:p>
        </w:tc>
        <w:tc>
          <w:tcPr>
            <w:tcW w:type="dxa" w:w="1559"/>
          </w:tcPr>
          <w:p>
            <w:r>
              <w:rPr>
                <w:sz w:val="20"/>
              </w:rPr>
              <w:t>Amiodarone, sotalol, moxifloxacine</w:t>
            </w:r>
          </w:p>
        </w:tc>
        <w:tc>
          <w:tcPr>
            <w:tcW w:type="dxa" w:w="1559"/>
          </w:tcPr>
          <w:p>
            <w:r>
              <w:rPr>
                <w:sz w:val="20"/>
              </w:rPr>
              <w:t>Indifférent</w:t>
            </w:r>
          </w:p>
        </w:tc>
      </w:tr>
      <w:tr>
        <w:tc>
          <w:tcPr>
            <w:tcW w:type="dxa" w:w="1559"/>
          </w:tcPr>
          <w:p>
            <w:r>
              <w:rPr>
                <w:sz w:val="20"/>
              </w:rPr>
              <w:t>Regorafenib</w:t>
            </w:r>
          </w:p>
        </w:tc>
        <w:tc>
          <w:tcPr>
            <w:tcW w:type="dxa" w:w="1559"/>
          </w:tcPr>
          <w:p>
            <w:r>
              <w:rPr>
                <w:sz w:val="20"/>
              </w:rPr>
              <w:t>Identique sorafenib (inducteurs et inhibiteurs)</w:t>
            </w:r>
          </w:p>
        </w:tc>
        <w:tc>
          <w:tcPr>
            <w:tcW w:type="dxa" w:w="1559"/>
          </w:tcPr>
          <w:p>
            <w:r>
              <w:rPr>
                <w:sz w:val="20"/>
              </w:rPr>
              <w:t>Identique sorafenib</w:t>
            </w:r>
          </w:p>
        </w:tc>
        <w:tc>
          <w:tcPr>
            <w:tcW w:type="dxa" w:w="1559"/>
          </w:tcPr>
          <w:p>
            <w:r>
              <w:rPr>
                <w:sz w:val="20"/>
              </w:rPr>
              <w:t>Identique sorafenib, avec UGT1A1 (irinotécan, SN-38)</w:t>
            </w:r>
          </w:p>
        </w:tc>
        <w:tc>
          <w:tcPr>
            <w:tcW w:type="dxa" w:w="1559"/>
          </w:tcPr>
          <w:p>
            <w:r>
              <w:rPr>
                <w:sz w:val="20"/>
              </w:rPr>
              <w:t>Amiodarone, sotalol, moxifloxacine</w:t>
            </w:r>
          </w:p>
        </w:tc>
        <w:tc>
          <w:tcPr>
            <w:tcW w:type="dxa" w:w="1559"/>
          </w:tcPr>
          <w:p>
            <w:r>
              <w:rPr>
                <w:sz w:val="20"/>
              </w:rPr>
              <w:t>À jeun strict, pamplemousse CI absolue</w:t>
            </w:r>
          </w:p>
        </w:tc>
      </w:tr>
      <w:tr>
        <w:tc>
          <w:tcPr>
            <w:tcW w:type="dxa" w:w="1559"/>
          </w:tcPr>
          <w:p>
            <w:r>
              <w:rPr>
                <w:sz w:val="20"/>
              </w:rPr>
              <w:t>Cabozantinib</w:t>
            </w:r>
          </w:p>
        </w:tc>
        <w:tc>
          <w:tcPr>
            <w:tcW w:type="dxa" w:w="1559"/>
          </w:tcPr>
          <w:p>
            <w:r>
              <w:rPr>
                <w:sz w:val="20"/>
              </w:rPr>
              <w:t>Rifampicine (−75 %), phénytoïne, carbamazépine, millepertuis</w:t>
            </w:r>
          </w:p>
        </w:tc>
        <w:tc>
          <w:tcPr>
            <w:tcW w:type="dxa" w:w="1559"/>
          </w:tcPr>
          <w:p>
            <w:r>
              <w:rPr>
                <w:sz w:val="20"/>
              </w:rPr>
              <w:t>Kétoconazole (×1,5), itraconazole, voriconazole, clarithromycine, ritonavir (réduire à 40 mg/j)</w:t>
            </w:r>
          </w:p>
        </w:tc>
        <w:tc>
          <w:tcPr>
            <w:tcW w:type="dxa" w:w="1559"/>
          </w:tcPr>
          <w:p>
            <w:r>
              <w:rPr>
                <w:sz w:val="20"/>
              </w:rPr>
              <w:t>AVK, simvastatine, warfarine, digoxine, dabigatran</w:t>
            </w:r>
          </w:p>
        </w:tc>
        <w:tc>
          <w:tcPr>
            <w:tcW w:type="dxa" w:w="1559"/>
          </w:tcPr>
          <w:p>
            <w:r>
              <w:rPr>
                <w:sz w:val="20"/>
              </w:rPr>
              <w:t>Amiodarone, sotalol, moxifloxacine</w:t>
            </w:r>
          </w:p>
        </w:tc>
        <w:tc>
          <w:tcPr>
            <w:tcW w:type="dxa" w:w="1559"/>
          </w:tcPr>
          <w:p>
            <w:r>
              <w:rPr>
                <w:sz w:val="20"/>
              </w:rPr>
              <w:t>À jeun, pamplemousse CI absolue</w:t>
            </w:r>
          </w:p>
        </w:tc>
      </w:tr>
      <w:tr>
        <w:tc>
          <w:tcPr>
            <w:tcW w:type="dxa" w:w="1559"/>
          </w:tcPr>
          <w:p>
            <w:r>
              <w:rPr>
                <w:sz w:val="20"/>
              </w:rPr>
              <w:t>Lenvatinib</w:t>
            </w:r>
          </w:p>
        </w:tc>
        <w:tc>
          <w:tcPr>
            <w:tcW w:type="dxa" w:w="1559"/>
          </w:tcPr>
          <w:p>
            <w:r>
              <w:rPr>
                <w:sz w:val="20"/>
              </w:rPr>
              <w:t>Inducteurs modérés</w:t>
            </w:r>
          </w:p>
        </w:tc>
        <w:tc>
          <w:tcPr>
            <w:tcW w:type="dxa" w:w="1559"/>
          </w:tcPr>
          <w:p>
            <w:r>
              <w:rPr>
                <w:sz w:val="20"/>
              </w:rPr>
              <w:t>Inhibiteurs modérés</w:t>
            </w:r>
          </w:p>
        </w:tc>
        <w:tc>
          <w:tcPr>
            <w:tcW w:type="dxa" w:w="1559"/>
          </w:tcPr>
          <w:p>
            <w:r>
              <w:rPr>
                <w:sz w:val="20"/>
              </w:rPr>
              <w:t>AVK, simvastatine, digoxine, dabigatran, méthotrexate</w:t>
            </w:r>
          </w:p>
        </w:tc>
        <w:tc>
          <w:tcPr>
            <w:tcW w:type="dxa" w:w="1559"/>
          </w:tcPr>
          <w:p>
            <w:r>
              <w:rPr>
                <w:sz w:val="20"/>
              </w:rPr>
              <w:t>Amiodarone, sotalol, moxifloxacine</w:t>
            </w:r>
          </w:p>
        </w:tc>
        <w:tc>
          <w:tcPr>
            <w:tcW w:type="dxa" w:w="1559"/>
          </w:tcPr>
          <w:p>
            <w:r>
              <w:rPr>
                <w:sz w:val="20"/>
              </w:rPr>
              <w:t>Indifférent</w:t>
            </w:r>
          </w:p>
        </w:tc>
      </w:tr>
      <w:tr>
        <w:tc>
          <w:tcPr>
            <w:tcW w:type="dxa" w:w="1559"/>
          </w:tcPr>
          <w:p>
            <w:r>
              <w:rPr>
                <w:sz w:val="20"/>
              </w:rPr>
              <w:t>Pazopanib</w:t>
            </w:r>
          </w:p>
        </w:tc>
        <w:tc>
          <w:tcPr>
            <w:tcW w:type="dxa" w:w="1559"/>
          </w:tcPr>
          <w:p>
            <w:r>
              <w:rPr>
                <w:sz w:val="20"/>
              </w:rPr>
              <w:t>Rifampicine (−50 %), phénytoïne, carbamazépine, millepertuis</w:t>
            </w:r>
          </w:p>
        </w:tc>
        <w:tc>
          <w:tcPr>
            <w:tcW w:type="dxa" w:w="1559"/>
          </w:tcPr>
          <w:p>
            <w:r>
              <w:rPr>
                <w:sz w:val="20"/>
              </w:rPr>
              <w:t>Kétoconazole (×2), itraconazole, voriconazole, clarithromycine, ritonavir (réduire à 400 mg/j)</w:t>
            </w:r>
          </w:p>
        </w:tc>
        <w:tc>
          <w:tcPr>
            <w:tcW w:type="dxa" w:w="1559"/>
          </w:tcPr>
          <w:p>
            <w:r>
              <w:rPr>
                <w:sz w:val="20"/>
              </w:rPr>
              <w:t>AVK, simvastatine, warfarine, digoxine, dabigatran</w:t>
            </w:r>
          </w:p>
        </w:tc>
        <w:tc>
          <w:tcPr>
            <w:tcW w:type="dxa" w:w="1559"/>
          </w:tcPr>
          <w:p>
            <w:r>
              <w:rPr>
                <w:sz w:val="20"/>
              </w:rPr>
              <w:t>Amiodarone, sotalol, moxifloxacine</w:t>
            </w:r>
          </w:p>
        </w:tc>
        <w:tc>
          <w:tcPr>
            <w:tcW w:type="dxa" w:w="1559"/>
          </w:tcPr>
          <w:p>
            <w:r>
              <w:rPr>
                <w:sz w:val="20"/>
              </w:rPr>
              <w:t>À jeun strict, pamplemousse CI absolue, IPP à éviter</w:t>
            </w:r>
          </w:p>
        </w:tc>
      </w:tr>
      <w:tr>
        <w:tc>
          <w:tcPr>
            <w:tcW w:type="dxa" w:w="1559"/>
          </w:tcPr>
          <w:p>
            <w:r>
              <w:rPr>
                <w:sz w:val="20"/>
              </w:rPr>
              <w:t>Axitinib</w:t>
            </w:r>
          </w:p>
        </w:tc>
        <w:tc>
          <w:tcPr>
            <w:tcW w:type="dxa" w:w="1559"/>
          </w:tcPr>
          <w:p>
            <w:r>
              <w:rPr>
                <w:sz w:val="20"/>
              </w:rPr>
              <w:t>Rifampicine (−50 %), phénytoïne, carbamazépine, millepertuis</w:t>
            </w:r>
          </w:p>
        </w:tc>
        <w:tc>
          <w:tcPr>
            <w:tcW w:type="dxa" w:w="1559"/>
          </w:tcPr>
          <w:p>
            <w:r>
              <w:rPr>
                <w:sz w:val="20"/>
              </w:rPr>
              <w:t>Kétoconazole (×1,5), itraconazole, voriconazole, clarithromycine, ritonavir (réduire à 2 mg × 2/j)</w:t>
            </w:r>
          </w:p>
        </w:tc>
        <w:tc>
          <w:tcPr>
            <w:tcW w:type="dxa" w:w="1559"/>
          </w:tcPr>
          <w:p>
            <w:r>
              <w:rPr>
                <w:sz w:val="20"/>
              </w:rPr>
              <w:t>AVK, simvastatine, warfarine, digoxine, dabigatran</w:t>
            </w:r>
          </w:p>
        </w:tc>
        <w:tc>
          <w:tcPr>
            <w:tcW w:type="dxa" w:w="1559"/>
          </w:tcPr>
          <w:p>
            <w:r>
              <w:rPr>
                <w:sz w:val="20"/>
              </w:rPr>
              <w:t>Amiodarone, sotalol, moxifloxacine</w:t>
            </w:r>
          </w:p>
        </w:tc>
        <w:tc>
          <w:tcPr>
            <w:tcW w:type="dxa" w:w="1559"/>
          </w:tcPr>
          <w:p>
            <w:r>
              <w:rPr>
                <w:sz w:val="20"/>
              </w:rPr>
              <w:t>Indifférent, pamplemousse CI absolue</w:t>
            </w:r>
          </w:p>
        </w:tc>
      </w:tr>
      <w:tr>
        <w:tc>
          <w:tcPr>
            <w:tcW w:type="dxa" w:w="1559"/>
          </w:tcPr>
          <w:p>
            <w:r>
              <w:rPr>
                <w:sz w:val="20"/>
              </w:rPr>
              <w:t>Vemurafenib</w:t>
            </w:r>
          </w:p>
        </w:tc>
        <w:tc>
          <w:tcPr>
            <w:tcW w:type="dxa" w:w="1559"/>
          </w:tcPr>
          <w:p>
            <w:r>
              <w:rPr>
                <w:sz w:val="20"/>
              </w:rPr>
              <w:t>Rifampicine (−40 %), phénytoïne, carbamazépine, millepertuis</w:t>
            </w:r>
          </w:p>
        </w:tc>
        <w:tc>
          <w:tcPr>
            <w:tcW w:type="dxa" w:w="1559"/>
          </w:tcPr>
          <w:p>
            <w:r>
              <w:rPr>
                <w:sz w:val="20"/>
              </w:rPr>
              <w:t>Kétoconazole (×1,5), itraconazole, voriconazole, clarithromycine, ritonavir</w:t>
            </w:r>
          </w:p>
        </w:tc>
        <w:tc>
          <w:tcPr>
            <w:tcW w:type="dxa" w:w="1559"/>
          </w:tcPr>
          <w:p>
            <w:r>
              <w:rPr>
                <w:sz w:val="20"/>
              </w:rPr>
              <w:t>Warfarine (CYP2C9), phénytoïne (CYP2C9), oméprazole (CYP2C19), clopidogrel (CYP2C19), paroxétine (CYP2D6), caféine (CYP1A2), théophylline (CYP1A2)</w:t>
            </w:r>
          </w:p>
        </w:tc>
        <w:tc>
          <w:tcPr>
            <w:tcW w:type="dxa" w:w="1559"/>
          </w:tcPr>
          <w:p>
            <w:r>
              <w:rPr>
                <w:sz w:val="20"/>
              </w:rPr>
              <w:t>Amiodarone, sotalol, moxifloxacine, cisapride</w:t>
            </w:r>
          </w:p>
        </w:tc>
        <w:tc>
          <w:tcPr>
            <w:tcW w:type="dxa" w:w="1559"/>
          </w:tcPr>
          <w:p>
            <w:r>
              <w:rPr>
                <w:sz w:val="20"/>
              </w:rPr>
              <w:t>Pamplemousse à éviter</w:t>
            </w:r>
          </w:p>
        </w:tc>
      </w:tr>
      <w:tr>
        <w:tc>
          <w:tcPr>
            <w:tcW w:type="dxa" w:w="1559"/>
          </w:tcPr>
          <w:p>
            <w:r>
              <w:rPr>
                <w:sz w:val="20"/>
              </w:rPr>
              <w:t>Crizotinib</w:t>
            </w:r>
          </w:p>
        </w:tc>
        <w:tc>
          <w:tcPr>
            <w:tcW w:type="dxa" w:w="1559"/>
          </w:tcPr>
          <w:p>
            <w:r>
              <w:rPr>
                <w:sz w:val="20"/>
              </w:rPr>
              <w:t>Rifampicine (−80 %), phénytoïne, carbamazépine, millepertuis</w:t>
            </w:r>
          </w:p>
        </w:tc>
        <w:tc>
          <w:tcPr>
            <w:tcW w:type="dxa" w:w="1559"/>
          </w:tcPr>
          <w:p>
            <w:r>
              <w:rPr>
                <w:sz w:val="20"/>
              </w:rPr>
              <w:t>Kétoconazole (×3), itraconazole, voriconazole, clarithromycine, ritonavir (réduire à 200 mg × 2/j)</w:t>
            </w:r>
          </w:p>
        </w:tc>
        <w:tc>
          <w:tcPr>
            <w:tcW w:type="dxa" w:w="1559"/>
          </w:tcPr>
          <w:p>
            <w:r>
              <w:rPr>
                <w:sz w:val="20"/>
              </w:rPr>
              <w:t>AVK, simvastatine, warfarine, digoxine, dabigatran, midazolam, fentanyl, alfentanil, sirolimus, tacrolimus, cyclosporine</w:t>
            </w:r>
          </w:p>
        </w:tc>
        <w:tc>
          <w:tcPr>
            <w:tcW w:type="dxa" w:w="1559"/>
          </w:tcPr>
          <w:p>
            <w:r>
              <w:rPr>
                <w:sz w:val="20"/>
              </w:rPr>
              <w:t>Amiodarone, sotalol, moxifloxacine, cisapride</w:t>
            </w:r>
          </w:p>
        </w:tc>
        <w:tc>
          <w:tcPr>
            <w:tcW w:type="dxa" w:w="1559"/>
          </w:tcPr>
          <w:p>
            <w:r>
              <w:rPr>
                <w:sz w:val="20"/>
              </w:rPr>
              <w:t>Pamplemousse CI absolue</w:t>
            </w:r>
          </w:p>
        </w:tc>
      </w:tr>
    </w:tbl>
    <w:p/>
    <w:p>
      <w:pPr>
        <w:pStyle w:val="Heading3"/>
      </w:pPr>
      <w:r>
        <w:t>Règles générales d'évitement</w:t>
      </w:r>
    </w:p>
    <w:p>
      <w:pPr>
        <w:pStyle w:val="ListNumber"/>
      </w:pPr>
      <w:r/>
      <w:r>
        <w:rPr>
          <w:b/>
        </w:rPr>
        <w:t>Inducteurs enzymatiques à proscrire</w:t>
      </w:r>
      <w:r>
        <w:t xml:space="preserve"> : rifampicine (alternative : rifabutine, moindre inducteur), phénytoïne (alternative : lévétiracetam, lamotrigine), carbamazépine (alternative : lévétiracetam, lamotrigine), phénobarbital (alternative : lévétiracetam), millepertuis (à proscrire définitivement).</w:t>
      </w:r>
    </w:p>
    <w:p>
      <w:pPr>
        <w:pStyle w:val="ListNumber"/>
      </w:pPr>
      <w:r/>
      <w:r>
        <w:rPr>
          <w:b/>
        </w:rPr>
        <w:t>Inhibiteurs enzymatiques à éviter ou adapter</w:t>
      </w:r>
      <w:r>
        <w:t xml:space="preserve"> : kétoconazole (proscrit en France depuis 2013, alternative : fluconazole, isavuconazole), itraconazole (alternative : fluconazole, isavuconazole), voriconazole, posaconazole (surveillance rapprochée), clarithromycine (alternative : azithromycine, moindre inhibiteur), érythromycine (alternative : azithromycine), ritonavir, cobicistat (adapter la dose d'ITK selon l'antirétroviral).</w:t>
      </w:r>
    </w:p>
    <w:p>
      <w:pPr>
        <w:pStyle w:val="ListNumber"/>
      </w:pPr>
      <w:r/>
      <w:r>
        <w:rPr>
          <w:b/>
        </w:rPr>
        <w:t>Allongement du QTc à éviter</w:t>
      </w:r>
      <w:r>
        <w:t xml:space="preserve"> : amiodarone (alternative : calcium-bloqueur non bradycardisant), sotalol, ibutilide, dofetilide, quinidine, disopyramide ; halopéridol (alternative : olanzapine, rispéridone), dropéridol, pimozide, chlorpromazine ; érythromycine IV, clarithromycine, moxifloxacine (alternative : amoxicilline, ceftriaxone) ; méthadone (surveillance), cisapride (proscrit), dompéridone (alternative : métoclopramide, prégabaline), ondansétron IV (alternative : ondansétron PO, dexaméthasone).</w:t>
      </w:r>
    </w:p>
    <w:p>
      <w:pPr>
        <w:pStyle w:val="ListNumber"/>
      </w:pPr>
      <w:r/>
      <w:r>
        <w:rPr>
          <w:b/>
        </w:rPr>
        <w:t>Substrats à index thérapeutique étroit à surveiller</w:t>
      </w:r>
      <w:r>
        <w:t xml:space="preserve"> : warfarine (préférer HBPM : enoxaparine, daltéparine, tinzaparine), simvastatine (préférer pravastatine, rosuvastatine), cyclosporine, tacrolimus, sirolimus (surveillance des concentrations), digoxine (surveillance de la concentration), dabigatran (surveillance du temps de thrombine), irinotécan (surveillance de la toxicité du SN-38).</w:t>
      </w:r>
    </w:p>
    <w:p>
      <w:pPr>
        <w:pStyle w:val="ListNumber"/>
      </w:pPr>
      <w:r/>
      <w:r>
        <w:rPr>
          <w:b/>
        </w:rPr>
        <w:t>Alimentation</w:t>
      </w:r>
      <w:r>
        <w:t xml:space="preserve"> : pamplemousse (inhibiteur du CYP3A4 intestinal) à proscrire pour tous les ITK métabolisés par le CYP3A4 ; millepertuis (inducteur) à proscrire définitivement ; alcool à limiter (hépatotoxicité additive) ; tabac à proscrire (inducteur du CYP1A2, réduit l'efficacité de l'erlotinib).</w:t>
      </w:r>
    </w:p>
    <w:p>
      <w:pPr>
        <w:pStyle w:val="Heading2"/>
      </w:pPr>
      <w:r>
        <w:t>Annexe 104.H — Recommandations pour la pharmacie d'officine algérienne</w:t>
      </w:r>
    </w:p>
    <w:p>
      <w:r>
        <w:t>La dispensation des ITK en pharmacie d'officine (suite à une prescription hospitalière spécialisée) représente une opportunité d'éducation thérapeutique et de surveillance des patients algériens traités par thérapie ciblée anticancéreuse. Les recommandations suivantes sont proposées :</w:t>
      </w:r>
    </w:p>
    <w:p>
      <w:pPr>
        <w:pStyle w:val="Heading3"/>
      </w:pPr>
      <w:r>
        <w:t>1. Vérification de la prescription et de la traçabilité</w:t>
      </w:r>
    </w:p>
    <w:p>
      <w:pPr>
        <w:pStyle w:val="ListBullet"/>
      </w:pPr>
      <w:r>
        <w:t>Vérifier l'origine hospitalière de la prescription (service d'oncologie médicale ou d'hématologie clinique).</w:t>
      </w:r>
    </w:p>
    <w:p>
      <w:pPr>
        <w:pStyle w:val="ListBullet"/>
      </w:pPr>
      <w:r>
        <w:t>Vérifier l'identité du patient, la date de la prescription, la durée de validité (généralement 6 mois pour les ITK).</w:t>
      </w:r>
    </w:p>
    <w:p>
      <w:pPr>
        <w:pStyle w:val="ListBullet"/>
      </w:pPr>
      <w:r>
        <w:t>Vérifier la concordance avec la nomenclature algérienne des médicaments (nom commercial, dosage, conditionnement).</w:t>
      </w:r>
    </w:p>
    <w:p>
      <w:pPr>
        <w:pStyle w:val="ListBullet"/>
      </w:pPr>
      <w:r>
        <w:t>Conserver une copie de la prescription dans le dossier patient.</w:t>
      </w:r>
    </w:p>
    <w:p>
      <w:pPr>
        <w:pStyle w:val="Heading3"/>
      </w:pPr>
      <w:r>
        <w:t>2. Analyse pharmaceutique</w:t>
      </w:r>
    </w:p>
    <w:p>
      <w:pPr>
        <w:pStyle w:val="ListBullet"/>
      </w:pPr>
      <w:r>
        <w:t>Vérifier l'absence de contre-indications (grossesse, allaitement, insuffisance hépatique sévère, allongement du QTc, antécédents cardiovasculaires).</w:t>
      </w:r>
    </w:p>
    <w:p>
      <w:pPr>
        <w:pStyle w:val="ListBullet"/>
      </w:pPr>
      <w:r>
        <w:t>Vérifier les interactions médicamenteuses (inducteurs et inhibiteurs du CYP3A4, allongement du QTc, antivitamines K, statines, anti-acides, pamplemousse, millepertuis).</w:t>
      </w:r>
    </w:p>
    <w:p>
      <w:pPr>
        <w:pStyle w:val="ListBullet"/>
      </w:pPr>
      <w:r>
        <w:t>Vérifier l'adaptation posologique à la fonction hépatique et rénale.</w:t>
      </w:r>
    </w:p>
    <w:p>
      <w:pPr>
        <w:pStyle w:val="ListBullet"/>
      </w:pPr>
      <w:r>
        <w:t>Vérifier la cohérence de la posologie avec l'indication (par exemple, lenvatinib 12 mg/j pour le carcinome hépatocellulaire vs 24 mg/j pour le cancer thyroïdien).</w:t>
      </w:r>
    </w:p>
    <w:p>
      <w:pPr>
        <w:pStyle w:val="Heading3"/>
      </w:pPr>
      <w:r>
        <w:t>3. Conseil au patient et éducation thérapeutique</w:t>
      </w:r>
    </w:p>
    <w:p>
      <w:pPr>
        <w:pStyle w:val="ListBullet"/>
      </w:pPr>
      <w:r>
        <w:t>Expliquer le mécanisme d'action du traitement (thérapie ciblée sur la tumeur, épargne des cellules saines).</w:t>
      </w:r>
    </w:p>
    <w:p>
      <w:pPr>
        <w:pStyle w:val="ListBullet"/>
      </w:pPr>
      <w:r>
        <w:t>Rappeler les conditions de prise (à jeun pour certains, au cours du repas pour d'autres, à heure fixe, à 12 heures d'intervalle si biquotidienne).</w:t>
      </w:r>
    </w:p>
    <w:p>
      <w:pPr>
        <w:pStyle w:val="ListBullet"/>
      </w:pPr>
      <w:r>
        <w:t>Décrire les effets indésirables les plus fréquents et leur gestion (rash acnéiforme, diarrhée, syndrome main-pied, HTA, fatigue, hypothyroïdie).</w:t>
      </w:r>
    </w:p>
    <w:p>
      <w:pPr>
        <w:pStyle w:val="ListBullet"/>
      </w:pPr>
      <w:r>
        <w:t>Rappeler les signes d'alerte nécessitant une consultation médicale immédiate (douleurs thoraciques, faiblesse d'un côté, troubles du langage, douleurs aux mollets à la marche, dyspnée, toux sèche, fièvre, saignements, jaunisse, douleurs abdominales intenses, palpitations, syncopes).</w:t>
      </w:r>
    </w:p>
    <w:p>
      <w:pPr>
        <w:pStyle w:val="ListBullet"/>
      </w:pPr>
      <w:r>
        <w:t>Détailler les mesures prophylactiques (photoprotection SPF 50+ pour le vemurafenib, urée crème pour les mains et pieds pour les ITK multi-cibles, lopéramide à disposition pour les ITK EGFR et HER2, automesure tensionnelle pour les ITK anti-angiogéniques).</w:t>
      </w:r>
    </w:p>
    <w:p>
      <w:pPr>
        <w:pStyle w:val="ListBullet"/>
      </w:pPr>
      <w:r>
        <w:t>Rappeler l'importance de l'observance (prise à heure fixe, calendrier d'administration, ne jamais interrompre sans avis médical).</w:t>
      </w:r>
    </w:p>
    <w:p>
      <w:pPr>
        <w:pStyle w:val="ListBullet"/>
      </w:pPr>
      <w:r>
        <w:t>Évoquer la contraception obligatoire chez la femme en âge de procréer et chez le partenaire masculin.</w:t>
      </w:r>
    </w:p>
    <w:p>
      <w:pPr>
        <w:pStyle w:val="Heading3"/>
      </w:pPr>
      <w:r>
        <w:t>4. Suivi et coordination avec le prescripteur hospitalier</w:t>
      </w:r>
    </w:p>
    <w:p>
      <w:pPr>
        <w:pStyle w:val="ListBullet"/>
      </w:pPr>
      <w:r>
        <w:t>Tenir un dossier pharmaceutique patient (DPP) mentionnant les ITK dispensés, les dates de dispensation, les effets indésirables rapportés, les interactions médicamenteuses identifiées.</w:t>
      </w:r>
    </w:p>
    <w:p>
      <w:pPr>
        <w:pStyle w:val="ListBullet"/>
      </w:pPr>
      <w:r>
        <w:t>Contacter le prescripteur hospitalier en cas d'effet indésirable grave, d'interaction médicamenteuse majeure, de difficulté d'observance, ou de modification du traitement concomitant.</w:t>
      </w:r>
    </w:p>
    <w:p>
      <w:pPr>
        <w:pStyle w:val="ListBullet"/>
      </w:pPr>
      <w:r>
        <w:t>Communiquer au prescripteur hospitalier les éléments d'observance et de tolérance recueillis en officine.</w:t>
      </w:r>
    </w:p>
    <w:p>
      <w:pPr>
        <w:pStyle w:val="Heading3"/>
      </w:pPr>
      <w:r>
        <w:t>5. Prévention des interactions médicamenteuses</w:t>
      </w:r>
    </w:p>
    <w:p>
      <w:pPr>
        <w:pStyle w:val="ListBullet"/>
      </w:pPr>
      <w:r>
        <w:t>Vérifier systématiquement les prescriptions concomitantes (antihypertenseurs, anticoagulants, hypoglycémiants, antidépresseurs, antibiotiques, antifongiques, antirétroviraux, antiépileptiques).</w:t>
      </w:r>
    </w:p>
    <w:p>
      <w:pPr>
        <w:pStyle w:val="ListBullet"/>
      </w:pPr>
      <w:r>
        <w:t>Déconseiller l'automédication (en particulier les produits contenant du millepertuis, du pamplemousse, ou des inhibiteurs/inducteurs enzymatiques).</w:t>
      </w:r>
    </w:p>
    <w:p>
      <w:pPr>
        <w:pStyle w:val="ListBullet"/>
      </w:pPr>
      <w:r>
        <w:t>Conseiller une contraception efficace (préservatif + contraception hormonale ou dispositif intra-utérin).</w:t>
      </w:r>
    </w:p>
    <w:p>
      <w:pPr>
        <w:pStyle w:val="Heading3"/>
      </w:pPr>
      <w:r>
        <w:t>6. Soutien psychologique et social</w:t>
      </w:r>
    </w:p>
    <w:p>
      <w:pPr>
        <w:pStyle w:val="ListBullet"/>
      </w:pPr>
      <w:r>
        <w:t>Reconnaître l'impact psychologique du diagnostic de cancer et du traitement au long cours (anxiété, dépression, isolement social).</w:t>
      </w:r>
    </w:p>
    <w:p>
      <w:pPr>
        <w:pStyle w:val="ListBullet"/>
      </w:pPr>
      <w:r>
        <w:t>Orienter vers les associations de patients (Ligue nationale de lutte contre le cancer, Algérie) et les structures de soutien psychologique.</w:t>
      </w:r>
    </w:p>
    <w:p>
      <w:pPr>
        <w:pStyle w:val="ListBullet"/>
      </w:pPr>
      <w:r>
        <w:t>Évaluer l'impact financier du traitement (les ITK sont coûteux, la couverture sociale est variable) et orienter vers les dispositifs d'aide sociale.</w:t>
      </w:r>
    </w:p>
    <w:p>
      <w:r/>
      <w:r>
        <w:rPr>
          <w:i/>
        </w:rPr>
        <w:t>Fin des annexes</w:t>
      </w:r>
      <w:r/>
    </w:p>
    <w:p>
      <w:pPr>
        <w:pStyle w:val="Heading1"/>
      </w:pPr>
      <w:r>
        <w:t>Chapitre 105 — Thérapies ciblées : mTOR, CDK4/6, PARP, Protéasome, IMiD, BCL-2, Hedgehog</w:t>
      </w:r>
    </w:p>
    <w:p>
      <w:pPr>
        <w:pStyle w:val="Heading2"/>
      </w:pPr>
      <w:r>
        <w:t>Introduction générale de la classe</w:t>
      </w:r>
    </w:p>
    <w:p>
      <w:r>
        <w:t>Au-delà des inhibiteurs de tyrosine kinase (ITK, chapitre 104), la pharmacologie anticancéreuse moderne s'est enrichie d'une seconde grande famille de thérapies ciblées agissant non plus sur les récepteurs membranaires ou les kinases oncogéniques directement mutées, mais sur des voies de signalisation intracellulaire critiques pour la survie, la prolifération et la résistance à l'apoptose des cellules tumorales. Le présent chapitre 105 regroupe ainsi sept sous-classes pharmacologiques hétérogènes mais unies par un même paradigme : bloquer spécifiquement un rouage moléculaire dont la cellule tumorale est devenue « addicted », et restaurer ainsi les voies physiologiques de mort cellulaire programmée ou d'arrêt du cycle. Sont concernés : (i) les inhibiteurs de mTOR (mammalian Target Of Rapamycin), voie finale commune de la signalisation PI3K/AKT/mTOR hyperactive dans de nombreux cancers solides et rénaux ; (ii) les inhibiteurs de CDK4/6 (cyclin-dependent kinases 4 et 6), contrôle du point de restriction G1-S du cycle cellulaire, particulièrement actifs dans le cancer du sein hormono-dépendant ; (iii) les inhibiteurs de PARP (poly-ADP-ribose polymerase), synthèse létale sur fond de déficience BRCA1/2 dans les cancers mammaires, ovariens, prostatiques et pancréatiques ; (iv) les inhibiteurs du protéasome 26S, accumulation de protéines ubiquitinées délétères entraînant l'apoptose des plasmocytes tumoraux (myélome multiple) ; (v) les IMiD (Immunomodulatory Drugs, lénalidomide, pomalidomide), modulation ubiquitin-dépendante du cereblon, action anti-angiogénique et immunostimulante T-cellulaire ; (vi) les inhibiteurs de BCL-2 (venetoclax), restauration de l'apoptose dans les hémopathies lymphoïdes chroniques ; (vii) les inhibiteurs de la voie Hedgehog (vismodegib), blocage de la signalisation morphogénétique embryonnaire réactivée dans le carcinome basocellulaire avancé.</w:t>
      </w:r>
    </w:p>
    <w:p>
      <w:r>
        <w:t>Ces sept sous-classes partagent plusieurs caractéristiques communes : (i) administration majoritairement orale, ce qui distingue cette famille des anticorps monoclonaux et des chimiothérapies IV classiques ; (ii) prescription hospitalière spécialisée (oncologie médicale, hématologie clinique, dermatologie oncologique) ; (iii) inscription sur la Liste I des substances vénéneuses en Algérie ; (iv) tératogénicité universelle chez l'animal imposant une contraception stricte ; (v) interactions médicamenteuses multiples via le CYP3A4, le CYP2C8, la P-glycoprotéine ou le UGT1A1 ; (vi) index thérapeutique étroit nécessitant une surveillance biologique rapprochée ; (vii) effets indésirables « signature » propres à chaque cible moléculaire (neutropénie pour les CDK4/6, thrombose et tératogénicité pour les IMiD, neuropathie périphérique et thrombopénie pour le bortézomib, syndrome de lyse tumorale pour le venetoclax, pneumopathie interstitielle pour les inhibiteurs mTOR).</w:t>
      </w:r>
    </w:p>
    <w:p>
      <w:r>
        <w:t>Le développement de ces molécules illustre l'évolution de l'oncologie moléculaire vers une médecine de précision où le choix du traitement repose sur la caractérisation génotypique de la tumeur : mutation ou délétion BRCA1/2 pour les PARP (olaparib, niraparib), statut RH+/HER2− pour les CDK4/6 (palbociclib), anomalie de la voie Hedgehog pour le vismodegib, dérégulation de l'apoptose lymphoïde BCL-2 pour le venetoclax, profoncyclique plasmocytaire pour les inhibiteurs du protéasome et IMiD dans le myélome. Sans cette caractérisation préalable (génomique tumorale, immunohistochimie, FISH, cytogénétique), l'administration de ces thérapies ciblées est inefficace voire délétère. Le pharmacien algérien, en officine comme à l'hôpital, joue un rôle pivot dans la vérification de la prescription, le conseil thérapeutique, la prévention des interactions et le suivi de l'observance. Les 12 DCIs actuellement disponibles dans la nomenclature algérienne (Avril 2026) seront détaillées dans ce chapitre, sous leurs formulations commercialisées nationales et internationales.</w:t>
      </w:r>
    </w:p>
    <w:p>
      <w:pPr>
        <w:pStyle w:val="Heading2"/>
      </w:pPr>
      <w:r>
        <w:t>105.1 Sous-classe : Inhibiteurs mTOR</w:t>
      </w:r>
    </w:p>
    <w:p>
      <w:r>
        <w:t>La voie PI3K/AKT/mTOR constitue l'une des voies de signalisation intracellulaire les plus fréquemment dérégulées dans les cancers humains. mTOR (mammalian Target Of Rapamycin) est une sérine-thréonine kinase de 289 kDa appartenant à la famille des phosphoinositide 3-kinase-related kinases (PIKK). Elle s'assemble en deux complexes fonctionnellement distincts : mTORC1 (composé de Raptor, mLST8, PRAS40, DEPTOR) régulant la croissance cellulaire via la phosphorylation de S6K1 et 4E-BP1, contrôlant la biogenèse ribosomique, la synthèse protéique, l'autophagie et le métabolisme lipidique ; et mTORC2 (composé de Rictor, mLST8, mSIN1, Protor) régulant la survie cellulaire via la phosphorylation d'AKT sur S473, du PKC et de SGK1. La dérégulation de mTORC1 dans les cancers est secondaire à : (i) la perte du gène suppresseur PTEN (phosphatase et tensin homolog) dans les cancers du sein, de la prostate, de l'endomètre, glioblastomes ; (ii) l'activation oncogénique de PI3K (mutations PIK3CA) ; (iii) la stimulation par les facteurs de croissance (IGF-1, EGF) ; (iv) la signalisation hypoxique (HIF-1α) et l'angiogenèse tumorale ; (v) l'hyperactivation de la voie ERBB2/HER2.</w:t>
      </w:r>
    </w:p>
    <w:p>
      <w:r>
        <w:t xml:space="preserve">La rapamycine (sirolimus), macrolide immunosuppresseur isolé de </w:t>
      </w:r>
      <w:r>
        <w:rPr>
          <w:i/>
        </w:rPr>
        <w:t>Streptomyces hygroscopicus</w:t>
      </w:r>
      <w:r>
        <w:t xml:space="preserve"> en 1972 sur l'île de Pâques (Rapa Nui), fut le premier inhibiteur de mTOR identifié. Elle se lie à la FKBP12 (FK506-binding protein 12), et ce complexe se fixe de manière allosterique sur mTORC1 (et non sur mTORC2), induisant un blocage de la croissance cellulaire sans apoptose directe. Son utilisation clinique initiale fut immunosuppressive (prévention du rejet de greffe, 1999). L'everolimus, dérivé 40-O-(2-hydroxyéthyl) de la rapamycine (rad-001), a été développé pour améliorer la biodisponibilité orale (60–80 % vs 14 %) et la demi-vie (30 heures vs 60 heures), élargissant le spectre à l'oncologie (cancer du rein métastatique, tumeurs neuro-endocrines, cancer du sein RH+ en association à l'exémestane, astrocytome sous-épendymaire géant cellulaire de la maladie de Bourneville, cancers pancréatiques neuro-endocrines). Les inhibiteurs mTOR ont également une place dans la prévention de la resténose intra-stent cardiologique (sirolimus, everolimus-eluting stents). Le profil de tolérance est dominé par la pneumopathie interstitielle (10–15 %), la stomatite, la dyslipidémie (hyperglycémie, hypercholestérolémie, hypertriglycéridémie), l'immunosuppression modérée (risque infectieux) et la dysfonction gonadique.</w:t>
      </w:r>
    </w:p>
    <w:p>
      <w:pPr>
        <w:pStyle w:val="Heading3"/>
      </w:pPr>
      <w:r>
        <w:t>105.1.1 DCI : Everolimus</w:t>
      </w:r>
    </w:p>
    <w:p>
      <w:r/>
      <w:r>
        <w:rPr>
          <w:b/>
        </w:rPr>
        <w:t>Liste des Catégories :</w:t>
      </w:r>
      <w:r>
        <w:t xml:space="preserve"> Antinéoplasiques ; Inhibiteur de mTORC1 (rapamycine analogue) ; Liste I (sur prescription hospitalière spécialisée en oncologie ou hématologie).</w:t>
      </w:r>
    </w:p>
    <w:p>
      <w:r>
        <w:t>L'everolimus est un dérivé semi-synthétique de la rapamycine (40-O-(2-hydroxyéthyl)-rapamycine), inhibiteur allosterique de mTORC1, indiqué dans le cancer du rein métastatique avancé après échec des inhibiteurs de tyrosine kinase anti-angiogéniques (sunitinib, sorafenib, pazopanib), dans les tumeurs neuro-endocrines d'origine pancréatique, digestive et pulmonaire bien différenciées et progressives, dans le cancer du sein RH+/HER2− avancé en association à l'exémestane après échec d'un anti-estrogène non stéroïdien (letrozole, anastrozole), dans les astrocytomes sous-épendymaires géants à cellules (SEGA) associés à la sclérose tubéreuse de Bourneville, dans les angiomyolipomes rénaux associés à la sclérose tubéreuse, et en transplantation d'organe (prévention du rejet, cœur, rein, foie) à dose réduite. La molécule figure sur la liste complémentaire des médicaments essentiels OMS.</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AFINITOR</w:t>
            </w:r>
          </w:p>
        </w:tc>
        <w:tc>
          <w:tcPr>
            <w:tcW w:type="dxa" w:w="1559"/>
          </w:tcPr>
          <w:p>
            <w:r>
              <w:rPr>
                <w:sz w:val="20"/>
              </w:rPr>
              <w:t>NOVARTIS PHARMA SCHWEIZ AG</w:t>
            </w:r>
          </w:p>
        </w:tc>
        <w:tc>
          <w:tcPr>
            <w:tcW w:type="dxa" w:w="1559"/>
          </w:tcPr>
          <w:p>
            <w:r>
              <w:rPr>
                <w:sz w:val="20"/>
              </w:rPr>
              <w:t>Comprimé 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AFINITOR</w:t>
            </w:r>
          </w:p>
        </w:tc>
        <w:tc>
          <w:tcPr>
            <w:tcW w:type="dxa" w:w="1559"/>
          </w:tcPr>
          <w:p>
            <w:r>
              <w:rPr>
                <w:sz w:val="20"/>
              </w:rPr>
              <w:t>NOVARTIS PHARMA SCHWEIZ AG</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EVEROLIMUS-SAIDAL</w:t>
            </w:r>
          </w:p>
        </w:tc>
        <w:tc>
          <w:tcPr>
            <w:tcW w:type="dxa" w:w="1559"/>
          </w:tcPr>
          <w:p>
            <w:r>
              <w:rPr>
                <w:sz w:val="20"/>
              </w:rPr>
              <w:t>GROUPE SAIDAL</w:t>
            </w:r>
          </w:p>
        </w:tc>
        <w:tc>
          <w:tcPr>
            <w:tcW w:type="dxa" w:w="1559"/>
          </w:tcPr>
          <w:p>
            <w:r>
              <w:rPr>
                <w:sz w:val="20"/>
              </w:rPr>
              <w:t>Comprimé 5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EVEROLIMUS-SAIDAL</w:t>
            </w:r>
          </w:p>
        </w:tc>
        <w:tc>
          <w:tcPr>
            <w:tcW w:type="dxa" w:w="1559"/>
          </w:tcPr>
          <w:p>
            <w:r>
              <w:rPr>
                <w:sz w:val="20"/>
              </w:rPr>
              <w:t>GROUPE SAIDAL</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EVERBLISS</w:t>
            </w:r>
          </w:p>
        </w:tc>
        <w:tc>
          <w:tcPr>
            <w:tcW w:type="dxa" w:w="1559"/>
          </w:tcPr>
          <w:p>
            <w:r>
              <w:rPr>
                <w:sz w:val="20"/>
              </w:rPr>
              <w:t>ALFACARE</w:t>
            </w:r>
          </w:p>
        </w:tc>
        <w:tc>
          <w:tcPr>
            <w:tcW w:type="dxa" w:w="1559"/>
          </w:tcPr>
          <w:p>
            <w:r>
              <w:rPr>
                <w:sz w:val="20"/>
              </w:rPr>
              <w:t>Comprimé 5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EVERBLISS</w:t>
            </w:r>
          </w:p>
        </w:tc>
        <w:tc>
          <w:tcPr>
            <w:tcW w:type="dxa" w:w="1559"/>
          </w:tcPr>
          <w:p>
            <w:r>
              <w:rPr>
                <w:sz w:val="20"/>
              </w:rPr>
              <w:t>ALFACARE</w:t>
            </w:r>
          </w:p>
        </w:tc>
        <w:tc>
          <w:tcPr>
            <w:tcW w:type="dxa" w:w="1559"/>
          </w:tcPr>
          <w:p>
            <w:r>
              <w:rPr>
                <w:sz w:val="20"/>
              </w:rPr>
              <w:t>Comprimé 10 mg</w:t>
            </w:r>
          </w:p>
        </w:tc>
        <w:tc>
          <w:tcPr>
            <w:tcW w:type="dxa" w:w="1559"/>
          </w:tcPr>
          <w:p>
            <w:r>
              <w:rPr>
                <w:sz w:val="20"/>
              </w:rPr>
              <w:t>B/10</w:t>
            </w:r>
          </w:p>
        </w:tc>
        <w:tc>
          <w:tcPr>
            <w:tcW w:type="dxa" w:w="1559"/>
          </w:tcPr>
          <w:p>
            <w:r>
              <w:rPr>
                <w:sz w:val="20"/>
              </w:rPr>
              <w:t>Liste I</w:t>
            </w:r>
          </w:p>
        </w:tc>
        <w:tc>
          <w:tcPr>
            <w:tcW w:type="dxa" w:w="1559"/>
          </w:tcPr>
          <w:p>
            <w:r>
              <w:rPr>
                <w:sz w:val="20"/>
              </w:rPr>
              <w:t>Actif</w:t>
            </w:r>
          </w:p>
        </w:tc>
      </w:tr>
      <w:tr>
        <w:tc>
          <w:tcPr>
            <w:tcW w:type="dxa" w:w="1559"/>
          </w:tcPr>
          <w:p>
            <w:r>
              <w:rPr>
                <w:sz w:val="20"/>
              </w:rPr>
              <w:t>EVROLIPHAL</w:t>
            </w:r>
          </w:p>
        </w:tc>
        <w:tc>
          <w:tcPr>
            <w:tcW w:type="dxa" w:w="1559"/>
          </w:tcPr>
          <w:p>
            <w:r>
              <w:rPr>
                <w:sz w:val="20"/>
              </w:rPr>
              <w:t>SOCIETE PHARMACEUTIQUE ALGERIENNE SOPHAL</w:t>
            </w:r>
          </w:p>
        </w:tc>
        <w:tc>
          <w:tcPr>
            <w:tcW w:type="dxa" w:w="1559"/>
          </w:tcPr>
          <w:p>
            <w:r>
              <w:rPr>
                <w:sz w:val="20"/>
              </w:rPr>
              <w:t>Comprimé 5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EVROLIPHAL</w:t>
            </w:r>
          </w:p>
        </w:tc>
        <w:tc>
          <w:tcPr>
            <w:tcW w:type="dxa" w:w="1559"/>
          </w:tcPr>
          <w:p>
            <w:r>
              <w:rPr>
                <w:sz w:val="20"/>
              </w:rPr>
              <w:t>SOCIETE PHARMACEUTIQUE ALGERIENNE SOPHAL</w:t>
            </w:r>
          </w:p>
        </w:tc>
        <w:tc>
          <w:tcPr>
            <w:tcW w:type="dxa" w:w="1559"/>
          </w:tcPr>
          <w:p>
            <w:r>
              <w:rPr>
                <w:sz w:val="20"/>
              </w:rPr>
              <w:t>Comprimé 10 mg</w:t>
            </w:r>
          </w:p>
        </w:tc>
        <w:tc>
          <w:tcPr>
            <w:tcW w:type="dxa" w:w="1559"/>
          </w:tcPr>
          <w:p>
            <w:r>
              <w:rPr>
                <w:sz w:val="20"/>
              </w:rPr>
              <w:t>B/28</w:t>
            </w:r>
          </w:p>
        </w:tc>
        <w:tc>
          <w:tcPr>
            <w:tcW w:type="dxa" w:w="1559"/>
          </w:tcPr>
          <w:p>
            <w:r>
              <w:rPr>
                <w:sz w:val="20"/>
              </w:rPr>
              <w:t>Liste I</w:t>
            </w:r>
          </w:p>
        </w:tc>
        <w:tc>
          <w:tcPr>
            <w:tcW w:type="dxa" w:w="1559"/>
          </w:tcPr>
          <w:p>
            <w:r>
              <w:rPr>
                <w:sz w:val="20"/>
              </w:rPr>
              <w:t>Actif</w:t>
            </w:r>
          </w:p>
        </w:tc>
      </w:tr>
    </w:tbl>
    <w:p/>
    <w:p>
      <w:r>
        <w:t>La spécialité princeps AFINITOR (Novartis, laboratoire suisse ayant développé l'everolimus depuis les travaux sur la rapamycine) coexiste avec trois génériques algériens (SAIDAL, ALFACARE, SOPHAL) qui ont permis un élargissement de l'accès à cette thérapie coûteuse. Les dosages de 5 mg et 10 mg permettent l'adaptation posologique (dose standard oncologique : 10 mg/j ; dose réduite en cas d'insuffisance hépatique ou d'interactions ; dose transplant : 0,75–1 mg × 2/j). La délivrance s'effectue en pharmacie hospitalière spécialisée (oncologie, hématologie, transplant) ou en officine sur prescription hospitalière.</w:t>
      </w:r>
    </w:p>
    <w:p>
      <w:r/>
      <w:r>
        <w:rPr>
          <w:b/>
        </w:rPr>
        <w:t>Sous-classe et Mécanisme d'action :</w:t>
      </w:r>
      <w:r/>
    </w:p>
    <w:p>
      <w:pPr>
        <w:pStyle w:val="ListBullet"/>
      </w:pPr>
      <w:r>
        <w:t>Sous-classe : Inhibiteur de mTORC1 (analogue de la rapamycine, 2e génération), classe des macrolides immunosuppresseurs et antinéoplasiques. DCI inscrite sur la liste des médicaments essentiels OMS.</w:t>
      </w:r>
    </w:p>
    <w:p>
      <w:pPr>
        <w:pStyle w:val="ListBullet"/>
      </w:pPr>
      <w:r>
        <w:t>Mécanisme d'action : l'everolimus pénètre dans le compartiment intracellulaire et se lie de manière reversible à la FKBP12 (FK506-binding protein 12, immunophiline cytosolique). Le complexe everolimus–FKBP12 se fixe alors de manière allosterique sur le domaine FRB (FKBP-rapamycin binding) de la sous-unité mTOR du complexe mTORC1, induisant une inhibition fonctionnelle de son activité kinase. Sont ainsi bloquées les phosphorylations de S6K1 (p70-S6 kinase 1) et de 4E-BP1 (eukaryotic initiation factor 4E-binding protein 1), ce qui supprime la synthèse des protéines ribosomiques, la traduction des ARNm à top 5' polypyrimidine (cyclines D1, D3, c-MYC, HIF-1α, VEGF), la croissance cellulaire et l'angiogenèse tumorale. La cellule tumorale s'arrête en phase G1 du cycle cellulaire (cytostase plus qu'apoptose directe), voit diminuer sa production de VEGF (anti-angiogénique indirect) et restaurer son autophagie. mTORC2 est partiellement inhibé en administration prolongée (réto-inhibition d'AKT sur S473), réduisant la boucle de survie. Dans les cellules présentant une hyperactivation de la voie PI3K/AKT (perte PTEN, mutations PIK3CA, amplification HER2), l'everolimus restaure une signalisation physiologique. Dans les SEGA associés à la sclérose tubéreuse, l'everolimus compense l'hyperactivation constitutive de mTORC1 liée à la perte du gène TSC1/TSC2.</w:t>
      </w:r>
    </w:p>
    <w:p>
      <w:r/>
      <w:r>
        <w:rPr>
          <w:b/>
        </w:rPr>
        <w:t>Profil Pharmacologique :</w:t>
      </w:r>
      <w:r/>
    </w:p>
    <w:p>
      <w:pPr>
        <w:pStyle w:val="ListBullet"/>
      </w:pPr>
      <w:r>
        <w:t>Indications : (1) Cancer du rein avancé après échec des ITK anti-angiogéniques (sunitinib, sorafenib, pazopanib, axitinib) — dose 10 mg/j ; (2) Tumeurs neuro-endocrines d'origine pancréatique (pNET), digestive (GI-NET), ou pulmonaire (carcinoides bronchiques) bien différenciées et progressives — dose 10 mg/j ; (3) Cancer du sein RH+/HER2− avancé en association à l'exémestane (25 mg/j) après échec d'un anti-estrogène non stéroïdien (letrozole, anastrozole) — dose 10 mg/j ; (4) Astrocytomes sous-épendymaires géants à cellules (SEGA) associés à la sclérose tubéreuse de Bourneville, non accessibles à la chirurgie — dose 4,5 mg/m²/j ; (5) Angiomyolipomes rénaux associés à la sclérose tubéreuse — dose 10 mg/j ; (6) Prévention du rejet de greffe en transplantation cardiaque, rénale, hépatique — dose 0,75–1 mg × 2/j en association au tacrolimus ou à la cyclosporine (indication transplant).</w:t>
      </w:r>
    </w:p>
    <w:p>
      <w:pPr>
        <w:pStyle w:val="ListBullet"/>
      </w:pPr>
      <w:r>
        <w:t>Contre-indications : Hypersensibilité à l'everolimus, à la rapamycine (sirolimus), ou à l'un des excipients (lactose, hypromellose, crospovidone, stéarate de magnésium). Précautions : insuffisance hépatique modérée à sévère (réduction à 5 mg/j pour Child-Pugh B, contre-indication relative Child C), insuffisance rénale (pas d'adaptation, surveillance protéinurie), diabète déséquilibré (hyperglycémie fréquente), dyslipidémie non contrôlée, immunodépression (covariables infectieuses), grossesse (CI absolue), allaitement (CI absolue), patients non vaccinés (vérifier le statut vaccinal avant initiation : pneumocoque, grippe, hépatite B).</w:t>
      </w:r>
    </w:p>
    <w:p>
      <w:pPr>
        <w:pStyle w:val="ListBullet"/>
      </w:pPr>
      <w:r>
        <w:t>Effets Indésirables : Très fréquents (&gt; 10 %) : stomatite (40–60 %, dont 8 % grade 3/4 — prévention par solution hydroalcoolique de dexaméthasone en bains de bouche sans sucre), rash maculo-papuleux (30–50 %), fatigue (30–40 %), diarrhée (25–30 %), nausées (20 %), infections respiratoires hautes (20 %), hyperglycémie (50 %, dont 15 % grade 3/4), hypercholestérolémie (70 %), hypertriglycéridémie (70 %), anémie (30 %), leucopénie (25 %), thrombopénie (15 %), élévations transaminases (ALAT, ASAT — 20 %), créatinine (15 %), protéinurie (15 %). Fréquents (1–10 %) : pneumopathie interstitielle (10–14 %, signe cardinal à reconnaître précocement — toux sèche, dyspnée d'effort, infiltrats interstitiels bilatéraux au scanner), hypophosphatémie, hypokaliémie, insuffisance rénale aiguë, hypertension artérielle, troubles du sommeil, céphalées, épicostaxis, saignements gingivaux, altération du goût, dysgueusie, mucite œsophagienne. Peu fréquents (0,1–1 %) : insuffisance hépatique sévère, angio-oedème, hypersensibilité, syndrome de lyse tumorale (rare, à l'initiation), pancréatite, insuffisance respiratoire, thrombose veineuse profonde, embolie pulmonaire. Rares (&lt; 0,1 %) : pneumopathie d'hypersensibilité, fibrose pulmonaire, hépatite fulminante, sepsis sévère.</w:t>
      </w:r>
    </w:p>
    <w:p>
      <w:r/>
      <w:r>
        <w:rPr>
          <w:b/>
        </w:rPr>
        <w:t>Prévention et Gestion des Effets Indésirables :</w:t>
      </w:r>
      <w:r/>
    </w:p>
    <w:p>
      <w:pPr>
        <w:pStyle w:val="ListBullet"/>
      </w:pPr>
      <w:r>
        <w:t>Mesures Préventives : (i) Bilan bucco-dentaire avant initiation (extraction des dents non récupérables, traitement des caries) ; bains de bouche à la dexaméthasone (0,5 mg/5 mL, 4×/j, sans sucre) en prophylaxie de la stomatite pendant les 8 premières semaines ; éviter l'alcool et les bains de bouche alcoolisés. (ii) Bilan lipidique complet (cholestérol total, LDL, HDL, triglycérides) avant initiation, à 4–8 semaines puis mensuel ; initiation d'une statine si LDL &gt; 1,6 g/L (préférer pravastatine ou rosuvastatine — peu métabolisées par CYP3A4). (iii) Bilan glycémique (glycémie à jeun, HbA1c) avant et mensuel ; adapter le traitement antidiabétique. (iv) NFS-plaquettes, fonction rénale (créatinine, urée, protéinurie sur ECBU), bilan hépatique (ALAT, ASAT, bilirubine, PAL, γ-GT) mensuel 3 mois puis trimestriel. (v) Radiographie thoracique et/ou scanner thoracique de référence ; surveillance clinique de la toux sèche et de la dyspnée d'effort (alerte : consultation si dyspnée stade ≥ II mMRC). (vi) Statut vaccinal : vacciner contre le pneumocoque (Prevenar 13® puis Pneumovax® 8 semaines plus tard), la grippe saisonnière, l'hépatite B (si sérologie négative) avant initiation ; vaccins vivants contre-indiqués pendant le traitement. (vii) Photographie cutanée de référence, photoprotection SPF 50+.</w:t>
      </w:r>
    </w:p>
    <w:p>
      <w:pPr>
        <w:pStyle w:val="ListBullet"/>
      </w:pPr>
      <w:r>
        <w:t>Conduite à Tenir : Stomatite grade 1–2 : poursuite du traitement, bains de bouche de dexaméthasone, pansements protecteurs (sucralfate), alimentation tiède et mixée. Grade 3 : interruption transitoire 7 jours, traitement topique (dexaméthasone + antifongique si surinfection), reprise à dose réduite (10 → 5 mg). Grade 4 : arrêt définitif. Pneumopathie interstitielle grade 1–2 : pursuit si asymptomatique, surveillance scanner ; grade 3–4 : arrêt immédiat, corticothérapie 0,5–1 mg/kg/j de prednisone équivalent, oxygénothérapie. Hyperglycémie : adaptation des antidiabétiques (metformine en première intention, ajout d'insuline basale si HbA1c &gt; 8 %). Hyperlipidémie : initiation statine (pravastatine 40 mg/j, rosuvastatine 10 mg/j). Cytopénies grade 3/4 : interruption 7 jours, reprise à dose réduite. Protéinurie &gt; 1 g/24 h : recherche d'une glomérulonéphrite, interruption si &gt; 3 g/24 h.</w:t>
      </w:r>
    </w:p>
    <w:p>
      <w:r/>
      <w:r>
        <w:rPr>
          <w:b/>
        </w:rPr>
        <w:t>Interactions Médicamenteuses :</w:t>
      </w:r>
      <w:r/>
    </w:p>
    <w:p>
      <w:pPr>
        <w:pStyle w:val="ListBullet"/>
      </w:pPr>
      <w:r>
        <w:t>CYP3A4 et P-gp (métabolisme principal) : inducteurs enzymatiques (rifampicine, phénytoïne, carbamazépine, phénobarbital, dexaméthasone IV, millepertuis, éfavirenz) → diminution de l'ASC de l'everolimus (jusqu'à −65 % avec rifampicine), à éviter absolument (risque d'échec thérapeutique). Inhibiteurs (kétoconazole, itraconazole, voriconazole, posaconazole, clarithromycine, érythromycine, télithromycine, ritonavir, saquinavir, indinavir, nelfinavir, atazanavir, diltiazem, vérapamil, nicardipine, amiodarone, cimétidine, fluvoxamine, fluoxétine) → augmentation de l'ASC (jusqu'à ×15 avec kétoconazole), à éviter ou réduire la dose d'everolimus à 2,5 mg/j (minimum) sous surveillance stricte.</w:t>
      </w:r>
    </w:p>
    <w:p>
      <w:pPr>
        <w:pStyle w:val="ListBullet"/>
      </w:pPr>
      <w:r>
        <w:t>Substrats à index thérapeurique étroit : l'everolimus est lui-même inhibiteur puissant du CYP3A4 et de la P-gp in vivo au niveau intestinal ; surveiller les concentrations de : (i) inhibiteurs de l'HMG-CoA réductase (simvastatine, atorvastatine — risque de rhabdomyolyse, préférer pravastatine, rosuvastatine, fluvastatine) ; (ii) cyclosporine, tacrolimus, sirolimus (immunosuppresseurs — adaptation posologique) ; (iii) digoxine (surveillance ECG et dosage sanguin) ; (iv) dabigatran, rivaroxaban, apixaban (risque hémorragique majoré). (v) midazolam, triazolam (sédation prolongée). (vi) pimozide, ergotamine (CI absolue).</w:t>
      </w:r>
    </w:p>
    <w:p>
      <w:pPr>
        <w:pStyle w:val="ListBullet"/>
      </w:pPr>
      <w:r>
        <w:t>Vaccins : vaccins vivants atténués (BCG, ROR, fièvre jaune, varicelle, rotavirus, zona) contre-indiqués pendant le traitement et jusqu'à 4–6 semaines après l'arrêt (immunosuppression, risque de maladie vaccinale sévère). Vaccins inactivés autorisés (grippe saisonnière, pneumocoque, hépatite B, SARS-CoV-2, tétanos, diphtérie) mais réponse immunitaire atténuée.</w:t>
      </w:r>
    </w:p>
    <w:p>
      <w:pPr>
        <w:pStyle w:val="ListBullet"/>
      </w:pPr>
      <w:r>
        <w:t>Alimentation : prendre à heure fixe, indifféremment avec ou sans nourriture (mais toujours de la même manière pour éviter la variabilité). Éviter le jus de pamplemousse (inhibiteur du CYP3A4 intestinal, augmentation des concentrations). Éviter le millepertuis (inducteur). Modération alcoolique (hépatotoxicité additive).</w:t>
      </w:r>
    </w:p>
    <w:p>
      <w:pPr>
        <w:pStyle w:val="ListBullet"/>
      </w:pPr>
      <w:r>
        <w:t>Anticoagulants : pas d'interaction directe avec la warfarine (métabolisme CYP2C9), mais surveillance renforcée en cas d'association (risque hémorragique sur thrombopénie). Préférer les HBPM si nécessaire.</w:t>
      </w:r>
    </w:p>
    <w:p>
      <w:r/>
      <w:r>
        <w:rPr>
          <w:b/>
        </w:rPr>
        <w:t>Grossesse et Allaitement :</w:t>
      </w:r>
      <w:r/>
    </w:p>
    <w:p>
      <w:pPr>
        <w:pStyle w:val="ListBullet"/>
      </w:pPr>
      <w:r>
        <w:t>Grossesse : CONTRE-INDICATION ABSOLUE. Données animales tératogènes (embryotoxicité, fœtotoxicité, malformations cardiovasculaires et squelettiques chez le rat à exposition infra-thérapeutique). Données humaines très limitées mais signalisations d'avortements spontanés et de malformations. Une contraception efficace (double méthode : condom + contraception orale ou dispositif intra-utérin) est obligatoire chez la femme en âge de procréer durant le traitement et jusqu'à 8 semaines après l'arrêt (5 demi-vies). Chez l'homme traité : altération possible de la spermatogenèse (rarement définitive), contraception conseillée pendant le traitement et 8 semaines après l'arrêt. En cas de projet de grossesse chez une femme présentant une rémission tumorale stable : discussion pluridisciplinaire oncologue-gynécologue, arrêt de l'everolimus 8 semaines avant conception, switch vers une alternative compatible (selon indication). Pendant la grossesse, en cas de cancer du sein RH+ : chimiothérapie compatible (paclitaxel, doxorubicine liposomale) après le 1er trimestre.</w:t>
      </w:r>
    </w:p>
    <w:p>
      <w:pPr>
        <w:pStyle w:val="ListBullet"/>
      </w:pPr>
      <w:r>
        <w:t>Allaitement : CONTRE-INDICATION ABSOLUE. L'everolimus passe massivement dans le lait maternel (rapport lait/plasma élevé en raison d'une forte lipophilie et d'une liaison protéique élevée), exposant le nouveau-né à des concentrations immunosuppressives et à un risque de cytopénies, d'infections sévères et de retard de croissance. Allaitement à interrompre pendant toute la durée du traitement et jusqu'à 8 semaines après l'arrêt.</w:t>
      </w:r>
    </w:p>
    <w:p>
      <w:pPr>
        <w:pStyle w:val="ListBullet"/>
      </w:pPr>
      <w:r>
        <w:t>Précautions : Chez l'enfant prépubère (indication SEGA), surveiller la croissance staturo-pondérale et la puberté (retard possible lié à l'inhibition de mTORC1, impliqué dans la croissance osseuse). Suivi endocrinien pédiatrique recommandé.</w:t>
      </w:r>
    </w:p>
    <w:p>
      <w:r/>
      <w:r>
        <w:rPr>
          <w:b/>
        </w:rPr>
        <w:t>Posologie et Mode d'administration (Standard) :</w:t>
      </w:r>
      <w:r/>
    </w:p>
    <w:p>
      <w:pPr>
        <w:pStyle w:val="ListBullet"/>
      </w:pPr>
      <w:r>
        <w:t>Adulte oncologie : 10 mg une fois par jour, à heure fixe, indifféremment avec ou sans nourriture (mais toujours de la même manière), avec un grand verre d'eau. En cas d'insuffisance hépatique modérée (Child-Pugh B) : réduire à 5 mg/j ; en cas d'insuffisance hépatique sévère (Child C) : éviter ou utiliser à dose très réduite (2,5 mg/j si bénéfice/risque favorable). En cas d'insuffisance rénale (DFG &lt; 30 mL/min) : pas d'adaptation mais surveillance protéinurie.</w:t>
      </w:r>
    </w:p>
    <w:p>
      <w:pPr>
        <w:pStyle w:val="ListBullet"/>
      </w:pPr>
      <w:r>
        <w:t>Adulte transplant : 0,75 mg × 2/j en association à la cyclosporine microémulsion (concentrations résiduelles cibles 4–12 ng/mL everolimus). Alternative : 1 mg × 2/j en association au tacrolimus.</w:t>
      </w:r>
    </w:p>
    <w:p>
      <w:pPr>
        <w:pStyle w:val="ListBullet"/>
      </w:pPr>
      <w:r>
        <w:t>Adaptation en cas d'interactions : sous inhibiteurs puissants du CYP3A4 (kétoconazole, itraconazole, clarithromycine, ritonavir) : réduire à 2,5 mg/j (minimum). Sous inducteurs (rifampicine, phénytoïne, carbamazépine) : éviter ou augmenter à 20 mg/j (maximum, surveillance). Adapter selon la tolérance et la réponse.</w:t>
      </w:r>
    </w:p>
    <w:p>
      <w:pPr>
        <w:pStyle w:val="ListBullet"/>
      </w:pPr>
      <w:r>
        <w:t>Adaptation en cas d'effets indésirables : stomatite grade 2 : poursuite + bains de bouche. Grade 3 : interruption 7 jours, reprise à 5 mg/j. Grade 4 : arrêt définitif. Pneumopathie interstitielle grade ≥ 2 : arrêt immédiat, corticothérapie. Neutropénie &lt; 1,0 G/L ou thrombopénie &lt; 50 G/L : interruption, reprise à dose réduite. Hyperglycémie &gt; 2,5 g/L ou HbA1c &gt; 9 % : interruption transitoire, ajustement antidiabétique.</w:t>
      </w:r>
    </w:p>
    <w:p>
      <w:pPr>
        <w:pStyle w:val="ListBullet"/>
      </w:pPr>
      <w:r>
        <w:t>Mode d'administration : voie orale stricte. Les comprimés ne doivent pas être écrasés, mâchés ou divisés (modification de la pharmacocinétique). En cas d'incapacité à avaler (enfant, sonde), dispersion dans 30 mL d'eau plate immédiate avant ingestion.</w:t>
      </w:r>
    </w:p>
    <w:p>
      <w:pPr>
        <w:pStyle w:val="ListBullet"/>
      </w:pPr>
      <w:r>
        <w:t>Durée du traitement : oncologie : traitement au long cours jusqu'à progression ou intolérance. Transplant : traitement continu.</w:t>
      </w:r>
    </w:p>
    <w:p>
      <w:r/>
      <w:r>
        <w:rPr>
          <w:b/>
        </w:rPr>
        <w:t>Surveillance Biologique et Suivi Clinique :</w:t>
      </w:r>
      <w:r/>
    </w:p>
    <w:p>
      <w:pPr>
        <w:pStyle w:val="ListBullet"/>
      </w:pPr>
      <w:r>
        <w:t>Hématologique : NFS-plaquettes avant initiation, à J15, J30, puis mensuel 3 mois, trimestriel. Seuils d'adaptation : PNN &lt; 1,0 G/L, plaquettes &lt; 50 G/L, Hb &lt; 80 g/L → interruption 7 jours puis reprise à dose réduite.</w:t>
      </w:r>
    </w:p>
    <w:p>
      <w:pPr>
        <w:pStyle w:val="ListBullet"/>
      </w:pPr>
      <w:r>
        <w:t>Métabolique : glycémie à jeun, HbA1c avant initiation, mensuel 3 mois puis trimestriel. Bilan lipidique (cholestérol total, LDL, HDL, triglycérides) avant, à 4–8 semaines puis mensuel. Adaptation du traitement antidiabétique et hypolipémiant selon les résultats.</w:t>
      </w:r>
    </w:p>
    <w:p>
      <w:pPr>
        <w:pStyle w:val="ListBullet"/>
      </w:pPr>
      <w:r>
        <w:t>Hépatique : ALAT, ASAT, bilirubine totale, PAL, γ-GT mensuel 3 mois puis trimestriel. Bilirubine &gt; 3× LSN ou transaminases &gt; 5× LSN → interruption et réintroduction à dose réduite.</w:t>
      </w:r>
    </w:p>
    <w:p>
      <w:pPr>
        <w:pStyle w:val="ListBullet"/>
      </w:pPr>
      <w:r>
        <w:t>Rénale : créatinine, urée, ionogramme, protéinurie (ECBU ou rapport protéinurie/créatinine) mensuel 3 mois puis trimestriel. Protéinurie &gt; 1 g/24 h → surveillance renforcée ; &gt; 3 g/24 h → interruption.</w:t>
      </w:r>
    </w:p>
    <w:p>
      <w:pPr>
        <w:pStyle w:val="ListBullet"/>
      </w:pPr>
      <w:r>
        <w:t>Pulmonaire : radiographie thoracique de référence, scanner thoracique si suspicion clinique (toux sèche, dyspnée d'effort, fièvre, désaturation). Surveillance clinique mensuelle de la toux et de la dyspnée. Dépistage précoce de la pneumopathie interstitielle.</w:t>
      </w:r>
    </w:p>
    <w:p>
      <w:pPr>
        <w:pStyle w:val="ListBullet"/>
      </w:pPr>
      <w:r>
        <w:t>Cardiaque : pas de surveillance ECG systématique (pas d'allongement significatif du QTc), mais échographie cardiaque chez le sujet âgé ou cardiaque (transplant cardiaque).</w:t>
      </w:r>
    </w:p>
    <w:p>
      <w:pPr>
        <w:pStyle w:val="ListBullet"/>
      </w:pPr>
      <w:r>
        <w:t>Infectiologique : surveillance clinique des signes infectieux (fièvre, toux, dysurie), prophylaxie anti-Pneumocystis jirovecii par cotrimoxazole (Bactrim®) en cas d'association à la corticothérapie ou en transplantation.</w:t>
      </w:r>
    </w:p>
    <w:p>
      <w:pPr>
        <w:pStyle w:val="ListBullet"/>
      </w:pPr>
      <w:r>
        <w:t>Suivi thérapeutique pharmacologique (STP) : dosage de l'everolimus résiduel (objectif transplant : 4–12 ng/mL ; oncologie : 10–20 ng/mL) en cas d'interaction, d'insuffisance hépatique, d'effets indésirables ou de non-réponse. Prélèvement avant la prise du matin (résiduel).</w:t>
      </w:r>
    </w:p>
    <w:p>
      <w:r/>
      <w:r>
        <w:rPr>
          <w:b/>
        </w:rPr>
        <w:t>Arbitrage et Bénéfices des Formes Galéniques :</w:t>
      </w:r>
      <w:r/>
    </w:p>
    <w:p>
      <w:r>
        <w:t>La forme comprimé à 5 mg (AFINITOR, EVEROLIMUS-SAIDAL, EVERBLISS, EVROLIPHAL) est destinée à l'adaptation posologique en cas d'insuffisance hépatique, d'interaction médicamenteuse, d'effets indésirables grade ≥ 2, ou d'utilisation à dose transplant (0,75 mg × 2/j = 1 comprimé et demi matin et soir, ou 5 mg/j monoprise pour les indications pédiatriques SEGA à 4,5 mg/m²/j). La forme 10 mg (AFINITOR, EVEROLIMUS-SAIDAL, EVERBLISS, EVROLIPHAL) est adaptée à la dose standard oncologique (1 comprimé/jour, observance facilitée, monoprise matinale). Les génériques algériens (SAIDAL, ALFACARE, SOPHAL) présentent une équivalence pharmacocinétique documentée avec la spécialité princeps (biodisponibilité orale identique à ±20 %), autorisant la substitution en oncologie comme en transplantation. Le pharmacien d'officine doit vérifier l'absence de switch entre génériques en cours de traitement (risque théorique de variabilité pharmacocinétique), particulièrement en transplantation où l'index thérapeutique est étroit.</w:t>
      </w:r>
    </w:p>
    <w:p>
      <w:r/>
      <w:r>
        <w:rPr>
          <w:b/>
        </w:rPr>
        <w:t>Instructions et Conseils au Patient :</w:t>
      </w:r>
      <w:r/>
    </w:p>
    <w:p>
      <w:pPr>
        <w:pStyle w:val="ListBullet"/>
      </w:pPr>
      <w:r>
        <w:t>Communication au comptoir : « L'everolimus est un médicament anticancéreux oral qui cible spécifiquement une enzyme responsable de la croissance des cellules tumorales, appelée mTOR. Il se prend une fois par jour, à heure fixe, indifféremment avec ou sans nourriture mais toujours de la même manière, avec un grand verre d'eau. Les effets indésirables les plus fréquents sont une inflammation de la bouche (stomatite), une éruption cutanée, une fatigue, une diarrhée, une hyperglycémie et une hypercholestérolémie. Prévenez immédiatement votre médecin en cas de toux sèche persistante, d'essoufflement (risque de pneumopathie), de fièvre (risque infectieux sur baisse des globules blancs), de lésions buccales douloureuses, ou de douleurs thoraciques. Évitez le pamplemousse et le millepertuis (interactions médicamenteuses). »</w:t>
      </w:r>
    </w:p>
    <w:p>
      <w:pPr>
        <w:pStyle w:val="ListBullet"/>
      </w:pPr>
      <w:r>
        <w:t>Observance : Prise à heure fixe (matin, après petit-déjeuner recommandé), calendrier d'administration, ne jamais interrompre sans avis médical, prévoir une réserve pour week-ends et voyages, conserver à température &lt; 25 °C à l'abri de l'humidité.</w:t>
      </w:r>
    </w:p>
    <w:p>
      <w:pPr>
        <w:pStyle w:val="ListBullet"/>
      </w:pPr>
      <w:r>
        <w:t>Hygiène de vie : Éviter le pamplemousse et le millepertuis, alcool à proscrire (hépatotoxicité additive), photoprotection SPF 50+ (rash photosensible), bains de bouche prophylactiques de dexaméthasone les 8 premières semaines, éviter les vaccins vivants sans avis médical.</w:t>
      </w:r>
    </w:p>
    <w:p>
      <w:pPr>
        <w:pStyle w:val="ListBullet"/>
      </w:pPr>
      <w:r>
        <w:t>Femmes en âge de procréer : double contraception obligatoire, test de grossesse avant initiation, contraception maintenue 8 semaines après l'arrêt.</w:t>
      </w:r>
    </w:p>
    <w:p>
      <w:pPr>
        <w:pStyle w:val="ListBullet"/>
      </w:pPr>
      <w:r>
        <w:t>Diabète : surveillance glycémique accrue, ajustement du traitement antidiabétique probable.</w:t>
      </w:r>
    </w:p>
    <w:p>
      <w:r/>
      <w:r>
        <w:rPr>
          <w:b/>
        </w:rPr>
        <w:t>Notes, Règles d'Or &amp; Pièges au Comptoir :</w:t>
      </w:r>
      <w:r/>
    </w:p>
    <w:p>
      <w:pPr>
        <w:pStyle w:val="ListBullet"/>
      </w:pPr>
      <w:r>
        <w:t>Piège : la pneumopathie interstitielle est l'effet indésirable le plus grave et le plus caractéristique de l'everolimus. Toux sèche persistante + dyspnée d'effort chez un patient sous everolimus = scanner thoracique urgent et arrêt transitoire. Ne jamais attribuer la dyspnée à une simple infection bronchique sans investigation.</w:t>
      </w:r>
    </w:p>
    <w:p>
      <w:pPr>
        <w:pStyle w:val="ListBullet"/>
      </w:pPr>
      <w:r>
        <w:t>Piège : la stomatite n'est pas une mucite classique de chimiothérapie (qui touche préférentiellement les cellules à renouvellement rapide). La stomatite sous everolimus est de mécanisme inflammatoire local (réaction mTOR-dépendante de l'épithélium buccal), d'où l'efficacité spectaculaire des bains de bouche de dexaméthasone en prophylaxie et en traitement.</w:t>
      </w:r>
    </w:p>
    <w:p>
      <w:pPr>
        <w:pStyle w:val="ListBullet"/>
      </w:pPr>
      <w:r>
        <w:t>Règle : l'initiation d'une statine sous everolimus doit privilégier la pravastatine ou la rosuvastatine (non métabolisées par CYP3A4), en raison du risque de rhabdomyolyse avec la simvastatine et l'atorvastatine (substrats CYP3A4, concentrations majorées par l'everolimus).</w:t>
      </w:r>
    </w:p>
    <w:p>
      <w:pPr>
        <w:pStyle w:val="ListBullet"/>
      </w:pPr>
      <w:r>
        <w:t>Piège : chez le patient transplant sous everolimus + cyclosporine, la surveillance des concentrations résiduelles des deux immunosuppresseurs est obligatoire (index thérapeutique étroit, interactions pharmacocinétiques bidirectionnelles). Adaptation posologique par le médecin transplantologue.</w:t>
      </w:r>
    </w:p>
    <w:p>
      <w:pPr>
        <w:pStyle w:val="ListBullet"/>
      </w:pPr>
      <w:r>
        <w:t>Règle : ne jamais substituer un générique par un autre en cours de traitement sans avis médical (en particulier en transplantation).</w:t>
      </w:r>
    </w:p>
    <w:p>
      <w:pPr>
        <w:pStyle w:val="ListBullet"/>
      </w:pPr>
      <w:r>
        <w:t>Surveillance : la survenue d'une hyperglycémie ou d'une hypertriglycéridémie sous everolimus impose une adaptation thérapeutique (antidiabétique, statine, fibrate) et non l'arrêt du traitement.</w:t>
      </w:r>
    </w:p>
    <w:p>
      <w:pPr>
        <w:pStyle w:val="ListBullet"/>
      </w:pPr>
      <w:r>
        <w:t>Piège : oubli de plus de 12 heures — ne pas doubler la dose suivante.</w:t>
      </w:r>
    </w:p>
    <w:p>
      <w:pPr>
        <w:pStyle w:val="ListBullet"/>
      </w:pPr>
      <w:r>
        <w:t>Interactions : toujours vérifier l'absence d'inducteur enzymatique puissant (rifampicine, phénytoïne, millepertuis) en cas d'efficacité thérapeutique inexpliquée (échappement apparent).</w:t>
      </w:r>
    </w:p>
    <w:p>
      <w:pPr>
        <w:pStyle w:val="ListBullet"/>
      </w:pPr>
      <w:r>
        <w:t>Règle : vacciner systématiquement (pneumocoque, grippe, hépatite B) avant initiation (immunosuppression, couverture vaccinale avant le traitement).</w:t>
      </w:r>
    </w:p>
    <w:p>
      <w:pPr>
        <w:pStyle w:val="Heading3"/>
      </w:pPr>
      <w:r>
        <w:t>105.1.2 DCI : Sirolimus (rapamycine)</w:t>
      </w:r>
    </w:p>
    <w:p>
      <w:r/>
      <w:r>
        <w:rPr>
          <w:b/>
        </w:rPr>
        <w:t>Liste des Catégories :</w:t>
      </w:r>
      <w:r>
        <w:t xml:space="preserve"> Immunosuppresseurs ; Inhibiteur de mTORC1 (chef de file historique) ; Antinéoplasique (off-label dans certaines indications) ; Liste I (sur prescription hospitalière spécialisée en transplantation ou oncologie).</w:t>
      </w:r>
    </w:p>
    <w:p>
      <w:r>
        <w:t xml:space="preserve">Le sirolimus (rapamycine) est un macrolide triène produit par </w:t>
      </w:r>
      <w:r>
        <w:rPr>
          <w:i/>
        </w:rPr>
        <w:t>Streptomyces hygroscopicus</w:t>
      </w:r>
      <w:r>
        <w:t>, isolé en 1972 sur l'île de Pâques (Rapa Nui) à partir d'un échantillon de sol. Sa structure a été caractérisée en 1975. Initialement développé comme antifongique, son activité immunosuppressive et antiproliférative puissante a été reconnue dans les années 1980–1990. AMM FDA en 1999 pour la prévention du rejet de greffe rénale. C'est le chef de file historique de la classe des inhibiteurs de mTOR (la cible moléculaire fut nommée mTOR précisément parce qu'elle fut identifiée comme cible de la rapamycine). Le sirolimus a été progressivement supplanté en oncologie par l'everolimus (biodisponibilité orale supérieure, 60–80 % vs 14 %, demi-vie plus courte permettant une monoprise quotidienne). Il conserve une place de choix en transplantation rénale (prévention du rejet, alternative aux inhibiteurs de la calcineurine en cas de néphrotoxicité), dans le traitement des lymphangioléiomyomatoses (LAM, maladie rare touchant les femmes en âge de procréer, mutation TSC2), dans la prévention de la resténose intra-stent cardiologique (sirolimus-eluting stents — Cypher®), et en off-label dans certaines maladies auto-immunes (lupus érythémateux disséminé réfractaire, purpura thrombopénique immunologique chronique, syndrome d'activation macrophagique).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RAPAMUNE</w:t>
            </w:r>
          </w:p>
        </w:tc>
        <w:tc>
          <w:tcPr>
            <w:tcW w:type="dxa" w:w="1559"/>
          </w:tcPr>
          <w:p>
            <w:r>
              <w:rPr>
                <w:sz w:val="20"/>
              </w:rPr>
              <w:t>PFIZER LIMITED</w:t>
            </w:r>
          </w:p>
        </w:tc>
        <w:tc>
          <w:tcPr>
            <w:tcW w:type="dxa" w:w="1559"/>
          </w:tcPr>
          <w:p>
            <w:r>
              <w:rPr>
                <w:sz w:val="20"/>
              </w:rPr>
              <w:t>Comprimé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RAPAMUNE</w:t>
            </w:r>
          </w:p>
        </w:tc>
        <w:tc>
          <w:tcPr>
            <w:tcW w:type="dxa" w:w="1559"/>
          </w:tcPr>
          <w:p>
            <w:r>
              <w:rPr>
                <w:sz w:val="20"/>
              </w:rPr>
              <w:t>PFIZER LIMITED</w:t>
            </w:r>
          </w:p>
        </w:tc>
        <w:tc>
          <w:tcPr>
            <w:tcW w:type="dxa" w:w="1559"/>
          </w:tcPr>
          <w:p>
            <w:r>
              <w:rPr>
                <w:sz w:val="20"/>
              </w:rPr>
              <w:t>Comprimé 2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La spécialité princeps RAPAMUNE (Pfizer, laboratoire à l'origine Wyeth-Ayerst, racheté par Pfizer en 2009) est la seule formulation commercialisée en Algérie. Le sirolimus existe également à l'international sous forme de solution buvable à 1 mg/mL (non commercialisée en Algérie). Les dosages de 1 mg et 2 mg permettent l'adaptation posologique fine (dose initiale transplant : 6 mg en charge, puis 2 mg/j en entretien ; dose oncologie off-label : 2–8 mg/j selon concentrations cibles). La délivrance s'effectue en pharmacie hospitalière spécialisée (transplantation rénale, oncologie, cardiologie interventionnelle pour les stents).</w:t>
      </w:r>
    </w:p>
    <w:p>
      <w:r/>
      <w:r>
        <w:rPr>
          <w:b/>
        </w:rPr>
        <w:t>Sous-classe et Mécanisme d'action :</w:t>
      </w:r>
      <w:r/>
    </w:p>
    <w:p>
      <w:pPr>
        <w:pStyle w:val="ListBullet"/>
      </w:pPr>
      <w:r>
        <w:t>Sous-classe : Inhibiteur de mTORC1 (chef de file historique de la classe des rapamycines analogues), classe des macrolides triènes immunosuppresseurs et antinéoplasiques. DCI inscrite sur la liste complémentaire des médicaments essentiels OMS.</w:t>
      </w:r>
    </w:p>
    <w:p>
      <w:pPr>
        <w:pStyle w:val="ListBullet"/>
      </w:pPr>
      <w:r>
        <w:t>Mécanisme d'action : le sirolimus pénètre dans le compartiment intracellulaire et se lie de manière réversible et de haute affinité (Ki ~0,2 nM) à la FKBP12 (FK506-binding protein 12, immunophiline cytosolique). Le complexe sirolimus–FKBP12 se fixe alors de manière allosterique sur le domaine FRB (FKBP-rapamycin binding) de la sous-unité mTOR du complexe mTORC1, induisant une inhibition fonctionnelle de son activité kinase (sans interférer avec le complexe mTORC2 en administration aiguë). Sont ainsi bloquées les phosphorylations de S6K1 (p70-S6 kinase 1) et de 4E-BP1, ce qui supprime la synthèse des protéines ribosomiques, la traduction des ARNm à top 5' polypyrimidine (cyclines D1, D3, c-MYC, HIF-1α, VEGF), la croissance cellulaire et l'angiogenèse tumorale. La cellule s'arrête en phase G1 du cycle cellulaire. Sur le plan immunologique, le sirolimus bloque la prolifération des lymphocytes T et B activés par IL-2 et d'autres cytokines, sans altérer leur activation initiale (différence avec les inhibiteurs de la calcineurine ciclosporine et tacrolimus qui bloquent l'activation initiale). Il en résulte une immunosuppression plus ciblée sur la prolifération lymphocytaire et moins sur l'induction de la tolérance. Le sirolimus exerce également une activité antifibrotique (réduction de la fibrose interstitielle chronique post-greffe) et anti-lymphangiogénique (efficacité dans les LAM). L'effet antiprolifératif sur les cellules musculaires lisses artérielles explique son utilisation en prévention de la resténose intra-stent.</w:t>
      </w:r>
    </w:p>
    <w:p>
      <w:r/>
      <w:r>
        <w:rPr>
          <w:b/>
        </w:rPr>
        <w:t>Profil Pharmacologique :</w:t>
      </w:r>
      <w:r/>
    </w:p>
    <w:p>
      <w:pPr>
        <w:pStyle w:val="ListBullet"/>
      </w:pPr>
      <w:r>
        <w:t>Indications : (1) Prévention du rejet de greffe rénale, en association à la ciclosporine (puis sevrage progressif de la ciclosporine à 2–4 mois pour limiter la néphrotoxicité) et aux corticoïdes — dose initiale 6 mg en charge, puis 2 mg/j en entretien ; (2) Lymphangioléiomyomatose (LAM) — dose 2 mg/j ajustée sur concentrations résiduelles (cible 5–15 ng/mL) ; (3) Prévention de la resténose intra-stent cardiologique (forme sirolimus-eluting stents Cypher®, Orsiro® — administration locale par polymère) ; (4) Off-label : lupus érythémateux disséminé réfractaire, purpura thrombopénique immunologique chronique, syndrome d'activation macrophagique, maladie de Castleman, Kaposi post-transplant.</w:t>
      </w:r>
    </w:p>
    <w:p>
      <w:pPr>
        <w:pStyle w:val="ListBullet"/>
      </w:pPr>
      <w:r>
        <w:t>Contre-indications : Hypersensibilité au sirolimus, à la rapamycine, ou à l'un des excipients (lactose, talc, hypromellose, macrogol, dioxyde de titane). Précautions : insuffisance hépatique modérée à sévère (réduction à 1–1,5 mg/j), insuffisance rénale (pas d'adaptation mais surveillance protéinurie — risque majoré de néphropathie interstitielle en cas d'association à la ciclosporine), hyperlipidémie non contrôlée, immunodépression (covariables infectieuses), grossesse (CI absolue), allaitement (CI absolue), intervention chirurgicale (risque accru de complications pariétales : lymphocèle, désunion, hématome — prévenir le chirurgien), patients non vaccinés (vérifier le statut vaccinal avant initiation).</w:t>
      </w:r>
    </w:p>
    <w:p>
      <w:pPr>
        <w:pStyle w:val="ListBullet"/>
      </w:pPr>
      <w:r>
        <w:t>Effets Indésirables : Très fréquents (&gt; 10 %) : hypertriglycéridémie (50–75 %, parfois sévère &gt; 4 g/L), hypercholestérolémie (40–60 %), hypertension artérielle (40 %), œdèmes périphériques (35 %), anémie (30 %, mécanisme multifactoriel : inhibition de la prolifération érythroblastaire, inflammation chronique), thrombopénie (15–20 %), leucopénie (15 %), diarrhée (25 %), douleurs abdominales (20 %), nausées (15 %), arthralgies (20 %), rash maculo-papuleux (15 %), acné (15 %), stomatite (15 %), épistaxis (15 %), céphalées (25 %), insomnie (15 %), fièvre (20 %), infections urinaires (20 %), infections respiratoires (15 %), lymphocèle (10–15 % post-greffe rénale). Fréquents (1–10 %) : pneumopathie interstitielle (5–8 %, signe cardinal à reconnaître), protéinurie (10 %), hypokaliémie, hypophosphatémie, hyperglycémie, insuffisance rénale aiguë (en association à la ciclosporine), hépatotoxicité (cytolyse), troubles de la cicatrisation (retard de cicatrisation pariétale post-opératoire), ulcérations buccales, conjonctivite, hypertrophie gingivale, troubles de la croissance (pédiatrie). Peu fréquents (0,1–1 %) : pancréatite, hépatite, néphropathie interstitielle, syndrome hémolytique et urémique, syndrome de lyse tumorale (rare), thromboses veineuses profondes, embolie pulmonaire. Rares (&lt; 0,1 %) : sepsis sévère, angio-oedème, réaction anaphylactique.</w:t>
      </w:r>
    </w:p>
    <w:p>
      <w:r/>
      <w:r>
        <w:rPr>
          <w:b/>
        </w:rPr>
        <w:t>Prévention et Gestion des Effets Indésirables :</w:t>
      </w:r>
      <w:r/>
    </w:p>
    <w:p>
      <w:pPr>
        <w:pStyle w:val="ListBullet"/>
      </w:pPr>
      <w:r>
        <w:t>Mesures Préventives : (i) Bilan lipidique complet avant initiation, à 4–8 semaines puis mensuel ; initiation d'une statine (pravastatine 40 mg/j, rosuvastatine 10 mg/j) si LDL &gt; 1,6 g/L ; initiation d'un fibrate (fénofibrate 145 mg/j) si triglycérides &gt; 3,4 g/L. (ii) NFS-plaquettes, fonction rénale, bilan hépatique mensuel 3 mois puis trimestriel. (iii) Radiographie thoracique et/ou scanner thoracique de référence ; surveillance clinique de la toux sèche et de la dyspnée d'effort. (iv) Statut vaccinal : vacciner contre le pneumocoque, la grippe, l'hépatite B avant initiation ; vaccins vivants contre-indiqués pendant le traitement. (v) Prévention des complications pariétales post-opératoires : retarder l'initiation du sirolimus à 3–6 mois après la greffe en cas de chirurgie, ou interruption transitoire 1–2 semaines avant une intervention programmée. (vi) Prévention de la lymphocèle post-greffe : drainage prolongé, prudence avec les inhibiteurs de la calcineurine (cycle combiné).</w:t>
      </w:r>
    </w:p>
    <w:p>
      <w:pPr>
        <w:pStyle w:val="ListBullet"/>
      </w:pPr>
      <w:r>
        <w:t>Conduite à Tenir : Hypertriglycériémie &gt; 5 g/L ou &gt; 3 fois la LSN : interruption transitoire, fibrate, régime hypolipidique, surveillance pancréatique (risque de pancréatite). Hypercholestérolémie &gt; 2 g/L : initiation statine. Pneumopathie interstitielle grade 1–2 : pursuit si asymptomatique, surveillance scanner ; grade 3–4 : arrêt immédiat, corticothérapie 0,5–1 mg/kg/j de prednisone équivalent, oxygénothérapie. Anémie &lt; 80 g/L : recherche de cause (saignement, hémolyse, carence martiale), supplémentation martiale, adaptation de la dose si Hb &lt; 70 g/L. Thrombopénie &lt; 50 G/L : interruption transitoire. Lymphocèle post-greffe : drainage radioguidé, abstention thérapeutique si asymptomatique. Retard de cicatrisation : interruption transitoire 1–2 semaines. Protéinurie &gt; 1 g/24 h : recherche d'une glomérulonéphrite, interruption si &gt; 3 g/24 h.</w:t>
      </w:r>
    </w:p>
    <w:p>
      <w:r/>
      <w:r>
        <w:rPr>
          <w:b/>
        </w:rPr>
        <w:t>Interactions Médicamenteuses :</w:t>
      </w:r>
      <w:r/>
    </w:p>
    <w:p>
      <w:pPr>
        <w:pStyle w:val="ListBullet"/>
      </w:pPr>
      <w:r>
        <w:t>CYP3A4 et P-gp (métabolisme principal) : inducteurs enzymatiques (rifampicine, phénytoïne, carbamazépine, phénobarbital, dexaméthasone IV, millepertuis, éfavirenz, névirapine) → diminution de l'ASC du sirolimus (jusqu'à −80 % avec rifampicine), à éviter absolument. Inhibiteurs (kétoconazole, itraconazole, voriconazole, posaconazole, fluconazole, clarithromycine, érythromycine, télithromycine, ritonavir, saquinavir, indinavir, nelfinavir, atazanavir, diltiazem, vérapamil, nicardipine, amiodarone, cimétidine) → augmentation de l'ASC (jusqu'à ×10 avec kétoconazole, ×3,5 avec diltiazem, ×2 avec clarithromycine), à éviter ou réduire la dose de sirolimus sous surveillance stricte des concentrations résiduelles.</w:t>
      </w:r>
    </w:p>
    <w:p>
      <w:pPr>
        <w:pStyle w:val="ListBullet"/>
      </w:pPr>
      <w:r>
        <w:t>Ciclosporine : interaction pharmacocinétique majeure. La ciclosporine inhibe le CYP3A4 et la P-gp intestinaux, augmentant de manière significative l'ASC du sirolimus (jusqu'à ×3). Administration séquentielle obligatoire : sirolimus 4 heures après la ciclosporine pour minimiser l'interaction. Surveillance conjointe des concentrations résiduelles des deux immunosuppresseurs.</w:t>
      </w:r>
    </w:p>
    <w:p>
      <w:pPr>
        <w:pStyle w:val="ListBullet"/>
      </w:pPr>
      <w:r>
        <w:t>Substrats à index thérapeutique étroit : le sirolimus est lui-même substrat et inhibiteur du CYP3A4 et de la P-gp ; surveiller les concentrations de : (i) statines (simvastatine, atorvastatine — préférer pravastatine, rosuvastatine) ; (ii) tacrolimus ; (iii) digoxine ; (iv) dabigatran, rivaroxaban, apixaban ; (v) midazolam, triazolam.</w:t>
      </w:r>
    </w:p>
    <w:p>
      <w:pPr>
        <w:pStyle w:val="ListBullet"/>
      </w:pPr>
      <w:r>
        <w:t>Vaccins : vaccins vivants atténués (BCG, ROR, fièvre jaune, varicelle, rotavirus, zona) contre-indiqués pendant le traitement et jusqu'à 12 semaines après l'arrêt. Vaccins inactivés autorisés mais réponse atténuée.</w:t>
      </w:r>
    </w:p>
    <w:p>
      <w:pPr>
        <w:pStyle w:val="ListBullet"/>
      </w:pPr>
      <w:r>
        <w:t>Alimentation : prendre à heure fixe, indifféremment avec ou sans nourriture (mais toujours de la même manière). Éviter le jus de pamplemousse (inhibiteur du CYP3A4 intestinal). Éviter le millepertuis (inducteur). Modération alcoolique.</w:t>
      </w:r>
    </w:p>
    <w:p>
      <w:r/>
      <w:r>
        <w:rPr>
          <w:b/>
        </w:rPr>
        <w:t>Grossesse et Allaitement :</w:t>
      </w:r>
      <w:r/>
    </w:p>
    <w:p>
      <w:pPr>
        <w:pStyle w:val="ListBullet"/>
      </w:pPr>
      <w:r>
        <w:t>Grossesse : CONTRE-INDICATION ABSOLUE. Données animales tératogènes (embryotoxicité, fœtotoxicité, malformations cardiovasculaires et squelettiques chez le rat). Données humaines limitées (registres de transplantation) montrant une incidence accrue d'avortements spontanés et de prématurité, sans sur-risque malformatif clairement établi mais prudence absolue. Une contraception efficace (double méthode) est obligatoire chez la femme en âge de procréer durant le traitement et jusqu'à 12 semaines après l'arrêt. Chez l'homme traité : pas d'effet délétère documenté sur la fertilité ou le développement embryonnaire, contraception conseillée. En cas de projet de grossesse chez une femme transplantée rénale : discussion pluridisciplinaire néphrologue-gynécologue-transplantologue, switch vers un immunosuppresseur compatible (tacrolimus à dose minimale efficace, azathioprine en alternative), arrêt du sirolimus 12 semaines avant conception.</w:t>
      </w:r>
    </w:p>
    <w:p>
      <w:pPr>
        <w:pStyle w:val="ListBullet"/>
      </w:pPr>
      <w:r>
        <w:t>Allaitement : CONTRE-INDICATION ABSOLUE. Le sirolimus passe dans le lait maternel (rapport lait/plasma ~0,4), exposant le nouveau-né à des concentrations immunosuppressives. Allaitement à interrompre pendant toute la durée du traitement.</w:t>
      </w:r>
    </w:p>
    <w:p>
      <w:pPr>
        <w:pStyle w:val="ListBullet"/>
      </w:pPr>
      <w:r>
        <w:t>Précautions : Chez l'enfant transplanté (indication pédiatrique), surveiller la croissance staturo-pondérale (retard possible lié à l'inhibition de mTORC1) et la puberté.</w:t>
      </w:r>
    </w:p>
    <w:p>
      <w:r/>
      <w:r>
        <w:rPr>
          <w:b/>
        </w:rPr>
        <w:t>Posologie et Mode d'administration (Standard) :</w:t>
      </w:r>
      <w:r/>
    </w:p>
    <w:p>
      <w:pPr>
        <w:pStyle w:val="ListBullet"/>
      </w:pPr>
      <w:r>
        <w:t>Adulte transplant rénal : dose de charge de 6 mg le jour 1, puis 2 mg/j en entretien, en monoprise, en association à la ciclosporine microémulsion (dose initiale standard : 6 mg/kg/j adaptée aux concentrations résiduelles). Administration séquentielle : sirolimus 4 heures après la ciclosporine. Sevrage progressif de la ciclosporine à 2–4 mois pour limiter la néphrotoxicité et améliorer la fonction rénale à long terme.</w:t>
      </w:r>
    </w:p>
    <w:p>
      <w:pPr>
        <w:pStyle w:val="ListBullet"/>
      </w:pPr>
      <w:r>
        <w:t>Adulte oncologie (LAM, off-label) : 2 mg/j en monoprise, ajustement sur concentrations résiduelles (cible 5–15 ng/mL). Pour les indications auto-immunes réfractaires : 2–6 mg/j ajustement sur concentrations.</w:t>
      </w:r>
    </w:p>
    <w:p>
      <w:pPr>
        <w:pStyle w:val="ListBullet"/>
      </w:pPr>
      <w:r>
        <w:t>Adaptation en cas d'interactions : sous inhibiteurs puissants du CYP3A4 (kétoconazole, itraconazole, clarithromycine, ritonavir) : réduire à 1 mg/j ou 0,5 mg/j (minimum) sous surveillance des concentrations. Sous inducteurs (rifampicine, phénytoïne, carbamazépine) : éviter ou augmenter jusqu'à 5–10 mg/j (maximum) sous surveillance.</w:t>
      </w:r>
    </w:p>
    <w:p>
      <w:pPr>
        <w:pStyle w:val="ListBullet"/>
      </w:pPr>
      <w:r>
        <w:t>Adaptation à la fonction hépatique : insuffisance hépatique modérée (Child-Pugh B) : réduire d'environ 1/3 la dose d'entretien (1,5 mg/j). Insuffisance hépatique sévère (Child C) : réduire d'environ 1/2 la dose (1 mg/j).</w:t>
      </w:r>
    </w:p>
    <w:p>
      <w:pPr>
        <w:pStyle w:val="ListBullet"/>
      </w:pPr>
      <w:r>
        <w:t>Mode d'administration : voie orale stricte. Les comprimés ne doivent pas être écrasés, mâchés ou divisés. En cas d'incapacité à avaler (enfant, sonde), la solution buvable à 1 mg/mL (non commercialisée en Algérie, mais disponible à l'international) peut être utilisée. Le sirolimus doit être pris de manière identique chaque jour (avec ou sans nourriture, mais toujours de la même manière).</w:t>
      </w:r>
    </w:p>
    <w:p>
      <w:pPr>
        <w:pStyle w:val="ListBullet"/>
      </w:pPr>
      <w:r>
        <w:t>Durée du traitement : transplantation : traitement au long cours indéfini (durée de vie du greffon). Oncologie : traitement continu jusqu'à progression ou intolérance.</w:t>
      </w:r>
    </w:p>
    <w:p>
      <w:r/>
      <w:r>
        <w:rPr>
          <w:b/>
        </w:rPr>
        <w:t>Surveillance Biologique et Suivi Clinique :</w:t>
      </w:r>
      <w:r/>
    </w:p>
    <w:p>
      <w:pPr>
        <w:pStyle w:val="ListBullet"/>
      </w:pPr>
      <w:r>
        <w:t>Hématologique : NFS-plaquettes avant initiation, à J15, J30, puis mensuel 3 mois, trimestriel. Seuils d'adaptation : PNN &lt; 1,5 G/L, plaquettes &lt; 100 G/L (transplant), &lt; 50 G/L (oncologie), Hb &lt; 80 g/L → interruption puis reprise à dose réduite.</w:t>
      </w:r>
    </w:p>
    <w:p>
      <w:pPr>
        <w:pStyle w:val="ListBullet"/>
      </w:pPr>
      <w:r>
        <w:t>Métabolique : glycémie à jeun, HbA1c avant initiation, mensuel 3 mois puis trimestriel. Bilan lipidique (cholestérol total, LDL, HDL, triglycérides) avant, à 4–8 semaines puis mensuel. Adaptation du traitement antidiabétique et hypolipémiant.</w:t>
      </w:r>
    </w:p>
    <w:p>
      <w:pPr>
        <w:pStyle w:val="ListBullet"/>
      </w:pPr>
      <w:r>
        <w:t>Hépatique : ALAT, ASAT, bilirubine totale, PAL, γ-GT mensuel 3 mois puis trimestriel.</w:t>
      </w:r>
    </w:p>
    <w:p>
      <w:pPr>
        <w:pStyle w:val="ListBullet"/>
      </w:pPr>
      <w:r>
        <w:t>Rénale : créatinine, urée, ionogramme, protéinurie (ECBU ou rapport protéinurie/créatinine) mensuel 3 mois puis trimestriel. Surveillance accrue en cas d'association à la ciclosporine (néphrotoxicité additive).</w:t>
      </w:r>
    </w:p>
    <w:p>
      <w:pPr>
        <w:pStyle w:val="ListBullet"/>
      </w:pPr>
      <w:r>
        <w:t>Pulmonaire : radiographie thoracique de référence, scanner thoracique si suspicion clinique (toux sèche, dyspnée d'effort, fièvre, désaturation). Surveillance clinique mensuelle.</w:t>
      </w:r>
    </w:p>
    <w:p>
      <w:pPr>
        <w:pStyle w:val="ListBullet"/>
      </w:pPr>
      <w:r>
        <w:t>Infectiologique : surveillance clinique des signes infectieux (fièvre, toux, dysurie), prophylaxie anti-Pneumocystis jirovecii par cotrimoxazole (Bactrim®) pendant les 6 premiers mois post-greffe. Prophylaxie anti-CMV selon statut sérologique donneur/receveur.</w:t>
      </w:r>
    </w:p>
    <w:p>
      <w:pPr>
        <w:pStyle w:val="ListBullet"/>
      </w:pPr>
      <w:r>
        <w:t>Suivi thérapeutique pharmacologique (STP) : dosage du sirolimus résiduel (objectif transplant en association à ciclosporine : 4–12 ng/mL ; sevrage de ciclosporine : 12–20 ng/mL ; oncologie : 10–20 ng/mL). Prélèvement avant la prise du matin (résiduel). Adaptation posologique par le médecin transplantologue.</w:t>
      </w:r>
    </w:p>
    <w:p>
      <w:r/>
      <w:r>
        <w:rPr>
          <w:b/>
        </w:rPr>
        <w:t>Arbitrage et Bénéfices des Formes Galéniques :</w:t>
      </w:r>
      <w:r/>
    </w:p>
    <w:p>
      <w:r>
        <w:t>La forme comprimé à 1 mg (RAPAMUNE) est destinée à l'adaptation posologique fine en transplantation (dose de charge de 6 mg = 6 comprimés le jour 1 ; dose d'entretien de 2 mg/j = 2 comprimés/jour ; ajustements selon concentrations résiduelles par paliers de 1 mg) et en oncologie (dose standard LAM 2 mg/j = 2 comprimés/jour). La forme 2 mg (RAPAMUNE) est adaptée à la dose standard d'entretien en transplantation (1 comprimé/jour, observance facilitée) et aux doses oncologiques plus élevées. La solution buvable à 1 mg/mL (non commercialisée en Algérie) est l'alternative pour les patients incapables d'avaler (enfant, sonde nasogastrique). Le pharmacien d'officine doit vérifier l'absence de switch entre formulations (comprimé vs solution) en cours de traitement sans avis médical (risque de variabilité pharmacocinétique).</w:t>
      </w:r>
    </w:p>
    <w:p>
      <w:r/>
      <w:r>
        <w:rPr>
          <w:b/>
        </w:rPr>
        <w:t>Instructions et Conseils au Patient :</w:t>
      </w:r>
      <w:r/>
    </w:p>
    <w:p>
      <w:pPr>
        <w:pStyle w:val="ListBullet"/>
      </w:pPr>
      <w:r>
        <w:t>Communication au comptoir : « Le sirolimus est un médicament immunosuppresseur qui empêche votre organisme de rejeter le greffon (en transplantation rénale) ou qui cible spécifiquement une enzyme responsable de la prolifération des cellules tumorales (en oncologie). Il se prend une fois par jour, à heure fixe, indifféremment avec ou sans nourriture mais toujours de la même manière. Si vous prenez aussi de la ciclosporine, prenez le sirolimus 4 heures après la ciclosporine. Les effets indésirables les plus fréquents sont une hypercholestérolémie, une hypertriglycéridémie, une hypertension, des œdèmes, une anémie, des diarrhées, des douleurs articulaires et des infections. Prévenez immédiatement votre médecin en cas de toux sèche persistante, d'essoufflement (risque de pneumopathie), de fièvre (risque infectieux), de douleurs abdominales intenses (risque de pancréatite), de saignements, ou de fatigue intense. Évitez le pamplemousse et le millepertuis. »</w:t>
      </w:r>
    </w:p>
    <w:p>
      <w:pPr>
        <w:pStyle w:val="ListBullet"/>
      </w:pPr>
      <w:r>
        <w:t>Observance : Prise à heure fixe (4 heures après la ciclosporine en transplantation), calendrier d'administration, ne jamais interrompre sans avis médical (risque de rejet aigu), prévoir une réserve pour week-ends et voyages, conserver à température &lt; 25 °C à l'abri de l'humidité.</w:t>
      </w:r>
    </w:p>
    <w:p>
      <w:pPr>
        <w:pStyle w:val="ListBullet"/>
      </w:pPr>
      <w:r>
        <w:t>Hygiène de vie : Éviter le pamplemousse et le millepertuis, alcool à proscrire (hépatotoxicité additive), photoprotection SPF 50+, éviter les vaccins vivants sans avis médical.</w:t>
      </w:r>
    </w:p>
    <w:p>
      <w:pPr>
        <w:pStyle w:val="ListBullet"/>
      </w:pPr>
      <w:r>
        <w:t>Femmes en âge de procréer : double contraception obligatoire, test de grossesse avant initiation, contraception maintenue 12 semaines après l'arrêt.</w:t>
      </w:r>
    </w:p>
    <w:p>
      <w:pPr>
        <w:pStyle w:val="ListBullet"/>
      </w:pPr>
      <w:r>
        <w:t>Intervention chirurgicale : prévenir le chirurgien et l'anesthésiste du traitement par sirolimus (risque de retard de cicatrisation, lymphocèle, désunion pariétale). Interruption transitoire 1–2 semaines avant une intervention programmée selon avis du transplantologue.</w:t>
      </w:r>
    </w:p>
    <w:p>
      <w:r/>
      <w:r>
        <w:rPr>
          <w:b/>
        </w:rPr>
        <w:t>Notes, Règles d'Or &amp; Pièges au Comptoir :</w:t>
      </w:r>
      <w:r/>
    </w:p>
    <w:p>
      <w:pPr>
        <w:pStyle w:val="ListBullet"/>
      </w:pPr>
      <w:r>
        <w:t>Piège : la pneumopathie interstitielle sous sirolimus est l'effet indésirable le plus grave et le plus caractéristique. Toux sèche persistante + dyspnée d'effort chez un patient sous sirolimus = scanner thoracique urgent et arrêt transitoire.</w:t>
      </w:r>
    </w:p>
    <w:p>
      <w:pPr>
        <w:pStyle w:val="ListBullet"/>
      </w:pPr>
      <w:r>
        <w:t>Piège : l'association sirolimus + ciclosporine expose à une interaction pharmacocinétique majeure. Le sirolimus doit être administré 4 heures après la ciclosporine. L'oubli de cette règle entraîne une augmentation majeure des concentrations de sirolimus (risque de surdosage, infections, cytopénies).</w:t>
      </w:r>
    </w:p>
    <w:p>
      <w:pPr>
        <w:pStyle w:val="ListBullet"/>
      </w:pPr>
      <w:r>
        <w:t>Règle : l'initiation d'une statine sous sirolimus doit privilégier la pravastatine ou la rosuvastatine (non métabolisées par CYP3A4), en raison du risque de rhabdomyolyse avec la simvastatine et l'atorvastatine.</w:t>
      </w:r>
    </w:p>
    <w:p>
      <w:pPr>
        <w:pStyle w:val="ListBullet"/>
      </w:pPr>
      <w:r>
        <w:t>Piège : le retard de cicatrisation pariétale post-opératoire est un effet indésirable spécifique des inhibiteurs de mTOR. Prévenir systématiquement le chirurgien avant toute intervention. Retarder l'initiation à 3–6 mois après une greffe en cas de chirurgie.</w:t>
      </w:r>
    </w:p>
    <w:p>
      <w:pPr>
        <w:pStyle w:val="ListBullet"/>
      </w:pPr>
      <w:r>
        <w:t>Règle : le dosage des concentrations résiduelles de sirolimus est obligatoire en transplantation (index thérapeutique étroit). Prélèvement avant la prise du matin (résiduel).</w:t>
      </w:r>
    </w:p>
    <w:p>
      <w:pPr>
        <w:pStyle w:val="ListBullet"/>
      </w:pPr>
      <w:r>
        <w:t>Surveillance : la survenue d'une hypertriglycéridémie &gt; 5 g/L impose une interruption transitoire (risque de pancréatite aiguë).</w:t>
      </w:r>
    </w:p>
    <w:p>
      <w:pPr>
        <w:pStyle w:val="ListBullet"/>
      </w:pPr>
      <w:r>
        <w:t>Piège : oubli de plus de 12 heures — ne pas doubler la dose suivante.</w:t>
      </w:r>
    </w:p>
    <w:p>
      <w:pPr>
        <w:pStyle w:val="ListBullet"/>
      </w:pPr>
      <w:r>
        <w:t>Interactions : toujours vérifier l'absence d'inducteur enzymatique puissant (rifampicine, phénytoïne, millepertuis) en cas d'efficacité thérapeutique inexpliquée.</w:t>
      </w:r>
    </w:p>
    <w:p>
      <w:pPr>
        <w:pStyle w:val="ListBullet"/>
      </w:pPr>
      <w:r>
        <w:t>Règle : vacciner systématiquement (pneumocoque, grippe, hépatite B) avant initiation.</w:t>
      </w:r>
    </w:p>
    <w:p>
      <w:pPr>
        <w:pStyle w:val="Heading2"/>
      </w:pPr>
      <w:r>
        <w:t>105.2 Sous-classe : Inhibiteurs CDK4/6</w:t>
      </w:r>
    </w:p>
    <w:p>
      <w:r>
        <w:t>Le cycle cellulaire eucaryote est régulé par une famille de sérine-thréonine kinases, les cyclin-dependent kinases (CDK), qui s'activent séquentiellement par liaison à leurs partenaires régulateurs, les cyclines. Parmi elles, CDK4 et CDK6 jouent un rôle charnière dans le franchissement du point de restriction G1-S : en réponse à des signaux mitogènes (facteurs de croissance, œstrogènes, signaling HER2/HER3), elles s'associent aux cyclines D (D1, D2, D3) et phosphorylent la protéine du rétinoblastome (pRb). Cette phosphorylation libère le facteur de transcription E2F, qui active la transcription des gènes nécessaires à la synthèse de l'ADN (thymidylate synthase, DHFR, cyclines E et A, CDK2), permettant ainsi l'entrée en phase S. Dans le cancer du sein hormonodépendant (RH+/HER2−), qui représente environ 70 % des cancers du sein, la voie CDK4/6-cycline D-pRb est hyperactivée de manière constitutive, en raison de l'autocrine mitogénique des œstrogènes sur les cellules tumorales (signal estrogénique stimulant la transcription de la cycline D1 via ERα), de l'amplification de CCND1 (gène codant la cycline D1, 15 % des cancers du sein), de la perte de p16INK4a (inhibiteur physiologique de CDK4/6) ou de mutations activatrices rares de CDK4.</w:t>
      </w:r>
    </w:p>
    <w:p>
      <w:r>
        <w:t>Les inhibiteurs de CDK4/6 (palbociclib, ribociclib, abemaciclib) sont de petites molécules orales ATP-compétitives sélectives des kinases CDK4 et CDK6 (IC50 ~10 nM). Le palbociclib (PD-0332991, Pfizer, AMM FDA février 2015, EMA novembre 2016) fut le premier de la classe, suivi du ribociclib (Kisqali®, Novartis) et de l'abemaciclib (Verzenios®, Lilly). En Algérie, seul le palbociclib est actuellement disponible dans la nomenclature (Avril 2026). Le mécanisme d'action repose sur la cytostase : en bloquant la phosphorylation de pRb, le palbociclib empêche la libération de E2F, stoppe la transcription des gènes de la phase S, et arrête les cellules tumorales en G1 (sénescence cellulaire). L'effet antitumoral est renforcé en combinaison avec l'hormonothérapie anti-estrogénique (letrozole, fulvestrant, exemestane), car les œstrogènes stimulent la cycline D1 : bloquer le signal estrogénique ET le rouage CDK4/6 est synergique. Le profil de tolérance est dominé par la neutropénie (effet classe, lié à l'inhibition de CDK6 sur les cellules souches hématopoïétiques), la fatigue, les nausées, les alopécies modérées, et plus rarement les pneumopathies interstitielles. L'efficacité est spectaculaire en termes de survie sans progression (SSP) dans le cancer du sein RH+/HER2− métastatique (PALOMA-2 : SSP 24,8 vs 14,5 mois ; PALOMA-3 : SSP 9,5 vs 4,6 mois).</w:t>
      </w:r>
    </w:p>
    <w:p>
      <w:pPr>
        <w:pStyle w:val="Heading3"/>
      </w:pPr>
      <w:r>
        <w:t>105.2.1 DCI : Palbociclib</w:t>
      </w:r>
    </w:p>
    <w:p>
      <w:r/>
      <w:r>
        <w:rPr>
          <w:b/>
        </w:rPr>
        <w:t>Liste des Catégories :</w:t>
      </w:r>
      <w:r>
        <w:t xml:space="preserve"> Antinéoplasiques ; Inhibiteur de CDK4/6 (chef de file de la classe) ; Liste I (sur prescription hospitalière spécialisée en oncologie).</w:t>
      </w:r>
    </w:p>
    <w:p>
      <w:r>
        <w:t>Le palbociclib (PD-0332991, IBRANCE, laboratoire Pfizer) est un inhibiteur oral de CDK4/6, indiqué dans le cancer du sein localement avancé ou métastatique RH+/HER2−, en première ligne en association à un inhibiteur de l'aromatase (letrozole, anastrozole, exemestane) chez la femme ménopausée, et en deuxième ligne en association au fulvestrant (Faslodex®) chez la femme ménopausée ayant progressé sous hormonothérapie. C'est le premier inhibiteur de CDK4/6 à avoir obtenu une AMM (FDA février 2015, accélérée ; EMA novembre 2016). La molécule a transformé la prise en charge du cancer du sein métastatique RH+/HER2−, passant la SSP médiane de 14,5 à 24,8 mois (PALOMA-2). La délivrance en Algérie se fait en circuit hospitalier spécialisé (oncologie médicale), avec disponibilité de la spécialité princeps IBRANCE (Pfizer) et de trois génériques algériens (PALBOCICLIB BIOPHARM, PALBOCICLIB DEMOCEDES, PAPILLIO – Hikma).</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IBRANCE</w:t>
            </w:r>
          </w:p>
        </w:tc>
        <w:tc>
          <w:tcPr>
            <w:tcW w:type="dxa" w:w="1559"/>
          </w:tcPr>
          <w:p>
            <w:r>
              <w:rPr>
                <w:sz w:val="20"/>
              </w:rPr>
              <w:t>PFIZER INC</w:t>
            </w:r>
          </w:p>
        </w:tc>
        <w:tc>
          <w:tcPr>
            <w:tcW w:type="dxa" w:w="1559"/>
          </w:tcPr>
          <w:p>
            <w:r>
              <w:rPr>
                <w:sz w:val="20"/>
              </w:rPr>
              <w:t>Gélule 75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IBRANCE</w:t>
            </w:r>
          </w:p>
        </w:tc>
        <w:tc>
          <w:tcPr>
            <w:tcW w:type="dxa" w:w="1559"/>
          </w:tcPr>
          <w:p>
            <w:r>
              <w:rPr>
                <w:sz w:val="20"/>
              </w:rPr>
              <w:t>PFIZER INC</w:t>
            </w:r>
          </w:p>
        </w:tc>
        <w:tc>
          <w:tcPr>
            <w:tcW w:type="dxa" w:w="1559"/>
          </w:tcPr>
          <w:p>
            <w:r>
              <w:rPr>
                <w:sz w:val="20"/>
              </w:rPr>
              <w:t>Gélule 100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IBRANCE</w:t>
            </w:r>
          </w:p>
        </w:tc>
        <w:tc>
          <w:tcPr>
            <w:tcW w:type="dxa" w:w="1559"/>
          </w:tcPr>
          <w:p>
            <w:r>
              <w:rPr>
                <w:sz w:val="20"/>
              </w:rPr>
              <w:t>PFIZER INC</w:t>
            </w:r>
          </w:p>
        </w:tc>
        <w:tc>
          <w:tcPr>
            <w:tcW w:type="dxa" w:w="1559"/>
          </w:tcPr>
          <w:p>
            <w:r>
              <w:rPr>
                <w:sz w:val="20"/>
              </w:rPr>
              <w:t>Gélule 125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PALBOCICLIB BIOPHARM</w:t>
            </w:r>
          </w:p>
        </w:tc>
        <w:tc>
          <w:tcPr>
            <w:tcW w:type="dxa" w:w="1559"/>
          </w:tcPr>
          <w:p>
            <w:r>
              <w:rPr>
                <w:sz w:val="20"/>
              </w:rPr>
              <w:t>BIOPHARM</w:t>
            </w:r>
          </w:p>
        </w:tc>
        <w:tc>
          <w:tcPr>
            <w:tcW w:type="dxa" w:w="1559"/>
          </w:tcPr>
          <w:p>
            <w:r>
              <w:rPr>
                <w:sz w:val="20"/>
              </w:rPr>
              <w:t>Comprimé pelliculé 75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PALBOCICLIB BIOPHARM</w:t>
            </w:r>
          </w:p>
        </w:tc>
        <w:tc>
          <w:tcPr>
            <w:tcW w:type="dxa" w:w="1559"/>
          </w:tcPr>
          <w:p>
            <w:r>
              <w:rPr>
                <w:sz w:val="20"/>
              </w:rPr>
              <w:t>BIOPHARM</w:t>
            </w:r>
          </w:p>
        </w:tc>
        <w:tc>
          <w:tcPr>
            <w:tcW w:type="dxa" w:w="1559"/>
          </w:tcPr>
          <w:p>
            <w:r>
              <w:rPr>
                <w:sz w:val="20"/>
              </w:rPr>
              <w:t>Comprimé pelliculé 100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PALBOCICLIB DEMOCEDES</w:t>
            </w:r>
          </w:p>
        </w:tc>
        <w:tc>
          <w:tcPr>
            <w:tcW w:type="dxa" w:w="1559"/>
          </w:tcPr>
          <w:p>
            <w:r>
              <w:rPr>
                <w:sz w:val="20"/>
              </w:rPr>
              <w:t>DEMOCEDES PHARMA ALGERIE</w:t>
            </w:r>
          </w:p>
        </w:tc>
        <w:tc>
          <w:tcPr>
            <w:tcW w:type="dxa" w:w="1559"/>
          </w:tcPr>
          <w:p>
            <w:r>
              <w:rPr>
                <w:sz w:val="20"/>
              </w:rPr>
              <w:t>Gélule 75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PALBOCICLIB DEMOCEDES</w:t>
            </w:r>
          </w:p>
        </w:tc>
        <w:tc>
          <w:tcPr>
            <w:tcW w:type="dxa" w:w="1559"/>
          </w:tcPr>
          <w:p>
            <w:r>
              <w:rPr>
                <w:sz w:val="20"/>
              </w:rPr>
              <w:t>DEMOCEDES PHARMA ALGERIE</w:t>
            </w:r>
          </w:p>
        </w:tc>
        <w:tc>
          <w:tcPr>
            <w:tcW w:type="dxa" w:w="1559"/>
          </w:tcPr>
          <w:p>
            <w:r>
              <w:rPr>
                <w:sz w:val="20"/>
              </w:rPr>
              <w:t>Gélule 100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PALBOCICLIB DEMOCEDES</w:t>
            </w:r>
          </w:p>
        </w:tc>
        <w:tc>
          <w:tcPr>
            <w:tcW w:type="dxa" w:w="1559"/>
          </w:tcPr>
          <w:p>
            <w:r>
              <w:rPr>
                <w:sz w:val="20"/>
              </w:rPr>
              <w:t>DEMOCEDES PHARMA ALGERIE</w:t>
            </w:r>
          </w:p>
        </w:tc>
        <w:tc>
          <w:tcPr>
            <w:tcW w:type="dxa" w:w="1559"/>
          </w:tcPr>
          <w:p>
            <w:r>
              <w:rPr>
                <w:sz w:val="20"/>
              </w:rPr>
              <w:t>Gélule 125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PAPILLIO</w:t>
            </w:r>
          </w:p>
        </w:tc>
        <w:tc>
          <w:tcPr>
            <w:tcW w:type="dxa" w:w="1559"/>
          </w:tcPr>
          <w:p>
            <w:r>
              <w:rPr>
                <w:sz w:val="20"/>
              </w:rPr>
              <w:t>HIKMA PHARMA ALGERIA</w:t>
            </w:r>
          </w:p>
        </w:tc>
        <w:tc>
          <w:tcPr>
            <w:tcW w:type="dxa" w:w="1559"/>
          </w:tcPr>
          <w:p>
            <w:r>
              <w:rPr>
                <w:sz w:val="20"/>
              </w:rPr>
              <w:t>Gélule 75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PAPILLIO</w:t>
            </w:r>
          </w:p>
        </w:tc>
        <w:tc>
          <w:tcPr>
            <w:tcW w:type="dxa" w:w="1559"/>
          </w:tcPr>
          <w:p>
            <w:r>
              <w:rPr>
                <w:sz w:val="20"/>
              </w:rPr>
              <w:t>HIKMA PHARMA ALGERIA</w:t>
            </w:r>
          </w:p>
        </w:tc>
        <w:tc>
          <w:tcPr>
            <w:tcW w:type="dxa" w:w="1559"/>
          </w:tcPr>
          <w:p>
            <w:r>
              <w:rPr>
                <w:sz w:val="20"/>
              </w:rPr>
              <w:t>Gélule 100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PAPILLIO</w:t>
            </w:r>
          </w:p>
        </w:tc>
        <w:tc>
          <w:tcPr>
            <w:tcW w:type="dxa" w:w="1559"/>
          </w:tcPr>
          <w:p>
            <w:r>
              <w:rPr>
                <w:sz w:val="20"/>
              </w:rPr>
              <w:t>HIKMA PHARMA ALGERIA</w:t>
            </w:r>
          </w:p>
        </w:tc>
        <w:tc>
          <w:tcPr>
            <w:tcW w:type="dxa" w:w="1559"/>
          </w:tcPr>
          <w:p>
            <w:r>
              <w:rPr>
                <w:sz w:val="20"/>
              </w:rPr>
              <w:t>Gélule 125 mg</w:t>
            </w:r>
          </w:p>
        </w:tc>
        <w:tc>
          <w:tcPr>
            <w:tcW w:type="dxa" w:w="1559"/>
          </w:tcPr>
          <w:p>
            <w:r>
              <w:rPr>
                <w:sz w:val="20"/>
              </w:rPr>
              <w:t>B/21</w:t>
            </w:r>
          </w:p>
        </w:tc>
        <w:tc>
          <w:tcPr>
            <w:tcW w:type="dxa" w:w="1559"/>
          </w:tcPr>
          <w:p>
            <w:r>
              <w:rPr>
                <w:sz w:val="20"/>
              </w:rPr>
              <w:t>Liste I</w:t>
            </w:r>
          </w:p>
        </w:tc>
        <w:tc>
          <w:tcPr>
            <w:tcW w:type="dxa" w:w="1559"/>
          </w:tcPr>
          <w:p>
            <w:r>
              <w:rPr>
                <w:sz w:val="20"/>
              </w:rPr>
              <w:t>Actif</w:t>
            </w:r>
          </w:p>
        </w:tc>
      </w:tr>
    </w:tbl>
    <w:p/>
    <w:p>
      <w:r>
        <w:t>La spécialité princeps IBRANCE (Pfizer Inc) coexiste avec trois génériques algériens (BIOPHARM en comprimé pelliculé, DEMOCEDES et HIKMA/PAPILLIO en gélule), couvrant les trois dosages nécessaires à l'adaptation posologique en cas de neutropénie (125 mg/j dose standard, 100 mg/j dose réduite niveau 1, 75 mg/j dose réduite niveau 2). Le conditionnement de 21 gélules correspond à un cycle de traitement (3 semaines sur 4, 1 semaine d'arrêt). La délivrance s'effectue en pharmacie hospitalière spécialisée (oncologie médicale) ou en officine sur prescription hospitalière.</w:t>
      </w:r>
    </w:p>
    <w:p>
      <w:r/>
      <w:r>
        <w:rPr>
          <w:b/>
        </w:rPr>
        <w:t>Sous-classe et Mécanisme d'action :</w:t>
      </w:r>
      <w:r/>
    </w:p>
    <w:p>
      <w:pPr>
        <w:pStyle w:val="ListBullet"/>
      </w:pPr>
      <w:r>
        <w:t>Sous-classe : Inhibiteur de CDK4/6 (chef de file de la classe), ATP-compétitif, sélectif des kinases CDK4 (IC50 = 11 nM) et CDK6 (IC50 = 16 nM), très sélectif (&gt;1000× vs autres CDK). DCI inscrite sur la liste complémentaire des médicaments essentiels OMS.</w:t>
      </w:r>
    </w:p>
    <w:p>
      <w:pPr>
        <w:pStyle w:val="ListBullet"/>
      </w:pPr>
      <w:r>
        <w:t>Mécanisme d'action : le palbociclib pénètre dans le compartiment intracellulaire et entre en compétition réversible avec l'ATP au niveau du site catalytique des kinases CDK4 et CDK6, bloquant ainsi leur activité. En l'absence d'activité CDK4/6, les complexes CDK4/6–cycline D ne peuvent plus phosphoryler la protéine du rétinoblastome (pRb) sur les résidus sérine 780, 795 et 807/811. pRb reste sous sa forme hypophosphorylée active, qui séquestre le facteur de transcription E2F (E2F-1, E2F-2, E2F-3) par liaison protéique directe. Privées d'E2F libre, les cellules tumorales ne peuvent pas transcrire les gènes requis pour la phase S du cycle cellulaire (thymidylate synthase, DHFR, cyclines E1/E2 et A, CDK2, PCNA, MCM2-7), ce qui les arrête au point de restriction G1 (cytostase, sénescence). La cellule tumorale entre en quiescence (G0) ou sénescence cellulaire sans apoptose directe. L'effet est sélectif des cellules en cycle (effet cytostatique), épargnant les cellules quiescentes (qui ne dépendent pas de CDK4/6). Le palbociclib n'a pas d'activité directe sur CDK2 (responsable de la transition G1-S via phosphorylation complémentaire de pRb par cycline E/A-CDK2), ce qui rend la combinaison avec les hormonothérapies anti-estrogéniques synergique : les œstrogènes stimulent la transcription de la cycline D1 via ERα, qui active CDK4/6 ; bloquer simultanément le signal estrogénique (letrozole, fulvestrant) ET le rouage CDK4/6 (palbociclib) induit un blocage complet de la voie.</w:t>
      </w:r>
    </w:p>
    <w:p>
      <w:r/>
      <w:r>
        <w:rPr>
          <w:b/>
        </w:rPr>
        <w:t>Profil Pharmacologique :</w:t>
      </w:r>
      <w:r/>
    </w:p>
    <w:p>
      <w:pPr>
        <w:pStyle w:val="ListBullet"/>
      </w:pPr>
      <w:r>
        <w:t>Indications : (1) Cancer du sein localement avancé ou métastatique RH+/HER2−, en première ligne métastatique en association à un inhibiteur de l'aromatase (letrozole 2,5 mg/j, anastrozole 1 mg/j) chez la femme ménopausée — dose 125 mg/j (3 semaines sur 4) ; (2) Cancer du sein localement avancé ou métastatique RH+/HER2−, en association au fulvestrant (Faslodex® 500 mg IM J1, J15, J29 puis toutes les 4 semaines) chez la femme ménopausée ayant progressé sous hormonothérapie antérieure — dose 125 mg/j (3 semaines sur 4). L'indication peut s'étendre à la femme pré-ménopausée en association à un agoniste du récepteur de la GnRH (goséréline, leuproréline). Efficacité démontrée chez l'homme (cancer du sein masculin RH+/HER2−, en association au fulvestrant ou à un inhibiteur de l'aromatase).</w:t>
      </w:r>
    </w:p>
    <w:p>
      <w:pPr>
        <w:pStyle w:val="ListBullet"/>
      </w:pPr>
      <w:r>
        <w:t>Contre-indications : Hypersensibilité au palbociclib ou à l'un des excipients. Précautions : insuffisance hépatique modérée à sévère (réduction de dose à 75 mg/j pour Child-Pugh B/C), insuffisance rénale sévère (DFG &lt; 30 mL/min, réduction à 75 mg/j), antécédents thrombo-emboliques (risque accru d'embolie pulmonaire), antécédents cardiaques (allongement du QTc possible), grossesse (CI absolue), allaitement (CI absolue), infection active (risque majoré sur neutropénie).</w:t>
      </w:r>
    </w:p>
    <w:p>
      <w:pPr>
        <w:pStyle w:val="ListBullet"/>
      </w:pPr>
      <w:r>
        <w:t>Effets Indésirables : Très fréquents (&gt; 10 %) : neutropénie (80 %, dont 35 % grade 3/4 — effet classe signature), infections (40 %, dont pneumonies, neutropénie fébrile 2 %), leucopénie (35 %), anémie (30 %), thrombopénie (15 %), fatigue (40 %), nausées (35 %), stomatite (30 %), alopécie (25 %, modérée et réversible), diarrhée (15 %), vomissements (15 %), constipation (12 %), rash maculo-papuleux (15 %), céphalées (15 %), arthralgies (15 %), diminution de l'appétit (15 %), dysgueusie (10 %). Fréquents (1–10 %) : pneumopathie interstitielle (3 %, signe à reconnaître), embolie pulmonaire (5 %, plus fréquente qu'avec l'hormonothérapie seule), allongement du QTc (5 %, surveillance ECG), saignements (épistaxis), altération de la fonction hépatique (cytolyse), augmentation de la créatinine. Peu fréquents (0,1–1 %) : neutropénie fébrile (1,5 %), insuffisance hépatique sévère, syndrome de Stevens-Johnson, réactions d'hypersensibilité.</w:t>
      </w:r>
    </w:p>
    <w:p>
      <w:r/>
      <w:r>
        <w:rPr>
          <w:b/>
        </w:rPr>
        <w:t>Prévention et Gestion des Effets Indésirables :</w:t>
      </w:r>
      <w:r/>
    </w:p>
    <w:p>
      <w:pPr>
        <w:pStyle w:val="ListBullet"/>
      </w:pPr>
      <w:r>
        <w:t>Mesures Préventives : (i) NFS-plaquettes avant initiation (J1 du cycle), à J15, J21 de chaque cycle, et avant l'initiation du cycle suivant (J28). Surveillance renforcée le premier cycle. (ii) Bilan hépatique (ALAT, ASAT, bilirubine) avant initiation, mensuel puis selon tolérance. (iii) ECG avant initiation (allongement du QTc), surveillance chez les patients à risque (antécédents cardiaques, hypokaliémie, associations allongeant le QT). (iv) Bilan infectieux : dépistage et traitement des foyers infectieux avant initiation (dentaire, pulmonaire, urinaire). (v) Prévention des thromboses : surveillance clinique des signes d'embolie pulmonaire (dyspnée, douleur thoracique, hémoptysie) ; prophylaxie par HBPM en cas d'alitement ou de chirurgie. (vi) Information de la patiente sur les signes d'alerte infectieuse (fièvre &gt; 38,5 °C, frissons, dyspnée, douleurs abdominales) — consultation aux urgences en cas de neutropénie fébrile. (vii) Photographie cutanée de référence, photoprotection SPF 50+.</w:t>
      </w:r>
    </w:p>
    <w:p>
      <w:pPr>
        <w:pStyle w:val="ListBullet"/>
      </w:pPr>
      <w:r>
        <w:t>Conduite à Tenir : Neutropénie grade 1 (PNN ≥ 1,5 G/L) : poursuivre à dose standard. Grade 2 (PNN 1,0–1,5 G/L) : poursuivre, surveillance rapprochée. Grade 3 (PNN 0,5–1,0 G/L) sans fièvre : interruption jusqu'à récupération (PNN ≥ 1,5 G/L), reprise à même dose ; en cas de récurrence, reprise à dose réduite (125 → 100 mg). Grade 4 (PNN &lt; 0,5 G/L) ou grade 3 avec fièvre (neutropénie fébrile) : interruption immédiate, hospitalisation, antibiothérapie large spectre IV (céphalosporine de 3e génération + aminoside, ou pipéracilline-tazobactam), facteurs de croissance granulocytaire (G-CSF : filgrastim 5 µg/kg/j) en optionnel, reprise à dose réduite (100 → 75 mg) à la récupération. Pneumopathie interstitielle grade 2 : interruption, corticothérapie 0,5–1 mg/kg/j de prednisone, reprise à dose réduite si résolution complète ; grade ≥ 3 : arrêt définitif. Embolie pulmonaire : arrêt immédiat, anticoagulation curative (HBPM puis AVK), contre-indication à la reprise du palbociclib (selon évaluation bénéfice/risque). Diarrhée grade 2 : lopéramide, réhydratation, poursuivre à dose standard ; grade 3 : interruption transitoire, réhydratation IV, lopéramide, reprise à dose réduite. Stomatite grade 2 : bains de bouche de dexaméthasone, pansements protecteurs ; grade 3 : interruption transitoire, traitement topique, reprise à dose réduite.</w:t>
      </w:r>
    </w:p>
    <w:p>
      <w:r/>
      <w:r>
        <w:rPr>
          <w:b/>
        </w:rPr>
        <w:t>Interactions Médicamenteuses :</w:t>
      </w:r>
      <w:r/>
    </w:p>
    <w:p>
      <w:pPr>
        <w:pStyle w:val="ListBullet"/>
      </w:pPr>
      <w:r>
        <w:t>CYP3A4 et P-gp (métabolisme principal) : inducteurs enzymatiques (rifampicine, phénytoïne, carbamazépine, phénobarbital, dexaméthasone IV, millepertuis, éfavirenz, modafinil) → diminution de l'ASC du palbociclib (jusqu'à −85 % avec rifampicine), à éviter absolument (risque d'échec thérapeutique). Inhibiteurs (kétoconazole, itraconazole, voriconazole, posaconazole, clarithromycine, érythromycine, télithromycine, ritonavir, saquinavir, indinavir, nelfinavir, atazanavir, diltiazem, vérapamil, amiodarone) → augmentation de l'ASC (jusqu'à ×3 avec kétoconazole), à éviter ou réduire la dose de palbociclib à 75 mg/j (minimum) sous surveillance stricte.</w:t>
      </w:r>
    </w:p>
    <w:p>
      <w:pPr>
        <w:pStyle w:val="ListBullet"/>
      </w:pPr>
      <w:r>
        <w:t>Substrats à index thérapeutique étroit : le palbociclib est lui-même inhibiteur faible du CYP3A4 et de la P-gp ; surveiller les concentrations de : (i) midazolam, triazolam (sédation prolongée) ; (ii) statines (simvastatine, atorvastatine — préférer pravastatine, rosuvastatine) ; (iii) tacrolimus, sirolimus, cyclosporine ; (iv) digoxine ; (v) dabigatran. (vi) pimozide (CI absolue).</w:t>
      </w:r>
    </w:p>
    <w:p>
      <w:pPr>
        <w:pStyle w:val="ListBullet"/>
      </w:pPr>
      <w:r>
        <w:t>Inhibiteurs de l'aromatase (letrozole, anastrozole, exemestane) : pas d'interaction pharmacocinétique significative (métabolisme distinct, principalement CYP3A4 pour le palbociclib, CYP3A4/CYP2A6 pour le letrozole, CYP3A4 pour l'anastrozole). Surveillance clinique et biologique de la tolérance.</w:t>
      </w:r>
    </w:p>
    <w:p>
      <w:pPr>
        <w:pStyle w:val="ListBullet"/>
      </w:pPr>
      <w:r>
        <w:t>Fulvestrant : pas d'interaction pharmacocinétique significative (métabolisme CYP3A4, administration IM). Surveillance clinique.</w:t>
      </w:r>
    </w:p>
    <w:p>
      <w:pPr>
        <w:pStyle w:val="ListBullet"/>
      </w:pPr>
      <w:r>
        <w:t>Vaccins : vaccins vivants atténués (BCG, ROR, fièvre jaune, varicelle) contre-indiqués pendant le traitement en raison de la neutropénie et de l'immunosuppression relative. Vaccins inactivés autorisés mais réponse atténuée en cas de neutropénie profonde.</w:t>
      </w:r>
    </w:p>
    <w:p>
      <w:pPr>
        <w:pStyle w:val="ListBullet"/>
      </w:pPr>
      <w:r>
        <w:t>Alimentation : prendre à heure fixe, indifféremment avec ou sans nourriture (mais toujours de la même manière pour éviter la variabilité). Éviter le jus de pamplemousse (inhibiteur du CYP3A4 intestinal). Éviter le millepertuis (inducteur). Modération alcoolique.</w:t>
      </w:r>
    </w:p>
    <w:p>
      <w:pPr>
        <w:pStyle w:val="ListBullet"/>
      </w:pPr>
      <w:r>
        <w:t>Allongement du QTc : éviter l'association avec les antiarythmiques (amiodarone, sotalol, quinidine, disopyramide), certains antibiotiques (moxifloxacine, érythromycine IV, clarithromycine), antipsychotiques (halopéridol, dropéridol, pimozide, chlorpromazine), méthadone, ondansétron IV, dompéridone. Surveiller l'ionogramme (kaliémie, magnésémie, calcémie).</w:t>
      </w:r>
    </w:p>
    <w:p>
      <w:r/>
      <w:r>
        <w:rPr>
          <w:b/>
        </w:rPr>
        <w:t>Grossesse et Allaitement :</w:t>
      </w:r>
      <w:r/>
    </w:p>
    <w:p>
      <w:pPr>
        <w:pStyle w:val="ListBullet"/>
      </w:pPr>
      <w:r>
        <w:t>Grossesse : CONTRE-INDICATION ABSOLUE. Données animales tératogènes (malformations squelettiques, cardiovasculaires, et fœtotoxicité à exposition infra-thérapeutique chez le rat et le lapin). Données humaines limitées mais signalisations d'avortements spontanés. Une contraception efficace (double méthode : condom + contraception orale ou dispositif intra-utérin) est obligatoire chez la femme en âge de procréer durant le traitement et jusqu'à 3 semaines après l'arrêt (5 demi-vies). Chez la femme pré-ménopausée, l'association à un agoniste du récepteur de la GnRH (goséréline, leuproréline) est obligatoire pour assurer une contraception efficace et bloquer l'axe gonadotrope. Chez l'homme traité : altération possible de la spermatogenèse (effet attendu de l'inhibition de CDK4/6 sur les cellules souches germinales), contraception conseillée pendant le traitement et 3 semaines après l'arrêt. En cas de projet de grossesse chez une femme en rémission tumorale stable : discussion pluridisciplinaire oncologue-gynécologue, arrêt du palbociclib et de l'hormonothérapie 3 semaines avant conception (conservation d'ovocytes ou d'embryons recommandée avant tout traitement anticancéreux).</w:t>
      </w:r>
    </w:p>
    <w:p>
      <w:pPr>
        <w:pStyle w:val="ListBullet"/>
      </w:pPr>
      <w:r>
        <w:t>Allaitement : CONTRE-INDICATION ABSOLUE. Le palbociclib passe dans le lait maternel (forte lipophilie, liaison protéique élevée), exposant le nouveau-né à des concentrations cytotoxiques et à un risque de cytopénies sévères et de retards de croissance. Allaitement à interrompre pendant toute la durée du traitement et jusqu'à 3 semaines après l'arrêt.</w:t>
      </w:r>
    </w:p>
    <w:p>
      <w:pPr>
        <w:pStyle w:val="ListBullet"/>
      </w:pPr>
      <w:r>
        <w:t>Précautions : Femme pré-ménopausée : association obligatoire à un agoniste du récepteur de la GnRH (goséréline, leuproréline) pour bloquer l'axe gonadotrope et assurer une contraception efficace. Information de la patiente sur l'importance d'une contraception stricte.</w:t>
      </w:r>
    </w:p>
    <w:p>
      <w:r/>
      <w:r>
        <w:rPr>
          <w:b/>
        </w:rPr>
        <w:t>Posologie et Mode d'administration (Standard) :</w:t>
      </w:r>
      <w:r/>
    </w:p>
    <w:p>
      <w:pPr>
        <w:pStyle w:val="ListBullet"/>
      </w:pPr>
      <w:r>
        <w:t>Adulte : 125 mg/j en une prise unique par voie orale, pendant 21 jours consécutifs, suivis de 7 jours d'arrêt (cycle de 28 jours). Le traitement se poursuit jusqu'à progression ou intolérance. Association à un inhibiteur de l'aromatase (letrozole 2,5 mg/j, anastrozole 1 mg/j) en première ligne métastatique, ou au fulvestrant (500 mg IM J1, J15, J29 puis toutes les 4 semaines) en deuxième ligne.</w:t>
      </w:r>
    </w:p>
    <w:p>
      <w:pPr>
        <w:pStyle w:val="ListBullet"/>
      </w:pPr>
      <w:r>
        <w:t>Adaptation en cas de neutropénie grade 3/4 : niveau 1 : 100 mg/j (21/7) ; niveau 2 : 75 mg/j (21/7) ; niveau 3 : arrêt définitif. Adaptation à chaque cycle en fonction de la NFS J15 et J21.</w:t>
      </w:r>
    </w:p>
    <w:p>
      <w:pPr>
        <w:pStyle w:val="ListBullet"/>
      </w:pPr>
      <w:r>
        <w:t>Adaptation en cas d'insuffisance hépatique : Child-Pugh A : pas d'adaptation ; Child-Pugh B : 75 mg/j ; Child-Pugh C : 75 mg/j (surveillance stricte).</w:t>
      </w:r>
    </w:p>
    <w:p>
      <w:pPr>
        <w:pStyle w:val="ListBullet"/>
      </w:pPr>
      <w:r>
        <w:t>Adaptation en cas d'insuffisance rénale : DFG ≥ 30 mL/min : pas d'adaptation ; DFG &lt; 30 mL/min : 75 mg/j (surveillance stricte).</w:t>
      </w:r>
    </w:p>
    <w:p>
      <w:pPr>
        <w:pStyle w:val="ListBullet"/>
      </w:pPr>
      <w:r>
        <w:t>Adaptation en cas d'interactions : sous inhibiteurs puissants du CYP3A4 (kétoconazole, itraconazole, clarithromycine, ritonavir) : réduire à 75 mg/j (minimum). Sous inducteurs (rifampicine, phénytoïne, carbamazépine) : éviter ou augmenter à 125 mg/j (maximum, surveillance) — augmentation insuffisante dans la plupart des cas, préférer alternative thérapeutique.</w:t>
      </w:r>
    </w:p>
    <w:p>
      <w:pPr>
        <w:pStyle w:val="ListBullet"/>
      </w:pPr>
      <w:r>
        <w:t>Mode d'administration : voie orale stricte. Les gélules ou comprimés pelliculés ne doivent pas être écrasés, mâchés ou dissous (modification de la pharmacocinétique). Prendre avec un grand verre d'eau, indifféremment avec ou sans nourriture (mais toujours de la même manière pour éviter la variabilité). En cas d'oubli de moins de 12 heures : prendre la dose immédiatement ; en cas d'oubli de plus de 12 heures : ne pas prendre la dose, poursuivre au schéma habituel (ne pas doubler la dose suivante). En cas de vomissement : ne pas reprendre de dose, poursuivre au schéma habituel.</w:t>
      </w:r>
    </w:p>
    <w:p>
      <w:pPr>
        <w:pStyle w:val="ListBullet"/>
      </w:pPr>
      <w:r>
        <w:t>Durée du traitement : traitement au long cours jusqu'à progression ou intolérance.</w:t>
      </w:r>
    </w:p>
    <w:p>
      <w:r/>
      <w:r>
        <w:rPr>
          <w:b/>
        </w:rPr>
        <w:t>Surveillance Biologique et Suivi Clinique :</w:t>
      </w:r>
      <w:r/>
    </w:p>
    <w:p>
      <w:pPr>
        <w:pStyle w:val="ListBullet"/>
      </w:pPr>
      <w:r>
        <w:t>Hématologique : NFS-plaquettes avant initiation (J1 du cycle), à J15 et J21 de chaque cycle, et avant l'initiation du cycle suivant (J28). Seuils d'adaptation : PNN &lt; 1,0 G/L (grade 3) ou &lt; 0,5 G/L (grade 4) → interruption jusqu'à récupération (PNN ≥ 1,5 G/L), reprise à dose standard ou réduite selon le niveau de récurrence. Plaquettes &lt; 50 G/L → interruption. Hb &lt; 80 g/L → interruption, transfusion si symptomatique.</w:t>
      </w:r>
    </w:p>
    <w:p>
      <w:pPr>
        <w:pStyle w:val="ListBullet"/>
      </w:pPr>
      <w:r>
        <w:t>Hépatique : ALAT, ASAT, bilirubine totale avant initiation, mensuel puis selon tolérance. Bilirubine &gt; 3× LSN ou transaminases &gt; 5× LSN → interruption et réintroduction à dose réduite après normalisation.</w:t>
      </w:r>
    </w:p>
    <w:p>
      <w:pPr>
        <w:pStyle w:val="ListBullet"/>
      </w:pPr>
      <w:r>
        <w:t>Cardiaque : ECG avant initiation, à 1 mois puis selon clinique. Surveillance accrue chez les patients à risque (antécédents cardiaques, hypokaliémie, associations allongeant le QT). Échographie cardiaque si antécédents de dysfonction VG.</w:t>
      </w:r>
    </w:p>
    <w:p>
      <w:pPr>
        <w:pStyle w:val="ListBullet"/>
      </w:pPr>
      <w:r>
        <w:t>Pulmonaire : radiographie thoracique de référence, scanner thoracique si suspicion clinique (toux sèche, dyspnée d'effort, fièvre). Surveillance clinique mensuelle de la toux et de la dyspnée.</w:t>
      </w:r>
    </w:p>
    <w:p>
      <w:pPr>
        <w:pStyle w:val="ListBullet"/>
      </w:pPr>
      <w:r>
        <w:t>Infectiologique : surveillance clinique des signes infectieux (fièvre &gt; 38,5 °C, frissons, dyspnée, douleurs abdominales). Consultation aux urgences en cas de neutropénie fébrile (urgence absolue, antibiothérapie IV large spectre immédiate).</w:t>
      </w:r>
    </w:p>
    <w:p>
      <w:pPr>
        <w:pStyle w:val="ListBullet"/>
      </w:pPr>
      <w:r>
        <w:t>Thrombo-embolique : surveillance clinique des signes d'embolie pulmonaire (dyspnée, douleur thoracique, hémoptysie) et de thrombose veineuse profonde (douleur mollet, œdème unilatéral). Prophylaxie par HBPM en cas d'alitement ou de chirurgie.</w:t>
      </w:r>
    </w:p>
    <w:p>
      <w:pPr>
        <w:pStyle w:val="ListBullet"/>
      </w:pPr>
      <w:r>
        <w:t>Suivi thérapeutique pharmacologique (STP) : non requis en routine (index thérapeutique large), utile en cas de non-réponse, d'effets indésirables, d'interactions ou de populations particulières (insuffisance hépatique sévère).</w:t>
      </w:r>
    </w:p>
    <w:p>
      <w:r/>
      <w:r>
        <w:rPr>
          <w:b/>
        </w:rPr>
        <w:t>Arbitrage et Bénéfices des Formes Galéniques :</w:t>
      </w:r>
      <w:r/>
    </w:p>
    <w:p>
      <w:r>
        <w:t>Les trois dosages disponibles (75 mg, 100 mg, 125 mg) permettent l'adaptation posologique progressive en cas de neutropénie (125 mg standard → 100 mg niveau 1 → 75 mg niveau 2 → arrêt définitif niveau 3). La forme gélule (IBRANCE, PALBOCICLIB DEMOCEDES, PAPILLIO) et la forme comprimé pelliculé (PALBOCICLIB BIOPHARM) présentent une équivalence pharmacocinétique documentée, autorisant la substitution. Le conditionnement de 21 gélules ou comprimés correspond à un cycle complet (3 semaines de traitement). Le pharmacien d'officine doit vérifier la concordance avec la prescription (cycle de 28 jours : 21 jours de traitement + 7 jours d'arrêt), la disponibilité des trois dosages pour permettre l'adaptation, et l'absence de switch entre génériques en cours de traitement sans avis médical (risque théorique de variabilité pharmacocinétique).</w:t>
      </w:r>
    </w:p>
    <w:p>
      <w:r/>
      <w:r>
        <w:rPr>
          <w:b/>
        </w:rPr>
        <w:t>Instructions et Conseils au Patient :</w:t>
      </w:r>
      <w:r/>
    </w:p>
    <w:p>
      <w:pPr>
        <w:pStyle w:val="ListBullet"/>
      </w:pPr>
      <w:r>
        <w:t>Communication au comptoir : « Le palbociclib est un médicament anticancéreux oral qui cible spécifiquement des enzymes responsables de la multiplication des cellules tumorales du sein (CDK4/6), en association à une hormonothérapie. Il se prend une fois par jour, à heure fixe, indifféremment avec ou sans nourriture mais toujours de la même manière, pendant 21 jours consécutifs, suivis de 7 jours d'arrêt (cycle de 28 jours). L'effet indésirable principal est une baisse des globules blancs (neutropénie), qui expose aux infections. Prévenez immédiatement votre médecin ou allez aux urgences en cas de fièvre (≥ 38,5 °C), frissons, angine, dyspnée, douleurs abdominales (signes de neutropénie fébrile). Les autres effets fréquents sont la fatigue, des nausées, une inflammation de la bouche, une chute de cheveux modérée et réversible. Évitez le pamplemousse et le millepertuis. »</w:t>
      </w:r>
    </w:p>
    <w:p>
      <w:pPr>
        <w:pStyle w:val="ListBullet"/>
      </w:pPr>
      <w:r>
        <w:t>Observance : Prise à heure fixe (matin ou soir, selon préférence), calendrier d'administration avec marquage des cycles (21 jours pleins + 7 jours vides), ne jamais interrompre sans avis médical, prévoir une réserve pour week-ends et voyages, conserver à température &lt; 25 °C à l'abri de l'humidité. En cas d'oubli de moins de 12 heures : prendre la dose immédiatement ; au-delà : ne pas doubler.</w:t>
      </w:r>
    </w:p>
    <w:p>
      <w:pPr>
        <w:pStyle w:val="ListBullet"/>
      </w:pPr>
      <w:r>
        <w:t>Hygiène de vie : Éviter le pamplemousse et le millepertuis, alcool à proscrire (hépatotoxicité additive), photoprotection SPF 50+, éviter les vaccins vivants sans avis médical, éviter les foules et contacts avec personnes infectées pendant les phases de neutropénie (J14-J21 du cycle), hygiène bucco-dentaire rigoureuse (prévention de la stomatite).</w:t>
      </w:r>
    </w:p>
    <w:p>
      <w:pPr>
        <w:pStyle w:val="ListBullet"/>
      </w:pPr>
      <w:r>
        <w:t>Femmes en âge de procréer : double contraception obligatoire (préservatif + contraception hormonale ou dispositif intra-utérin), test de grossesse avant initiation, contraception maintenue 3 semaines après l'arrêt. Femme pré-ménopausée : association obligatoire à un agoniste du récepteur de la GnRH (goséréline, leuproréline).</w:t>
      </w:r>
    </w:p>
    <w:p>
      <w:pPr>
        <w:pStyle w:val="ListBullet"/>
      </w:pPr>
      <w:r>
        <w:t>Thermomètre : auto-surveillance de la température corporelle matin et soir pendant le traitement, alerte en cas de fièvre ≥ 38,5 °C (consultation urgente).</w:t>
      </w:r>
    </w:p>
    <w:p>
      <w:r/>
      <w:r>
        <w:rPr>
          <w:b/>
        </w:rPr>
        <w:t>Notes, Règles d'Or &amp; Pièges au Comptoir :</w:t>
      </w:r>
      <w:r/>
    </w:p>
    <w:p>
      <w:pPr>
        <w:pStyle w:val="ListBullet"/>
      </w:pPr>
      <w:r>
        <w:t>Piège : la neutropénie est l'effet indésirable signature du palbociclib (80 % des patients, 35 % grade 3/4). Elle survient typiquement dans les 2 premières semaines de chaque cycle (J7-J15), est réversible à l'arrêt (récupération en 7–14 jours), et n'est pas cumulative. Une patiente sous palbociclib qui présente de la fièvre ≥ 38,5 °C doit consulter aux urgences immédiatement (risque de neutropénie fébrile, urgence absolue). Ne jamais attribuer la fièvre à une simple infection virale sans NFS en urgence.</w:t>
      </w:r>
    </w:p>
    <w:p>
      <w:pPr>
        <w:pStyle w:val="ListBullet"/>
      </w:pPr>
      <w:r>
        <w:t>Règle : le schéma d'administration est 21 jours de traitement + 7 jours d'arrêt (cycle de 28 jours). Le pharmacien doit vérifier la compréhension du schéma par la patiente (calendrier visuel recommandé), l'observance stricte des 7 jours d'arrêt (qui permettent la récupération médullaire), et l'absence de prise pendant la semaine d'arrêt.</w:t>
      </w:r>
    </w:p>
    <w:p>
      <w:pPr>
        <w:pStyle w:val="ListBullet"/>
      </w:pPr>
      <w:r>
        <w:t>Piège : l'oubli d'une dose dans les 12 premières heures doit conduire à la prise immédiate. Au-delà de 12 heures, ne pas prendre la dose oubliée et poursuivre au schéma habituel. Ne jamais doubler la dose suivante. En cas de vomissement, ne pas reprendre de dose.</w:t>
      </w:r>
    </w:p>
    <w:p>
      <w:pPr>
        <w:pStyle w:val="ListBullet"/>
      </w:pPr>
      <w:r>
        <w:t>Règle : l'adaptation posologique en cas de neutropénie grade 3/4 se fait par paliers (125 → 100 → 75 → arrêt), sans précipitation (les premiers cycles sont souvent les plus neutropéniants, la tolérance s'améliore ensuite). L'initiation d'un cycle ne doit se faire que si PNN ≥ 1,5 G/L et plaquettes ≥ 100 G/L à J28.</w:t>
      </w:r>
    </w:p>
    <w:p>
      <w:pPr>
        <w:pStyle w:val="ListBullet"/>
      </w:pPr>
      <w:r>
        <w:t>Piège : les inhibiteurs puissants du CYP3A4 (kétoconazole, itraconazole, clarithromycine, ritonavir) doivent être évités ou conduire à une réduction de dose à 75 mg/j. Les inducteurs (rifampicine, phénytoïne, millepertuis) doivent être évités absolument (risque d'échec thérapeutique).</w:t>
      </w:r>
    </w:p>
    <w:p>
      <w:pPr>
        <w:pStyle w:val="ListBullet"/>
      </w:pPr>
      <w:r>
        <w:t>Surveillance : surveiller la survenue de toux sèche et dyspnée d'effort (pneumopathie interstitielle, 3 %, à reconnaître précocément), de douleurs thoraciques et dyspnée aiguë (embolie pulmonaire, 5 %, plus fréquente qu'avec l'hormonothérapie seule).</w:t>
      </w:r>
    </w:p>
    <w:p>
      <w:pPr>
        <w:pStyle w:val="ListBullet"/>
      </w:pPr>
      <w:r>
        <w:t>Piège : oubli de plus de 12 heures — ne pas doubler la dose suivante.</w:t>
      </w:r>
    </w:p>
    <w:p>
      <w:pPr>
        <w:pStyle w:val="ListBullet"/>
      </w:pPr>
      <w:r>
        <w:t>Interactions : toujours vérifier l'absence d'inducteur enzymatique puissant (rifampicine, phénytoïne, millepertuis) en cas d'efficacité thérapeutique inexpliquée.</w:t>
      </w:r>
    </w:p>
    <w:p>
      <w:pPr>
        <w:pStyle w:val="ListBullet"/>
      </w:pPr>
      <w:r>
        <w:t>Règle : vacciner systématiquement (grippe, pneumocoque) avant initiation (immunosuppression relative, neutropénie attendue).</w:t>
      </w:r>
    </w:p>
    <w:p>
      <w:pPr>
        <w:pStyle w:val="Heading2"/>
      </w:pPr>
      <w:r>
        <w:t>105.3 Sous-classe : Inhibiteurs PARP</w:t>
      </w:r>
    </w:p>
    <w:p>
      <w:r>
        <w:t>L'intégrité du génome cellulaire est compromise en permanence par des lésions de l'ADN induites par les radiations ionisantes, les espèces réactives de l'oxygène, les agents alkylants endogènes et exogènes, les erreurs de réplication. Pour maintenir l'intégrité de l'information génétique, les cellules eucaryotes disposent de plusieurs voies de réparation de l'ADN, parmi lesquelles la réparation par excision de bases (BER), la réparation par excision de nucléotides (NER), la réparation des mésappariements (MMR), la recombinaison homologue (HR, sans erreur, phase S/G2), et la jonction d'extrémités non homologues (NHEJ, sujette aux erreurs, G1). La poly-ADP-ribose polymerase (PARP), en particulier PARP-1 et PARP-2, est une enzyme nucléaire impliquée dans la détection des cassures simple-brin de l'ADN (SSB) et le recrutement des facteurs de réparation BER. PARP utilise le NAD+ comme substrat pour synthétiser des chaînes de poly-ADP-ribose (PAR) sur elle-même et sur des protéines chromatiniques (automodification et hétéromodification), ce qui facilite le recrutement de XRCC1, DNA pol β et DNA ligase III pour la réparation SSB.</w:t>
      </w:r>
    </w:p>
    <w:p>
      <w:r>
        <w:t>Dans certaines tumeurs (sein, ovaire, prostate, pancréas), une déficience de la recombinaison homologue (HRD) est observée, le plus souvent par mutation germinale ou somatique des gènes BRCA1 ou BRCA2 (Breast Cancer susceptibility genes 1 et 2), ou par altérations épigénétiques (méthylation du promoteur BRCA1). Les patientes porteuses d'une mutation germinale BRCA1 ont un risque cumulé à 70 ans de cancer du sein de 60–70 % et de cancer de l'ovaire de 20–40 % ; pour BRCA2, respectivement 50–60 % et 10–20 %. Les cellules tumorales BRCA-déficientes ne peuvent pas utiliser la recombinaison homologue pour réparer les cassures double-brin (DSB), et deviennent dépendantes de la voie PARP-dépendante (réparation SSB puis conversion en DSB répliquée, NHEJ) pour survivre. Le blocage de PARP par un inhibiteur spécifique crée une situation de « létalité synthétique » : les cellules normales (BRCA+/+) tolèrent l'inhibition de PARP (HR fonctionnelle), tandis que les cellules tumorales BRCA-déficientes (BRCA−/−) accumulent des DSB non réparés et entrent en apoptose. Ce concept de létalité synthétique, formulé en 1997 par Hartwell, a conduit au développement clinique des inhibiteurs de PARP.</w:t>
      </w:r>
    </w:p>
    <w:p>
      <w:r>
        <w:t>Les inhibiteurs de PARP disponibles (olaparib, niraparib, rucaparib, talazoparib) sont de petites molécules orales mimétiques du NAD+ qui entrent en compétition avec le substrat naturel au niveau du site catalytique de PARP-1 et PARP-2. Leur activité s'exerce préférentiellement sur les cellules BRCA-déficientes (mutation germinale BRCA1/2, mutation somatique, méthylation du promoteur). En Algérie, deux inhibiteurs de PARP sont disponibles (Avril 2026) : olaparib (Lynparza®) et niraparib (Zejula®). Le profil de tolérance est dominé par les cytopénies (anémie, neutropénie, thrombopénie), la fatigue, les nausées, et plus rarement les pneumopathies interstitielles, le syndrome de lyse tumorale et les myélodysplasies/leucémies aiguës myéloïdes secondaires (toxicité à long terme liée à l'inhibition de PARP sur les cellules hématopoïétiques, incidence ~1–2 % à 2–3 ans).</w:t>
      </w:r>
    </w:p>
    <w:p>
      <w:pPr>
        <w:pStyle w:val="Heading3"/>
      </w:pPr>
      <w:r>
        <w:t>105.3.1 DCI : Olaparib</w:t>
      </w:r>
    </w:p>
    <w:p>
      <w:r/>
      <w:r>
        <w:rPr>
          <w:b/>
        </w:rPr>
        <w:t>Liste des Catégories :</w:t>
      </w:r>
      <w:r>
        <w:t xml:space="preserve"> Antinéoplasiques ; Inhibiteur de PARP-1 et PARP-2 (chef de file de la classe) ; Liste I (sur prescription hospitalière spécialisée en oncologie).</w:t>
      </w:r>
    </w:p>
    <w:p>
      <w:r>
        <w:t>L'olaparib (AZD2281, KU-0059436, Lynparza®, AstraZeneca) est le premier inhibiteur de PARP à avoir obtenu une AMM (FDA décembre 2014, EMA décembre 2014 pour la forme gélule puis novembre 2017 pour la forme comprimé). Indiqué en monothérapie d'entretien dans le cancer de l'ovaire avancé BRCA-muté (germinal ou somatique) en réponse complète ou partielle après chimiothérapie à base de sels de platine (1re ligne ou récidive) ; dans le cancer du sein métastatique HER2− porteur d'une mutation germinale BRCA1/2 après chimiothérapie néoadjuvante/adjuvante ou avancée (préalable chimiothérapie anthracycline et taxane, sauf contre-indication) ; dans le cancer de la prostate métastatique résistant à la castration (mCRPC) porteur d'une mutation BRCA1/2 après échec de l'enzalutamide ou de l'abiratérone ; dans le cancer pancréatique métastatique porteur d'une mutation germinale BRCA1/2 en entretien après chimiothérapie à base de sels de platine (première ligne). L'olaparib a transformé la prise en charge des cancers BRCA-mutés, passant la SSP médiane de 5,5 à 19,1 mois dans le cancer de l'ovaire (SOLO-1, 1re ligne).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LYNPARZA</w:t>
            </w:r>
          </w:p>
        </w:tc>
        <w:tc>
          <w:tcPr>
            <w:tcW w:type="dxa" w:w="1559"/>
          </w:tcPr>
          <w:p>
            <w:r>
              <w:rPr>
                <w:sz w:val="20"/>
              </w:rPr>
              <w:t>ASTRA ZENECA AB</w:t>
            </w:r>
          </w:p>
        </w:tc>
        <w:tc>
          <w:tcPr>
            <w:tcW w:type="dxa" w:w="1559"/>
          </w:tcPr>
          <w:p>
            <w:r>
              <w:rPr>
                <w:sz w:val="20"/>
              </w:rPr>
              <w:t>Comprimé pelliculé 100 mg</w:t>
            </w:r>
          </w:p>
        </w:tc>
        <w:tc>
          <w:tcPr>
            <w:tcW w:type="dxa" w:w="1559"/>
          </w:tcPr>
          <w:p>
            <w:r>
              <w:rPr>
                <w:sz w:val="20"/>
              </w:rPr>
              <w:t>B/56</w:t>
            </w:r>
          </w:p>
        </w:tc>
        <w:tc>
          <w:tcPr>
            <w:tcW w:type="dxa" w:w="1559"/>
          </w:tcPr>
          <w:p>
            <w:r>
              <w:rPr>
                <w:sz w:val="20"/>
              </w:rPr>
              <w:t>Liste I</w:t>
            </w:r>
          </w:p>
        </w:tc>
        <w:tc>
          <w:tcPr>
            <w:tcW w:type="dxa" w:w="1559"/>
          </w:tcPr>
          <w:p>
            <w:r>
              <w:rPr>
                <w:sz w:val="20"/>
              </w:rPr>
              <w:t>Actif</w:t>
            </w:r>
          </w:p>
        </w:tc>
      </w:tr>
      <w:tr>
        <w:tc>
          <w:tcPr>
            <w:tcW w:type="dxa" w:w="1559"/>
          </w:tcPr>
          <w:p>
            <w:r>
              <w:rPr>
                <w:sz w:val="20"/>
              </w:rPr>
              <w:t>LYNPARZA</w:t>
            </w:r>
          </w:p>
        </w:tc>
        <w:tc>
          <w:tcPr>
            <w:tcW w:type="dxa" w:w="1559"/>
          </w:tcPr>
          <w:p>
            <w:r>
              <w:rPr>
                <w:sz w:val="20"/>
              </w:rPr>
              <w:t>ASTRA ZENECA AB</w:t>
            </w:r>
          </w:p>
        </w:tc>
        <w:tc>
          <w:tcPr>
            <w:tcW w:type="dxa" w:w="1559"/>
          </w:tcPr>
          <w:p>
            <w:r>
              <w:rPr>
                <w:sz w:val="20"/>
              </w:rPr>
              <w:t>Comprimé pelliculé 150 mg</w:t>
            </w:r>
          </w:p>
        </w:tc>
        <w:tc>
          <w:tcPr>
            <w:tcW w:type="dxa" w:w="1559"/>
          </w:tcPr>
          <w:p>
            <w:r>
              <w:rPr>
                <w:sz w:val="20"/>
              </w:rPr>
              <w:t>B/56</w:t>
            </w:r>
          </w:p>
        </w:tc>
        <w:tc>
          <w:tcPr>
            <w:tcW w:type="dxa" w:w="1559"/>
          </w:tcPr>
          <w:p>
            <w:r>
              <w:rPr>
                <w:sz w:val="20"/>
              </w:rPr>
              <w:t>Liste I</w:t>
            </w:r>
          </w:p>
        </w:tc>
        <w:tc>
          <w:tcPr>
            <w:tcW w:type="dxa" w:w="1559"/>
          </w:tcPr>
          <w:p>
            <w:r>
              <w:rPr>
                <w:sz w:val="20"/>
              </w:rPr>
              <w:t>Actif</w:t>
            </w:r>
          </w:p>
        </w:tc>
      </w:tr>
    </w:tbl>
    <w:p/>
    <w:p>
      <w:r>
        <w:t>La spécialité princeps LYNPARZA (AstraZeneca AB, laboratoire suédo-britannique, commercialisée en Algérie via la filiale AstraZeneca) est la seule formulation disponible. La forme comprimé pelliculé a remplacé la forme gélule initiale (50 mg, 14 gélules par prise × 2/jour = 28 gélules/jour, observance difficile). Les deux dosages (100 mg et 150 mg) permettent l'adaptation posologique (dose standard : 300 mg × 2/j = 2 comprimés de 150 mg × 2/j, soit 4 comprimés/jour ; dose réduite niveau 1 : 250 mg × 2/j = 1 cp 150 + 1 cp 100 × 2/j ; niveau 2 : 200 mg × 2/j = 2 cp 100 × 2/j). Le conditionnement de 56 comprimés correspond à 2 semaines de traitement (dose standard). La délivrance s'effectue en pharmacie hospitalière spécialisée (oncologie médicale) ou en officine sur prescription hospitalière.</w:t>
      </w:r>
    </w:p>
    <w:p>
      <w:r/>
      <w:r>
        <w:rPr>
          <w:b/>
        </w:rPr>
        <w:t>Sous-classe et Mécanisme d'action :</w:t>
      </w:r>
      <w:r/>
    </w:p>
    <w:p>
      <w:pPr>
        <w:pStyle w:val="ListBullet"/>
      </w:pPr>
      <w:r>
        <w:t>Sous-classe : Inhibiteur de PARP-1 et PARP-2 (chef de file de la classe), ATP-compétitif, mimétique du NAD+, sélectif (IC50 PARP-1 = 5 nM, PARP-2 = 1 nM), environ 300× plus sélectif que PARP-3. DCI inscrite sur la liste complémentaire des médicaments essentiels OMS.</w:t>
      </w:r>
    </w:p>
    <w:p>
      <w:pPr>
        <w:pStyle w:val="ListBullet"/>
      </w:pPr>
      <w:r>
        <w:t>Mécanisme d'action : l'olaparib pénètre dans le noyau cellulaire et entre en compétition réversible avec le NAD+ au niveau du site catalytique des enzymes PARP-1 et PARP-2, bloquant ainsi leur activité poly-ADP-ribosylation. Sont ainsi inhibées : (i) l'automodification de PARP (nécessaire pour sa dissociation de l'ADN), ce qui conduit à un « piégeage » de PARP sur les sites de cassures simple-brin (trapping), créant des obstacles physiques à la fourche de réplication en phase S, générant des cassures double-brin répliquées (RC-DSB) ; (ii) le recrutement des facteurs de réparation BER (XRCC1, DNA pol β, DNA ligase III), supprimant la réparation des SSB. Les SSB non réparées se convertissent en DSB au moment de la réplication. Dans les cellules normales (BRCA+/+), ces DSB sont réparées par la recombinaison homologue (HR), sans erreur, en phase S/G2. Dans les cellules tumorales BRCA-déficientes (BRCA1−/− ou BRCA2−/−, mutation germinale ou somatique, ou méthylation du promoteur BRCA1), la HR est non fonctionnelle, et les DSB ne peuvent être réparées que par la voie NHEJ (sujette aux erreurs), générant des translocations, des pertes chromosomiques et aboutissant à l'apoptose cellulaire. Cette létalité synthétique (cellules BRCA-proficientes tolèrent l'inhibition de PARP, cellules BRCA-déficientes meurent) confère à l'olaparib une sélectivité d'action tumorale remarquable. Le mécanisme du trapping de PARP est commun aux inhibiteurs de la classe (olaparib, niraparib, rucaparib, talazoparib), mais l'intensité varie (talazoparib &gt; niraparib &gt; olaparib ≈ rucaparib).</w:t>
      </w:r>
    </w:p>
    <w:p>
      <w:r/>
      <w:r>
        <w:rPr>
          <w:b/>
        </w:rPr>
        <w:t>Profil Pharmacologique :</w:t>
      </w:r>
      <w:r/>
    </w:p>
    <w:p>
      <w:pPr>
        <w:pStyle w:val="ListBullet"/>
      </w:pPr>
      <w:r>
        <w:t>Indications : (1) Cancer de l'ovaire avancé (épithélial) BRCA-muté (germinal ou somatique) en réponse complète ou partielle après chimiothérapie à base de sels de platine, en traitement d'entretien — dose 300 mg × 2/j ; (2) Cancer du sein métastatique HER2− porteur d'une mutation germinale BRCA1/2, après chimiothérapie néoadjuvante/adjuvante ou pour maladie avancée (anthracycline et taxane requis sauf contre-indication) — dose 300 mg × 2/j ; (3) Cancer de la prostate métastatique résistant à la castration (mCRPC) porteur d'une mutation BRCA1/2, après progression sous enzalutamide ou abiratérone — dose 300 mg × 2/j ; (4) Cancer gastrique métastatique porteur d'une mutation germinale BRCA1/2, en deuxième ligne après chimiothérapie à base de sels de platine et fluoro-pyrimidine — dose 300 mg × 2/j (selon AMM européenne). Préalable obligatoire : test génétique de mutation BRCA1/2 (germinale sur prélèvement sanguin et/ou somatique sur tissu tumoral) avant initiation.</w:t>
      </w:r>
    </w:p>
    <w:p>
      <w:pPr>
        <w:pStyle w:val="ListBullet"/>
      </w:pPr>
      <w:r>
        <w:t>Contre-indications : Hypersensibilité à l'olaparib ou à l'un des excipients. Précautions : insuffisance rénale modérée (DFG 30–50 mL/min, dose 200 mg × 2/j) ou sévère (DFG &lt; 30 mL/min, dose 200 mg × 2/j sous surveillance stricte), insuffisance hépatique modérée à sévère (réduction à 200 mg × 2/j pour Child-Pugh B/C), antécédents de myélodysplasie ou de leucémie aiguë myéloïde (CI relative), grossesse (CI absolue), allaitement (CI absolue), infection active (risque majoré sur cytopénies).</w:t>
      </w:r>
    </w:p>
    <w:p>
      <w:pPr>
        <w:pStyle w:val="ListBullet"/>
      </w:pPr>
      <w:r>
        <w:t>Effets Indésirables : Très fréquents (&gt; 10 %) : anémie (40 %, dont 20 % grade 3/4 — effet classe signature, lié à l'inhibition de PARP sur les progéniteurs érythroïdes), neutropénie (25 %, dont 10 % grade 3/4), thrombopénie (15 %, dont 5 % grade 3/4), nausées (75 %, dont 5 % grade 3/4), fatigue (65 %, dont 5 % grade 3/4), vomissements (40 %), diarrhée (35 %), constipation (25 %), dysgueusie (25 %, métallique), diminution de l'appétit (25 %), céphalées (20 %), dyspepsie (15 %), stomatite (15 %), rash maculo-papuleux (15 %), dermatite (10 %), augmentation de la créatinine (15 %, liée à l'inhibition des transporteurs rénaux MATE1/MATE2-K), augmentation de l'ALAT/ASAT (10 %). Fréquents (1–10 %) : pneumopathie interstitielle (5 %, signe à reconnaître), syndrome de lyse tumorale (rare, principalement en cas de maladie tumorale volumineuse), augmentation de la bilirubine, hypercholestérolémie. Peu fréquents (0,1–1 %) : myélodysplasie (MDS, ~1 % à 2 ans, surveillance à long terme), leucémie aiguë myéloïde secondaire (LAM, ~0,7 % à 2 ans), angio-oedème, hypersensibilité.</w:t>
      </w:r>
    </w:p>
    <w:p>
      <w:r/>
      <w:r>
        <w:rPr>
          <w:b/>
        </w:rPr>
        <w:t>Prévention et Gestion des Effets Indésirables :</w:t>
      </w:r>
      <w:r/>
    </w:p>
    <w:p>
      <w:pPr>
        <w:pStyle w:val="ListBullet"/>
      </w:pPr>
      <w:r>
        <w:t>Mesures Préventives : (i) Test génétique BRCA1/2 préalable obligatoire (germinal sur prélèvement sanguin EDTA avec consentement éclairé, et/ou somatique sur tissu tumoral fixé en formol inclus en paraffine). (ii) NFS-plaquettes avant initiation, mensuel 3 mois puis trimestriel. (iii) Bilan hépatique (ALAT, ASAT, bilirubine) et rénal (créatinine, urée) avant initiation, mensuel 3 mois puis trimestriel. (iv) Information de la patiente sur les signes d'alerte infectieuse (fièvre, frissons, dyspnée) et hémorragique (saignements prolongés, ecchymoses, pétéchies). (v) Antiémétiques prophylactiques (ondansétron 8 mg IV ou PO, dexaméthasone 8 mg IV) avant la première prise si nausées anticipées, puis selon clinique. (vi) Photographie cutanée de référence, photoprotection SPF 50+. (vii) Radiographie thoracique de référence pour surveillance pneumopathie interstitielle.</w:t>
      </w:r>
    </w:p>
    <w:p>
      <w:pPr>
        <w:pStyle w:val="ListBullet"/>
      </w:pPr>
      <w:r>
        <w:t>Conduite à Tenir : Anémie grade 1 (Hb ≥ 100 g/L) : poursuivre à dose standard. Grade 2 (Hb 80–100 g/L) : poursuivre, surveillance. Grade 3 (Hb 60–80 g/L) : interruption transitoire jusqu'à récupération (Hb ≥ 80 g/L), reprise à dose réduite (300 → 250 mg × 2/j) ; transfusion de concentrés globulaires si symptomatique. Grade 4 (Hb &lt; 60 g/L) : interruption, transfusion, reprise à dose réduite à la récupération. Neutropénie grade 3/4 (PNN &lt; 1,0 G/L) : interruption transitoire jusqu'à récupération (PNN ≥ 1,5 G/L), reprise à dose réduite ; G-CSF (filgrastim) en optionnel si neutropénie fébrile. Thrombopénie grade 3/4 (plaquettes &lt; 50 G/L) : interruption transitoire, reprise à dose réduite. Pneumopathie interstitielle grade 2 : interruption, corticothérapie 0,5–1 mg/kg/j de prednisone, reprise à dose réduite si résolution complète ; grade ≥ 3 : arrêt définitif. Syndrome de lyse tumorale : hyperhydratation alcaline, rasburicase ou allopurinol, surveillance ionogramme et uricémie (principalement en cas de maladie tumorale volumineuse, lymphome, leucémie aiguë). Myélodysplasie/LAM : arrêt définitif, orientation hématologique, chimiothérapie spécifique (azacitidine en optionnel).</w:t>
      </w:r>
    </w:p>
    <w:p>
      <w:r/>
      <w:r>
        <w:rPr>
          <w:b/>
        </w:rPr>
        <w:t>Interactions Médicamenteuses :</w:t>
      </w:r>
      <w:r/>
    </w:p>
    <w:p>
      <w:pPr>
        <w:pStyle w:val="ListBullet"/>
      </w:pPr>
      <w:r>
        <w:t>CYP3A4 et P-gp (métabolisme principal) : inducteurs enzymatiques (rifampicine, phénytoïne, carbamazépine, phénobarbital, dexaméthasone IV, millepertuis, éfavirenz) → diminution de l'ASC de l'olaparib (jusqu'à −87 % avec rifampicine), à éviter absolument (risque d'échec thérapeutique). Inhibiteurs (kétoconazole, itraconazole, voriconazole, posaconazole, fluconazole, clarithromycine, érythromycine, télithromycine, ritonavir, saquinavir, indinavir, nelfinavir, atazanavir, diltiazem, vérapamil, nicardipine, amiodarone, cimétidine) → augmentation de l'ASC (jusqu'à ×2,7 avec kétoconazole), réduire la dose d'olaparib à 100 mg × 2/j (minimum) sous surveillance stricte.</w:t>
      </w:r>
    </w:p>
    <w:p>
      <w:pPr>
        <w:pStyle w:val="ListBullet"/>
      </w:pPr>
      <w:r>
        <w:t>Substrats à index thérapeutique étroit : l'olaparib est lui-même inhibiteur in vivo du CYP3A4 (faible), de la P-gp, de la BCRP, de l'OATP1B1, de l'OCT1, de l'OCT2, de la MATE1 et de la MATE2-K (les deux derniers expliquent l'augmentation de la créatinine sérique par inhibition de la sécrétion tubulaire) ; surveiller les concentrations de : (i) statines (simvastatine, atorvastatine — préférer pravastatine, rosuvastatine) ; (ii) digoxine ; (iii) dabigatran, rivaroxaban, apixaban (risque hémorragique majoré) ; (iv) metformine (augmentation des concentrations, risque d'acidose lactique en cas d'insuffisance rénale) ; (v) midazolam, triazolam.</w:t>
      </w:r>
    </w:p>
    <w:p>
      <w:pPr>
        <w:pStyle w:val="ListBullet"/>
      </w:pPr>
      <w:r>
        <w:t>Vaccins : vaccins vivants atténués (BCG, ROR, fièvre jaune, varicelle) contre-indiqués pendant le traitement. Vaccins inactivés autorisés mais réponse atténuée en cas de neutropénie profonde.</w:t>
      </w:r>
    </w:p>
    <w:p>
      <w:pPr>
        <w:pStyle w:val="ListBullet"/>
      </w:pPr>
      <w:r>
        <w:t>Alimentation : prendre à heure fixe, indifféremment avec ou sans nourriture (mais toujours de la même manière pour éviter la variabilité). Éviter le jus de pamplemousse (inhibiteur du CYP3A4 intestinal). Éviter le millepertuis (inducteur). Modération alcoolique.</w:t>
      </w:r>
    </w:p>
    <w:p>
      <w:r/>
      <w:r>
        <w:rPr>
          <w:b/>
        </w:rPr>
        <w:t>Grossesse et Allaitement :</w:t>
      </w:r>
      <w:r/>
    </w:p>
    <w:p>
      <w:pPr>
        <w:pStyle w:val="ListBullet"/>
      </w:pPr>
      <w:r>
        <w:t>Grossesse : CONTRE-INDICATION ABSOLUE. Données animales tératogènes et embryo-létales (malformations cardiovasculaires, squelettiques, et fœtotoxicité à exposition infra-thérapeutique chez le rat et le lapin). Données humaines limitées (l'olaparib n'est pas prescrit chez la femme enceinte en raison de la sélection des patientes post-ménopausiques ou stérilisées, mais des cas de grossesses accidentelles ont été rapportés). Une contraception efficace (double méthode : condom + contraception orale ou dispositif intra-utérin) est obligatoire chez la femme en âge de procréer durant le traitement et jusqu'à 6 mois après l'arrêt (l'olaparib a une demi-vie d'environ 14 heures, mais le risque tératogène est prolongé). Chez l'homme traité : altération possible de la spermatogenèse (effet attendu de l'inhibition de PARP sur les cellules germinales), contraception conseillée pendant le traitement et 3 mois après l'arrêt (les patientes partenaires des hommes traités doivent également utiliser une contraception efficace). Conservation de sperme recommandée avant tout traitement anticancéreux.</w:t>
      </w:r>
    </w:p>
    <w:p>
      <w:pPr>
        <w:pStyle w:val="ListBullet"/>
      </w:pPr>
      <w:r>
        <w:t>Allaitement : CONTRE-INDICATION ABSOLUE. L'olaparib passe dans le lait maternel (forte lipophilie), exposant le nouveau-né à des concentrations cytotoxiques et à un risque de cytopénies sévères et de retards de croissance. Allaitement à interrompre pendant toute la durée du traitement et jusqu'à 1 mois après l'arrêt.</w:t>
      </w:r>
    </w:p>
    <w:p>
      <w:pPr>
        <w:pStyle w:val="ListBullet"/>
      </w:pPr>
      <w:r>
        <w:t>Précautions : Femme en âge de procréer : test de grossesse avant initiation et mensuel pendant le traitement. Information de la patiente sur l'importance d'une contraception stricte et sur le risque tératogène majeur.</w:t>
      </w:r>
    </w:p>
    <w:p>
      <w:r/>
      <w:r>
        <w:rPr>
          <w:b/>
        </w:rPr>
        <w:t>Posologie et Mode d'administration (Standard) :</w:t>
      </w:r>
      <w:r/>
    </w:p>
    <w:p>
      <w:pPr>
        <w:pStyle w:val="ListBullet"/>
      </w:pPr>
      <w:r>
        <w:t>Adulte : 300 mg (2 comprimés à 150 mg) × 2/jour (matin et soir, à 12 heures d'intervalle), voie orale, indifféremment avec ou sans nourriture. Dose quotidienne totale : 600 mg. Le traitement se poursuit jusqu'à progression ou intolérance.</w:t>
      </w:r>
    </w:p>
    <w:p>
      <w:pPr>
        <w:pStyle w:val="ListBullet"/>
      </w:pPr>
      <w:r>
        <w:t>Adaptation en cas de cytopénies : niveau 1 : 250 mg × 2/j (1 cp 150 + 1 cp 100 × 2/j) ; niveau 2 : 200 mg × 2/j (2 cp 100 × 2/j) ; niveau 3 : arrêt définitif. Adaptation à chaque cycle en fonction de la NFS.</w:t>
      </w:r>
    </w:p>
    <w:p>
      <w:pPr>
        <w:pStyle w:val="ListBullet"/>
      </w:pPr>
      <w:r>
        <w:t>Adaptation à la fonction rénale : DFG ≥ 50 mL/min : pas d'adaptation ; DFG 30–50 mL/min : 200 mg × 2/j ; DFG &lt; 30 mL/min : 200 mg × 2/j sous surveillance stricte (efficacité et tolérance).</w:t>
      </w:r>
    </w:p>
    <w:p>
      <w:pPr>
        <w:pStyle w:val="ListBullet"/>
      </w:pPr>
      <w:r>
        <w:t>Adaptation à la fonction hépatique : Child-Pugh A : pas d'adaptation ; Child-Pugh B : 200 mg × 2/j ; Child-Pugh C : 200 mg × 2/j sous surveillance stricte.</w:t>
      </w:r>
    </w:p>
    <w:p>
      <w:pPr>
        <w:pStyle w:val="ListBullet"/>
      </w:pPr>
      <w:r>
        <w:t>Adaptation en cas d'interactions : sous inhibiteurs puissants du CYP3A4 (kétoconazole, itraconazole, clarithromycine, ritonavir) : réduire à 100 mg × 2/j (minimum). Sous inducteurs (rifampicine, phénytoïne, carbamazépine, millepertuis) : éviter absolument (efficacité compromise).</w:t>
      </w:r>
    </w:p>
    <w:p>
      <w:pPr>
        <w:pStyle w:val="ListBullet"/>
      </w:pPr>
      <w:r>
        <w:t>Mode d'administration : voie orale stricte. Les comprimés pelliculés ne doivent pas être écrasés, mâchés ou dissous. Prendre avec un grand verre d'eau, indifféremment avec ou sans nourriture (mais toujours de la même manière pour éviter la variabilité). En cas d'oubli de moins de 2 heures : prendre la dose immédiatement ; en cas d'oubli de plus de 2 heures : ne pas prendre la dose, poursuivre au schéma habituel (ne pas doubler la dose suivante). En cas de vomissement : ne pas reprendre de dose, poursuivre au schéma habituel.</w:t>
      </w:r>
    </w:p>
    <w:p>
      <w:pPr>
        <w:pStyle w:val="ListBullet"/>
      </w:pPr>
      <w:r>
        <w:t>Durée du traitement : traitement au long cours jusqu'à progression ou intolérance. Dans le cancer de l'ovaire en entretien de 1re ligne (SOLO-1), le traitement est poursuivi pendant 2 ans (voire au-delà selon la réponse et la tolérance).</w:t>
      </w:r>
    </w:p>
    <w:p>
      <w:r/>
      <w:r>
        <w:rPr>
          <w:b/>
        </w:rPr>
        <w:t>Surveillance Biologique et Suivi Clinique :</w:t>
      </w:r>
      <w:r/>
    </w:p>
    <w:p>
      <w:pPr>
        <w:pStyle w:val="ListBullet"/>
      </w:pPr>
      <w:r>
        <w:t>Hématologique : NFS-plaquettes avant initiation, mensuel 3 mois puis trimestriel. Seuils d'adaptation : PNN &lt; 1,0 G/L (grade 3) ou &lt; 0,5 G/L (grade 4) → interruption jusqu'à récupération, reprise à dose réduite. Plaquettes &lt; 50 G/L → interruption, reprise à dose réduite. Hb &lt; 80 g/L → interruption, transfusion si symptomatique.</w:t>
      </w:r>
    </w:p>
    <w:p>
      <w:pPr>
        <w:pStyle w:val="ListBullet"/>
      </w:pPr>
      <w:r>
        <w:t>Hépatique : ALAT, ASAT, bilirubine totale avant initiation, mensuel 3 mois puis trimestriel. Bilirubine &gt; 3× LSN ou transaminases &gt; 5× LSN → interruption et réintroduction à dose réduite après normalisation.</w:t>
      </w:r>
    </w:p>
    <w:p>
      <w:pPr>
        <w:pStyle w:val="ListBullet"/>
      </w:pPr>
      <w:r>
        <w:t>Rénale : créatinine, urée, ionogramme avant initiation, mensuel 3 mois puis trimestriel. Interpréter avec prudence l'augmentation de la créatinine (inhibition de MATE1/MATE2-K, sans atteinte de la fonction glomérulaire — mesurer la cystatine C si doute).</w:t>
      </w:r>
    </w:p>
    <w:p>
      <w:pPr>
        <w:pStyle w:val="ListBullet"/>
      </w:pPr>
      <w:r>
        <w:t>Pulmonaire : radiographie thoracique de référence, scanner thoracique si suspicion clinique (toux sèche, dyspnée d'effort, fièvre). Surveillance clinique mensuelle.</w:t>
      </w:r>
    </w:p>
    <w:p>
      <w:pPr>
        <w:pStyle w:val="ListBullet"/>
      </w:pPr>
      <w:r>
        <w:t>À long terme (au-delà de 12 mois) : surveillance hématologique trimestrielle renforcée pour le dépistage de la myélodysplasie (MDS) et de la leucémie aiguë myéloïde secondaire (LAM, incidence ~1–2 % à 2–3 ans, liée à l'inhibition prolongée de PARP sur les cellules souches hématopoïétiques). Myélogramme si cytopénies persistantes, dysérithropoïèse, blastes circulants.</w:t>
      </w:r>
    </w:p>
    <w:p>
      <w:pPr>
        <w:pStyle w:val="ListBullet"/>
      </w:pPr>
      <w:r>
        <w:t>Suivi moléculaire : surveillance de la maladie résiduelle (CA-125 pour le cancer de l'ovaire, PSA pour le cancer de la prostate, ctDNA pour le cancer du sein) selon l'indication.</w:t>
      </w:r>
    </w:p>
    <w:p>
      <w:r/>
      <w:r>
        <w:rPr>
          <w:b/>
        </w:rPr>
        <w:t>Arbitrage et Bénéfices des Formes Galéniques :</w:t>
      </w:r>
      <w:r/>
    </w:p>
    <w:p>
      <w:r>
        <w:t>Les deux dosages disponibles (100 mg et 150 mg) permettent l'adaptation posologique progressive en cas de cytopénies (300 mg × 2/j standard → 250 mg × 2/j niveau 1 → 200 mg × 2/j niveau 2 → arrêt définitif niveau 3). La combinaison des deux dosages permet également l'ajustement fin : dose standard = 2 cp 150 mg × 2/j (4 cp/jour) ; dose réduite niveau 1 = 1 cp 150 mg + 1 cp 100 mg × 2/j (4 cp/jour) ; dose réduite niveau 2 = 2 cp 100 mg × 2/j (4 cp/jour). Le conditionnement de 56 comprimés correspond à 14 jours de traitement (dose standard). La forme comprimé pelliculé a remplacé la forme gélule initiale (50 mg, 14 gélules × 2/jour = 28 gélules/jour, observance difficile), améliorant l'observance et la tolérance digestive.</w:t>
      </w:r>
    </w:p>
    <w:p>
      <w:r/>
      <w:r>
        <w:rPr>
          <w:b/>
        </w:rPr>
        <w:t>Instructions et Conseils au Patient :</w:t>
      </w:r>
      <w:r/>
    </w:p>
    <w:p>
      <w:pPr>
        <w:pStyle w:val="ListBullet"/>
      </w:pPr>
      <w:r>
        <w:t>Communication au comptoir : « L'olaparib est un médicament anticancéreux oral qui cible spécifiquement les cellules tumorales porteuses d'une mutation des gènes BRCA1 ou BRCA2, en bloquant une enzyme appelée PARP qui répare l'ADN. Il se prend deux fois par jour (matin et soir, à 12 heures d'intervalle), indifféremment avec ou sans nourriture mais toujours de la même manière, en continu (pas d'arrêt hebdomadaire). Les effets indésirables principaux sont une baisse des globules (anémie, neutropénie, thrombopénie), des nausées (très fréquentes au début), de la fatigue, des vomissements, des diarrhées et une modification du goût. Prévenez immédiatement votre médecin en cas de fièvre (≥ 38,5 °C, risque infectieux sur neutropénie), de saignements anormaux (ecchymoses, épistaxis), d'essoufflement (anémie ou pneumopathie), ou de fatigue intense. Évitez le pamplemousse et le millepertuis. »</w:t>
      </w:r>
    </w:p>
    <w:p>
      <w:pPr>
        <w:pStyle w:val="ListBullet"/>
      </w:pPr>
      <w:r>
        <w:t>Observance : Prise à heure fixe (matin et soir, à 12 heures d'intervalle), calendrier d'administration biquotidien, ne jamais interrompre sans avis médical, prévoir une réserve pour week-ends et voyages, conserver à température &lt; 25 °C à l'abri de l'humidité. En cas d'oubli de moins de 2 heures : prendre la dose immédiatement ; au-delà : ne pas doubler.</w:t>
      </w:r>
    </w:p>
    <w:p>
      <w:pPr>
        <w:pStyle w:val="ListBullet"/>
      </w:pPr>
      <w:r>
        <w:t>Hygiène de vie : Éviter le pamplemousse et le millepertuis, alcool à proscrire (hépatotoxicité additive), photoprotection SPF 50+, éviter les vaccins vivants sans avis médical, éviter les foules et contacts avec personnes infectées pendant les phases de neutropénie.</w:t>
      </w:r>
    </w:p>
    <w:p>
      <w:pPr>
        <w:pStyle w:val="ListBullet"/>
      </w:pPr>
      <w:r>
        <w:t>Femmes en âge de procréer : double contraception obligatoire (préservatif + contraception hormonale ou dispositif intra-utérin), test de grossesse avant initiation et mensuel, contraception maintenue 6 mois après l'arrêt (rôle tératogène prolongé).</w:t>
      </w:r>
    </w:p>
    <w:p>
      <w:pPr>
        <w:pStyle w:val="ListBullet"/>
      </w:pPr>
      <w:r>
        <w:t>Thermomètre : auto-surveillance de la température corporelle matin et soir pendant le traitement, alerte en cas de fièvre ≥ 38,5 °C (consultation urgente).</w:t>
      </w:r>
    </w:p>
    <w:p>
      <w:r/>
      <w:r>
        <w:rPr>
          <w:b/>
        </w:rPr>
        <w:t>Notes, Règles d'Or &amp; Pièges au Comptoir :</w:t>
      </w:r>
      <w:r/>
    </w:p>
    <w:p>
      <w:pPr>
        <w:pStyle w:val="ListBullet"/>
      </w:pPr>
      <w:r>
        <w:t>Piège : l'olaparib ne doit être prescrit qu'après confirmation d'une mutation BRCA1/2 (germinale ou somatique selon l'indication). L'administration à une patiente BRCA-proficiente est inefficace et expose à des effets indésirables inutiles. Vérifier le compte-rendu de test génétique avant dispensation.</w:t>
      </w:r>
    </w:p>
    <w:p>
      <w:pPr>
        <w:pStyle w:val="ListBullet"/>
      </w:pPr>
      <w:r>
        <w:t>Règle : le schéma d'administration est biquotidien à 12 heures d'intervalle (matin et soir, à heure fixe), en continu (pas d'arrêt hebdomadaire comme pour le palbociclib). Le pharmacien doit vérifier la compréhension du schéma par la patiente (calendrier biquotidien recommandé).</w:t>
      </w:r>
    </w:p>
    <w:p>
      <w:pPr>
        <w:pStyle w:val="ListBullet"/>
      </w:pPr>
      <w:r>
        <w:t>Piège : l'augmentation de la créatinine sérique sous olaparib est généralement due à l'inhibition de la sécrétion tubulaire (MATE1/MATE2-K) et non à une atteinte glomérulaire. Ne pas sur-interpréter comme une insuffisance rénale aiguë. Mesurer la cystatine C si doute (non affectée par les transporteurs tubulaires).</w:t>
      </w:r>
    </w:p>
    <w:p>
      <w:pPr>
        <w:pStyle w:val="ListBullet"/>
      </w:pPr>
      <w:r>
        <w:t>Règle : l'adaptation posologique en cas de cytopénies grade 3/4 se fait par paliers (300 → 250 → 200 mg × 2/j → arrêt), sans précipitation. Les premiers cycles sont souvent les plus cytopéniants.</w:t>
      </w:r>
    </w:p>
    <w:p>
      <w:pPr>
        <w:pStyle w:val="ListBullet"/>
      </w:pPr>
      <w:r>
        <w:t>Piège : les inhibiteurs puissants du CYP3A4 (kétoconazole, itraconazole, clarithromycine, ritonavir) doivent être évités ou conduire à une réduction de dose à 100 mg × 2/j. Les inducteurs (rifampicine, phénytoïne, millepertuis) doivent être évités absolument.</w:t>
      </w:r>
    </w:p>
    <w:p>
      <w:pPr>
        <w:pStyle w:val="ListBullet"/>
      </w:pPr>
      <w:r>
        <w:t>Surveillance : surveiller la survenue de toux sèche et dyspnée d'effort (pneumopathie interstitielle, 5 %), et à long terme le risque de myélodysplasie/LAM secondaire (incidence ~1–2 % à 2–3 ans, surveillance hématologique trimestrielle au-delà de 12 mois).</w:t>
      </w:r>
    </w:p>
    <w:p>
      <w:pPr>
        <w:pStyle w:val="ListBullet"/>
      </w:pPr>
      <w:r>
        <w:t>Piège : oubli de plus de 2 heures — ne pas doubler la dose suivante.</w:t>
      </w:r>
    </w:p>
    <w:p>
      <w:pPr>
        <w:pStyle w:val="ListBullet"/>
      </w:pPr>
      <w:r>
        <w:t>Interactions : toujours vérifier l'absence d'inducteur enzymatique puissant (rifampicine, phénytoïne, millepertuis) en cas d'efficacité thérapeutique inexpliquée.</w:t>
      </w:r>
    </w:p>
    <w:p>
      <w:pPr>
        <w:pStyle w:val="ListBullet"/>
      </w:pPr>
      <w:r>
        <w:t>Règle : vacciner systématiquement (grippe, pneumocoque) avant initiation.</w:t>
      </w:r>
    </w:p>
    <w:p>
      <w:pPr>
        <w:pStyle w:val="Heading3"/>
      </w:pPr>
      <w:r>
        <w:t>105.3.2 DCI : Niraparib</w:t>
      </w:r>
    </w:p>
    <w:p>
      <w:r/>
      <w:r>
        <w:rPr>
          <w:b/>
        </w:rPr>
        <w:t>Liste des Catégories :</w:t>
      </w:r>
      <w:r>
        <w:t xml:space="preserve"> Antinéoplasiques ; Inhibiteur de PARP-1 et PARP-2 ; Liste I (sur prescription hospitalière spécialisée en oncologie).</w:t>
      </w:r>
    </w:p>
    <w:p>
      <w:r>
        <w:t>Le niraparib (MK-4827, Zejula®, GlaxoSmithKline) est un inhibiteur oral de PARP-1 et PARP-2, indiqué en monothérapie d'entretien dans le cancer de l'ovaire, des trompes de Fallope ou péritonéal avancé (épithélial) en réponse complète ou partielle après chimiothérapie à base de sels de platine, indépendamment du statut BRCA (chez les patientes BRCA-mutées comme BRCA-sauvages, mais avec un bénéfice supérieur chez les BRCA-mutées). AMM FDA mars 2017, EMA novembre 2017. Également indiqué en traitement d'entretien après chimiothérapie néoadjuvante/adjuvante à base de sels de platine dans le cancer de l'ovaire avancé BRCA-muté (selon AMM européenne étendue). Le niraparib se distingue de l'olaparib par : (i) une activité indépendante du statut BRCA (efficace également chez les patientes BRCA-proficientes, possiblement via son action sur les tumeurs HRD-positives sans mutation BRCA) ; (ii) une demi-vie plus longue (36 heures vs 14 heures pour l'olaparib) permettant une monoprise quotidienne ; (iii) un profil de thrombopénie plus marqué (effet classe), justifiant une dose initiale réduite chez les patientes de moins de 77 kg ou &lt; 77 kg.</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ZEJULA</w:t>
            </w:r>
          </w:p>
        </w:tc>
        <w:tc>
          <w:tcPr>
            <w:tcW w:type="dxa" w:w="1559"/>
          </w:tcPr>
          <w:p>
            <w:r>
              <w:rPr>
                <w:sz w:val="20"/>
              </w:rPr>
              <w:t>GLAXOSMITHKLINE (IRELAND) LIMITED</w:t>
            </w:r>
          </w:p>
        </w:tc>
        <w:tc>
          <w:tcPr>
            <w:tcW w:type="dxa" w:w="1559"/>
          </w:tcPr>
          <w:p>
            <w:r>
              <w:rPr>
                <w:sz w:val="20"/>
              </w:rPr>
              <w:t>Comprimé pelliculé 100 mg</w:t>
            </w:r>
          </w:p>
        </w:tc>
        <w:tc>
          <w:tcPr>
            <w:tcW w:type="dxa" w:w="1559"/>
          </w:tcPr>
          <w:p>
            <w:r>
              <w:rPr>
                <w:sz w:val="20"/>
              </w:rPr>
              <w:t>B/56</w:t>
            </w:r>
          </w:p>
        </w:tc>
        <w:tc>
          <w:tcPr>
            <w:tcW w:type="dxa" w:w="1559"/>
          </w:tcPr>
          <w:p>
            <w:r>
              <w:rPr>
                <w:sz w:val="20"/>
              </w:rPr>
              <w:t>Liste I</w:t>
            </w:r>
          </w:p>
        </w:tc>
        <w:tc>
          <w:tcPr>
            <w:tcW w:type="dxa" w:w="1559"/>
          </w:tcPr>
          <w:p>
            <w:r>
              <w:rPr>
                <w:sz w:val="20"/>
              </w:rPr>
              <w:t>Actif</w:t>
            </w:r>
          </w:p>
        </w:tc>
      </w:tr>
    </w:tbl>
    <w:p/>
    <w:p>
      <w:r>
        <w:t>La spécialité princeps ZEJULA (GlaxoSmithKline Ireland) est la seule formulation disponible. Le dosage unique de 100 mg permet l'adaptation posologique (dose standard : 200 mg/j = 2 comprimés/jour ; dose réduite pour &lt; 77 kg ou avec insuffisance rénale modérée : 100 mg/j = 1 comprimé/jour ; dose réduite niveau 1 en cas de thrombopénie : 100 mg/j ; niveau 2 : 100 mg un jour sur deux). Le conditionnement de 56 comprimés correspond à 4 semaines de traitement (dose standard). La délivrance s'effectue en pharmacie hospitalière spécialisée (oncologie médicale) ou en officine sur prescription hospitalière.</w:t>
      </w:r>
    </w:p>
    <w:p>
      <w:r/>
      <w:r>
        <w:rPr>
          <w:b/>
        </w:rPr>
        <w:t>Sous-classe et Mécanisme d'action :</w:t>
      </w:r>
      <w:r/>
    </w:p>
    <w:p>
      <w:pPr>
        <w:pStyle w:val="ListBullet"/>
      </w:pPr>
      <w:r>
        <w:t>Sous-classe : Inhibiteur de PARP-1 et PARP-2, ATP-compétitif, mimétique du NAD+, sélectif (IC50 PARP-1 = 3,2 nM, PARP-2 = 2,5 nM), environ 100× plus sélectif que les autres PARP. DCI non inscrite sur la liste des médicaments essentiels OMS (encore sous protection brevet).</w:t>
      </w:r>
    </w:p>
    <w:p>
      <w:pPr>
        <w:pStyle w:val="ListBullet"/>
      </w:pPr>
      <w:r>
        <w:t>Mécanisme d'action : le niraparib pénètre dans le noyau cellulaire et entre en compétition réversible avec le NAD+ au niveau du site catalytique des enzymes PARP-1 et PARP-2, bloquant ainsi leur activité poly-ADP-ribosylation. Comme l'olaparib, le niraparib exerce un effet de « trapping » de PARP sur les sites de cassures simple-brin (SSB), supprimant la réparation BER et générant des cassures double-brin répliquées (RC-DSB). Dans les cellules tumorales BRCA-déficientes, ces DSB ne peuvent être réparées par recombinaison homologue (HR), et l'apoptose s'ensuit (létalité synthétique). Dans les cellules BRCA-proficientes, l'effet cytotoxique est moindre mais non nul (activité sur les tumeurs HRD-positives sans mutation BRCA, possiblement via l'inhibition d'autres voies de réparation). Le niraparib se distingue de l'olaparib par une plus grande puissance de trapping et une demi-vie plus longue (36 heures), permettant une monoprise quotidienne. L'effet thrombopénique plus marqué (vs olaparib) est possiblement lié à une inhibition plus importante de PARP-2 (rôle dans la megacaryopoïèse) et/ou à un trapping plus intense.</w:t>
      </w:r>
    </w:p>
    <w:p>
      <w:r/>
      <w:r>
        <w:rPr>
          <w:b/>
        </w:rPr>
        <w:t>Profil Pharmacologique :</w:t>
      </w:r>
      <w:r/>
    </w:p>
    <w:p>
      <w:pPr>
        <w:pStyle w:val="ListBullet"/>
      </w:pPr>
      <w:r>
        <w:t>Indications : (1) Cancer de l'ovaire, des trompes de Fallope ou péritonéal avancé (épithélial) en réponse complète ou partielle après chimiothérapie à base de sels de platine, en traitement d'entretien, indépendamment du statut BRCA — dose 200 mg/j en 2 prises (ou 100 mg/j en cas de poids &lt; 77 kg) ; (2) En entretien après chimiothérapie néoadjuvante/adjuvante à base de sels de platine dans le cancer de l'ovaire avancé BRCA-muté ; (3) Cancer de l'ovaire avancé BRCA-muté (germinal ou somatique) après ≥ 3 lignes de chimiothérapie (indication historique avant extension d'AMM).</w:t>
      </w:r>
    </w:p>
    <w:p>
      <w:pPr>
        <w:pStyle w:val="ListBullet"/>
      </w:pPr>
      <w:r>
        <w:t>Contre-indications : Hypersensibilité au niraparib ou à l'un des excipients. Précautions : insuffisance rénale modérée (DFG 30–50 mL/min, dose 100 mg/j) ou sévère (DFG &lt; 30 mL/min, dose 100 mg/j sous surveillance stricte), insuffisance hépatique modérée à sévère (réduction à 100 mg/j pour Child-Pugh B/C), antécédents thrombo-emboliques (risque majoré), hypertension artérielle non contrôlée, antécédents de myélodysplasie ou de leucémie aiguë myéloïde (CI relative), grossesse (CI absolue), allaitement (CI absolue), infection active (risque majoré sur cytopénies).</w:t>
      </w:r>
    </w:p>
    <w:p>
      <w:pPr>
        <w:pStyle w:val="ListBullet"/>
      </w:pPr>
      <w:r>
        <w:t>Effets Indésirables : Très fréquents (&gt; 10 %) : thrombopénie (60 %, dont 30 % grade 3/4 — effet classe signature, plus marqué que l'olaparib, survenant en moyenne à J15), anémie (50 %, dont 25 % grade 3/4), neutropénie (30 %, dont 15 % grade 3/4), leucopénie (20 %), palpitations (10 %), hypertension artérielle (20 %, dont 5 % grade 3/4, à surveiller), nausées (75 %), fatigue (60 %), constipation (40 %), vomissements (35 %), diarrhée (20 %), douleurs abdominales (30 %), dysgueusie (15 %), diminution de l'appétit (25 %), insomnie (15 %), céphalées (25 %), vertiges (15 %), rash (15 %), augmentation de la créatinine (15 %), augmentation de l'ALAT/ASAT (10 %). Fréquents (1–10 %) : pneumopathie interstitielle (5 %, signe à reconnaître), syndrome de lyse tumorale (rare), tachycardie, thrombose veineuse profonde, embolie pulmonaire. Peu fréquents (0,1–1 %) : myélodysplasie (MDS, ~1 % à 2 ans), leucémie aiguë myéloïde secondaire (LAM, ~0,5 % à 2 ans), réaction d'hypersensibilité.</w:t>
      </w:r>
    </w:p>
    <w:p>
      <w:r/>
      <w:r>
        <w:rPr>
          <w:b/>
        </w:rPr>
        <w:t>Prévention et Gestion des Effets Indésirables :</w:t>
      </w:r>
      <w:r/>
    </w:p>
    <w:p>
      <w:pPr>
        <w:pStyle w:val="ListBullet"/>
      </w:pPr>
      <w:r>
        <w:t>Mesures Préventives : (i) Test génétique BRCA1/2 préalable recommandé (bien que l'efficacité soit indépendante du statut BRCA, le bénéfice est supérieur chez les BRCA-mutées, et la sélection des patientes est affinée par la recherche de HRD). (ii) NFS-plaquettes avant initiation, à J14, J21, J28 du premier cycle, puis mensuel. (iii) Bilan hépatique et rénal avant initiation, mensuel 3 mois puis trimestriel. (iv) Surveillance tensionnelle avant initiation, à J14, J28, puis mensuel (HTA précoce, souvent dans les 2 premiers mois). (v) Dose initiale réduite à 100 mg/j pour les patientes de poids &lt; 77 kg et/ou avec insuffisance rénale modérée (DFG 30–50 mL/min) ou âge ≥ 75 ans, en raison du risque majoré de thrombopénie et d'HTA. (vi) Information de la patiente sur les signes d'alerte infectieuse (fièvre, frissons, dyspnée) et hémorragique (saignements prolongés, ecchymoses, pétéchies). (vii) Antiémétiques prophylactiques (ondansétron 8 mg IV ou PO, dexaméthasone 8 mg IV) avant la première prise si nausées anticipées.</w:t>
      </w:r>
    </w:p>
    <w:p>
      <w:pPr>
        <w:pStyle w:val="ListBullet"/>
      </w:pPr>
      <w:r>
        <w:t>Conduite à Tenir : Thrombopénie grade 1 (plaquettes ≥ 75 G/L) : poursuivre à dose standard. Grade 2 (plaquettes 50–75 G/L) : poursuivre, surveillance rapprochée. Grade 3 (plaquettes 25–50 G/L) : interruption jusqu'à récupération (plaquettes ≥ 100 G/L), reprise à dose réduite (200 → 100 mg/j). Grade 4 (plaquettes &lt; 25 G/L) : interruption, reprise à dose réduite (100 mg/j) ou 100 mg un jour sur deux. Anémie grade 3 (Hb 60–80 g/L) : interruption transitoire, reprise à dose réduite ; transfusion si symptomatique. Neutropénie grade 3/4 : interruption transitoire, reprise à dose réduite. HTA grade 2 (PA ≥ 150/100 mmHg) : initiation antihypertenseur (IEC, ARA2, inhibiteur calcique), poursuivre à dose standard. Grade 3 (PA ≥ 160/105 mmHg) : interruption transitoire, initiation antihypertenseur, reprise à dose réduite. Pneumopathie interstitielle : interruption, corticothérapie, reprise à dose réduite ou arrêt définitif selon sévérité.</w:t>
      </w:r>
    </w:p>
    <w:p>
      <w:r/>
      <w:r>
        <w:rPr>
          <w:b/>
        </w:rPr>
        <w:t>Interactions Médicamenteuses :</w:t>
      </w:r>
      <w:r/>
    </w:p>
    <w:p>
      <w:pPr>
        <w:pStyle w:val="ListBullet"/>
      </w:pPr>
      <w:r>
        <w:t>Médicaments (peu d'interactions significatives) : le niraparib est métabolisé principalement par les carboxylestérases (CES1, CES2) en métabolite inactif, et accessoirement par le CYP3A4 (mineur, ~20 %) et l'UGT1A1 (mineur). Inducteurs enzymatiques puissants (rifampicine, phénytoïne, carbamazépine, phénobarbital, millepertuis) → diminution modérée de l'ASC (jusqu'à −50 % avec rifampicine), à éviter si possible. Inhibiteurs puissants du CYP3A4 (kétoconazole, itraconazole, clarithromycine, ritonavir) → augmentation modérée de l'ASC (jusqu'à +92 % avec kétoconazole), surveillance clinique et adaptation selon tolérance.</w:t>
      </w:r>
    </w:p>
    <w:p>
      <w:pPr>
        <w:pStyle w:val="ListBullet"/>
      </w:pPr>
      <w:r>
        <w:t>Transporteurs : le niraparib est substrat et inhibiteur in vivo de la P-gp, de la BCRP, de l'OCT1 et de la MATE1/2-K (les deux derniers expliquent l'augmentation de la créatinine sérique par inhibition de la sécrétion tubulaire) ; surveiller les concentrations de : (i) digoxine ; (ii) dabigatran, rivaroxaban, apixaban ; (iii) metformine (risque d'acidose lactique en cas d'insuffisance rénale).</w:t>
      </w:r>
    </w:p>
    <w:p>
      <w:pPr>
        <w:pStyle w:val="ListBullet"/>
      </w:pPr>
      <w:r>
        <w:t>Vaccins : vaccins vivants atténués (BCG, ROR, fièvre jaune, varicelle) contre-indiqués pendant le traitement. Vaccins inactivés autorisés.</w:t>
      </w:r>
    </w:p>
    <w:p>
      <w:pPr>
        <w:pStyle w:val="ListBullet"/>
      </w:pPr>
      <w:r>
        <w:t>Alimentation : prendre à heure fixe, indifféremment avec ou sans nourriture (mais toujours de la même manière). Éviter le jus de pamplemousse (inhibiteur du CYP3A4 intestinal). Éviter le millepertuis (inducteur). Modération alcoolique.</w:t>
      </w:r>
    </w:p>
    <w:p>
      <w:r/>
      <w:r>
        <w:rPr>
          <w:b/>
        </w:rPr>
        <w:t>Grossesse et Allaitement :</w:t>
      </w:r>
      <w:r/>
    </w:p>
    <w:p>
      <w:pPr>
        <w:pStyle w:val="ListBullet"/>
      </w:pPr>
      <w:r>
        <w:t>Grossesse : CONTRE-INDICATION ABSOLUE. Données animales tératogènes et embryo-létales (malformations cardiovasculaires, squelettiques, et fœtotoxicité à exposition infra-thérapeutique chez le rat et le lapin). Une contraception efficace (double méthode : condom + contraception orale ou dispositif intra-utérin) est obligatoire chez la femme en âge de procréer durant le traitement et jusqu'à 6 mois après l'arrêt. Chez l'homme traité : altération possible de la spermatogenèse, contraception conseillée pendant le traitement et 3 mois après l'arrêt. Conservation de sperme recommandée avant tout traitement anticancéreux.</w:t>
      </w:r>
    </w:p>
    <w:p>
      <w:pPr>
        <w:pStyle w:val="ListBullet"/>
      </w:pPr>
      <w:r>
        <w:t>Allaitement : CONTRE-INDICATION ABSOLUE. Le niraparib passe dans le lait maternel (forte lipophilie), exposant le nouveau-né à des concentrations cytotoxiques et à un risque de cytopénies sévères et de retards de croissance. Allaitement à interrompre pendant toute la durée du traitement et jusqu'à 1 mois après l'arrêt.</w:t>
      </w:r>
    </w:p>
    <w:p>
      <w:pPr>
        <w:pStyle w:val="ListBullet"/>
      </w:pPr>
      <w:r>
        <w:t>Précautions : Femme en âge de procréer : test de grossesse avant initiation et mensuel pendant le traitement.</w:t>
      </w:r>
    </w:p>
    <w:p>
      <w:r/>
      <w:r>
        <w:rPr>
          <w:b/>
        </w:rPr>
        <w:t>Posologie et Mode d'administration (Standard) :</w:t>
      </w:r>
      <w:r/>
    </w:p>
    <w:p>
      <w:pPr>
        <w:pStyle w:val="ListBullet"/>
      </w:pPr>
      <w:r>
        <w:t>Adulte : 200 mg (2 comprimés à 100 mg) une fois par jour, voie orale, indifféremment avec ou sans nourriture. Dose initiale réduite à 100 mg/j (1 comprimé) pour les patientes de poids &lt; 77 kg et/ou avec insuffisance rénale modérée (DFG 30–50 mL/min) ou âge ≥ 75 ans. Le traitement se poursuit jusqu'à progression ou intolérance.</w:t>
      </w:r>
    </w:p>
    <w:p>
      <w:pPr>
        <w:pStyle w:val="ListBullet"/>
      </w:pPr>
      <w:r>
        <w:t>Adaptation en cas de thrombopénie : niveau 1 : 100 mg/j ; niveau 2 : 100 mg un jour sur deux ; niveau 3 : arrêt définitif. Adaptation à chaque cycle.</w:t>
      </w:r>
    </w:p>
    <w:p>
      <w:pPr>
        <w:pStyle w:val="ListBullet"/>
      </w:pPr>
      <w:r>
        <w:t>Adaptation à la fonction rénale : DFG ≥ 50 mL/min : pas d'adaptation (mais dose initiale réduite à 100 mg/j si &lt; 77 kg) ; DFG 30–50 mL/min : 100 mg/j ; DFG &lt; 30 mL/min : 100 mg/j sous surveillance stricte.</w:t>
      </w:r>
    </w:p>
    <w:p>
      <w:pPr>
        <w:pStyle w:val="ListBullet"/>
      </w:pPr>
      <w:r>
        <w:t>Adaptation à la fonction hépatique : Child-Pugh A : pas d'adaptation ; Child-Pugh B : 100 mg/j ; Child-Pugh C : 100 mg/j sous surveillance stricte.</w:t>
      </w:r>
    </w:p>
    <w:p>
      <w:pPr>
        <w:pStyle w:val="ListBullet"/>
      </w:pPr>
      <w:r>
        <w:t>Adaptation en cas d'interactions : sous inhibiteurs puissants du CYP3A4 (kétoconazole, itraconazole, clarithromycine, ritonavir) : surveillance clinique, adaptation selon tolérance (réduction à 100 mg/j si EI). Sous inducteurs (rifampicine, phénytoïne, carbamazépine, millepertuis) : éviter si possible (efficacité compromise).</w:t>
      </w:r>
    </w:p>
    <w:p>
      <w:pPr>
        <w:pStyle w:val="ListBullet"/>
      </w:pPr>
      <w:r>
        <w:t>Mode d'administration : voie orale stricte, monoprise quotidienne (matin ou soir, à heure fixe). Les comprimés pelliculés ne doivent pas être écrasés, mâchés ou dissous. En cas d'oubli de moins de 12 heures : prendre la dose immédiatement ; au-delà : ne pas prendre la dose, poursuivre au schéma habituel. En cas de vomissement : ne pas reprendre de dose.</w:t>
      </w:r>
    </w:p>
    <w:p>
      <w:pPr>
        <w:pStyle w:val="ListBullet"/>
      </w:pPr>
      <w:r>
        <w:t>Durée du traitement : traitement au long cours jusqu'à progression ou intolérance. Dans le cancer de l'ovaire en entretien de 1re ligne, le traitement est poursuivi pendant 3 ans (voire au-delà selon la réponse et la tolérance).</w:t>
      </w:r>
    </w:p>
    <w:p>
      <w:r/>
      <w:r>
        <w:rPr>
          <w:b/>
        </w:rPr>
        <w:t>Surveillance Biologique et Suivi Clinique :</w:t>
      </w:r>
      <w:r/>
    </w:p>
    <w:p>
      <w:pPr>
        <w:pStyle w:val="ListBullet"/>
      </w:pPr>
      <w:r>
        <w:t>Hématologique : NFS-plaquettes avant initiation, à J14, J21, J28 du premier cycle, puis mensuel pendant 12 mois, puis trimestriel. Seuils d'adaptation : plaquettes &lt; 100 G/L (grade 2) → surveillance rapprochée ; &lt; 50 G/L (grade 3) → interruption, reprise à dose réduite ; &lt; 25 G/L (grade 4) → interruption, reprise à dose réduite. PNN &lt; 1,0 G/L → interruption. Hb &lt; 80 g/L → interruption, transfusion si symptomatique.</w:t>
      </w:r>
    </w:p>
    <w:p>
      <w:pPr>
        <w:pStyle w:val="ListBullet"/>
      </w:pPr>
      <w:r>
        <w:t>Hépatique : ALAT, ASAT, bilirubine avant initiation, mensuel 3 mois puis trimestriel.</w:t>
      </w:r>
    </w:p>
    <w:p>
      <w:pPr>
        <w:pStyle w:val="ListBullet"/>
      </w:pPr>
      <w:r>
        <w:t>Rénale : créatinine, urée, ionogramme avant initiation, mensuel 3 mois puis trimestriel. Interpréter avec prudence l'augmentation de la créatinine (inhibition de MATE1/MATE2-K, sans atteinte glomérulaire — mesurer la cystatine C si doute).</w:t>
      </w:r>
    </w:p>
    <w:p>
      <w:pPr>
        <w:pStyle w:val="ListBullet"/>
      </w:pPr>
      <w:r>
        <w:t>Tension artérielle : avant initiation, à J14, J28, puis mensuel (HTA précoce, souvent dans les 2 premiers mois). Initiation antihypertenseur si PA ≥ 150/100 mmHg. Surveillance accrue chez les patients hypertendus préexistants.</w:t>
      </w:r>
    </w:p>
    <w:p>
      <w:pPr>
        <w:pStyle w:val="ListBullet"/>
      </w:pPr>
      <w:r>
        <w:t>Pulmonaire : radiographie thoracique de référence, scanner thoracique si suspicion clinique (toux sèche, dyspnée d'effort, fièvre).</w:t>
      </w:r>
    </w:p>
    <w:p>
      <w:pPr>
        <w:pStyle w:val="ListBullet"/>
      </w:pPr>
      <w:r>
        <w:t>À long terme (au-delà de 12 mois) : surveillance hématologique trimestrielle renforcée pour le dépistage de la myélodysplasie (MDS) et de la leucémie aiguë myéloïde secondaire (LAM, incidence ~1 % à 2–3 ans).</w:t>
      </w:r>
    </w:p>
    <w:p>
      <w:pPr>
        <w:pStyle w:val="ListBullet"/>
      </w:pPr>
      <w:r>
        <w:t>Suivi moléculaire : surveillance de la maladie résiduelle (CA-125 pour le cancer de l'ovaire, ctDNA pour le cancer du sein).</w:t>
      </w:r>
    </w:p>
    <w:p>
      <w:r/>
      <w:r>
        <w:rPr>
          <w:b/>
        </w:rPr>
        <w:t>Arbitrage et Bénéfices des Formes Galéniques :</w:t>
      </w:r>
      <w:r/>
    </w:p>
    <w:p>
      <w:r>
        <w:t>Le dosage unique de 100 mg permet l'adaptation posologique fine (dose standard : 2 comprimés/jour = 200 mg/j ; dose réduite niveau 1 : 1 comprimé/jour = 100 mg/j ; dose réduite niveau 2 : 1 comprimé un jour sur deux = 100 mg un jour sur deux). Le conditionnement de 56 comprimés correspond à 4 semaines de traitement (dose standard). La monoprise quotidienne est un avantage majeur par rapport à l'olaparib (biquotidien), améliorant l'observance et la tolérance digestive. La dose initiale réduite à 100 mg/j pour les patientes de poids &lt; 77 kg ou avec insuffisance rénale modérée est un ajustement important à connaître (réduction du risque de thrombopénie et d'HTA).</w:t>
      </w:r>
    </w:p>
    <w:p>
      <w:r/>
      <w:r>
        <w:rPr>
          <w:b/>
        </w:rPr>
        <w:t>Instructions et Conseils au Patient :</w:t>
      </w:r>
      <w:r/>
    </w:p>
    <w:p>
      <w:pPr>
        <w:pStyle w:val="ListBullet"/>
      </w:pPr>
      <w:r>
        <w:t>Communication au comptoir : « Le niraparib est un médicament anticancéreux oral qui cible spécifiquement les cellules tumorales en bloquant une enzyme appelée PARP qui répare l'ADN. Il se prend une fois par jour, à heure fixe, indifféremment avec ou sans nourriture mais toujours de la même manière, en continu (pas d'arrêt hebdomadaire). Les effets indésirables principaux sont une baisse des plaquettes (thrombopénie), une baisse des globules rouges (anémie), une baisse des globules blancs (neutropénie), une hypertension artérielle, des nausées, de la fatigue, des constipations et des maux de tête. Prévenez immédiatement votre médecin en cas de fièvre (≥ 38,5 °C, risque infectieux sur neutropénie), de saignements anormaux (ecchymoses, épistaxis, gingivorragies, sur thrombopénie), d'essoufflement (anémie ou pneumopathie), de maux de tête intenses ou de vertiges (hypertension), ou de fatigue intense. Évitez le pamplemousse et le millepertuis. »</w:t>
      </w:r>
    </w:p>
    <w:p>
      <w:pPr>
        <w:pStyle w:val="ListBullet"/>
      </w:pPr>
      <w:r>
        <w:t>Observance : Prise à heure fixe (matin ou soir, selon préférence), calendrier d'administration, ne jamais interrompre sans avis médical, prévoir une réserve pour week-ends et voyages, conserver à température &lt; 25 °C à l'abri de l'humidité. En cas d'oubli de moins de 12 heures : prendre la dose immédiatement ; au-delà : ne pas doubler.</w:t>
      </w:r>
    </w:p>
    <w:p>
      <w:pPr>
        <w:pStyle w:val="ListBullet"/>
      </w:pPr>
      <w:r>
        <w:t>Hygiène de vie : Éviter le pamplemousse et le millepertuis, alcool à proscrire, photoprotection SPF 50+, éviter les vaccins vivants sans avis médical, éviter les foules et contacts avec personnes infectées pendant les phases de cytopénies.</w:t>
      </w:r>
    </w:p>
    <w:p>
      <w:pPr>
        <w:pStyle w:val="ListBullet"/>
      </w:pPr>
      <w:r>
        <w:t>Femmes en âge de procréer : double contraception obligatoire (préservatif + contraception hormonale ou dispositif intra-utérin), test de grossesse avant initiation et mensuel, contraception maintenue 6 mois après l'arrêt.</w:t>
      </w:r>
    </w:p>
    <w:p>
      <w:pPr>
        <w:pStyle w:val="ListBullet"/>
      </w:pPr>
      <w:r>
        <w:t>Auto-surveillance tensionnelle : auto-mesure tensionnelle matin et soir pendant le traitement (HTA précoce fréquente), alerte en cas de PA ≥ 150/100 mmHg (consultation médicale).</w:t>
      </w:r>
    </w:p>
    <w:p>
      <w:r/>
      <w:r>
        <w:rPr>
          <w:b/>
        </w:rPr>
        <w:t>Notes, Règles d'Or &amp; Pièges au Comptoir :</w:t>
      </w:r>
      <w:r/>
    </w:p>
    <w:p>
      <w:pPr>
        <w:pStyle w:val="ListBullet"/>
      </w:pPr>
      <w:r>
        <w:t>Piège : la thrombopénie est l'effet indésirable signature du niraparib (60 % des patientes, dont 30 % grade 3/4, plus marqué que l'olaparib). Elle survient typiquement à J14-J21 du premier cycle, est réversible à l'arrêt (récupération en 14–28 jours), et n'est pas cumulative. La dose initiale doit être réduite à 100 mg/j pour les patientes de poids &lt; 77 kg ou avec insuffisance rénale modérée (DFG 30–50 mL/min) en raison du risque majoré.</w:t>
      </w:r>
    </w:p>
    <w:p>
      <w:pPr>
        <w:pStyle w:val="ListBullet"/>
      </w:pPr>
      <w:r>
        <w:t>Règle : le schéma d'administration est une monoprise quotidienne (matin ou soir, à heure fixe), en continu (pas d'arrêt hebdomadaire comme pour le palbociclib, pas de biquotidien comme pour l'olaparib). Le pharmacien doit vérifier la compréhension du schéma par la patiente (calendrier quotidien recommandé).</w:t>
      </w:r>
    </w:p>
    <w:p>
      <w:pPr>
        <w:pStyle w:val="ListBullet"/>
      </w:pPr>
      <w:r>
        <w:t>Piège : l'HTA précoce (souvent dans les 2 premiers mois) est un effet indésirable spécifique du niraparib, possiblement lié à l'inhibition de PARP sur les cellules endothéliales rénales. Surveillance tensionnelle systématique à J14, J28, puis mensuel. Initiation antihypertenseur si PA ≥ 150/100 mmHg.</w:t>
      </w:r>
    </w:p>
    <w:p>
      <w:pPr>
        <w:pStyle w:val="ListBullet"/>
      </w:pPr>
      <w:r>
        <w:t>Règle : l'adaptation posologique en cas de thrombopénie grade 3/4 se fait par paliers (200 → 100 mg/j → 100 mg un jour sur deux → arrêt), sans précipitation. Les premiers cycles sont souvent les plus thrombopéniants.</w:t>
      </w:r>
    </w:p>
    <w:p>
      <w:pPr>
        <w:pStyle w:val="ListBullet"/>
      </w:pPr>
      <w:r>
        <w:t>Piège : l'augmentation de la créatinine sérique sous niraparib est généralement due à l'inhibition de la sécrétion tubulaire (MATE1/MATE2-K) et non à une atteinte glomérulaire. Ne pas sur-interpréter comme une insuffisance rénale aiguë.</w:t>
      </w:r>
    </w:p>
    <w:p>
      <w:pPr>
        <w:pStyle w:val="ListBullet"/>
      </w:pPr>
      <w:r>
        <w:t>Surveillance : surveiller la survenue de toux sèche et dyspnée d'effort (pneumopathie interstitielle, 5 %), et à long terme le risque de myélodysplasie/LAM secondaire (incidence ~1 % à 2–3 ans, surveillance hématologique trimestrielle au-delà de 12 mois).</w:t>
      </w:r>
    </w:p>
    <w:p>
      <w:pPr>
        <w:pStyle w:val="ListBullet"/>
      </w:pPr>
      <w:r>
        <w:t>Piège : oubli de plus de 12 heures — ne pas doubler la dose suivante.</w:t>
      </w:r>
    </w:p>
    <w:p>
      <w:pPr>
        <w:pStyle w:val="ListBullet"/>
      </w:pPr>
      <w:r>
        <w:t>Interactions : éviter les inducteurs enzymatiques puissants (rifampicine, phénytoïne, millepertuis) en cas d'efficacité thérapeutique inexpliquée.</w:t>
      </w:r>
    </w:p>
    <w:p>
      <w:pPr>
        <w:pStyle w:val="ListBullet"/>
      </w:pPr>
      <w:r>
        <w:t>Règle : vacciner systématiquement (grippe, pneumocoque) avant initiation.</w:t>
      </w:r>
    </w:p>
    <w:p>
      <w:pPr>
        <w:pStyle w:val="Heading2"/>
      </w:pPr>
      <w:r>
        <w:t>105.4 Sous-classe : Inhibiteurs du protéasome</w:t>
      </w:r>
    </w:p>
    <w:p>
      <w:r>
        <w:t>Le protéasome 26S est une protéase multifonctionnelle intracellulaire, abondante dans le cytoplasme et le noyau des cellules eucaryotes, responsable de la dégradation contrôlée de la majorité des protéines intracellulaires (90 %). Il assure la dégradation des protéines ubiquitinées (marquées par une chaîne de polyubiquitine via le système E1-E2-E3), permettant ainsi le renouvellement protéique, le contrôle qualité (élimination des protéines mal conformées), la régulation du cycle cellulaire (cyclines, CDK), la régulation de la transcription (NF-κB, HIF-1α), la présentation antigénique (MHC classe I) et l'apoptose (régulation des protéines pro- et anti-apoptotiques). Le protéasome 26S est constitué d'une particule centrale catalytique 20S (en forme de tonneau, 4 anneaux empilés α7β7β7α7) et de deux particules régulatrices 19S (cap, reconnaissance des substrats ubiquitinés).</w:t>
      </w:r>
    </w:p>
    <w:p>
      <w:r>
        <w:t>Les plasmocytes tumoraux du myélome multiple produisent massivement des immunoglobulines monoclonales (IgG, IgA, IgM, chaînes légères libres), générant un flux protéique intracellulaire considérable. Le protéasome est essentiel à leur survie, en éliminant les protéines mal conformées issues du repliement des chaînes lourdes et légères d'immunoglobulines (protéines mal conformées du réticulum endoplasmique, RE). L'inhibition du protéasome induit un stress du RE, une accumulation de protéines ubiquitinées délétères, l'activation de la réponse unfolded protein response (UPR), et finalement l'apoptose des plasmocytes tumoraux (qui sont particulièrement sensibles au stress protéotoxique). Les cellules non plasmocytaires (lymphocytes T, B, cellules saines) sont moins sensibles à l'inhibition du protéasome, en raison d'un flux protéique intracellulaire moindre.</w:t>
      </w:r>
    </w:p>
    <w:p>
      <w:r>
        <w:t>Les inhibiteurs du protéasome disponibles (bortézomib, carfilzomib, ixazomib) sont des petites molécules (peptides ou peptidomimétiques) qui se lient de manière reversible (bortézomib, ixazomib) ou irréversible (carfilzomib) au site catalytique thréonine N-terminale (Thr1) de la sous-unité β5 du protéasome 20S, bloquant l'activité chymotrypsine-like (β5), et accessoirement les activités caspase-like (β1) et trypsine-like (β2). Le bortézomib (Velcade®, Janssen, AMM FDA 2003, EMA 2004) fut le premier de la classe et a transformé le pronostic du myélome multiple (survie médiane passée de 3–4 ans à 7–10 ans en combinaison avec les IMiD et la dexaméthasone). Le carfilzomib (Kyprolis®, Amgen/Onyx, AMM FDA 2012, EMA 2015) est un inhibiteur irréversible (époxyketone), plus sélectif du protéasome, indiqué en deuxième ligne. L'ixazomib (Ninlaro®, Takeda, AMM FDA 2015, EMA 2016) est le premier inhibiteur oral, indiqué en troisième ligne en association au lénalidomide-dexaméthasone. En Algérie, les trois molécules sont disponibles (Avril 2026). Le profil de tolérance est dominé par la neuropathie périphérique (bortézomib, lié à l'inhibition du protéasome neuronal), la thrombopénie, la neutropénie, la fatigue, et plus rarement l'insuffisance cardiaque (carfilzomib), l'hypertension pulmonaire (carfilzomib), et le syndrome de lyse tumorale.</w:t>
      </w:r>
    </w:p>
    <w:p>
      <w:pPr>
        <w:pStyle w:val="Heading3"/>
      </w:pPr>
      <w:r>
        <w:t>105.4.1 DCI : Bortézomib (sous forme de bortézomib trimer boroxine)</w:t>
      </w:r>
    </w:p>
    <w:p>
      <w:r/>
      <w:r>
        <w:rPr>
          <w:b/>
        </w:rPr>
        <w:t>Liste des Catégories :</w:t>
      </w:r>
      <w:r>
        <w:t xml:space="preserve"> Antinéoplasiques ; Inhibiteur du protéasome 26S (sous-unité β5, chef de file de la classe) ; Liste I (sur prescription hospitalière spécialisée en hématologie clinique).</w:t>
      </w:r>
    </w:p>
    <w:p>
      <w:r>
        <w:t>Le bortézomib (PS-341, Velcade®, Janssen) est un inhibiteur réversible du protéasome 26S (sous-unité β5, activité chymotrypsine-like), chef de file de la classe. Indiqué dans le myélome multiple (en première ligne en association au melphalan-prednisone chez les patients non éligibles à l'autogreffe, ou en association à la dexaméthasone ± lénalidomide chez les patients éligibles à l'autogreffe ; en rechute/réfractaire en association au lénalidomide-dexaméthasone, ou au panobinostat), et dans le lymphome B à cellules du manteau (MCL, en rechute/réfractaire après au moins une ligne). AMM FDA mai 2003 (accélérée), EMA avril 2004. Le bortézomib a transformé le pronostic du myélome multiple, passant la survie médiane de 3–4 ans (ère de la melphalan-prednisone) à 7–10 ans en combinaison avec les IMiD et la dexaméthasone. La voie d'administration est sous-cutanée (préférée à la voie IV en raison d'une moindre neurotoxicité, efficacité identique) ou intraveineuse. La formulation se présente sous forme de poudre lyophilisée à reconstituer.</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VELCADE</w:t>
            </w:r>
          </w:p>
        </w:tc>
        <w:tc>
          <w:tcPr>
            <w:tcW w:type="dxa" w:w="1559"/>
          </w:tcPr>
          <w:p>
            <w:r>
              <w:rPr>
                <w:sz w:val="20"/>
              </w:rPr>
              <w:t>JANSSEN CILAG INTERNATIONAL N.V.</w:t>
            </w:r>
          </w:p>
        </w:tc>
        <w:tc>
          <w:tcPr>
            <w:tcW w:type="dxa" w:w="1559"/>
          </w:tcPr>
          <w:p>
            <w:r>
              <w:rPr>
                <w:sz w:val="20"/>
              </w:rPr>
              <w:t>Poudre lyophilisée pour solution injectable (IV/SC) 3,5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BORTEZOMIB-SAIDAL</w:t>
            </w:r>
          </w:p>
        </w:tc>
        <w:tc>
          <w:tcPr>
            <w:tcW w:type="dxa" w:w="1559"/>
          </w:tcPr>
          <w:p>
            <w:r>
              <w:rPr>
                <w:sz w:val="20"/>
              </w:rPr>
              <w:t>GROUPE SAIDAL</w:t>
            </w:r>
          </w:p>
        </w:tc>
        <w:tc>
          <w:tcPr>
            <w:tcW w:type="dxa" w:w="1559"/>
          </w:tcPr>
          <w:p>
            <w:r>
              <w:rPr>
                <w:sz w:val="20"/>
              </w:rPr>
              <w:t>Poudre lyophilisée pour solution injectable (IV/SC) 3,5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BORTERO</w:t>
            </w:r>
          </w:p>
        </w:tc>
        <w:tc>
          <w:tcPr>
            <w:tcW w:type="dxa" w:w="1559"/>
          </w:tcPr>
          <w:p>
            <w:r>
              <w:rPr>
                <w:sz w:val="20"/>
              </w:rPr>
              <w:t>HETERO LABS LIMITED</w:t>
            </w:r>
          </w:p>
        </w:tc>
        <w:tc>
          <w:tcPr>
            <w:tcW w:type="dxa" w:w="1559"/>
          </w:tcPr>
          <w:p>
            <w:r>
              <w:rPr>
                <w:sz w:val="20"/>
              </w:rPr>
              <w:t>Poudre lyophilisée pour solution injectable (IV/SC) 3,5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BORTEZOMIB INTAS</w:t>
            </w:r>
          </w:p>
        </w:tc>
        <w:tc>
          <w:tcPr>
            <w:tcW w:type="dxa" w:w="1559"/>
          </w:tcPr>
          <w:p>
            <w:r>
              <w:rPr>
                <w:sz w:val="20"/>
              </w:rPr>
              <w:t>INTAS PHARMACEUTICALS LIMITED</w:t>
            </w:r>
          </w:p>
        </w:tc>
        <w:tc>
          <w:tcPr>
            <w:tcW w:type="dxa" w:w="1559"/>
          </w:tcPr>
          <w:p>
            <w:r>
              <w:rPr>
                <w:sz w:val="20"/>
              </w:rPr>
              <w:t>Poudre lyophilisée pour solution injectable (IV/SC) 3,5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ORIONZOMIB</w:t>
            </w:r>
          </w:p>
        </w:tc>
        <w:tc>
          <w:tcPr>
            <w:tcW w:type="dxa" w:w="1559"/>
          </w:tcPr>
          <w:p>
            <w:r>
              <w:rPr>
                <w:sz w:val="20"/>
              </w:rPr>
              <w:t>ORION LAB</w:t>
            </w:r>
          </w:p>
        </w:tc>
        <w:tc>
          <w:tcPr>
            <w:tcW w:type="dxa" w:w="1559"/>
          </w:tcPr>
          <w:p>
            <w:r>
              <w:rPr>
                <w:sz w:val="20"/>
              </w:rPr>
              <w:t>Poudre lyophilisée pour solution injectable (IV/SC) 3,5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bl>
    <w:p/>
    <w:p>
      <w:r>
        <w:t>La spécialité princeps VELCADE (Janssen-Cilag) coexiste avec quatre génériques (SAIDAL algérien, HETERO et INTAS indiens, ORION algérien) en formulation poudre lyophilisée à reconstituer, à la dose unique de 3,5 mg par flacon (permettant la dose standard de 1,3 mg/m² en sous-cutané ou IV, soit pour un adulte moyen de 1,8 m² : 2,3 mg = ~2/3 du flacon). Le conditionnement unitaire (1 flacon par boîte) correspond à une injection. La délivrance s'effectue strictement en pharmacie hospitalière spécialisée (hématologie clinique, hôpital de jour).</w:t>
      </w:r>
    </w:p>
    <w:p>
      <w:r/>
      <w:r>
        <w:rPr>
          <w:b/>
        </w:rPr>
        <w:t>Sous-classe et Mécanisme d'action :</w:t>
      </w:r>
      <w:r/>
    </w:p>
    <w:p>
      <w:pPr>
        <w:pStyle w:val="ListBullet"/>
      </w:pPr>
      <w:r>
        <w:t>Sous-classe : Inhibiteur réversible du protéasome 26S (sous-unité β5, activité chymotrypsine-like), classe des dipeptidyl boronates (analogue peptidomimétique), chef de file de la classe. DCI inscrite sur la liste des médicaments essentiels OMS.</w:t>
      </w:r>
    </w:p>
    <w:p>
      <w:pPr>
        <w:pStyle w:val="ListBullet"/>
      </w:pPr>
      <w:r>
        <w:t>Mécanisme d'action : le bortézomib pénètre dans le compartiment intracellulaire et se lie de manière réversible (liaison boronate-thréonine) au site catalytique Thr1 de la sous-unité β5 du protéasome 20S, bloquant ainsi l'activité chymotrypsine-like (et accessoirement les activités caspase-like β1 et trypsine-like β2 à forte dose). L'inhibition du protéasome a plusieurs conséquences antitumorales : (i) Accumulation des protéines ubiquitinées (cyclines D, E ; CDK ; inhibiteurs de CDK p21, p27 ; proto-oncogènes comme c-MYC, c-FOS) — arrêt du cycle cellulaire en G1-S ou G2-M et cytostase ; (ii) Inhibition de la dégradation de IκB (inhibiteur de NF-κB) — blocage de la translocation nucléaire de NF-κB, suppression de la transcription des gènes anti-apoptotiques (BCL-2, BCL-XL, c-FLIP, c-IAP), des gènes de prolifération (cycline D1) et de l'angiogenèse (VEGF) ; (iii) Stabilisation de p53 (favorisant l'apoptose via BAX, PUMA, NOXA) ; (iv) Induction d'un stress du réticulum endoplasmique (accumulation des protéines mal conformées d'immunoglobulines dans les plasmocytes tumoraux) — activation de la voie UPR (PERK, IRE1, ATF6), et au-delà d'un seuil, activation de l'apoptose via CHOP et caspase-12. Les plasmocytes tumoraux du myélome sont particulièrement sensibles au stress protéotoxique en raison de leur production massive d'immunoglobulines monoclonales. (v) Diminution de la production d'adésion molécules (VCAM-1, ICAM-1) par les cellules stromales médullaires, perturbant l'adhésion des cellules myélomateuses au microenvironnement médullaire et la résistance associée.</w:t>
      </w:r>
    </w:p>
    <w:p>
      <w:r/>
      <w:r>
        <w:rPr>
          <w:b/>
        </w:rPr>
        <w:t>Profil Pharmacologique :</w:t>
      </w:r>
      <w:r/>
    </w:p>
    <w:p>
      <w:pPr>
        <w:pStyle w:val="ListBullet"/>
      </w:pPr>
      <w:r>
        <w:t>Indications : (1) Myélome multiple en première ligne, en association au melphalan-prednisone (MPV) chez les patients non éligibles à l'autogreffe (dose 1,3 mg/m² SC J1, J4, J8, J11, cycles de 42 jours, 9 cycles) ; (2) Myélome multiple en première ligne, en association à la dexaméthasone (VD) ± lénalidomide (VRD) chez les patients éligibles à l'autogreffe (induction : 4 cycles, puis autogreffe) ; (3) Myélome multiple en rechute/réfractaire, en monothérapie ou en association (VRD, VD, VRd-lite) ; (4) Lymphome B à cellules du manteau (MCL) en rechute/réfractaire après au moins une ligne (dose 1,3 mg/m² IV J1, J4, J8, J11, cycles de 21 jours, ≤ 4 cycles) ; (5) Myélome multiple en rechute après autogreffe (en consolidation ou traitement d'entretien, en optionnel).</w:t>
      </w:r>
    </w:p>
    <w:p>
      <w:pPr>
        <w:pStyle w:val="ListBullet"/>
      </w:pPr>
      <w:r>
        <w:t>Contre-indications : Hypersensibilité au bortézomib, au bore, ou à l'un des excipients (mannitol). Précautions : neuropathie périphérique préexistante (réduction de dose à 1,0 mg/m², voire switch vers carfilzomib ou ixazomib moins neurotoxiques), insuffisance hépatique modérée à sévère (réduction à 0,7 mg/m² pour bilirubine &gt; 1,5× LSN), insuffisance rénale sévère (DFG &lt; 30 mL/min, surveillance, dialyse possible), thrombopénie préexistante (&lt; 70 G/L, à corriger avant initiation), infection active (risque majoré sur immunosuppression), grossesse (CI absolue), allaitement (CI absolue), syndrome de lyse tumorale (prophylaxie en cas de masse tumorale élevée).</w:t>
      </w:r>
    </w:p>
    <w:p>
      <w:pPr>
        <w:pStyle w:val="ListBullet"/>
      </w:pPr>
      <w:r>
        <w:t>Effets Indésirables : Très fréquents (&gt; 10 %) : neuropathie périphérique sensitive (35 %, dont 10 % grade 3/4 — effet signature, plus marquée en IV qu'en SC), thrombopénie (45 %, dont 30 % grade 3/4, nadir à J11, récupération à J21), neutropénie (30 %, dont 15 % grade 3/4), anémie (25 %), nausées (40 %), vomissements (25 %), diarrhée (35 %), constipation (25 %), fatigue (50 %), asthénie (40 %), pyrexie (30 %), céphalées (20 %), arthralgies (20 %), myalgies (15 %), hypotension orthostatique (15 %), rash (15 %), herpès zoster (15 % — prophylaxie antivirale obligatoire par aciclovir). Fréquents (1–10 %) : pneumopathie interstitielle, syndrome de dysfonctionnement multiviscéral pulmonaire (rare mais spécifique), neuropathie autonome (constipation, rétention urinaire, hypotension orthostatique), insuffisance cardiaque, hypertension pulmonaire (rare), hépatotoxicité, hypokaliémie, hyponatrémie, syndrome de lyse tumorale, réactivation virale (CMV, hépatite B). Rares (&lt; 1 %) : leucoencéphalopathie postérieure réversible (PRES), convulsions, syndrome hémolytique et urémique, purpura thrombotique thrombocytopénique.</w:t>
      </w:r>
    </w:p>
    <w:p>
      <w:r/>
      <w:r>
        <w:rPr>
          <w:b/>
        </w:rPr>
        <w:t>Prévention et Gestion des Effets Indésirables :</w:t>
      </w:r>
      <w:r/>
    </w:p>
    <w:p>
      <w:pPr>
        <w:pStyle w:val="ListBullet"/>
      </w:pPr>
      <w:r>
        <w:t>Mesures Préventives : (i) Voie sous-cutanée privilégiée (réduction de la neurotoxicité de 40 % vs IV, efficacité identique). (ii) Bilan neurologique clinique de référence (EMG si neuropathie préexistante), surveillance neurologique à chaque cycle (échelle NCI-CTCAE v5.0). (iii) NFS-plaquettes avant chaque injection, surveillance du nadir à J11. (iv) Prophylaxie antivirale systématique par aciclovir 400 mg/j (ou valaciclovir 500 mg/j) pendant toute la durée du traitement et 4 semaines après l'arrêt (prévention de l'herpès zoster, fréquent et grave). (v) Prophylaxie anti-Pneumocystis jirovecii par cotrimoxazole (Bactrim®) si association à la corticothérapie. (vi) Prophylaxie du syndrome de lyse tumorale : hyperhydratation, allopurinol ou rasburicase si masse tumorale élevée (β2-microglobuline &gt; 5,5 mg/L, hyperleucocytose, hyperuricémie). (vii) Bilan hépatique et rénal avant initiation. (viii) Information du patient sur les signes de neuropathie (engourdissements, picotements, douleurs des extrémités, constipation, hypotension orthostatique). (ix) Antiémétiques prophylactiques si nausées (ondansétron). (x) Vaccination antigrippale, antipneumococcique, anti-COVID-19 avant initiation (le bortézomib réduit la réponse immunitaire humorale).</w:t>
      </w:r>
    </w:p>
    <w:p>
      <w:pPr>
        <w:pStyle w:val="ListBullet"/>
      </w:pPr>
      <w:r>
        <w:t>Conduite à Tenir : Neuropathie périphérique grade 1 (paresthésies, picotements) sans retentissement fonctionnel : poursuivre à dose standard. Grade 2 avec retentissement fonctionnel (difficulté à boutonner, marcher) : réduire à 1,0 mg/m². Grade 3 (retentissement sévère) : interruption jusqu'à récupération (≤ grade 1), reprise à 0,7 mg/m² SC, ou switch vers carfilzomib/ixazomib. Grade 4 (déficit moteur, paralysie) : arrêt définitif. Thrombopénie grade 3/4 (plaquettes &lt; 50 G/L) : interruption transitoire jusqu'à récupération (plaquettes ≥ 75 G/L), reprise à dose réduite. Neutropénie grade 3/4 : interruption, G-CSF (filgrastim) si neutropénie fébrile. Syndrome de dysfonctionnement multiviscéral pulmonaire (dyspnée aiguë, hypoxémie, infiltrats interstitiels) : arrêt immédiat, corticothérapie 1–2 mg/kg/j de prednisone, oxygénothérapie, réanimation si nécessaire. Herpès zoster : valaciclovir 1000 mg × 3/j pendant 7 jours (en plus de la prophylaxie). Syndrome de lyse tumorale : hyperhydratation alcaline, rasburicase, surveillance ionogramme.</w:t>
      </w:r>
    </w:p>
    <w:p>
      <w:r/>
      <w:r>
        <w:rPr>
          <w:b/>
        </w:rPr>
        <w:t>Interactions Médicamenteuses :</w:t>
      </w:r>
      <w:r/>
    </w:p>
    <w:p>
      <w:pPr>
        <w:pStyle w:val="ListBullet"/>
      </w:pPr>
      <w:r>
        <w:t>CYP3A4, CYP2C9, CYP1A2 (métabolisme principal) : inducteurs enzymatiques (rifampicine, phénytoïne, carbamazépine, phénobarbital, millepertuis, dexaméthasone IV) → diminution des concentrations du bortézomib, à éviter. Inhibiteurs (kétoconazole, itraconazole, voriconazole, posaconazole, clarithromycine, ritonavir) → augmentation des concentrations, surveillance des EI. Adapter selon la tolérance.</w:t>
      </w:r>
    </w:p>
    <w:p>
      <w:pPr>
        <w:pStyle w:val="ListBullet"/>
      </w:pPr>
      <w:r>
        <w:t>Substrats à index thérapeutique étroit : le bortézomib est lui-même inhibiteur faible du CYP3A4 et du CYP2C19 ; surveiller : (i) warfarine (INR), (ii) AVK en général (préférer HBPM), (iii) digoxine (dosage sanguin), (iv) amiodarone, (v) antidépresseurs (tricycliques, paroxétine, fluoxétine — risque accru de neuropathie périphérique additive).</w:t>
      </w:r>
    </w:p>
    <w:p>
      <w:pPr>
        <w:pStyle w:val="ListBullet"/>
      </w:pPr>
      <w:r>
        <w:t>Neurotoxicité additive : éviter l'association avec les autres médicaments neurotoxiques (vincristine, vinblastine, vinorelbine, taxanes - paclitaxel, docétaxel, oxaliplatine, cisplatine, isoniazide, pyridoxine à haute dose, alcool chronique), en raison du risque majoré de neuropathie périphérique sévère.</w:t>
      </w:r>
    </w:p>
    <w:p>
      <w:pPr>
        <w:pStyle w:val="ListBullet"/>
      </w:pPr>
      <w:r>
        <w:t>Néphrotoxicité additive : éviter l'association avec les aminosides (gentamicine, amikacine), les produits de contraste iodés, les AINS à forte dose, le tacrolimus, la ciclosporine.</w:t>
      </w:r>
    </w:p>
    <w:p>
      <w:pPr>
        <w:pStyle w:val="ListBullet"/>
      </w:pPr>
      <w:r>
        <w:t>Hypotension orthostatique : éviter l'association avec les antihypertenseurs puissants (IEC, ARA2 à dose maximale, alpha-bloquants), les diurétiques, les vasodilatateurs. Surveillance tensionnelle.</w:t>
      </w:r>
    </w:p>
    <w:p>
      <w:pPr>
        <w:pStyle w:val="ListBullet"/>
      </w:pPr>
      <w:r>
        <w:t>Vaccins : vaccins vivants atténués (BCG, ROR, fièvre jaune, varicelle) contre-indiqués pendant le traitement en raison de l'immunosuppression et de la neutropénie. Vaccins inactivés autorisés mais réponse atténuée.</w:t>
      </w:r>
    </w:p>
    <w:p>
      <w:pPr>
        <w:pStyle w:val="ListBullet"/>
      </w:pPr>
      <w:r>
        <w:t>Alimentation : pas de restriction alimentaire spécifique (administration parentérale). Modération alcoolique (hépatotoxicité additive, neuropathie additive).</w:t>
      </w:r>
    </w:p>
    <w:p>
      <w:r/>
      <w:r>
        <w:rPr>
          <w:b/>
        </w:rPr>
        <w:t>Grossesse et Allaitement :</w:t>
      </w:r>
      <w:r/>
    </w:p>
    <w:p>
      <w:pPr>
        <w:pStyle w:val="ListBullet"/>
      </w:pPr>
      <w:r>
        <w:t>Grossesse : CONTRE-INDICATION ABSOLUE. Données animales tératogènes (embryotoxicité, fœtotoxicité, malformations cardiovasculaires et squelettiques chez le rat à exposition infra-thérapeutique). Données humaines limitées (le bortézomib n'est pas prescrit chez la femme enceinte en raison de la sélection des patientes âgées). Une contraception efficace (double méthode : condom + contraception orale ou dispositif intra-utérin) est obligatoire chez la femme en âge de procréer durant le traitement et jusqu'à 7 mois après l'arrêt. Chez l'homme traité : altération possible de la spermatogenèse (effet attendu de l'inhibition du protéasome sur les cellules germinales), contraception conseillée pendant le traitement et 4 mois après l'arrêt. Conservation de sperme recommandée avant tout traitement anticancéreux.</w:t>
      </w:r>
    </w:p>
    <w:p>
      <w:pPr>
        <w:pStyle w:val="ListBullet"/>
      </w:pPr>
      <w:r>
        <w:t>Allaitement : CONTRE-INDICATION ABSOLUE. Le bortézomib passe dans le lait maternel (forte lipophilie), exposant le nouveau-né à des concentrations cytotoxiques et à un risque de cytopénies sévères et de retards de croissance. Allaitement à interrompre pendant toute la durée du traitement.</w:t>
      </w:r>
    </w:p>
    <w:p>
      <w:pPr>
        <w:pStyle w:val="ListBullet"/>
      </w:pPr>
      <w:r>
        <w:t>Précautions : Femme en âge de procréer : test de grossesse avant initiation et mensuel pendant le traitement.</w:t>
      </w:r>
    </w:p>
    <w:p>
      <w:r/>
      <w:r>
        <w:rPr>
          <w:b/>
        </w:rPr>
        <w:t>Posologie et Mode d'administration (Standard) :</w:t>
      </w:r>
      <w:r/>
    </w:p>
    <w:p>
      <w:pPr>
        <w:pStyle w:val="ListBullet"/>
      </w:pPr>
      <w:r>
        <w:t>Adulte : 1,3 mg/m² en injection sous-cutanée (préférée) ou intraveineuse (lente, en bolus de 3–5 secondes), à J1, J4, J8, J11 du cycle (cycles de 21 jours ou de 42 jours selon protocole), soit 4 injections par cycle. Dose maximale absolue : 2,0 mg par injection (même pour surface corporelle &gt; 1,5 m²) ; pour surface &lt; 0,7 m², dose ajustée mais minimum 1,0 mg.</w:t>
      </w:r>
    </w:p>
    <w:p>
      <w:pPr>
        <w:pStyle w:val="ListBullet"/>
      </w:pPr>
      <w:r>
        <w:t>Adaptation en cas de neuropathie périphérique grade ≥ 2 : réduire à 1,0 mg/m², puis à 0,7 mg/m² si récidive. Switch vers carfilzomib ou ixazomib si neuropathie grade 3.</w:t>
      </w:r>
    </w:p>
    <w:p>
      <w:pPr>
        <w:pStyle w:val="ListBullet"/>
      </w:pPr>
      <w:r>
        <w:t>Adaptation à la fonction hépatique : bilirubine ≤ 1,5× LSN : pas d'adaptation ; bilirubine 1,5–3× LSN : réduire à 0,7 mg/m² ; bilirubine &gt; 3× LSN : contre-indication relative, éviter.</w:t>
      </w:r>
    </w:p>
    <w:p>
      <w:pPr>
        <w:pStyle w:val="ListBullet"/>
      </w:pPr>
      <w:r>
        <w:t>Adaptation à la fonction rénale : pas d'adaptation pour DFG ≥ 30 mL/min ; pour DFG &lt; 30 mL/min en dialyse : surveillance rapprochée, administration après dialyse.</w:t>
      </w:r>
    </w:p>
    <w:p>
      <w:pPr>
        <w:pStyle w:val="ListBullet"/>
      </w:pPr>
      <w:r>
        <w:t>Mode d'administration : (i) Voie sous-cutanée (préférée) : reconstitution de la poudre lyophilisée avec 1,4 mL de NaCl 0,9 % pour obtenir une solution à 2,5 mg/mL (3,5 mg/1,4 mL). Injection SC au niveau de l'abdomen ou de la cuisse (rotation des sites d'injection, à au moins 5 cm du dernier site). Ne pas injecter dans une zone sensible, érythémateuse, ecchymotique ou indurée. (ii) Voie intraveineuse (alternative) : reconstitution avec 3,5 mL de NaCl 0,9 % pour obtenir une solution à 1 mg/mL. Injection IV lente en bolus de 3–5 secondes via un cathéter périphérique, suivie d'un flush de NaCl 0,9 %.</w:t>
      </w:r>
    </w:p>
    <w:p>
      <w:pPr>
        <w:pStyle w:val="ListBullet"/>
      </w:pPr>
      <w:r>
        <w:t>Durée du traitement : myélome multiple en première ligne : 9 cycles (cycle de 42 jours) en association MPV, ou 4 cycles (cycle de 21 jours) en induction VRD avant autogreffe, suivi éventuellement de consolidation et/ou entretien. MCL : 4 cycles (cycle de 21 jours), jusqu'à progression ou intolérance. Rechute : jusqu'à progression ou intolérance.</w:t>
      </w:r>
    </w:p>
    <w:p>
      <w:r/>
      <w:r>
        <w:rPr>
          <w:b/>
        </w:rPr>
        <w:t>Surveillance Biologique et Suivi Clinique :</w:t>
      </w:r>
      <w:r/>
    </w:p>
    <w:p>
      <w:pPr>
        <w:pStyle w:val="ListBullet"/>
      </w:pPr>
      <w:r>
        <w:t>Hématologique : NFS-plaquettes avant chaque injection, surveillance du nadir à J11 (récupération à J21). Seuils d'adaptation : plaquettes &lt; 30 G/L → interruption ; &lt; 25 G/L → transfusion de plaquettes. PNN &lt; 0,5 G/L → interruption, G-CSF si neutropénie fébrile. Hb &lt; 80 g/L → transfusion de concentrés globulaires.</w:t>
      </w:r>
    </w:p>
    <w:p>
      <w:pPr>
        <w:pStyle w:val="ListBullet"/>
      </w:pPr>
      <w:r>
        <w:t>Neurologique : examen clinique de référence avant initiation, à chaque cycle (échelle NCI-CTCAE v5.0). Échelle NCI : grade 1 (paresthésies sans retentissement), grade 2 (retentissement fonctionnel modéré), grade 3 (retentissement sévère), grade 4 (déficit moteur, paralysie). EMG si neuropathie préexistante ou en cas d'aggravation. Information du patient sur les signes à signaler (engourdissements, picotements, douleurs des extrémités, difficulté à boutonner, marche anormale, constipation, hypotension orthostatique).</w:t>
      </w:r>
    </w:p>
    <w:p>
      <w:pPr>
        <w:pStyle w:val="ListBullet"/>
      </w:pPr>
      <w:r>
        <w:t>Hépatique : ALAT, ASAT, bilirubine avant initiation, à chaque cycle. Bilirubine &gt; 1,5× LSN → adaptation posologique.</w:t>
      </w:r>
    </w:p>
    <w:p>
      <w:pPr>
        <w:pStyle w:val="ListBullet"/>
      </w:pPr>
      <w:r>
        <w:t>Rénale : créatinine, urée, ionogramme avant initiation, à chaque cycle. Surveillance accrue en cas de néphropathie du myélome (chaînes légères libres).</w:t>
      </w:r>
    </w:p>
    <w:p>
      <w:pPr>
        <w:pStyle w:val="ListBullet"/>
      </w:pPr>
      <w:r>
        <w:t>Infectiologique : prophylaxie antivirale systématique par aciclovir 400 mg/j pendant toute la durée du traitement et 4 semaines après l'arrêt (prévention de l'herpès zoster). Prophylaxie anti-Pneumocystis jirovecii par cotrimoxazole si association à la corticothérapie. Surveillance clinique des signes infectieux (fièvre, frissons).</w:t>
      </w:r>
    </w:p>
    <w:p>
      <w:pPr>
        <w:pStyle w:val="ListBullet"/>
      </w:pPr>
      <w:r>
        <w:t>Cardiaque : ECG avant initiation, surveillance clinique (insuffisance cardiaque rare, hypertension pulmonaire rare).</w:t>
      </w:r>
    </w:p>
    <w:p>
      <w:pPr>
        <w:pStyle w:val="ListBullet"/>
      </w:pPr>
      <w:r>
        <w:t>Suivi moléculaire : électrophorèse des protéines sériques et urinaires, dosage des chaînes légères libres sériques (κ/λ, ratio), β2-microglobuline, à chaque cycle pour évaluation de la réponse (critères IMWG).</w:t>
      </w:r>
    </w:p>
    <w:p>
      <w:r/>
      <w:r>
        <w:rPr>
          <w:b/>
        </w:rPr>
        <w:t>Arbitrage et Bénéfices des Formes Galéniques :</w:t>
      </w:r>
      <w:r/>
    </w:p>
    <w:p>
      <w:r>
        <w:t>La formulation unique en poudre lyophilisée à reconstituer (3,5 mg/flacon) correspond à la dose standard adulte (1,3 mg/m² × 1,8 m² = 2,3 mg, soit ~2/3 du flacon). Le conditionnement unitaire (1 flacon par boîte) correspond à une injection, garantissant la traçabilité et la fraîcheur de la reconstitution (à utiliser immédiatement après reconstitution). La reconstitution doit être réalisée par un pharmacien hospitalier (pharmacie à usage interne, PUI) ou un infirmier spécialisé, selon des protocoles stricts (NaCl 0,9 %, vortex doux, pas d'agitation violente). La solution reconstituée est stable 8 heures à température ambiante. Le pharmacien d'officine n'est pas concerné par la dispensation directe du bortézomib (réservé au circuit hospitalier), mais peut intervenir dans la prévention des interactions médicamenteuses et le suivi de l'observance des traitements concomitants (prophylaxie antivirale, antihypertenseurs, antalgiques neuropathiques).</w:t>
      </w:r>
    </w:p>
    <w:p>
      <w:r/>
      <w:r>
        <w:rPr>
          <w:b/>
        </w:rPr>
        <w:t>Instructions et Conseils au Patient :</w:t>
      </w:r>
      <w:r/>
    </w:p>
    <w:p>
      <w:pPr>
        <w:pStyle w:val="ListBullet"/>
      </w:pPr>
      <w:r>
        <w:t>Communication au comptoir : « Le bortézomib est un médicament anticancéreux injectable qui cible spécifiquement les cellules de votre myélome (plasmocytes tumoraux) en bloquant une enzyme responsable de la dégradation des protéines. Il s'administre par injection sous-cutanée (au niveau de l'abdomen ou de la cuisse) ou intraveineuse, à J1, J4, J8 et J11 de chaque cycle (4 injections par cycle). Les effets indésirables principaux sont : une neuropathie périphérique (engourdissements, picotements, douleurs des mains et des pieds), une baisse des plaquettes (risque de saignement), une baisse des globules blancs (risque infectieux), une fatigue, des nausées, des diarrhées et un zona (prévention systématique par antiviral). Prévenez immédiatement votre médecin en cas de : engourdissements ou picotements des extrémités, fièvre (≥ 38,5 °C), saignements anormaux (ecchymoses, gingivorragies), dyspnée, douleurs thoraciques, éruption vésiculeuse en ceinture (zona), constipation sévère, ou hypotension orthostatique (vertiges au lever). »</w:t>
      </w:r>
    </w:p>
    <w:p>
      <w:pPr>
        <w:pStyle w:val="ListBullet"/>
      </w:pPr>
      <w:r>
        <w:t>Observance : administration hospitalière stricte (hôpital de jour d'hématologie), calendrier d'administration (J1, J4, J8, J11), prophylaxie antivirale par aciclovir 400 mg/j (ou valaciclovir 500 mg/j) à prendre quotidiennement sans oubli, traitement des douleurs neuropathiques par gabapentine ou prégabaline selon prescription.</w:t>
      </w:r>
    </w:p>
    <w:p>
      <w:pPr>
        <w:pStyle w:val="ListBullet"/>
      </w:pPr>
      <w:r>
        <w:t>Hygiène de vie : éviter l'alcool (neuropathie additive, hépatotoxicité), photoprotection SPF 50+, éviter les vaccins vivants sans avis médical, éviter les foules et contacts avec personnes infectées, hygiène rigoureuse (lavage des mains), éviter les activités à risque de coupure ou saignement (rasage prudent, brossage des dents à poils souples).</w:t>
      </w:r>
    </w:p>
    <w:p>
      <w:pPr>
        <w:pStyle w:val="ListBullet"/>
      </w:pPr>
      <w:r>
        <w:t>Femmes en âge de procréer : double contraception obligatoire, test de grossesse avant initiation et mensuel, contraception maintenue 7 mois après l'arrêt.</w:t>
      </w:r>
    </w:p>
    <w:p>
      <w:pPr>
        <w:pStyle w:val="ListBullet"/>
      </w:pPr>
      <w:r>
        <w:t>Site d'injection sous-cutanée : rotation des sites d'injection (abdomen, cuisses), à au moins 5 cm du dernier site, ne pas injecter dans une zone sensible ou indurée. Refroidir la zone avant injection peut réduire la douleur.</w:t>
      </w:r>
    </w:p>
    <w:p>
      <w:r/>
      <w:r>
        <w:rPr>
          <w:b/>
        </w:rPr>
        <w:t>Notes, Règles d'Or &amp; Pièges au Comptoir :</w:t>
      </w:r>
      <w:r/>
    </w:p>
    <w:p>
      <w:pPr>
        <w:pStyle w:val="ListBullet"/>
      </w:pPr>
      <w:r>
        <w:t>Piège : la neuropathie périphérique est l'effet indésirable signature du bortézomib (35 % des patients, dont 10 % grade 3/4). Elle est dose-dépendante, cumulative (au fil des cycles), et plus marquée en IV qu'en SC (réduction de 40 % en SC). Elle peut persister ou s'aggraver après l'arrêt (« coasting phenomenon » sur 2–3 mois), puis régresser en 6–12 mois. Toute plainte de paresthésies, picotements ou douleurs des extrémités doit être signalée immédiatement au prescripteur pour adaptation posologique.</w:t>
      </w:r>
    </w:p>
    <w:p>
      <w:pPr>
        <w:pStyle w:val="ListBullet"/>
      </w:pPr>
      <w:r>
        <w:t>Règle : la voie sous-cutanée doit être privilégiée systématiquement (réduction de 40 % de la neurotoxicité vs IV, efficacité identique). L'IV est réservée aux contre-indications de la SC (thrombopénie profonde &lt; 30 G/L, troubles de la coagulation).</w:t>
      </w:r>
    </w:p>
    <w:p>
      <w:pPr>
        <w:pStyle w:val="ListBullet"/>
      </w:pPr>
      <w:r>
        <w:t>Piège : la prophylaxie antivirale par aciclovir 400 mg/j (ou valaciclovir 500 mg/j) est OBLIGATOIRE pendant toute la durée du traitement et 4 semaines après l'arrêt. L'herpès zoster survient chez 15 % des patients sans prophylaxie (vs &lt; 5 % avec prophylaxie), avec un risque de zona ophtalmique grave et de douleurs post-zostériennes chroniques.</w:t>
      </w:r>
    </w:p>
    <w:p>
      <w:pPr>
        <w:pStyle w:val="ListBullet"/>
      </w:pPr>
      <w:r>
        <w:t>Règle : le nadir de thrombopénie est à J11, avec récupération à J21. La NFS doit être contrôlée avant chaque injection. L'initiation d'un cycle ne doit se faire que si plaquettes ≥ 75 G/L et PNN ≥ 1,0 G/L à J1.</w:t>
      </w:r>
    </w:p>
    <w:p>
      <w:pPr>
        <w:pStyle w:val="ListBullet"/>
      </w:pPr>
      <w:r>
        <w:t>Piège : l'adaptation posologique en cas de neuropathie grade ≥ 2 se fait par paliers (1,3 → 1,0 → 0,7 mg/m² → arrêt), ou par switch vers carfilzomib ou ixazomib (moins neurotoxiques).</w:t>
      </w:r>
    </w:p>
    <w:p>
      <w:pPr>
        <w:pStyle w:val="ListBullet"/>
      </w:pPr>
      <w:r>
        <w:t>Piège : le syndrome de dysfonctionnement multiviscéral pulmonaire (dyspnée aiguë, hypoxémie, infiltrats interstitiels) est rare mais spécifique du bortézomib. Arrêt immédiat, corticothérapie 1–2 mg/kg/j de prednisone, oxygénothérapie.</w:t>
      </w:r>
    </w:p>
    <w:p>
      <w:pPr>
        <w:pStyle w:val="ListBullet"/>
      </w:pPr>
      <w:r>
        <w:t>Surveillance : surveiller la survenue de fièvre (≥ 38,5 °C, urgence absolue en raison de la neutropénie), de saignements anormaux (thrombopénie), de constipation sévère (neuropathie autonome), et d'hypotension orthostatique (vertiges au lever).</w:t>
      </w:r>
    </w:p>
    <w:p>
      <w:pPr>
        <w:pStyle w:val="ListBullet"/>
      </w:pPr>
      <w:r>
        <w:t>Interactions : éviter les autres médicaments neurotoxiques (vincristine, taxanes, oxaliplatine, isoniazide, alcool) en raison du risque majoré de neuropathie périphérique sévère.</w:t>
      </w:r>
    </w:p>
    <w:p>
      <w:pPr>
        <w:pStyle w:val="ListBullet"/>
      </w:pPr>
      <w:r>
        <w:t>Règle : vacciner systématiquement (grippe, pneumocoque, hépatite B) avant initiation (immunosuppression, réponse humorale réduite).</w:t>
      </w:r>
    </w:p>
    <w:p>
      <w:pPr>
        <w:pStyle w:val="Heading3"/>
      </w:pPr>
      <w:r>
        <w:t>105.4.2 DCI : Carfilzomib</w:t>
      </w:r>
    </w:p>
    <w:p>
      <w:r/>
      <w:r>
        <w:rPr>
          <w:b/>
        </w:rPr>
        <w:t>Liste des Catégories :</w:t>
      </w:r>
      <w:r>
        <w:t xml:space="preserve"> Antinéoplasiques ; Inhibiteur irréversible du protéasome 26S (sous-unité β5) ; Liste I (sur prescription hospitalière spécialisée en hématologie clinique).</w:t>
      </w:r>
    </w:p>
    <w:p>
      <w:r>
        <w:t>Le carfilzomib (PR-171, Kyprolis®, Onyx Pharmaceuticals/Amgen) est un inhibiteur irréversible du protéasome 26S (sous-unité β5, activité chymotrypsine-like), peptidomimétique de la classe des époxycétones. Indiqué en association au lénalidomide-dexaméthasone (KRd) ou à la dexaméthasone (Kd) dans le myélome multiple en rechute/réfractaire après au moins 1 à 3 lignes de traitement. AMM FDA juillet 2012, EMA novembre 2015. Le carfilzomib se distingue du bortézomib par : (i) une inhibition irréversible du protéasome (liaison covalente époxykétone-thréonine), permettant une inhibition prolongée ; (ii) une plus grande sélectivité pour la sous-unité β5 (vs β1 et β2), réduisant la neurotoxicité et la thrombopénie ; (iii) un profil de tolérance différent (moins de neuropathie, mais plus d'effets cardiovasculaires : insuffisance cardiaque, hypertension pulmonaire, hypertension artérielle) ; (iv) une administration IV stricte (perfusions de 10 minutes ou 30 minutes selon protocole). Le carfilzomib a transformé le pronostic du myélome en rechute (survie médiane &gt; 30 mois en combinaison).</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KYPROLIS</w:t>
            </w:r>
          </w:p>
        </w:tc>
        <w:tc>
          <w:tcPr>
            <w:tcW w:type="dxa" w:w="1559"/>
          </w:tcPr>
          <w:p>
            <w:r>
              <w:rPr>
                <w:sz w:val="20"/>
              </w:rPr>
              <w:t>ONYX PHARMACEUTICALS INC</w:t>
            </w:r>
          </w:p>
        </w:tc>
        <w:tc>
          <w:tcPr>
            <w:tcW w:type="dxa" w:w="1559"/>
          </w:tcPr>
          <w:p>
            <w:r>
              <w:rPr>
                <w:sz w:val="20"/>
              </w:rPr>
              <w:t>Poudre lyophilisée pour solution pour perfusion 60 mg/flacon</w:t>
            </w:r>
          </w:p>
        </w:tc>
        <w:tc>
          <w:tcPr>
            <w:tcW w:type="dxa" w:w="1559"/>
          </w:tcPr>
          <w:p>
            <w:r>
              <w:rPr>
                <w:sz w:val="20"/>
              </w:rPr>
              <w:t>B/01 flacon de 50 mL</w:t>
            </w:r>
          </w:p>
        </w:tc>
        <w:tc>
          <w:tcPr>
            <w:tcW w:type="dxa" w:w="1559"/>
          </w:tcPr>
          <w:p>
            <w:r>
              <w:rPr>
                <w:sz w:val="20"/>
              </w:rPr>
              <w:t>Liste I</w:t>
            </w:r>
          </w:p>
        </w:tc>
        <w:tc>
          <w:tcPr>
            <w:tcW w:type="dxa" w:w="1559"/>
          </w:tcPr>
          <w:p>
            <w:r>
              <w:rPr>
                <w:sz w:val="20"/>
              </w:rPr>
              <w:t>Actif</w:t>
            </w:r>
          </w:p>
        </w:tc>
      </w:tr>
      <w:tr>
        <w:tc>
          <w:tcPr>
            <w:tcW w:type="dxa" w:w="1559"/>
          </w:tcPr>
          <w:p>
            <w:r>
              <w:rPr>
                <w:sz w:val="20"/>
              </w:rPr>
              <w:t>CARFILNAT</w:t>
            </w:r>
          </w:p>
        </w:tc>
        <w:tc>
          <w:tcPr>
            <w:tcW w:type="dxa" w:w="1559"/>
          </w:tcPr>
          <w:p>
            <w:r>
              <w:rPr>
                <w:sz w:val="20"/>
              </w:rPr>
              <w:t>NATCO PHARMA LIMITED</w:t>
            </w:r>
          </w:p>
        </w:tc>
        <w:tc>
          <w:tcPr>
            <w:tcW w:type="dxa" w:w="1559"/>
          </w:tcPr>
          <w:p>
            <w:r>
              <w:rPr>
                <w:sz w:val="20"/>
              </w:rPr>
              <w:t>Poudre lyophilisée pour solution pour perfusion 60 mg/flacon</w:t>
            </w:r>
          </w:p>
        </w:tc>
        <w:tc>
          <w:tcPr>
            <w:tcW w:type="dxa" w:w="1559"/>
          </w:tcPr>
          <w:p>
            <w:r>
              <w:rPr>
                <w:sz w:val="20"/>
              </w:rPr>
              <w:t>B/01 flacon de 50 mL</w:t>
            </w:r>
          </w:p>
        </w:tc>
        <w:tc>
          <w:tcPr>
            <w:tcW w:type="dxa" w:w="1559"/>
          </w:tcPr>
          <w:p>
            <w:r>
              <w:rPr>
                <w:sz w:val="20"/>
              </w:rPr>
              <w:t>Liste I</w:t>
            </w:r>
          </w:p>
        </w:tc>
        <w:tc>
          <w:tcPr>
            <w:tcW w:type="dxa" w:w="1559"/>
          </w:tcPr>
          <w:p>
            <w:r>
              <w:rPr>
                <w:sz w:val="20"/>
              </w:rPr>
              <w:t>Actif</w:t>
            </w:r>
          </w:p>
        </w:tc>
      </w:tr>
      <w:tr>
        <w:tc>
          <w:tcPr>
            <w:tcW w:type="dxa" w:w="1559"/>
          </w:tcPr>
          <w:p>
            <w:r>
              <w:rPr>
                <w:sz w:val="20"/>
              </w:rPr>
              <w:t>KYPORION</w:t>
            </w:r>
          </w:p>
        </w:tc>
        <w:tc>
          <w:tcPr>
            <w:tcW w:type="dxa" w:w="1559"/>
          </w:tcPr>
          <w:p>
            <w:r>
              <w:rPr>
                <w:sz w:val="20"/>
              </w:rPr>
              <w:t>ORION LAB</w:t>
            </w:r>
          </w:p>
        </w:tc>
        <w:tc>
          <w:tcPr>
            <w:tcW w:type="dxa" w:w="1559"/>
          </w:tcPr>
          <w:p>
            <w:r>
              <w:rPr>
                <w:sz w:val="20"/>
              </w:rPr>
              <w:t>Poudre lyophilisée pour solution pour perfusion 60 mg/flacon</w:t>
            </w:r>
          </w:p>
        </w:tc>
        <w:tc>
          <w:tcPr>
            <w:tcW w:type="dxa" w:w="1559"/>
          </w:tcPr>
          <w:p>
            <w:r>
              <w:rPr>
                <w:sz w:val="20"/>
              </w:rPr>
              <w:t>B/01 flacon de 50 mL</w:t>
            </w:r>
          </w:p>
        </w:tc>
        <w:tc>
          <w:tcPr>
            <w:tcW w:type="dxa" w:w="1559"/>
          </w:tcPr>
          <w:p>
            <w:r>
              <w:rPr>
                <w:sz w:val="20"/>
              </w:rPr>
              <w:t>Liste I</w:t>
            </w:r>
          </w:p>
        </w:tc>
        <w:tc>
          <w:tcPr>
            <w:tcW w:type="dxa" w:w="1559"/>
          </w:tcPr>
          <w:p>
            <w:r>
              <w:rPr>
                <w:sz w:val="20"/>
              </w:rPr>
              <w:t>Actif</w:t>
            </w:r>
          </w:p>
        </w:tc>
      </w:tr>
    </w:tbl>
    <w:p/>
    <w:p>
      <w:r>
        <w:t>La spécialité princeps KYPROLIS (Onyx Pharmaceuticals/Amgen) coexiste avec deux génériques (NATCO indien, ORION algérien) en formulation poudre lyophilisée à reconstituer, à la dose unique de 60 mg par flacon (permettant la dose standard de 27 mg/m² en perfusion IV de 10 minutes, soit pour un adulte moyen de 1,8 m² : 49 mg = ~1 flacon). Le conditionnement unitaire (1 flacon de 50 mL par boîte) correspond à une perfusion. La délivrance s'effectue strictement en pharmacie hospitalière spécialisée (hématologie clinique, hôpital de jour).</w:t>
      </w:r>
    </w:p>
    <w:p>
      <w:r/>
      <w:r>
        <w:rPr>
          <w:b/>
        </w:rPr>
        <w:t>Sous-classe et Mécanisme d'action :</w:t>
      </w:r>
      <w:r/>
    </w:p>
    <w:p>
      <w:pPr>
        <w:pStyle w:val="ListBullet"/>
      </w:pPr>
      <w:r>
        <w:t>Sous-classe : Inhibiteur irréversible du protéasome 26S (sous-unité β5, activité chymotrypsine-like), classe des époxycétones peptidomimétiques, 2e génération. DCI non inscrite sur la liste des médicaments essentiels OMS.</w:t>
      </w:r>
    </w:p>
    <w:p>
      <w:pPr>
        <w:pStyle w:val="ListBullet"/>
      </w:pPr>
      <w:r>
        <w:t>Mécanisme d'action : le carfilzomib pénètre dans le compartiment intracellulaire et se lie de manière irréversible (liaison covalente époxykétone-thréonine) au site catalytique Thr1 de la sous-unité β5 du protéasome 20S, bloquant ainsi l'activité chymotrypsine-like (et à forte dose, les activités β1 et β2). L'inhibition irréversible impose la resynthèse de novo des sous-unités du protéasome pour restaurer l'activité protéolytique, prolongeant l'effet antitumoral. Comme le bortézomib, le carfilzomib induit : (i) accumulation des protéines ubiquitinées, (ii) blocage de NF-κB, (iii) stabilisation de p53, (iv) stress du réticulum endoplasmique et apoptose des plasmocytes tumoraux. Le carfilzomib est plus sélectif de la sous-unité β5 (vs β1 et β2), ce qui réduit la neurotoxicité (les neurones dépendent moins de l'activité β5, plus des activités β1 et β2). Le profil de tolérance différent (effets cardiovasculaires : insuffisance cardiaque, hypertension pulmonaire, hypertension artérielle) est possiblement lié à une inhibition du protéasome dans les cellules endothéliales et cardiaques.</w:t>
      </w:r>
    </w:p>
    <w:p>
      <w:r/>
      <w:r>
        <w:rPr>
          <w:b/>
        </w:rPr>
        <w:t>Profil Pharmacologique :</w:t>
      </w:r>
      <w:r/>
    </w:p>
    <w:p>
      <w:pPr>
        <w:pStyle w:val="ListBullet"/>
      </w:pPr>
      <w:r>
        <w:t>Indications : (1) Myélome multiple en rechute/réfractaire, en association au lénalidomide-dexaméthasone (KRd) après 1 à 3 lignes de traitement — dose 20 mg/m² (cycle 1, J1, J2) puis 27 mg/m² (à partir de J8, J9, J15, J16) ; (2) Myélome multiple en rechute/réfractaire, en association à la dexaméthasone (Kd) après 1 à 3 lignes de traitement — dose 20 mg/m² (cycle 1, J1, J2) puis 56 mg/m² (à partir de J8, J9, J15, J16, perfusion de 30 minutes) ; (3) Myélome multiple en rechute/réfractaire, en monothérapie après ≥ 2 lignes incluant bortézomib et IMiD — dose 27 mg/m².</w:t>
      </w:r>
    </w:p>
    <w:p>
      <w:pPr>
        <w:pStyle w:val="ListBullet"/>
      </w:pPr>
      <w:r>
        <w:t>Contre-indications : Hypersensibilité au carfilzomib ou à l'un des excipients (hydroxypropylbetadex, citrique acide, mannitol). Précautions : insuffisance cardiaque préexistante (FEVG &lt; 40 %, NT-proBNP &gt; 1000 ng/L, contre-indication relative), hypertension artérielle non contrôlée, antécédents thrombo-emboliques, insuffisance rénale sévère (DFG &lt; 30 mL/min, surveillance), insuffisance hépatique sévère, thrombopénie préexistante (&lt; 50 G/L, à corriger), infection active, grossesse (CI absolue), allaitement (CI absolue), syndrome de lyse tumorale (prophylaxie en cas de masse tumorale élevée).</w:t>
      </w:r>
    </w:p>
    <w:p>
      <w:pPr>
        <w:pStyle w:val="ListBullet"/>
      </w:pPr>
      <w:r>
        <w:t>Effets Indésirables : Très fréquents (&gt; 10 %) : anémie (60 %), thrombopénie (35 %, dont 15 % grade 3/4), neutropénie (30 %, dont 15 % grade 3/4), lymphopénie (50 %), hypertension artérielle (35 %, dont 5 % grade 3/4, à surveiller), fatigue (50 %), diarrhée (40 %), nausées (35 %), pyrexie (30 %), dyspnée (30 %, dont 5 % grade 3/4, à distinguer de l'insuffisance cardiaque), céphalées (25 %), toux (25 %), vomissements (25 %), constipation (20 %), œdèmes périphériques (25 %), douleurs dorsales (20 %), insomnie (20 %), hypokaliémie (20 %), hypophosphatémie (15 %). Fréquents (1–10 %) : insuffisance cardiaque (7 %, dont 5 % grade 3/4 — effet signature), hypertension pulmonaire (5 %, à reconnaître), pneumopathie interstitielle (5 %), syndrome de dysfonctionnement multiviscéral pulmonaire (rare), réactions liées à la perfusion (fièvre, frissons, rash — 5 %, principalement cycle 1), thrombose veineuse profonde (5 %), embolie pulmonaire (3 %), syndrome de lyse tumorale (rare), hépatotoxicité, hypotension, syndrome hémolytique et urémique, syndrome thrombotique thrombocytopénique, leucoencéphalopathie postérieure réversible (PRES, rare). Rares : convulsions, insuffisance rénale aiguë, hépatite fulminante.</w:t>
      </w:r>
    </w:p>
    <w:p>
      <w:r/>
      <w:r>
        <w:rPr>
          <w:b/>
        </w:rPr>
        <w:t>Prévention et Gestion des Effets Indésirables :</w:t>
      </w:r>
      <w:r/>
    </w:p>
    <w:p>
      <w:pPr>
        <w:pStyle w:val="ListBullet"/>
      </w:pPr>
      <w:r>
        <w:t>Mesures Préventives : (i) Bilan cardiovasculaire complet avant initiation : ECG, échographie cardiaque (FEVG, NT-proBNP), surveillance tensionnelle (initiation antihypertenseur si PA ≥ 140/90 mmHg). (ii) Bilan respiratoire : radiographie thoracique de référence, gazométrie artérielle si dyspnée, scanner thoracique si suspicion d'HTAP (écho cardiaque avec estimation de la PAPs). (iii) NFS-plaquettes, bilan hépatique et rénal avant chaque perfusion. (iv) Hydratation IV pré-perfusion (250–500 mL de NaCl 0,9 %) pour prévenir l'insuffisance rénale et le syndrome de lyse tumorale (surtout cycle 1). (v) Prémédication anti-réaction à la perfusion : dexaméthasone 4 mg IV avant la perfusion du cycle 1 (principalement). (vi) Prophylaxie antivirale par aciclovir 400 mg/j (ou valaciclovir 500 mg/j) pendant le traitement et 4 semaines après l'arrêt. (vii) Prophylaxie anti-Pneumocystis jirovecii par cotrimoxazole si association à la corticothérapie. (viii) Prophylaxie thrombo-embolique par HBPM (enoxaparine 40 mg SC/j) en cas d'association au lénalidomide-dexaméthasone (risque majoré). (ix) Information du patient sur les signes d'alerte (dyspnée, œdèmes des membres inférieurs, douleurs thoraciques, palpitations, fièvre, saignements).</w:t>
      </w:r>
    </w:p>
    <w:p>
      <w:pPr>
        <w:pStyle w:val="ListBullet"/>
      </w:pPr>
      <w:r>
        <w:t>Conduite à Tenir : Insuffisance cardiaque grade 2 (dyspnée stade II mMRC, œdèmes modérés) : interruption, diurétiques, surveillance, reprise à dose réduite si récupération. Grade 3 (dyspnée stade III-IV mMRC, œdèmes sévères, NT-proBNP &gt; 1500) : arrêt immédiat, hospitalisation, traitement IC standard (IEC/ARA2, bêta-bloquant, diurétique), contre-indication à la reprise. Hypertension pulmonaire (dyspnée d'effort, syncope, désaturation) : arrêt immédiat, échographie cardiaque, orientation cardiologique spécialisée. Syndrome de dysfonctionnement multiviscéral pulmonaire : arrêt immédiat, corticothérapie 1–2 mg/kg/j, oxygénothérapie, réanimation. Thrombopénie grade 3/4 : interruption transitoire, reprise à dose réduite. Neutropénie grade 3/4 : interruption, G-CSF si neutropénie fébrile. Réaction à la perfusion : ralentir ou interrompre la perfusion, antihistaminiques, corticoïdes, réintroduction progressive.</w:t>
      </w:r>
    </w:p>
    <w:p>
      <w:r/>
      <w:r>
        <w:rPr>
          <w:b/>
        </w:rPr>
        <w:t>Interactions Médicamenteuses :</w:t>
      </w:r>
      <w:r/>
    </w:p>
    <w:p>
      <w:pPr>
        <w:pStyle w:val="ListBullet"/>
      </w:pPr>
      <w:r>
        <w:t>CYP3A4 (métabolisme mineur, principal par peptidases) : peu d'interactions significatives. Inducteurs et inhibiteurs du CYP3A4 sans impact clinique majeur.</w:t>
      </w:r>
    </w:p>
    <w:p>
      <w:pPr>
        <w:pStyle w:val="ListBullet"/>
      </w:pPr>
      <w:r>
        <w:t>Substrats à index thérapeutique étroit : le carfilzomib est lui-même inhibiteur faible du CYP3A4 ; surveiller : (i) warfarine (INR), (ii) AVK en général (préférer HBPM), (iii) digoxine. (iv) midazolam, triazolam.</w:t>
      </w:r>
    </w:p>
    <w:p>
      <w:pPr>
        <w:pStyle w:val="ListBullet"/>
      </w:pPr>
      <w:r>
        <w:t>Néphrotoxicité additive : éviter l'association avec les aminosides (gentamicine, amikacine), les produits de contraste iodés, les AINS à forte dose, le tacrolimus, la ciclosporine.</w:t>
      </w:r>
    </w:p>
    <w:p>
      <w:pPr>
        <w:pStyle w:val="ListBullet"/>
      </w:pPr>
      <w:r>
        <w:t>Cardiotoxicité additive : éviter l'association avec les anthracyclines (doxorubicine, épirubicine), les trastuzumab, les inhibiteurs de l'angiogenèse (sunitinib, sorafenib, bevacizumab), en raison du risque majoré d'insuffisance cardiaque.</w:t>
      </w:r>
    </w:p>
    <w:p>
      <w:pPr>
        <w:pStyle w:val="ListBullet"/>
      </w:pPr>
      <w:r>
        <w:t>Vaccins : vaccins vivants atténués (BCG, ROR, fièvre jaune, varicelle) contre-indiqués. Vaccins inactivés autorisés mais réponse atténuée.</w:t>
      </w:r>
    </w:p>
    <w:p>
      <w:pPr>
        <w:pStyle w:val="ListBullet"/>
      </w:pPr>
      <w:r>
        <w:t>Alimentation : pas de restriction alimentaire spécifique (administration parentérale). Modération alcoolique.</w:t>
      </w:r>
    </w:p>
    <w:p>
      <w:r/>
      <w:r>
        <w:rPr>
          <w:b/>
        </w:rPr>
        <w:t>Grossesse et Allaitement :</w:t>
      </w:r>
      <w:r/>
    </w:p>
    <w:p>
      <w:pPr>
        <w:pStyle w:val="ListBullet"/>
      </w:pPr>
      <w:r>
        <w:t>Grossesse : CONTRE-INDICATION ABSOLUE. Données animales tératogènes. Une contraception efficace (double méthode) est obligatoire chez la femme en âge de procréer durant le traitement et jusqu'à 6 mois après l'arrêt. Chez l'homme traité : altération possible de la spermatogenèse, contraception conseillée pendant le traitement et 3 mois après l'arrêt. Conservation de sperme recommandée avant tout traitement anticancéreux.</w:t>
      </w:r>
    </w:p>
    <w:p>
      <w:pPr>
        <w:pStyle w:val="ListBullet"/>
      </w:pPr>
      <w:r>
        <w:t>Allaitement : CONTRE-INDICATION ABSOLUE. Allaitement à interrompre pendant toute la durée du traitement.</w:t>
      </w:r>
    </w:p>
    <w:p>
      <w:pPr>
        <w:pStyle w:val="ListBullet"/>
      </w:pPr>
      <w:r>
        <w:t>Précautions : Femme en âge de procréer : test de grossesse avant initiation et mensuel.</w:t>
      </w:r>
    </w:p>
    <w:p>
      <w:r/>
      <w:r>
        <w:rPr>
          <w:b/>
        </w:rPr>
        <w:t>Posologie et Mode d'administration (Standard) :</w:t>
      </w:r>
      <w:r/>
    </w:p>
    <w:p>
      <w:pPr>
        <w:pStyle w:val="ListBullet"/>
      </w:pPr>
      <w:r>
        <w:t>Adulte : protocole KRd (carfilzomib + lénalidomide + dexaméthasone) : cycle de 28 jours, carfilzomib 20 mg/m² en perfusion IV de 10 minutes à J1, J2, J8, J9, J15, J16 du cycle 1, puis 27 mg/m² à J1, J2, J8, J9, J15, J16 des cycles 2 à 12, puis 27 mg/m² à J1, J2, J15, J16 des cycles 13 à 18. Lénalidomide 25 mg/j J1-J21, dexaméthasone 40 mg hebdomadaire. Dose maximale absolue : 56 mg par perfusion (sans dépasser, même pour surface corporelle élevée).</w:t>
      </w:r>
    </w:p>
    <w:p>
      <w:pPr>
        <w:pStyle w:val="ListBullet"/>
      </w:pPr>
      <w:r>
        <w:t>Protocole Kd (carfilzomib + dexaméthasone) : cycle de 28 jours, carfilzomib 56 mg/m² en perfusion IV de 30 minutes à J1, J2, J8, J9, J15, J16 du cycle 1, puis à J1, J2, J15, J16 des cycles suivants. Dexaméthasone 20 mg aux jours de carfilzomib et le lendemain.</w:t>
      </w:r>
    </w:p>
    <w:p>
      <w:pPr>
        <w:pStyle w:val="ListBullet"/>
      </w:pPr>
      <w:r>
        <w:t>Adaptation en cas d'insuffisance rénale : pas d'adaptation pour DFG ≥ 30 mL/min ; pour DFG &lt; 30 mL/min en dialyse : surveillance rapprochée.</w:t>
      </w:r>
    </w:p>
    <w:p>
      <w:pPr>
        <w:pStyle w:val="ListBullet"/>
      </w:pPr>
      <w:r>
        <w:t>Adaptation à la fonction hépatique : Child-Pugh A : pas d'adaptation ; Child-Pugh B/C : surveillance stricte, adaptation selon tolérance.</w:t>
      </w:r>
    </w:p>
    <w:p>
      <w:pPr>
        <w:pStyle w:val="ListBullet"/>
      </w:pPr>
      <w:r>
        <w:t>Mode d'administration : perfusion intraveineuse stricte (10 minutes pour 20-27 mg/m², 30 minutes pour 56 mg/m²) via un cathéter périphérique ou central. Reconstitution de la poudre lyophilisée avec 29 mL d'eau pour préparations injectables pour obtenir une solution à 2 mg/mL (60 mg/30 mL), puis dilution dans 50 mL de NaCl 0,9 % ou de Dextrose 5 %. Hydratation IV pré-perfusion (250–500 mL de NaCl 0,9 %) pour prévenir l'insuffisance rénale et le syndrome de lyse tumorale. Prémédication par dexaméthasone 4 mg IV avant la perfusion du cycle 1 (principalement). Surveillance tensionnelle avant, pendant et après la perfusion.</w:t>
      </w:r>
    </w:p>
    <w:p>
      <w:pPr>
        <w:pStyle w:val="ListBullet"/>
      </w:pPr>
      <w:r>
        <w:t>Durée du traitement : jusqu'à progression ou intolérance (18 cycles en protocole KRd, jusqu'à 18 mois).</w:t>
      </w:r>
    </w:p>
    <w:p>
      <w:r/>
      <w:r>
        <w:rPr>
          <w:b/>
        </w:rPr>
        <w:t>Surveillance Biologique et Suivi Clinique :</w:t>
      </w:r>
      <w:r/>
    </w:p>
    <w:p>
      <w:pPr>
        <w:pStyle w:val="ListBullet"/>
      </w:pPr>
      <w:r>
        <w:t>Hématologique : NFS-plaquettes avant chaque perfusion, surveillance du nadir à J15. Seuils d'adaptation : plaquettes &lt; 30 G/L → interruption, transfusion. PNN &lt; 0,5 G/L → interruption, G-CSF si neutropénie fébrile. Hb &lt; 80 g/L → transfusion.</w:t>
      </w:r>
    </w:p>
    <w:p>
      <w:pPr>
        <w:pStyle w:val="ListBullet"/>
      </w:pPr>
      <w:r>
        <w:t>Cardiaque : ECG avant initiation, à chaque cycle. Échographie cardiaque (FEVG, NT-proBNP) avant initiation, à J15 du cycle 1, puis à chaque cycle. Surveillance tensionnelle avant, pendant et après chaque perfusion (HTA précoce, dans les 2 premiers cycles). Arrêt en cas de FEVG &lt; 40 %, NT-proBNP &gt; 1500 ng/L, ou HTA grade 3.</w:t>
      </w:r>
    </w:p>
    <w:p>
      <w:pPr>
        <w:pStyle w:val="ListBullet"/>
      </w:pPr>
      <w:r>
        <w:t>Rénale : créatinine, urée, ionogramme avant chaque perfusion. Surveillance accrue en cas de néphropathie du myélome (chaînes légères libres).</w:t>
      </w:r>
    </w:p>
    <w:p>
      <w:pPr>
        <w:pStyle w:val="ListBullet"/>
      </w:pPr>
      <w:r>
        <w:t>Pulmonaire : radiographie thoracique de référence, scanner thoracique si suspicion d'HTAP ou de pneumopathie interstitielle. Surveillance clinique de la dyspnée.</w:t>
      </w:r>
    </w:p>
    <w:p>
      <w:pPr>
        <w:pStyle w:val="ListBullet"/>
      </w:pPr>
      <w:r>
        <w:t>Infectiologique : prophylaxie antivirale systématique par aciclovir 400 mg/j pendant le traitement et 4 semaines après l'arrêt. Prophylaxie anti-Pneumocystis jirovecii par cotrimoxazole si association à la corticothérapie. Prophylaxie thrombo-embolique par HBPM en cas d'association au lénalidomide-dexaméthasone.</w:t>
      </w:r>
    </w:p>
    <w:p>
      <w:pPr>
        <w:pStyle w:val="ListBullet"/>
      </w:pPr>
      <w:r>
        <w:t>Suivi moléculaire : électrophorèse des protéines sériques et urinaires, dosage des chaînes légères libres sériques (κ/λ, ratio), β2-microglobuline, à chaque cycle pour évaluation de la réponse (critères IMWG).</w:t>
      </w:r>
    </w:p>
    <w:p>
      <w:r/>
      <w:r>
        <w:rPr>
          <w:b/>
        </w:rPr>
        <w:t>Arbitrage et Bénéfices des Formes Galéniques :</w:t>
      </w:r>
      <w:r/>
    </w:p>
    <w:p>
      <w:r>
        <w:t>La formulation unique en poudre lyophilisée à reconstituer (60 mg/flacon) correspond à la dose standard adulte (20-27 mg/m² × 1,8 m² = 36-49 mg, soit ~1 flacon ; 56 mg/m² × 1,8 m² = 100 mg, soit ~2 flacons). Le conditionnement unitaire (1 flacon de 50 mL par boîte) correspond à une perfusion. La reconstitution doit être réalisée par un pharmacien hospitalier (PUI) ou un infirmier spécialisé, selon des protocoles stricts (eau pour préparations injectables, NaCl 0,9 % ou Dextrose 5 %, perfusion de 10 ou 30 minutes). La solution reconstituée est stable 24 heures à 2–8 °C. Le pharmacien d'officine n'est pas concerné par la dispensation directe du carfilzomib (réservé au circuit hospitalier), mais peut intervenir dans la prévention des interactions médicamenteuses (médicaments cardiotoxiques à éviter) et le suivi de l'observance des traitements concomitants (prophylaxie antivirale, antihypertenseurs, anticoagulants HBPM).</w:t>
      </w:r>
    </w:p>
    <w:p>
      <w:r/>
      <w:r>
        <w:rPr>
          <w:b/>
        </w:rPr>
        <w:t>Instructions et Conseils au Patient :</w:t>
      </w:r>
      <w:r/>
    </w:p>
    <w:p>
      <w:pPr>
        <w:pStyle w:val="ListBullet"/>
      </w:pPr>
      <w:r>
        <w:t>Communication au comptoir : « Le carfilzomib est un médicament anticancéreux injectable qui cible spécifiquement les cellules de votre myélome (plasmocytes tumoraux) en bloquant une enzyme responsable de la dégradation des protéines. Il s'administre par perfusion intraveineuse (de 10 ou 30 minutes), à J1, J2, J8, J9, J15, J16 de chaque cycle (6 perfusions par cycle). Les effets indésirables principaux sont : une baisse des plaquettes et des globules blancs (risque infectieux et hémorragique), une hypertension artérielle (à surveiller), une fatigue, des diarrhées, des nausées, de la fièvre et des œdèmes. Prévenez immédiatement votre médecin en cas de : dyspnée (essoufflement), œdèmes des membres inférieurs, douleurs thoraciques, palpitations (signes d'insuffisance cardiaque ou d'HTAP), fièvre (≥ 38,5 °C), saignements anormaux, ou vertiges. »</w:t>
      </w:r>
    </w:p>
    <w:p>
      <w:pPr>
        <w:pStyle w:val="ListBullet"/>
      </w:pPr>
      <w:r>
        <w:t>Observance : administration hospitalière stricte (hôpital de jour d'hématologie), calendrier d'administration (J1, J2, J8, J9, J15, J16), prophylaxie antivirale par aciclovir 400 mg/j, prophylaxie thrombo-embolique par HBPM en cas d'association au lénalidomide-dexaméthasone.</w:t>
      </w:r>
    </w:p>
    <w:p>
      <w:pPr>
        <w:pStyle w:val="ListBullet"/>
      </w:pPr>
      <w:r>
        <w:t>Hygiène de vie : éviter l'alcool, photoprotection SPF 50+, éviter les vaccins vivants sans avis médical, hygiène rigoureuse, activité physique modérée (prévention de l'insuffisance cardiaque).</w:t>
      </w:r>
    </w:p>
    <w:p>
      <w:pPr>
        <w:pStyle w:val="ListBullet"/>
      </w:pPr>
      <w:r>
        <w:t>Femmes en âge de procréer : double contraception obligatoire, test de grossesse avant initiation et mensuel, contraception maintenue 6 mois après l'arrêt.</w:t>
      </w:r>
    </w:p>
    <w:p>
      <w:pPr>
        <w:pStyle w:val="ListBullet"/>
      </w:pPr>
      <w:r>
        <w:t>Auto-surveillance tensionnelle : auto-mesure tensionnelle matin et soir pendant le traitement, alerte en cas de PA ≥ 140/90 mmHg.</w:t>
      </w:r>
    </w:p>
    <w:p>
      <w:r/>
      <w:r>
        <w:rPr>
          <w:b/>
        </w:rPr>
        <w:t>Notes, Règles d'Or &amp; Pièges au Comptoir :</w:t>
      </w:r>
      <w:r/>
    </w:p>
    <w:p>
      <w:pPr>
        <w:pStyle w:val="ListBullet"/>
      </w:pPr>
      <w:r>
        <w:t>Piège : l'insuffisance cardiaque et l'hypertension pulmonaire sont les effets indésirables signatures du carfilzomib (7 % et 5 % respectivement, dont 5 % grade 3/4). Ils surviennent préférentiellement dans les 2-3 premiers cycles. Tout patient présentant une dyspnée d'effort, des œdèmes des membres inférieurs, une prise de poids rapide ou des palpitations doit consulter en urgence pour bilan cardiologique (échographie cardiaque, NT-proBNP). Bilan cardiovasculaire préalable obligatoire (ECG, echo cardiaque).</w:t>
      </w:r>
    </w:p>
    <w:p>
      <w:pPr>
        <w:pStyle w:val="ListBullet"/>
      </w:pPr>
      <w:r>
        <w:t>Règle : la surveillance tensionnelle doit être systématique avant, pendant et après chaque perfusion. HTA précoce fréquente (35 % des patients), à traiter par IEC ou ARA2 (préférer inhibiteurs calciques chez les patients avec dysfonction VG).</w:t>
      </w:r>
    </w:p>
    <w:p>
      <w:pPr>
        <w:pStyle w:val="ListBullet"/>
      </w:pPr>
      <w:r>
        <w:t>Piège : la dose initiale du cycle 1 (20 mg/m² à J1, J2) doit être inférieure à la dose d'entretien (27 mg/m² à partir de J8) pour évaluer la tolérance. L'escalade n'est possible qu'en l'absence d'EI grade ≥ 2.</w:t>
      </w:r>
    </w:p>
    <w:p>
      <w:pPr>
        <w:pStyle w:val="ListBullet"/>
      </w:pPr>
      <w:r>
        <w:t>Règle : la prophylaxie antivirale par aciclovir 400 mg/j est OBLIGATOIRE pendant le traitement et 4 semaines après l'arrêt. La prophylaxie thrombo-embolique par HBPM est obligatoire en cas d'association au lénalidomide-dexaméthasone.</w:t>
      </w:r>
    </w:p>
    <w:p>
      <w:pPr>
        <w:pStyle w:val="ListBullet"/>
      </w:pPr>
      <w:r>
        <w:t>Piège : les médicaments cardiotoxiques (anthracyclines, trastuzumab, ITK anti-angiogéniques) doivent être évités en association en raison du risque majoré d'insuffisance cardiaque.</w:t>
      </w:r>
    </w:p>
    <w:p>
      <w:pPr>
        <w:pStyle w:val="ListBullet"/>
      </w:pPr>
      <w:r>
        <w:t>Surveillance : surveiller la survenue de dyspnée d'effort (IC ou HTAP), d'œdèmes des membres inférieurs (IC), de fièvre (neutropénie fébrile), de saignements (thrombopénie), et de réactions liées à la perfusion (fièvre, frissons, rash, principalement cycle 1).</w:t>
      </w:r>
    </w:p>
    <w:p>
      <w:pPr>
        <w:pStyle w:val="ListBullet"/>
      </w:pPr>
      <w:r>
        <w:t>Interactions : éviter les autres médicaments cardiotoxiques (anthracyclines, trastuzumab, sunitinib, sorafenib) en raison du risque majoré d'insuffisance cardiaque.</w:t>
      </w:r>
    </w:p>
    <w:p>
      <w:pPr>
        <w:pStyle w:val="ListBullet"/>
      </w:pPr>
      <w:r>
        <w:t>Règle : vacciner systématiquement (grippe, pneumocoque, hépatite B) avant initiation.</w:t>
      </w:r>
    </w:p>
    <w:p>
      <w:pPr>
        <w:pStyle w:val="Heading3"/>
      </w:pPr>
      <w:r>
        <w:t>105.4.3 DCI : Ixazomib</w:t>
      </w:r>
    </w:p>
    <w:p>
      <w:r/>
      <w:r>
        <w:rPr>
          <w:b/>
        </w:rPr>
        <w:t>Liste des Catégories :</w:t>
      </w:r>
      <w:r>
        <w:t xml:space="preserve"> Antinéoplasiques ; Inhibiteur réversible du protéasome 26S (sous-unité β5, premier inhibiteur oral) ; Liste I (sur prescription hospitalière spécialisée en hématologie clinique).</w:t>
      </w:r>
    </w:p>
    <w:p>
      <w:r>
        <w:t>L'ixazomib (MLN9708, Ninlaro®, Takeda) est un inhibiteur oral réversible du protéasome 26S (sous-unité β5, activité chymotrypsine-like), peptidomimétique de la classe des boronates (comme le bortézomib). C'est le premier inhibiteur du protéasome disponible par voie orale. Indiqué en association au lénalidomide-dexaméthasone (IRd) dans le myélome multiple en rechute/réfractaire après au moins 1 ligne de traitement. AMM FDA novembre 2015, EMA novembre 2016. L'ixazomib se distingue par : (i) une administration orale hebdomadaire (1 prise par semaine, J1, J8, J15, cycles de 28 jours), améliorant la qualité de vie par rapport au bortézomib (SC) et au carfilzomib (IV) ; (ii) un profil de tolérance globalement similaire au bortézomib (neuropathie, thrombopénie), mais avec une moindre neurotoxicité (formulation orale, sans pic de concentration) ; (iii) une efficacité démontrée en combinaison IRd (survie sans progression 20,6 mois vs 14,7 mois pour le Rd seul, TOURMALINE-MM1).</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NINLARO</w:t>
            </w:r>
          </w:p>
        </w:tc>
        <w:tc>
          <w:tcPr>
            <w:tcW w:type="dxa" w:w="1559"/>
          </w:tcPr>
          <w:p>
            <w:r>
              <w:rPr>
                <w:sz w:val="20"/>
              </w:rPr>
              <w:t>TAKEDA PHARMA A/S</w:t>
            </w:r>
          </w:p>
        </w:tc>
        <w:tc>
          <w:tcPr>
            <w:tcW w:type="dxa" w:w="1559"/>
          </w:tcPr>
          <w:p>
            <w:r>
              <w:rPr>
                <w:sz w:val="20"/>
              </w:rPr>
              <w:t>Gélule 2,3 mg</w:t>
            </w:r>
          </w:p>
        </w:tc>
        <w:tc>
          <w:tcPr>
            <w:tcW w:type="dxa" w:w="1559"/>
          </w:tcPr>
          <w:p>
            <w:r>
              <w:rPr>
                <w:sz w:val="20"/>
              </w:rPr>
              <w:t>B/3</w:t>
            </w:r>
          </w:p>
        </w:tc>
        <w:tc>
          <w:tcPr>
            <w:tcW w:type="dxa" w:w="1559"/>
          </w:tcPr>
          <w:p>
            <w:r>
              <w:rPr>
                <w:sz w:val="20"/>
              </w:rPr>
              <w:t>Liste I</w:t>
            </w:r>
          </w:p>
        </w:tc>
        <w:tc>
          <w:tcPr>
            <w:tcW w:type="dxa" w:w="1559"/>
          </w:tcPr>
          <w:p>
            <w:r>
              <w:rPr>
                <w:sz w:val="20"/>
              </w:rPr>
              <w:t>Actif</w:t>
            </w:r>
          </w:p>
        </w:tc>
      </w:tr>
      <w:tr>
        <w:tc>
          <w:tcPr>
            <w:tcW w:type="dxa" w:w="1559"/>
          </w:tcPr>
          <w:p>
            <w:r>
              <w:rPr>
                <w:sz w:val="20"/>
              </w:rPr>
              <w:t>NINLARO</w:t>
            </w:r>
          </w:p>
        </w:tc>
        <w:tc>
          <w:tcPr>
            <w:tcW w:type="dxa" w:w="1559"/>
          </w:tcPr>
          <w:p>
            <w:r>
              <w:rPr>
                <w:sz w:val="20"/>
              </w:rPr>
              <w:t>TAKEDA PHARMA A/S</w:t>
            </w:r>
          </w:p>
        </w:tc>
        <w:tc>
          <w:tcPr>
            <w:tcW w:type="dxa" w:w="1559"/>
          </w:tcPr>
          <w:p>
            <w:r>
              <w:rPr>
                <w:sz w:val="20"/>
              </w:rPr>
              <w:t>Gélule 3 mg</w:t>
            </w:r>
          </w:p>
        </w:tc>
        <w:tc>
          <w:tcPr>
            <w:tcW w:type="dxa" w:w="1559"/>
          </w:tcPr>
          <w:p>
            <w:r>
              <w:rPr>
                <w:sz w:val="20"/>
              </w:rPr>
              <w:t>B/3</w:t>
            </w:r>
          </w:p>
        </w:tc>
        <w:tc>
          <w:tcPr>
            <w:tcW w:type="dxa" w:w="1559"/>
          </w:tcPr>
          <w:p>
            <w:r>
              <w:rPr>
                <w:sz w:val="20"/>
              </w:rPr>
              <w:t>Liste I</w:t>
            </w:r>
          </w:p>
        </w:tc>
        <w:tc>
          <w:tcPr>
            <w:tcW w:type="dxa" w:w="1559"/>
          </w:tcPr>
          <w:p>
            <w:r>
              <w:rPr>
                <w:sz w:val="20"/>
              </w:rPr>
              <w:t>Actif</w:t>
            </w:r>
          </w:p>
        </w:tc>
      </w:tr>
      <w:tr>
        <w:tc>
          <w:tcPr>
            <w:tcW w:type="dxa" w:w="1559"/>
          </w:tcPr>
          <w:p>
            <w:r>
              <w:rPr>
                <w:sz w:val="20"/>
              </w:rPr>
              <w:t>NINLARO</w:t>
            </w:r>
          </w:p>
        </w:tc>
        <w:tc>
          <w:tcPr>
            <w:tcW w:type="dxa" w:w="1559"/>
          </w:tcPr>
          <w:p>
            <w:r>
              <w:rPr>
                <w:sz w:val="20"/>
              </w:rPr>
              <w:t>TAKEDA PHARMA A/S</w:t>
            </w:r>
          </w:p>
        </w:tc>
        <w:tc>
          <w:tcPr>
            <w:tcW w:type="dxa" w:w="1559"/>
          </w:tcPr>
          <w:p>
            <w:r>
              <w:rPr>
                <w:sz w:val="20"/>
              </w:rPr>
              <w:t>Gélule 4 mg</w:t>
            </w:r>
          </w:p>
        </w:tc>
        <w:tc>
          <w:tcPr>
            <w:tcW w:type="dxa" w:w="1559"/>
          </w:tcPr>
          <w:p>
            <w:r>
              <w:rPr>
                <w:sz w:val="20"/>
              </w:rPr>
              <w:t>B/3</w:t>
            </w:r>
          </w:p>
        </w:tc>
        <w:tc>
          <w:tcPr>
            <w:tcW w:type="dxa" w:w="1559"/>
          </w:tcPr>
          <w:p>
            <w:r>
              <w:rPr>
                <w:sz w:val="20"/>
              </w:rPr>
              <w:t>Liste I</w:t>
            </w:r>
          </w:p>
        </w:tc>
        <w:tc>
          <w:tcPr>
            <w:tcW w:type="dxa" w:w="1559"/>
          </w:tcPr>
          <w:p>
            <w:r>
              <w:rPr>
                <w:sz w:val="20"/>
              </w:rPr>
              <w:t>Actif</w:t>
            </w:r>
          </w:p>
        </w:tc>
      </w:tr>
    </w:tbl>
    <w:p/>
    <w:p>
      <w:r>
        <w:t>La spécialité princeps NINLARO (Takeda Pharma A/S, laboratoire japonais) est la seule formulation disponible. Les trois dosages (2,3 mg, 3 mg, 4 mg) permettent l'adaptation posologique (dose standard : 4 mg à J1, J8, J15 de chaque cycle de 28 jours ; dose réduite niveau 1 : 3 mg ; niveau 2 : 2,3 mg). Le conditionnement de 3 gélules correspond à un cycle complet (3 prises par cycle : J1, J8, J15). La délivrance s'effectue en pharmacie hospitalière spécialisée (hématologie clinique) ou en officine sur prescription hospitalière.</w:t>
      </w:r>
    </w:p>
    <w:p>
      <w:r/>
      <w:r>
        <w:rPr>
          <w:b/>
        </w:rPr>
        <w:t>Sous-classe et Mécanisme d'action :</w:t>
      </w:r>
      <w:r/>
    </w:p>
    <w:p>
      <w:pPr>
        <w:pStyle w:val="ListBullet"/>
      </w:pPr>
      <w:r>
        <w:t>Sous-classe : Inhibiteur réversible du protéasome 26S (sous-unité β5, activité chymotrypsine-like), classe des boronates peptidomimétiques (comme le bortézomib), 3e génération, premier inhibiteur oral. DCI non inscrite sur la liste des médicaments essentiels OMS.</w:t>
      </w:r>
    </w:p>
    <w:p>
      <w:pPr>
        <w:pStyle w:val="ListBullet"/>
      </w:pPr>
      <w:r>
        <w:t>Mécanisme d'action : l'ixazomib est administré sous forme de prodrogue citrate-ester (MLN9708), hydrolysée rapidement in vivo en ixazomib actif (MLN2238). L'ixazomib pénètre dans le compartiment intracellulaire et se lie de manière réversible (liaison boronate-thréonine) au site catalytique Thr1 de la sous-unité β5 du protéasome 20S, bloquant ainsi l'activité chymotrypsine-like. Comme le bortézomib, l'ixazomib induit l'accumulation des protéines ubiquitinées, le blocage de NF-κB, la stabilisation de p53, le stress du réticulum endoplasmique et l'apoptose des plasmocytes tumoraux. La formulation orale permet une exposition continue (1 prise hebdomadaire) avec des pics de concentration plus faibles et une demi-vie plus longue (9 jours vs 9-15 heures pour le bortézomib IV/SC), réduisant la neurotoxicité (les pics élevés de bortézomib IV sont associés à la neuropathie).</w:t>
      </w:r>
    </w:p>
    <w:p>
      <w:r/>
      <w:r>
        <w:rPr>
          <w:b/>
        </w:rPr>
        <w:t>Profil Pharmacologique :</w:t>
      </w:r>
      <w:r/>
    </w:p>
    <w:p>
      <w:pPr>
        <w:pStyle w:val="ListBullet"/>
      </w:pPr>
      <w:r>
        <w:t>Indications : Myélome multiple en rechute/réfractaire, en association au lénalidomide-dexaméthasone (IRd) après au moins 1 ligne de traitement — dose 4 mg à J1, J8, J15 de chaque cycle de 28 jours.</w:t>
      </w:r>
    </w:p>
    <w:p>
      <w:pPr>
        <w:pStyle w:val="ListBullet"/>
      </w:pPr>
      <w:r>
        <w:t>Contre-indications : Hypersensibilité à l'ixazomib ou à l'un des excipients (mannitol, talc). Précautions : neuropathie périphérique préexistante (réduction de dose), insuffisance hépatique modérée à sévère (réduction à 3 mg pour bilirubine &gt; 1,5× LSN), insuffisance rénale sévère (DFG &lt; 30 mL/min, réduction à 3 mg), thrombopénie préexistante (&lt; 75 G/L, à corriger), infection active, grossesse (CI absolue), allaitement (CI absolue), syndrome de lyse tumorale.</w:t>
      </w:r>
    </w:p>
    <w:p>
      <w:pPr>
        <w:pStyle w:val="ListBullet"/>
      </w:pPr>
      <w:r>
        <w:t>Effets Indésirables : Très fréquents (&gt; 10 %) : neuropathie périphérique (25 %, dont 5 % grade 3/4 — moins marquée que le bortézomib), thrombopénie (45 %, dont 20 % grade 3/4, nadir à J15, récupération à J22), neutropénie (30 %, dont 10 % grade 3/4), anémie (25 %), nausées (40 %), vomissements (30 %), diarrhée (40 %), constipation (35 %), fatigue (35 %), pyrexie (25 %), rash (25 %), œdèmes périphériques (25 %), céphalées (20 %), dorsalgies (20 %), spasmes musculaires (15 %), hypokaliémie (15 %), hyperglycémie. Fréquents (1–10 %) : pneumopathie interstitielle, syndrome de dysfonctionnement multiviscéral pulmonaire (rare), hépatotoxicité, syndrome de lyse tumorale, réactivation virale (CMV, hépatite B), herpès zoster (prophylaxie antivirale obligatoire). Rares : leucoencéphalopathie postérieure réversible (PRES).</w:t>
      </w:r>
    </w:p>
    <w:p>
      <w:r/>
      <w:r>
        <w:rPr>
          <w:b/>
        </w:rPr>
        <w:t>Prévention et Gestion des Effets Indésirables :</w:t>
      </w:r>
      <w:r/>
    </w:p>
    <w:p>
      <w:pPr>
        <w:pStyle w:val="ListBullet"/>
      </w:pPr>
      <w:r>
        <w:t>Mesures Préventives : (i) Bilan neurologique clinique de référence, surveillance à chaque cycle. (ii) NFS-plaquettes avant chaque prise, surveillance du nadir à J15. (iii) Prophylaxie antivirale systématique par aciclovir 400 mg/j pendant le traitement et 4 semaines après l'arrêt. (iv) Prophylaxie anti-Pneumocystis jirovecii par cotrimoxazole si association à la corticothérapie. (v) Prophylaxie thrombo-embolique par HBPM en cas d'association au lénalidomide-dexaméthasone. (vi) Antiémétiques prophylactiques si nausées. (vii) Information du patient sur les signes de neuropathie et d'infection.</w:t>
      </w:r>
    </w:p>
    <w:p>
      <w:pPr>
        <w:pStyle w:val="ListBullet"/>
      </w:pPr>
      <w:r>
        <w:t>Conduite à Tenir : Neuropathie grade 1 : poursuivre. Grade 2 : réduire à 3 mg. Grade 3 : interruption jusqu'à récupération, reprise à 2,3 mg. Grade 4 : arrêt définitif. Thrombopénie grade 3/4 : interruption transitoire, reprise à dose réduite. Neutropénie grade 3/4 : interruption, G-CSF si neutropénie fébrile. Pneumopathie interstitielle : interruption, corticothérapie, reprise à dose réduite ou arrêt définitif. Diarrhée grade 3 : lopéramide, réhydratation, interruption transitoire.</w:t>
      </w:r>
    </w:p>
    <w:p>
      <w:r/>
      <w:r>
        <w:rPr>
          <w:b/>
        </w:rPr>
        <w:t>Interactions Médicamenteuses :</w:t>
      </w:r>
      <w:r/>
    </w:p>
    <w:p>
      <w:pPr>
        <w:pStyle w:val="ListBullet"/>
      </w:pPr>
      <w:r>
        <w:t>CYP3A4 (métabolisme principal, faible) : peu d'interactions significatives. Inducteurs puissants (rifampicine, phénytoïne, carbamazépine, millepertuis) → diminution modérée des concentrations de l'ixazomib (jusqu'à −74 % avec rifampicine), à éviter. Inhibiteurs (kétoconazole, itraconazole, clarithromycine, ritonavir) → augmentation modérée (+39 % avec kétoconazole), surveillance clinique.</w:t>
      </w:r>
    </w:p>
    <w:p>
      <w:pPr>
        <w:pStyle w:val="ListBullet"/>
      </w:pPr>
      <w:r>
        <w:t>Substrats à index thérapeutique étroit : l'ixazomib est lui-même inhibiteur faible du CYP3A4 ; surveiller : (i) warfarine (INR), (ii) digoxine, (iii) midazolam, triazolam. (iv) pimozide.</w:t>
      </w:r>
    </w:p>
    <w:p>
      <w:pPr>
        <w:pStyle w:val="ListBullet"/>
      </w:pPr>
      <w:r>
        <w:t>Vaccins : vaccins vivants atténués (BCG, ROR, fièvre jaune, varicelle) contre-indiqués. Vaccins inactivés autorisés.</w:t>
      </w:r>
    </w:p>
    <w:p>
      <w:pPr>
        <w:pStyle w:val="ListBullet"/>
      </w:pPr>
      <w:r>
        <w:t>Alimentation : prendre à jeun (au moins 1 heure avant ou 2 heures après un repas), à heure fixe. Éviter le jus de pamplemousse (inhibiteur du CYP3A4 intestinal). Éviter le millepertuis (inducteur). Modération alcoolique.</w:t>
      </w:r>
    </w:p>
    <w:p>
      <w:r/>
      <w:r>
        <w:rPr>
          <w:b/>
        </w:rPr>
        <w:t>Grossesse et Allaitement :</w:t>
      </w:r>
      <w:r/>
    </w:p>
    <w:p>
      <w:pPr>
        <w:pStyle w:val="ListBullet"/>
      </w:pPr>
      <w:r>
        <w:t>Grossesse : CONTRE-INDICATION ABSOLUE. Données animales tératogènes. Une contraception efficace (double méthode) est obligatoire chez la femme en âge de procréer durant le traitement et jusqu'à 90 jours après l'arrêt. Chez l'homme traité : altération possible de la spermatogenèse, contraception conseillée pendant le traitement et 90 jours après l'arrêt. Conservation de sperme recommandée.</w:t>
      </w:r>
    </w:p>
    <w:p>
      <w:pPr>
        <w:pStyle w:val="ListBullet"/>
      </w:pPr>
      <w:r>
        <w:t>Allaitement : CONTRE-INDICATION ABSOLUE. Allaitement à interrompre pendant toute la durée du traitement.</w:t>
      </w:r>
    </w:p>
    <w:p>
      <w:pPr>
        <w:pStyle w:val="ListBullet"/>
      </w:pPr>
      <w:r>
        <w:t>Précautions : Femme en âge de procréer : test de grossesse avant initiation et mensuel.</w:t>
      </w:r>
    </w:p>
    <w:p>
      <w:r/>
      <w:r>
        <w:rPr>
          <w:b/>
        </w:rPr>
        <w:t>Posologie et Mode d'administration (Standard) :</w:t>
      </w:r>
      <w:r/>
    </w:p>
    <w:p>
      <w:pPr>
        <w:pStyle w:val="ListBullet"/>
      </w:pPr>
      <w:r>
        <w:t>Adulte : 4 mg en prise orale unique à J1, J8, J15 de chaque cycle de 28 jours (3 prises par cycle, 1 prise hebdomadaire), en association au lénalidomide (25 mg/j J1-J21) et à la dexaméthasone (40 mg hebdomadaire). Dose maximale absolue : 4 mg par prise.</w:t>
      </w:r>
    </w:p>
    <w:p>
      <w:pPr>
        <w:pStyle w:val="ListBullet"/>
      </w:pPr>
      <w:r>
        <w:t>Adaptation en cas de neuropathie grade ≥ 2 : réduire à 3 mg, puis à 2,3 mg si récidive.</w:t>
      </w:r>
    </w:p>
    <w:p>
      <w:pPr>
        <w:pStyle w:val="ListBullet"/>
      </w:pPr>
      <w:r>
        <w:t>Adaptation à la fonction hépatique : bilirubine ≤ 1,5× LSN : pas d'adaptation ; bilirubine 1,5–3× LSN : réduire à 3 mg ; bilirubine &gt; 3× LSN : contre-indication relative.</w:t>
      </w:r>
    </w:p>
    <w:p>
      <w:pPr>
        <w:pStyle w:val="ListBullet"/>
      </w:pPr>
      <w:r>
        <w:t>Adaptation à la fonction rénale : pas d'adaptation pour DFG ≥ 30 mL/min ; pour DFG &lt; 30 mL/min en dialyse : réduire à 3 mg.</w:t>
      </w:r>
    </w:p>
    <w:p>
      <w:pPr>
        <w:pStyle w:val="ListBullet"/>
      </w:pPr>
      <w:r>
        <w:t>Adaptation en cas d'interactions : sous inhibiteurs puissants du CYP3A4 (kétoconazole, itraconazole, clarithromycine, ritonavir) : surveillance clinique. Sous inducteurs (rifampicine, phénytoïne, carbamazépine, millepertuis) : éviter absolument.</w:t>
      </w:r>
    </w:p>
    <w:p>
      <w:pPr>
        <w:pStyle w:val="ListBullet"/>
      </w:pPr>
      <w:r>
        <w:t>Mode d'administration : voie orale stricte. À jeun (au moins 1 heure avant ou 2 heures après un repas). Les gélules ne doivent pas être écrasées, mâchées ou dissoutes. Prendre avec un grand verre d'eau. En cas d'oubli de moins de 72 heures : prendre la dose immédiatement ; au-delà : ne pas prendre la dose, poursuivre au schéma habituel. En cas de vomissement : ne pas reprendre de dose.</w:t>
      </w:r>
    </w:p>
    <w:p>
      <w:pPr>
        <w:pStyle w:val="ListBullet"/>
      </w:pPr>
      <w:r>
        <w:t>Durée du traitement : jusqu'à progression ou intolérance.</w:t>
      </w:r>
    </w:p>
    <w:p>
      <w:r/>
      <w:r>
        <w:rPr>
          <w:b/>
        </w:rPr>
        <w:t>Surveillance Biologique et Suivi Clinique :</w:t>
      </w:r>
      <w:r/>
    </w:p>
    <w:p>
      <w:pPr>
        <w:pStyle w:val="ListBullet"/>
      </w:pPr>
      <w:r>
        <w:t>Hématologique : NFS-plaquettes avant chaque prise, surveillance du nadir à J15. Seuils d'adaptation : plaquettes &lt; 30 G/L → interruption, transfusion. PNN &lt; 0,5 G/L → interruption, G-CSF si neutropénie fébrile. Hb &lt; 80 g/L → transfusion.</w:t>
      </w:r>
    </w:p>
    <w:p>
      <w:pPr>
        <w:pStyle w:val="ListBullet"/>
      </w:pPr>
      <w:r>
        <w:t>Neurologique : examen clinique avant initiation, à chaque cycle. Information du patient sur les signes de neuropathie.</w:t>
      </w:r>
    </w:p>
    <w:p>
      <w:pPr>
        <w:pStyle w:val="ListBullet"/>
      </w:pPr>
      <w:r>
        <w:t>Hépatique : ALAT, ASAT, bilirubine avant initiation, à chaque cycle.</w:t>
      </w:r>
    </w:p>
    <w:p>
      <w:pPr>
        <w:pStyle w:val="ListBullet"/>
      </w:pPr>
      <w:r>
        <w:t>Rénale : créatinine, urée, ionogramme avant initiation, à chaque cycle.</w:t>
      </w:r>
    </w:p>
    <w:p>
      <w:pPr>
        <w:pStyle w:val="ListBullet"/>
      </w:pPr>
      <w:r>
        <w:t>Infectiologique : prophylaxie antivirale systématique par aciclovir 400 mg/j pendant le traitement et 4 semaines après l'arrêt. Prophylaxie anti-Pneumocystis jirovecii par cotrimoxazole si association à la corticothérapie. Prophylaxie thrombo-embolique par HBPM en cas d'association au lénalidomide-dexaméthasone.</w:t>
      </w:r>
    </w:p>
    <w:p>
      <w:pPr>
        <w:pStyle w:val="ListBullet"/>
      </w:pPr>
      <w:r>
        <w:t>Suivi moléculaire : électrophorèse des protéines sériques et urinaires, dosage des chaînes légères libres sériques, β2-microglobuline, à chaque cycle pour évaluation de la réponse.</w:t>
      </w:r>
    </w:p>
    <w:p>
      <w:r/>
      <w:r>
        <w:rPr>
          <w:b/>
        </w:rPr>
        <w:t>Arbitrage et Bénéfices des Formes Galéniques :</w:t>
      </w:r>
      <w:r/>
    </w:p>
    <w:p>
      <w:r>
        <w:t>Les trois dosages (2,3 mg, 3 mg, 4 mg) permettent l'adaptation posologique progressive en cas de neuropathie, thrombopénie, insuffisance hépatique ou rénale (4 mg standard → 3 mg niveau 1 → 2,3 mg niveau 2 → arrêt définitif). Le conditionnement de 3 gélules correspond à un cycle complet (3 prises par cycle). La forme orale est un avantage majeur par rapport au bortézomib (SC) et au carfilzomib (IV), améliorant la qualité de vie du patient. Le pharmacien d'officine peut dispenser l'ixazomib sur prescription hospitalière, et doit vérifier la concordance avec la prescription (3 prises par cycle, à J1, J8, J15), la disponibilité des trois dosages pour permettre l'adaptation, et l'observance stricte (prise à jeun, hebdomadaire).</w:t>
      </w:r>
    </w:p>
    <w:p>
      <w:r/>
      <w:r>
        <w:rPr>
          <w:b/>
        </w:rPr>
        <w:t>Instructions et Conseils au Patient :</w:t>
      </w:r>
      <w:r/>
    </w:p>
    <w:p>
      <w:pPr>
        <w:pStyle w:val="ListBullet"/>
      </w:pPr>
      <w:r>
        <w:t>Communication au comptoir : « L'ixazomib est un médicament anticancéreux oral qui cible spécifiquement les cellules de votre myélome (plasmocytes tumoraux) en bloquant une enzyme responsable de la dégradation des protéines. Il se prend une fois par semaine, à J1, J8 et J15 de chaque cycle de 28 jours (3 prises par cycle), à jeun (au moins 1 heure avant ou 2 heures après un repas), avec un grand verre d'eau. Les effets indésirables principaux sont : une baisse des plaquettes, des globules blancs et rouges, une neuropathie périphérique (engourdissements, picotements), des nausées, des diarrhées, de la fatigue, des éruptions cutanées et des œdèmes. Prévenez immédiatement votre médecin en cas de fièvre (≥ 38,5 °C), de saignements anormaux, d'engourdissements ou picotements des extrémités, d'éruption cutanée sévère, ou de dyspnée. Évitez le pamplemousse et le millepertuis. »</w:t>
      </w:r>
    </w:p>
    <w:p>
      <w:pPr>
        <w:pStyle w:val="ListBullet"/>
      </w:pPr>
      <w:r>
        <w:t>Observance : prise à heure fixe (à jeun, le matin ou le soir), calendrier d'administration (J1, J8, J15), ne jamais interrompre sans avis médical, prévoir une réserve, conserver à température &lt; 25 °C à l'abri de l'humidité. En cas d'oubli de moins de 72 heures : prendre immédiatement ; au-delà : ne pas doubler.</w:t>
      </w:r>
    </w:p>
    <w:p>
      <w:pPr>
        <w:pStyle w:val="ListBullet"/>
      </w:pPr>
      <w:r>
        <w:t>Hygiène de vie : éviter le pamplemousse et le millepertuis, alcool à proscrire, photoprotection SPF 50+, éviter les vaccins vivants sans avis médical.</w:t>
      </w:r>
    </w:p>
    <w:p>
      <w:pPr>
        <w:pStyle w:val="ListBullet"/>
      </w:pPr>
      <w:r>
        <w:t>Femmes en âge de procréer : double contraception obligatoire, test de grossesse avant initiation et mensuel, contraception maintenue 90 jours après l'arrêt.</w:t>
      </w:r>
    </w:p>
    <w:p>
      <w:r/>
      <w:r>
        <w:rPr>
          <w:b/>
        </w:rPr>
        <w:t>Notes, Règles d'Or &amp; Pièges au Comptoir :</w:t>
      </w:r>
      <w:r/>
    </w:p>
    <w:p>
      <w:pPr>
        <w:pStyle w:val="ListBullet"/>
      </w:pPr>
      <w:r>
        <w:t>Piège : la prise doit se faire à jeun strict (au moins 1 heure avant ou 2 heures après un repas) pour assurer une absorption optimale et reproductible. La prise au cours d'un repas (surtout riche en graisses) réduit l'absorption de 28 %.</w:t>
      </w:r>
    </w:p>
    <w:p>
      <w:pPr>
        <w:pStyle w:val="ListBullet"/>
      </w:pPr>
      <w:r>
        <w:t>Règle : le schéma d'administration est hebdomadaire (J1, J8, J15 de chaque cycle de 28 jours), à heure fixe, à jeun. Le pharmacien doit vérifier la compréhension du schéma par le patient (calendrier visuel recommandé, 3 prises par cycle).</w:t>
      </w:r>
    </w:p>
    <w:p>
      <w:pPr>
        <w:pStyle w:val="ListBullet"/>
      </w:pPr>
      <w:r>
        <w:t>Piège : la neuropathie périphérique est moins fréquente qu'avec le bortézomib (25 % vs 35 %), mais reste un effet à surveiller. Toute plainte doit être signalée au prescripteur pour adaptation posologique.</w:t>
      </w:r>
    </w:p>
    <w:p>
      <w:pPr>
        <w:pStyle w:val="ListBullet"/>
      </w:pPr>
      <w:r>
        <w:t>Règle : la prophylaxie antivirale par aciclovir 400 mg/j est OBLIGATOIRE pendant le traitement et 4 semaines après l'arrêt (prévention de l'herpès zoster). La prophylaxie thrombo-embolique par HBPM est obligatoire en cas d'association au lénalidomide-dexaméthasone.</w:t>
      </w:r>
    </w:p>
    <w:p>
      <w:pPr>
        <w:pStyle w:val="ListBullet"/>
      </w:pPr>
      <w:r>
        <w:t>Piège : oubli de moins de 72 heures : prendre immédiatement. Au-delà : ne pas doubler la dose suivante.</w:t>
      </w:r>
    </w:p>
    <w:p>
      <w:pPr>
        <w:pStyle w:val="ListBullet"/>
      </w:pPr>
      <w:r>
        <w:t>Surveillance : surveiller la survenue de fièvre (neutropénie fébrile), de saignements (thrombopénie), de toux sèche et dyspnée (pneumopathie interstitielle), d'éruption cutanée sévère.</w:t>
      </w:r>
    </w:p>
    <w:p>
      <w:pPr>
        <w:pStyle w:val="ListBullet"/>
      </w:pPr>
      <w:r>
        <w:t>Interactions : éviter les inducteurs enzymatiques puissants (rifampicine, phénytoïne, millepertuis) en cas d'efficacité thérapeutique inexpliquée.</w:t>
      </w:r>
    </w:p>
    <w:p>
      <w:pPr>
        <w:pStyle w:val="ListBullet"/>
      </w:pPr>
      <w:r>
        <w:t>Règle : vacciner systématiquement (grippe, pneumocoque) avant initiation.</w:t>
      </w:r>
    </w:p>
    <w:p>
      <w:pPr>
        <w:pStyle w:val="Heading2"/>
      </w:pPr>
      <w:r>
        <w:t>105.5 Sous-classe : IMiD — Immunomodulateurs</w:t>
      </w:r>
    </w:p>
    <w:p>
      <w:r>
        <w:t>Les immunomodulateurs (IMiD, Immunomodulatory Drugs) sont une classe pharmacologique née de la thalidomide (Soined®, Distaval®), initialement commercialisée en 1957 comme sédatif et antiémétique de la femme enceinte, et retirée du marché en 1961 après la catastrophe tératogène mondiale (≈ 10 000 cas de phocomélie, amélie, anomalies cardiovasculaires et rénales). Le développement des IMiD de 2e génération (lénalidomide, Revlimid®) et de 3e génération (pomalidomide, Imnovid®) a permis de conserver les propriétés immunomodulatrices et anti-angiogéniques de la thalidomide tout en réduisant certaines toxicités (neuropathie, sédation) et en augmentant la puissance. Le mécanisme d'action des IMiD a été élucidé en 2010 par l'identification de leur cible moléculaire principale : le cereblon (CRBN), récepteur de l'E3 ubiquitine ligase CRL4-CRBN. Les IMiD se lient au cereblon et modifient son spectre de substrats, induisant l'ubiquitination et la dégradation protéasomale de facteurs de transcription clés pour la survie tumorale : Ikaros (IKZF1) et Aiolos (IKZF2), nécessaires à la prolifération des cellules T et au développement lymphoïde B ; casein kinase 1A1 (CK1α), suppresseur de tumeur dans le myélodysplasie 5q- ; GSPT1 et ZFP91 dans certaines lignées cellulaires.</w:t>
      </w:r>
    </w:p>
    <w:p>
      <w:r>
        <w:t>Les IMiD exercent leur activité antitumorale par plusieurs mécanismes : (i) inhibition directe de la prolifération plasmocytaire par dégradation de IKZF1/2 et blocage de la transcription IRF4-MYC (rétro-boucle oncogénique du myélome) ; (ii) immunostimulation T-cellulaire : augmentation de l'IL-2 (qui normalement stimule la prolifération T via CD28), activation des cellules NK et T cytotoxiques (via IKZF2 dégradation → levée de l'inhibition T-reg) ; (iii) anti-angiogénique : inhibition de la migration et de la prolifération des cellules endothéliales, réduction de la production de VEGF et bFGF par les cellules stromales médullaires ; (iv) altération du microenvironnement médullaire : inhibition de l'adhésion des cellules myélomateuses au stroma (VCAM-1, ICAM-1), inhibition de la production d'IL-6 par les cellules stromales ; (v) dans le myélodysplasie 5q- : dégradation spécifique de CK1α, suppresseur de tumeur, expliquant l'efficacité spectaculaire et spécifique du lénalidomide dans cette affection (réponse érythrocytaire chez 70 % des patients, cytogénétique chez 50 %).</w:t>
      </w:r>
    </w:p>
    <w:p>
      <w:r>
        <w:t>Les IMiD disponibles en Algérie (Avril 2026) sont le lénalidomide (Revlimid® et génériques) et le pomalidomide (Imnovid® - formulation algérienne BIOPHARM). Le profil de tolérance est dominé par : (i) la thrombopénie et neutropénie (effet hématologique direct, surtout lénalidomide) ; (ii) la thrombose veineuse profonde et l'embolie pulmonaire (effet pro-thrombotique direct sur l'endothélium, surtout en association à la dexaméthasone — prophylaxie HBPM systématique) ; (iii) la TÉRATOGENICITÉ MAJEURE (phocomélie, amélie, anomalies cardiovasculaires et rénales) imposant un programme de prévention des grossesses strict (PPPM, Pregnancy Prevention Prevention Programme, questionnaire systématique à chaque prescription, double contraception, test de grossesse mensuel) ; (iv) les éruptions cutanées (rash maculo-papuleux, prurit) ; (v) la fatigue ; (vi) la constipation ou diarrhée ; (vii) exceptionnellement, l'hépatotoxicité, le syndrome de lyse tumorale, l'insuffisance rénale.</w:t>
      </w:r>
    </w:p>
    <w:p>
      <w:pPr>
        <w:pStyle w:val="Heading3"/>
      </w:pPr>
      <w:r>
        <w:t>105.5.1 DCI : Lénalidomide</w:t>
      </w:r>
    </w:p>
    <w:p>
      <w:r/>
      <w:r>
        <w:rPr>
          <w:b/>
        </w:rPr>
        <w:t>Liste des Catégories :</w:t>
      </w:r>
      <w:r>
        <w:t xml:space="preserve"> Antinéoplasiques ; IMiD (Immunomodulatory Drug) de 2e génération ; Tératogène majeur (programme PPPM obligatoire) ; Liste I (sur prescription hospitalière spécialisée en hématologie clinique).</w:t>
      </w:r>
    </w:p>
    <w:p>
      <w:r>
        <w:t>Le lénalidomide (CC-5013, Revlimid®, Celgene/Bristol-Myers Squibb) est un IMiD de 2e génération, indiqué dans : (i) le myélome multiple en première ligne en association à la dexaméthasone (Rd) chez les patients non éligibles à l'autogreffe, ou en induction (VRd) chez les patients éligibles à l'autogreffe, en entretien post-autogreffe ; (ii) le myélome multiple en rechute/réfractaire en association à la dexaméthasone (Rd) ± bortézomib (VRd) ou daratumumab (Dara-Rd) ; (iii) le syndrome myélodysplasique avec délétion 5q- (avec ou sans cytopénies supplémentaires) — indication de marquée (réponse érythrocytaire chez 70 % des patients, indépendante des transfusions) ; (iv) le lymphome folliculaire ou lymphome B diffus à grandes cellules en rechute/réfractaire (en association au rituximab, R² regimen) ; (v) le lymphome du manteau en rechute (en association au rituximab) ; (vi) la myélofibrose post-PV/ET (off-label). AMM FDA juin 2006 (myélome), EMI juin 2007.</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REVLIMID</w:t>
            </w:r>
          </w:p>
        </w:tc>
        <w:tc>
          <w:tcPr>
            <w:tcW w:type="dxa" w:w="1559"/>
          </w:tcPr>
          <w:p>
            <w:r>
              <w:rPr>
                <w:sz w:val="20"/>
              </w:rPr>
              <w:t>CELGENE EUROPE LIMITED</w:t>
            </w:r>
          </w:p>
        </w:tc>
        <w:tc>
          <w:tcPr>
            <w:tcW w:type="dxa" w:w="1559"/>
          </w:tcPr>
          <w:p>
            <w:r>
              <w:rPr>
                <w:sz w:val="20"/>
              </w:rPr>
              <w:t>Gélule 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REVLIMID</w:t>
            </w:r>
          </w:p>
        </w:tc>
        <w:tc>
          <w:tcPr>
            <w:tcW w:type="dxa" w:w="1559"/>
          </w:tcPr>
          <w:p>
            <w:r>
              <w:rPr>
                <w:sz w:val="20"/>
              </w:rPr>
              <w:t>CELGENE EUROPE LIMITED</w:t>
            </w:r>
          </w:p>
        </w:tc>
        <w:tc>
          <w:tcPr>
            <w:tcW w:type="dxa" w:w="1559"/>
          </w:tcPr>
          <w:p>
            <w:r>
              <w:rPr>
                <w:sz w:val="20"/>
              </w:rPr>
              <w:t>Gélule 10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REVLIMID</w:t>
            </w:r>
          </w:p>
        </w:tc>
        <w:tc>
          <w:tcPr>
            <w:tcW w:type="dxa" w:w="1559"/>
          </w:tcPr>
          <w:p>
            <w:r>
              <w:rPr>
                <w:sz w:val="20"/>
              </w:rPr>
              <w:t>CELGENE EUROPE LIMITED</w:t>
            </w:r>
          </w:p>
        </w:tc>
        <w:tc>
          <w:tcPr>
            <w:tcW w:type="dxa" w:w="1559"/>
          </w:tcPr>
          <w:p>
            <w:r>
              <w:rPr>
                <w:sz w:val="20"/>
              </w:rPr>
              <w:t>Gélule 15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REVLIMID</w:t>
            </w:r>
          </w:p>
        </w:tc>
        <w:tc>
          <w:tcPr>
            <w:tcW w:type="dxa" w:w="1559"/>
          </w:tcPr>
          <w:p>
            <w:r>
              <w:rPr>
                <w:sz w:val="20"/>
              </w:rPr>
              <w:t>CELGENE EUROPE LIMITED</w:t>
            </w:r>
          </w:p>
        </w:tc>
        <w:tc>
          <w:tcPr>
            <w:tcW w:type="dxa" w:w="1559"/>
          </w:tcPr>
          <w:p>
            <w:r>
              <w:rPr>
                <w:sz w:val="20"/>
              </w:rPr>
              <w:t>Gélule 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LENALIDOMIDE-SAIDAL</w:t>
            </w:r>
          </w:p>
        </w:tc>
        <w:tc>
          <w:tcPr>
            <w:tcW w:type="dxa" w:w="1559"/>
          </w:tcPr>
          <w:p>
            <w:r>
              <w:rPr>
                <w:sz w:val="20"/>
              </w:rPr>
              <w:t>GROUPE SAIDAL</w:t>
            </w:r>
          </w:p>
        </w:tc>
        <w:tc>
          <w:tcPr>
            <w:tcW w:type="dxa" w:w="1559"/>
          </w:tcPr>
          <w:p>
            <w:r>
              <w:rPr>
                <w:sz w:val="20"/>
              </w:rPr>
              <w:t>Gélule 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LENALIDOMIDE-SAIDAL</w:t>
            </w:r>
          </w:p>
        </w:tc>
        <w:tc>
          <w:tcPr>
            <w:tcW w:type="dxa" w:w="1559"/>
          </w:tcPr>
          <w:p>
            <w:r>
              <w:rPr>
                <w:sz w:val="20"/>
              </w:rPr>
              <w:t>GROUPE SAIDAL</w:t>
            </w:r>
          </w:p>
        </w:tc>
        <w:tc>
          <w:tcPr>
            <w:tcW w:type="dxa" w:w="1559"/>
          </w:tcPr>
          <w:p>
            <w:r>
              <w:rPr>
                <w:sz w:val="20"/>
              </w:rPr>
              <w:t>Gélule 10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LENALIDOMIDE-SAIDAL</w:t>
            </w:r>
          </w:p>
        </w:tc>
        <w:tc>
          <w:tcPr>
            <w:tcW w:type="dxa" w:w="1559"/>
          </w:tcPr>
          <w:p>
            <w:r>
              <w:rPr>
                <w:sz w:val="20"/>
              </w:rPr>
              <w:t>GROUPE SAIDAL</w:t>
            </w:r>
          </w:p>
        </w:tc>
        <w:tc>
          <w:tcPr>
            <w:tcW w:type="dxa" w:w="1559"/>
          </w:tcPr>
          <w:p>
            <w:r>
              <w:rPr>
                <w:sz w:val="20"/>
              </w:rPr>
              <w:t>Gélule 15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LENALIDOMIDE-SAIDAL</w:t>
            </w:r>
          </w:p>
        </w:tc>
        <w:tc>
          <w:tcPr>
            <w:tcW w:type="dxa" w:w="1559"/>
          </w:tcPr>
          <w:p>
            <w:r>
              <w:rPr>
                <w:sz w:val="20"/>
              </w:rPr>
              <w:t>GROUPE SAIDAL</w:t>
            </w:r>
          </w:p>
        </w:tc>
        <w:tc>
          <w:tcPr>
            <w:tcW w:type="dxa" w:w="1559"/>
          </w:tcPr>
          <w:p>
            <w:r>
              <w:rPr>
                <w:sz w:val="20"/>
              </w:rPr>
              <w:t>Gélule 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LENALIDOMIDE BIOPHARM</w:t>
            </w:r>
          </w:p>
        </w:tc>
        <w:tc>
          <w:tcPr>
            <w:tcW w:type="dxa" w:w="1559"/>
          </w:tcPr>
          <w:p>
            <w:r>
              <w:rPr>
                <w:sz w:val="20"/>
              </w:rPr>
              <w:t>BIOPHARM</w:t>
            </w:r>
          </w:p>
        </w:tc>
        <w:tc>
          <w:tcPr>
            <w:tcW w:type="dxa" w:w="1559"/>
          </w:tcPr>
          <w:p>
            <w:r>
              <w:rPr>
                <w:sz w:val="20"/>
              </w:rPr>
              <w:t>Gélule 5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LENALIDOMIDE BIOPHARM</w:t>
            </w:r>
          </w:p>
        </w:tc>
        <w:tc>
          <w:tcPr>
            <w:tcW w:type="dxa" w:w="1559"/>
          </w:tcPr>
          <w:p>
            <w:r>
              <w:rPr>
                <w:sz w:val="20"/>
              </w:rPr>
              <w:t>BIOPHARM</w:t>
            </w:r>
          </w:p>
        </w:tc>
        <w:tc>
          <w:tcPr>
            <w:tcW w:type="dxa" w:w="1559"/>
          </w:tcPr>
          <w:p>
            <w:r>
              <w:rPr>
                <w:sz w:val="20"/>
              </w:rPr>
              <w:t>Gélule 10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LENALIDOMIDE BIOPHARM</w:t>
            </w:r>
          </w:p>
        </w:tc>
        <w:tc>
          <w:tcPr>
            <w:tcW w:type="dxa" w:w="1559"/>
          </w:tcPr>
          <w:p>
            <w:r>
              <w:rPr>
                <w:sz w:val="20"/>
              </w:rPr>
              <w:t>BIOPHARM</w:t>
            </w:r>
          </w:p>
        </w:tc>
        <w:tc>
          <w:tcPr>
            <w:tcW w:type="dxa" w:w="1559"/>
          </w:tcPr>
          <w:p>
            <w:r>
              <w:rPr>
                <w:sz w:val="20"/>
              </w:rPr>
              <w:t>Gélule 15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LENALIDOMIDE BIOPHARM</w:t>
            </w:r>
          </w:p>
        </w:tc>
        <w:tc>
          <w:tcPr>
            <w:tcW w:type="dxa" w:w="1559"/>
          </w:tcPr>
          <w:p>
            <w:r>
              <w:rPr>
                <w:sz w:val="20"/>
              </w:rPr>
              <w:t>BIOPHARM</w:t>
            </w:r>
          </w:p>
        </w:tc>
        <w:tc>
          <w:tcPr>
            <w:tcW w:type="dxa" w:w="1559"/>
          </w:tcPr>
          <w:p>
            <w:r>
              <w:rPr>
                <w:sz w:val="20"/>
              </w:rPr>
              <w:t>Gélule 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LENALIDOPHAL</w:t>
            </w:r>
          </w:p>
        </w:tc>
        <w:tc>
          <w:tcPr>
            <w:tcW w:type="dxa" w:w="1559"/>
          </w:tcPr>
          <w:p>
            <w:r>
              <w:rPr>
                <w:sz w:val="20"/>
              </w:rPr>
              <w:t>SOCIETE PHARMACEUTIQUE ALGERIENNE SOPHAL</w:t>
            </w:r>
          </w:p>
        </w:tc>
        <w:tc>
          <w:tcPr>
            <w:tcW w:type="dxa" w:w="1559"/>
          </w:tcPr>
          <w:p>
            <w:r>
              <w:rPr>
                <w:sz w:val="20"/>
              </w:rPr>
              <w:t>Gélule 5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LENALIDOPHAL</w:t>
            </w:r>
          </w:p>
        </w:tc>
        <w:tc>
          <w:tcPr>
            <w:tcW w:type="dxa" w:w="1559"/>
          </w:tcPr>
          <w:p>
            <w:r>
              <w:rPr>
                <w:sz w:val="20"/>
              </w:rPr>
              <w:t>SOCIETE PHARMACEUTIQUE ALGERIENNE SOPHAL</w:t>
            </w:r>
          </w:p>
        </w:tc>
        <w:tc>
          <w:tcPr>
            <w:tcW w:type="dxa" w:w="1559"/>
          </w:tcPr>
          <w:p>
            <w:r>
              <w:rPr>
                <w:sz w:val="20"/>
              </w:rPr>
              <w:t>Gélule 10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LENALIDOPHAL</w:t>
            </w:r>
          </w:p>
        </w:tc>
        <w:tc>
          <w:tcPr>
            <w:tcW w:type="dxa" w:w="1559"/>
          </w:tcPr>
          <w:p>
            <w:r>
              <w:rPr>
                <w:sz w:val="20"/>
              </w:rPr>
              <w:t>SOCIETE PHARMACEUTIQUE ALGERIENNE SOPHAL</w:t>
            </w:r>
          </w:p>
        </w:tc>
        <w:tc>
          <w:tcPr>
            <w:tcW w:type="dxa" w:w="1559"/>
          </w:tcPr>
          <w:p>
            <w:r>
              <w:rPr>
                <w:sz w:val="20"/>
              </w:rPr>
              <w:t>Gélule 15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LENALIDOPHAL</w:t>
            </w:r>
          </w:p>
        </w:tc>
        <w:tc>
          <w:tcPr>
            <w:tcW w:type="dxa" w:w="1559"/>
          </w:tcPr>
          <w:p>
            <w:r>
              <w:rPr>
                <w:sz w:val="20"/>
              </w:rPr>
              <w:t>SOCIETE PHARMACEUTIQUE ALGERIENNE SOPHAL</w:t>
            </w:r>
          </w:p>
        </w:tc>
        <w:tc>
          <w:tcPr>
            <w:tcW w:type="dxa" w:w="1559"/>
          </w:tcPr>
          <w:p>
            <w:r>
              <w:rPr>
                <w:sz w:val="20"/>
              </w:rPr>
              <w:t>Gélule 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LENADES</w:t>
            </w:r>
          </w:p>
        </w:tc>
        <w:tc>
          <w:tcPr>
            <w:tcW w:type="dxa" w:w="1559"/>
          </w:tcPr>
          <w:p>
            <w:r>
              <w:rPr>
                <w:sz w:val="20"/>
              </w:rPr>
              <w:t>DEMOCEDES PHARMA ALGERIE</w:t>
            </w:r>
          </w:p>
        </w:tc>
        <w:tc>
          <w:tcPr>
            <w:tcW w:type="dxa" w:w="1559"/>
          </w:tcPr>
          <w:p>
            <w:r>
              <w:rPr>
                <w:sz w:val="20"/>
              </w:rPr>
              <w:t>Gélule 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LENADES</w:t>
            </w:r>
          </w:p>
        </w:tc>
        <w:tc>
          <w:tcPr>
            <w:tcW w:type="dxa" w:w="1559"/>
          </w:tcPr>
          <w:p>
            <w:r>
              <w:rPr>
                <w:sz w:val="20"/>
              </w:rPr>
              <w:t>DEMOCEDES PHARMA ALGERIE</w:t>
            </w:r>
          </w:p>
        </w:tc>
        <w:tc>
          <w:tcPr>
            <w:tcW w:type="dxa" w:w="1559"/>
          </w:tcPr>
          <w:p>
            <w:r>
              <w:rPr>
                <w:sz w:val="20"/>
              </w:rPr>
              <w:t>Gélule 10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LENADES</w:t>
            </w:r>
          </w:p>
        </w:tc>
        <w:tc>
          <w:tcPr>
            <w:tcW w:type="dxa" w:w="1559"/>
          </w:tcPr>
          <w:p>
            <w:r>
              <w:rPr>
                <w:sz w:val="20"/>
              </w:rPr>
              <w:t>DEMOCEDES PHARMA ALGERIE</w:t>
            </w:r>
          </w:p>
        </w:tc>
        <w:tc>
          <w:tcPr>
            <w:tcW w:type="dxa" w:w="1559"/>
          </w:tcPr>
          <w:p>
            <w:r>
              <w:rPr>
                <w:sz w:val="20"/>
              </w:rPr>
              <w:t>Gélule 15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LENADES</w:t>
            </w:r>
          </w:p>
        </w:tc>
        <w:tc>
          <w:tcPr>
            <w:tcW w:type="dxa" w:w="1559"/>
          </w:tcPr>
          <w:p>
            <w:r>
              <w:rPr>
                <w:sz w:val="20"/>
              </w:rPr>
              <w:t>DEMOCEDES PHARMA ALGERIE</w:t>
            </w:r>
          </w:p>
        </w:tc>
        <w:tc>
          <w:tcPr>
            <w:tcW w:type="dxa" w:w="1559"/>
          </w:tcPr>
          <w:p>
            <w:r>
              <w:rPr>
                <w:sz w:val="20"/>
              </w:rPr>
              <w:t>Gélule 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LENANGIO</w:t>
            </w:r>
          </w:p>
        </w:tc>
        <w:tc>
          <w:tcPr>
            <w:tcW w:type="dxa" w:w="1559"/>
          </w:tcPr>
          <w:p>
            <w:r>
              <w:rPr>
                <w:sz w:val="20"/>
              </w:rPr>
              <w:t>DR.REDDY'S LABORATORIES LIMITED</w:t>
            </w:r>
          </w:p>
        </w:tc>
        <w:tc>
          <w:tcPr>
            <w:tcW w:type="dxa" w:w="1559"/>
          </w:tcPr>
          <w:p>
            <w:r>
              <w:rPr>
                <w:sz w:val="20"/>
              </w:rPr>
              <w:t>Capsule dure 5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LENANGIO</w:t>
            </w:r>
          </w:p>
        </w:tc>
        <w:tc>
          <w:tcPr>
            <w:tcW w:type="dxa" w:w="1559"/>
          </w:tcPr>
          <w:p>
            <w:r>
              <w:rPr>
                <w:sz w:val="20"/>
              </w:rPr>
              <w:t>DR.REDDY'S LABORATORIES LIMITED</w:t>
            </w:r>
          </w:p>
        </w:tc>
        <w:tc>
          <w:tcPr>
            <w:tcW w:type="dxa" w:w="1559"/>
          </w:tcPr>
          <w:p>
            <w:r>
              <w:rPr>
                <w:sz w:val="20"/>
              </w:rPr>
              <w:t>Capsule dure 10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LENANGIO</w:t>
            </w:r>
          </w:p>
        </w:tc>
        <w:tc>
          <w:tcPr>
            <w:tcW w:type="dxa" w:w="1559"/>
          </w:tcPr>
          <w:p>
            <w:r>
              <w:rPr>
                <w:sz w:val="20"/>
              </w:rPr>
              <w:t>DR.REDDY'S LABORATORIES LIMITED</w:t>
            </w:r>
          </w:p>
        </w:tc>
        <w:tc>
          <w:tcPr>
            <w:tcW w:type="dxa" w:w="1559"/>
          </w:tcPr>
          <w:p>
            <w:r>
              <w:rPr>
                <w:sz w:val="20"/>
              </w:rPr>
              <w:t>Capsule dure 15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LENANGIO</w:t>
            </w:r>
          </w:p>
        </w:tc>
        <w:tc>
          <w:tcPr>
            <w:tcW w:type="dxa" w:w="1559"/>
          </w:tcPr>
          <w:p>
            <w:r>
              <w:rPr>
                <w:sz w:val="20"/>
              </w:rPr>
              <w:t>DR.REDDY'S LABORATORIES LIMITED</w:t>
            </w:r>
          </w:p>
        </w:tc>
        <w:tc>
          <w:tcPr>
            <w:tcW w:type="dxa" w:w="1559"/>
          </w:tcPr>
          <w:p>
            <w:r>
              <w:rPr>
                <w:sz w:val="20"/>
              </w:rPr>
              <w:t>Capsule dure 25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VOTIRA</w:t>
            </w:r>
          </w:p>
        </w:tc>
        <w:tc>
          <w:tcPr>
            <w:tcW w:type="dxa" w:w="1559"/>
          </w:tcPr>
          <w:p>
            <w:r>
              <w:rPr>
                <w:sz w:val="20"/>
              </w:rPr>
              <w:t>HIKMA PHARMA ALGERIA</w:t>
            </w:r>
          </w:p>
        </w:tc>
        <w:tc>
          <w:tcPr>
            <w:tcW w:type="dxa" w:w="1559"/>
          </w:tcPr>
          <w:p>
            <w:r>
              <w:rPr>
                <w:sz w:val="20"/>
              </w:rPr>
              <w:t>Gélule 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VOTIRA</w:t>
            </w:r>
          </w:p>
        </w:tc>
        <w:tc>
          <w:tcPr>
            <w:tcW w:type="dxa" w:w="1559"/>
          </w:tcPr>
          <w:p>
            <w:r>
              <w:rPr>
                <w:sz w:val="20"/>
              </w:rPr>
              <w:t>HIKMA PHARMA ALGERIA</w:t>
            </w:r>
          </w:p>
        </w:tc>
        <w:tc>
          <w:tcPr>
            <w:tcW w:type="dxa" w:w="1559"/>
          </w:tcPr>
          <w:p>
            <w:r>
              <w:rPr>
                <w:sz w:val="20"/>
              </w:rPr>
              <w:t>Gélule 10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VOTIRA</w:t>
            </w:r>
          </w:p>
        </w:tc>
        <w:tc>
          <w:tcPr>
            <w:tcW w:type="dxa" w:w="1559"/>
          </w:tcPr>
          <w:p>
            <w:r>
              <w:rPr>
                <w:sz w:val="20"/>
              </w:rPr>
              <w:t>HIKMA PHARMA ALGERIA</w:t>
            </w:r>
          </w:p>
        </w:tc>
        <w:tc>
          <w:tcPr>
            <w:tcW w:type="dxa" w:w="1559"/>
          </w:tcPr>
          <w:p>
            <w:r>
              <w:rPr>
                <w:sz w:val="20"/>
              </w:rPr>
              <w:t>Gélule 15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VOTIRA</w:t>
            </w:r>
          </w:p>
        </w:tc>
        <w:tc>
          <w:tcPr>
            <w:tcW w:type="dxa" w:w="1559"/>
          </w:tcPr>
          <w:p>
            <w:r>
              <w:rPr>
                <w:sz w:val="20"/>
              </w:rPr>
              <w:t>HIKMA PHARMA ALGERIA</w:t>
            </w:r>
          </w:p>
        </w:tc>
        <w:tc>
          <w:tcPr>
            <w:tcW w:type="dxa" w:w="1559"/>
          </w:tcPr>
          <w:p>
            <w:r>
              <w:rPr>
                <w:sz w:val="20"/>
              </w:rPr>
              <w:t>Gélule 25 mg</w:t>
            </w:r>
          </w:p>
        </w:tc>
        <w:tc>
          <w:tcPr>
            <w:tcW w:type="dxa" w:w="1559"/>
          </w:tcPr>
          <w:p>
            <w:r>
              <w:rPr>
                <w:sz w:val="20"/>
              </w:rPr>
              <w:t>B/21</w:t>
            </w:r>
          </w:p>
        </w:tc>
        <w:tc>
          <w:tcPr>
            <w:tcW w:type="dxa" w:w="1559"/>
          </w:tcPr>
          <w:p>
            <w:r>
              <w:rPr>
                <w:sz w:val="20"/>
              </w:rPr>
              <w:t>Liste I</w:t>
            </w:r>
          </w:p>
        </w:tc>
        <w:tc>
          <w:tcPr>
            <w:tcW w:type="dxa" w:w="1559"/>
          </w:tcPr>
          <w:p>
            <w:r>
              <w:rPr>
                <w:sz w:val="20"/>
              </w:rPr>
              <w:t>Actif</w:t>
            </w:r>
          </w:p>
        </w:tc>
      </w:tr>
    </w:tbl>
    <w:p/>
    <w:p>
      <w:r>
        <w:t>La spécialité princeps REVLIMID (Celgene Europe Limited, laboratoire américain racheté par Bristol-Myers Squibb en 2019) coexiste avec cinq génériques (SAIDAL, BIOPHARM, SOPHAL, DEMOCEDES algériens, DR.REDDY'S indien, HIKMA sous la marque VOTIRA), couvrant les quatre dosages nécessaires à l'adaptation posologique (5 mg, 10 mg, 15 mg, 25 mg). Le conditionnement de 21 gélules correspond à un cycle de traitement (21 jours sur 28, 7 jours d'arrêt). La délivrance s'effectue en pharmacie hospitalière spécialisée (hématologie clinique) ou en officine sur prescription hospitalière, dans le cadre du programme de prévention des grossesses (PPPM).</w:t>
      </w:r>
    </w:p>
    <w:p>
      <w:r/>
      <w:r>
        <w:rPr>
          <w:b/>
        </w:rPr>
        <w:t>Sous-classe et Mécanisme d'action :</w:t>
      </w:r>
      <w:r/>
    </w:p>
    <w:p>
      <w:pPr>
        <w:pStyle w:val="ListBullet"/>
      </w:pPr>
      <w:r>
        <w:t>Sous-classe : IMiD (Immunomodulatory Drug) de 2e génération, dérivé de la thalidomide (analogie structurelle avec un groupement amino en position 4), classe des phtalimidés. DCI inscrite sur la liste des médicaments essentiels OMS. Tératogène majeur (programme PPPM obligatoire).</w:t>
      </w:r>
    </w:p>
    <w:p>
      <w:pPr>
        <w:pStyle w:val="ListBullet"/>
      </w:pPr>
      <w:r>
        <w:t>Mécanisme d'action : le lénalidomide pénètre dans le compartiment intracellulaire et se lie de manière réversible au cereblon (CRBN), récepteur substrat de l'E3 ubiquitine ligase CRL4-CRBN. Cette liaison modifie le spectre de substrats du complexe enzymatique, induisant l'ubiquitination et la dégradation protéasomale de plusieurs facteurs de transcription clés : (i) Ikaros (IKZF1) et Aiolos (IKZF2), facteurs de transcription de la famille zinc-finger, nécessaires à la prolifération des cellules T et au développement lymphoïde B ; leur dégradation inhibe la prolifération plasmocytaire (blocage de la boucle IRF4-MYC, boucle oncogénique centrale du myélome) et active la prolifération T cytotoxique (IL-2 ↑) et NK ; (ii) casein kinase 1A1 (CK1α), suppresseur de tumeur dans le myélodysplasie 5q- (expliquant l'efficacité spectaculaire et spécifique dans cette affection — le gène de CK1α est localisé sur le chromosome 5q, en région délétée) ; (iii) GSPT1 et ZFP91 (à forte dose). Le lénalidomide exerce également une activité anti-angiogénique (inhibition de la migration et de la prolifération des cellules endothéliales, réduction de la production de VEGF et bFGF par les cellules stromales médullaires) et une altération du microenvironnement médullaire (inhibition de l'adhésion des cellules myélomateuses au stroma via VCAM-1, ICAM-1, et inhibition de la production d'IL-6 par les cellules stromales). L'effet immunostimulant se manifeste par une augmentation de l'IL-2 (production T), une activation des cellules NK (via l'augmentation de l'IL-2), et une levée de l'inhibition T-reg (via la dégradation de IKZF2 spécifique des T-reg).</w:t>
      </w:r>
    </w:p>
    <w:p>
      <w:r/>
      <w:r>
        <w:rPr>
          <w:b/>
        </w:rPr>
        <w:t>Profil Pharmacologique :</w:t>
      </w:r>
      <w:r/>
    </w:p>
    <w:p>
      <w:pPr>
        <w:pStyle w:val="ListBullet"/>
      </w:pPr>
      <w:r>
        <w:t>Indications : (1) Myélome multiple en première ligne, en association à la dexaméthasone (Rd) chez les patients non éligibles à l'autogreffe, dose 25 mg/j J1-J21 de chaque cycle de 28 jours ; (2) Myélome multiple en induction VRd (bortézomib-lénalidomide-dexaméthasone) chez les patients éligibles à l'autogreffe ; (3) Myélome multiple en entretien post-autogreffe, dose 10–15 mg/j en continu ; (4) Myélome multiple en rechute/réfractaire en association à la dexaméthasone (Rd), ± bortézomib (VRd), ± daratumumab (Dara-Rd), dose 25 mg/j J1-J21 ; (5) Syndrome myélodysplasique avec délétion 5q- (avec ou sans cytopénies supplémentaires, IPSS-R Low/Int-1 avec anémie transfusion-dépendante), dose 10 mg/j en continu (21/28) ; (6) Lymphome folliculaire en rechute/réfractaire (lénalidomide-rituximab R²), dose 20 mg/j J1-J21 ; (7) Lymphome du manteau en rechute (lénalidomide-rituximab), dose 25 mg/j J1-J21 ; (8) Lymphome B diffus à grandes cellules en rechute (R²-CHOP ou R² en 2e ligne), dose 25 mg/j J1-J21 ; (9) Myélofibrose post-PV/ET (off-label).</w:t>
      </w:r>
    </w:p>
    <w:p>
      <w:pPr>
        <w:pStyle w:val="ListBullet"/>
      </w:pPr>
      <w:r>
        <w:t>Contre-indications : Hypersensibilité au lénalidomide, à la thalidomide, ou à l'un des excipients (lactose, talc, gélatine). GROSSESSE : CONTRE-INDICATION ABSOLUE (tératogène majeur). Précautions : insuffisance rénale modérée à sévère (réduction de dose selon DFG : 30–50 mL/min → 10 mg/j ; &lt; 30 mL/min sans dialyse → 15 mg tous les 2 jours ; &lt; 30 mL/min en dialyse → 5 mg/jour de dialyse), insuffisance hépatique sévère (surveillance), thrombopénie préexistante (&lt; 50 G/L, à corriger), neutropénie préexistante (&lt; 1,0 G/L, à corriger), antécédents thrombo-emboliques (prophylaxie HBPM systématique), rash sévère (surveillance cutanée), infection active, syndrome de lyse tumorale (prophylaxie).</w:t>
      </w:r>
    </w:p>
    <w:p>
      <w:pPr>
        <w:pStyle w:val="ListBullet"/>
      </w:pPr>
      <w:r>
        <w:t>Effets Indésirables : Très fréquents (&gt; 10 %) : neutropénie (50 %, dont 35 % grade 3/4 — effet signature), thrombopénie (35 %, dont 15 % grade 3/4, nadir à J14-J21), anémie (25 %), diarrhée (40 %), constipation (30 %), nausées (25 %), vomissements (15 %), rash maculo-papuleux (30 %, dont 5 % grade 3/4), prurit (15 %), fatigue (35 %), asthénie (30 %), crampes musculaires (25 %), céphalées (20 %), insomnie (15 %), vertiges (15 %), toux (15 %), dyspnée (10 %), infections respiratoires hautes (15 %), infections urinaires (15 %), fièvre (20 %), œdèmes périphériques (25 %), thrombose veineuse profonde (10 %, plus fréquente en association à la dexaméthasone), embolie pulmonaire (5 %), hypokaliémie, hypocalcémie, hyperglycémie. Fréquents (1–10 %) : syndrome de lyse tumorale (rare, en cas de masse tumorale élevée), hépatotoxicité (cytolyse, cholestase), hypothyroïdie, syndrome de Stevens-Johnson (rare mais grave), syndrome de Lyell (rare), réaction d'hypersensibilité, hypertension artérielle, insuffisance rénale, pneumopathie interstitielle, tremblements. Rares (&lt; 1 %) : myélodysplasie/LAM secondaire (à long terme), pancréatite, hépatite fulminante, éruption médicamenteuse avec éosinophilie et symptômes systémiques (DRESS).</w:t>
      </w:r>
    </w:p>
    <w:p>
      <w:r/>
      <w:r>
        <w:rPr>
          <w:b/>
        </w:rPr>
        <w:t>Prévention et Gestion des Effets Indésirables :</w:t>
      </w:r>
      <w:r/>
    </w:p>
    <w:p>
      <w:pPr>
        <w:pStyle w:val="ListBullet"/>
      </w:pPr>
      <w:r>
        <w:t>Mesures Préventives : (i) Programme de prévention des grossesses (PPPM) OBLIGATOIRE : questionnaire systématique à chaque prescription, double contraception chez la femme en âge de procréer (préservatif + contraception orale ou dispositif intra-utérin, 4 semaines avant initiation, pendant le traitement et 4 semaines après l'arrêt), test de grossesse avant initiation et mensuel pendant le traitement (β-hCG quantitatif) ; chez l'homme traité, préservatif obligatoire pendant le traitement et 4 semaines après l'arrêt (en cas de partenaire enceinte ou en âge de procréer). (ii) NFS-plaquettes avant initiation, à J14, J21 du cycle, et avant l'initiation du cycle suivant (J28). (iii) Prophylaxie thrombo-embolique par HBPM systématique (enoxaparine 40 mg SC/j ou daltéparine 5000 UI SC/j) en cas d'association à la dexaméthasone ou au bortézomib ; surveillance des signes de thrombose (douleur mollet, œdème unilatéral, dyspnée, douleur thoracique). (iv) Prophylaxie antivirale par aciclovir 400 mg/j pendant le traitement et 4 semaines après l'arrêt (prévention de l'herpès zoster, surtout en association au bortézomib). (v) Prophylaxie anti-Pneumocystis jirovecii par cotrimoxazole si association à la corticothérapie prolongée. (vi) Information du patient sur les signes d'alerte (fièvre, frissons, dyspnée, douleur mollet, éruption cutanée). (vii) Antiémétiques prophylactiques si nausées. (viii) Photographie cutanée de référence, surveillance dermatologique rapprochée les 2 premiers cycles (rash précoce, DRESS).</w:t>
      </w:r>
    </w:p>
    <w:p>
      <w:pPr>
        <w:pStyle w:val="ListBullet"/>
      </w:pPr>
      <w:r>
        <w:t>Conduite à Tenir : Neutropénie grade 3 (PNN 0,5–1,0 G/L) : interruption transitoire jusqu'à récupération (PNN ≥ 1,0 G/L), reprise à dose réduite (25 → 20 → 15 mg) ; grade 4 (PNN &lt; 0,5 G/L) ou grade 3 fébrile : interruption, G-CSF (filgrastim 5 µg/kg/j), reprise à dose réduite. Thrombopénie grade 3 (plaquettes 25–50 G/L) : interruption, reprise à dose réduite ; grade 4 (plaquettes &lt; 25 G/L) : interruption, transfusion de plaquettes, reprise à dose réduite. Anémie grade 3 (Hb 60–80 g/L) : interruption transitoire, transfusion si symptomatique. Rash grade 1 (maculo-papuleux modéré) : poursuite, antihistaminiques topiques ou oraux. Grade 2 (diffus, prurigineux) : antihistaminiques oraux, poursuite à dose réduite si nécessaire. Grade 3 (étendu, prurigineux, avec fièvre ou atteinte muqueuse) : interruption transitoire, corticothérapie orale (prednisone 0,5–1 mg/kg/j), recherche DRESS (éosinophilie, hyperéosinophilie, atteinte viscérale — hépatique, rénale, pulmonaire). Grade 4 (Stevens-Johnson, Lyell, DRESS) : arrêt définitif, hospitalisation, corticothérapie IV, dermatologie. Thrombose veineuse profonde / embolie pulmonaire : arrêt transitoire, anticoagulation curative (HBPM puis AVK, ou AOD), reprise après 2–4 semaines sous anticoagulation curative. Diarrhée grade 2 : lopéramide, réhydratation. Grade 3 : interruption transitoire, réhydratation IV, lopéramide. Syndrome de lyse tumorale : hyperhydratation alcaline, rasburicase si uricémie élevée.</w:t>
      </w:r>
    </w:p>
    <w:p>
      <w:r/>
      <w:r>
        <w:rPr>
          <w:b/>
        </w:rPr>
        <w:t>Interactions Médicamenteuses :</w:t>
      </w:r>
      <w:r/>
    </w:p>
    <w:p>
      <w:pPr>
        <w:pStyle w:val="ListBullet"/>
      </w:pPr>
      <w:r>
        <w:t>Médicaments (peu d'interactions significatives) : le lénalidomide est métabolisé principalement par hydrolyse non enzymatique (pas de métabolisme CYP), et éliminé par voie rénale (filtration glomérulaire et sécrétion tubulaire). Inducteurs et inhibiteurs du CYP3A4 sans impact clinique majeur.</w:t>
      </w:r>
    </w:p>
    <w:p>
      <w:pPr>
        <w:pStyle w:val="ListBullet"/>
      </w:pPr>
      <w:r>
        <w:t>Transporteurs : le lénalidomide est substrat de l'OCT2, de la MATE1 et de la MATE2-K (transporteurs tubulaires rénaux) ; éviter l'association avec les inhibiteurs de ces transporteurs (cimétidine, cisplatine, pilule progestative) ou surveiller (augmentation des concentrations de lénalidomide, risque de cytopénies). Éviter l'association avec la digoxine (substrat P-gp, surveillance).</w:t>
      </w:r>
    </w:p>
    <w:p>
      <w:pPr>
        <w:pStyle w:val="ListBullet"/>
      </w:pPr>
      <w:r>
        <w:t>Néphrotoxicité additive : éviter l'association avec les aminosides, les produits de contraste iodés, les AINS à forte dose.</w:t>
      </w:r>
    </w:p>
    <w:p>
      <w:pPr>
        <w:pStyle w:val="ListBullet"/>
      </w:pPr>
      <w:r>
        <w:t>Anticoagulants : pas d'interaction directe avec la warfarine ou les AOD, mais surveillance renforcée en cas d'association (risque hémorragique sur thrombopénie + risque thrombotique intrinsèque du lénalidomide — équilibre délicat).</w:t>
      </w:r>
    </w:p>
    <w:p>
      <w:pPr>
        <w:pStyle w:val="ListBullet"/>
      </w:pPr>
      <w:r>
        <w:t>Dexaméthasone : pas d'interaction pharmacocinétique significative, mais augmentation du risque thrombotique (synergie pro-thrombotique).</w:t>
      </w:r>
    </w:p>
    <w:p>
      <w:pPr>
        <w:pStyle w:val="ListBullet"/>
      </w:pPr>
      <w:r>
        <w:t>Bortézomib : pas d'interaction pharmacocinétique significative, mais augmentation du risque de neuropathie périphérique (effet additif rare, surtout neurotoxicité du bortézomib).</w:t>
      </w:r>
    </w:p>
    <w:p>
      <w:pPr>
        <w:pStyle w:val="ListBullet"/>
      </w:pPr>
      <w:r>
        <w:t>Vaccins : vaccins vivants atténués (BCG, ROR, fièvre jaune, varicelle) contre-indiqués pendant le traitement. Vaccins inactivés autorisés mais réponse atténuée.</w:t>
      </w:r>
    </w:p>
    <w:p>
      <w:pPr>
        <w:pStyle w:val="ListBullet"/>
      </w:pPr>
      <w:r>
        <w:t>Alimentation : prendre à heure fixe, indifféremment avec ou sans nourriture (mais toujours de la même manière pour éviter la variabilité). Modération alcoolique. Pas de restriction pamplemousse/millepertuis (pas d'interaction CYP3A4).</w:t>
      </w:r>
    </w:p>
    <w:p>
      <w:r/>
      <w:r>
        <w:rPr>
          <w:b/>
        </w:rPr>
        <w:t>Grossesse et Allaitement :</w:t>
      </w:r>
      <w:r/>
    </w:p>
    <w:p>
      <w:pPr>
        <w:pStyle w:val="ListBullet"/>
      </w:pPr>
      <w:r>
        <w:t>Grossesse : CONTRE-INDICATION ABSOLUE (TÉRATOGÈNE MAJEUR). Le lénalidomide est un tératogène majeur de catégorie X, à l'instar de la thalidomide. Données animales tératogènes (phocomélie, amélie, anomalies cardiovasculaires, rénales, neurologiques chez le singe, le lapin, le rat à exposition infra-thérapeutique). Le programme de prévention des grossesses (PPPM) est OBLIGATOIRE : (i) chez la femme en âge de procréer : double contraception (préservatif + contraception orale ou dispositif intra-utérin) 4 semaines avant initiation, pendant le traitement et 4 semaines après l'arrêt ; test de grossesse (β-hCG quantitatif) avant initiation, mensuel pendant le traitement, et 4 semaines après l'arrêt ; (ii) chez l'homme traité : préservatif obligatoire pendant le traitement et 4 semaines après l'arrêt (en cas de partenaire enceinte ou en âge de procréer, en raison du passage du lénalidomide dans le sperme) ; information sur le risque tératogène majeur et l'obligation de signaler toute suspicion de grossesse (partner ou elle-même) immédiatement. Conservation de sperme ou d'ovocytes/embryons recommandée avant tout traitement anticancéreux.</w:t>
      </w:r>
    </w:p>
    <w:p>
      <w:pPr>
        <w:pStyle w:val="ListBullet"/>
      </w:pPr>
      <w:r>
        <w:t>Allaitement : CONTRE-INDICATION ABSOLUE. Le lénalidomide passe dans le lait maternel (forte lipophilie), exposant le nouveau-né à des concentrations cytotoxiques et tératogènes. Allaitement à interrompre pendant toute la durée du traitement et jusqu'à 4 semaines après l'arrêt.</w:t>
      </w:r>
    </w:p>
    <w:p>
      <w:pPr>
        <w:pStyle w:val="ListBullet"/>
      </w:pPr>
      <w:r>
        <w:t>Précautions : Femme en âge de procréer : PPPM obligatoire. Information de la patiente et de son partenaire sur le risque tératogène majeur.</w:t>
      </w:r>
    </w:p>
    <w:p>
      <w:r/>
      <w:r>
        <w:rPr>
          <w:b/>
        </w:rPr>
        <w:t>Posologie et Mode d'administration (Standard) :</w:t>
      </w:r>
      <w:r/>
    </w:p>
    <w:p>
      <w:pPr>
        <w:pStyle w:val="ListBullet"/>
      </w:pPr>
      <w:r>
        <w:t>Adulte : Myélome multiple : 25 mg/j en une prise par voie orale, à J1-J21 de chaque cycle de 28 jours (21 jours de traitement + 7 jours d'arrêt). Association à la dexaméthasone 40 mg hebdomadaire (Rd) ou au bortézomib-dexaméthasone (VRd).</w:t>
      </w:r>
    </w:p>
    <w:p>
      <w:pPr>
        <w:pStyle w:val="ListBullet"/>
      </w:pPr>
      <w:r>
        <w:t>Myélodysplasie 5q- : 10 mg/j en une prise par voie orale, en continu (21/28 ou 28/28 selon protocole).</w:t>
      </w:r>
    </w:p>
    <w:p>
      <w:pPr>
        <w:pStyle w:val="ListBullet"/>
      </w:pPr>
      <w:r>
        <w:t>Lymphome folliculaire, MCL, DLBCL : 20 mg/j (R² regimen) ou 25 mg/j (induction), J1-J21 de chaque cycle de 28 jours, en association au rituximab.</w:t>
      </w:r>
    </w:p>
    <w:p>
      <w:pPr>
        <w:pStyle w:val="ListBullet"/>
      </w:pPr>
      <w:r>
        <w:t>Adaptation en cas de neutropénie/thrombopénie grade 3/4 : niveau 1 : 15 mg/j ; niveau 2 : 10 mg/j ; niveau 3 : 5 mg/j ; niveau 4 : arrêt définitif.</w:t>
      </w:r>
    </w:p>
    <w:p>
      <w:pPr>
        <w:pStyle w:val="ListBullet"/>
      </w:pPr>
      <w:r>
        <w:t>Adaptation à la fonction rénale : DFG ≥ 50 mL/min : pas d'adaptation (dose standard 25 mg/j) ; DFG 30–50 mL/min : 10 mg/j ; DFG &lt; 30 mL/min sans dialyse : 15 mg tous les 2 jours ; DFG &lt; 30 mL/min en dialyse : 5 mg/jour de dialyse (après dialyse).</w:t>
      </w:r>
    </w:p>
    <w:p>
      <w:pPr>
        <w:pStyle w:val="ListBullet"/>
      </w:pPr>
      <w:r>
        <w:t>Mode d'administration : voie orale stricte. Les gélules ou capsules ne doivent pas être écrasées, mâchées ou ouvertes (risque tératogène en cas de contact cutané ou muqueux). Prendre avec un grand verre d'eau, indifféremment avec ou sans nourriture (mais toujours de la même manière pour éviter la variabilité). En cas d'oubli de moins de 12 heures : prendre la dose immédiatement ; au-delà : ne pas prendre la dose, poursuivre au schéma habituel (ne pas doubler la dose suivante). En cas de vomissement : ne pas reprendre de dose. Manipulation avec gants par le personnel soignant et les aidants (risque tératogène).</w:t>
      </w:r>
    </w:p>
    <w:p>
      <w:pPr>
        <w:pStyle w:val="ListBullet"/>
      </w:pPr>
      <w:r>
        <w:t>Durée du traitement : myélome multiple : traitement au long cours jusqu'à progression ou intolérance. Myélodysplasie 5q- : traitement au long cours jusqu'à progression ou intolérance. Lymphomes : jusqu'à progression ou intolérance.</w:t>
      </w:r>
    </w:p>
    <w:p>
      <w:r/>
      <w:r>
        <w:rPr>
          <w:b/>
        </w:rPr>
        <w:t>Surveillance Biologique et Suivi Clinique :</w:t>
      </w:r>
      <w:r/>
    </w:p>
    <w:p>
      <w:pPr>
        <w:pStyle w:val="ListBullet"/>
      </w:pPr>
      <w:r>
        <w:t>Hématologique : NFS-plaquettes avant initiation, à J14, J21 du cycle, et avant l'initiation du cycle suivant (J28). Seuils d'adaptation : PNN &lt; 1,0 G/L (grade 3) ou &lt; 0,5 G/L (grade 4) → interruption jusqu'à récupération (PNN ≥ 1,5 G/L), reprise à dose réduite. Plaquettes &lt; 50 G/L → interruption, reprise à dose réduite. Hb &lt; 80 g/L → interruption, transfusion si symptomatique.</w:t>
      </w:r>
    </w:p>
    <w:p>
      <w:pPr>
        <w:pStyle w:val="ListBullet"/>
      </w:pPr>
      <w:r>
        <w:t>Rénale : créatinine, urée, ionogramme avant initiation, mensuel puis trimestriel. Adaptation posologique selon DFG.</w:t>
      </w:r>
    </w:p>
    <w:p>
      <w:pPr>
        <w:pStyle w:val="ListBullet"/>
      </w:pPr>
      <w:r>
        <w:t>Hépatique : ALAT, ASAT, bilirubine avant initiation, mensuel puis trimestriel.</w:t>
      </w:r>
    </w:p>
    <w:p>
      <w:pPr>
        <w:pStyle w:val="ListBullet"/>
      </w:pPr>
      <w:r>
        <w:t>Thrombo-embolique : surveillance clinique des signes de thrombose (douleur mollet, œdème unilatéral, dyspnée, douleur thoracique). Prophylaxie HBPM systématique en cas d'association à la dexaméthasone ou au bortézomib.</w:t>
      </w:r>
    </w:p>
    <w:p>
      <w:pPr>
        <w:pStyle w:val="ListBullet"/>
      </w:pPr>
      <w:r>
        <w:t>Cutanée : photographie de référence, surveillance dermatologique rapprochée les 2 premiers cycles (rash précoce, DRESS). Arrêt en cas de rash grade ≥ 3, recherche éosinophilie et atteinte viscérale (DRESS).</w:t>
      </w:r>
    </w:p>
    <w:p>
      <w:pPr>
        <w:pStyle w:val="ListBullet"/>
      </w:pPr>
      <w:r>
        <w:t>Infectiologique : prophylaxie antivirale systématique par aciclovir 400 mg/j pendant le traitement et 4 semaines après l'arrêt (en association au bortézomib). Prophylaxie anti-Pneumocystis jirovecii par cotrimoxazole si association à la corticothérapie prolongée.</w:t>
      </w:r>
    </w:p>
    <w:p>
      <w:pPr>
        <w:pStyle w:val="ListBullet"/>
      </w:pPr>
      <w:r>
        <w:t>Suivi moléculaire : électrophorèse des protéines sériques et urinaires, dosage des chaînes légères libres sériques (κ/λ, ratio), β2-microglobuline, à chaque cycle pour évaluation de la réponse (critères IMWG). Myélodysplasie 5q- : NFS et cytogénétique médullaire tous les 3 mois.</w:t>
      </w:r>
    </w:p>
    <w:p>
      <w:pPr>
        <w:pStyle w:val="ListBullet"/>
      </w:pPr>
      <w:r>
        <w:t>Suivi PPPM : test de grossesse mensuel (β-hCG quantitatif) chez la femme en âge de procréer, questionnaire de compliance contraceptive.</w:t>
      </w:r>
    </w:p>
    <w:p>
      <w:r/>
      <w:r>
        <w:rPr>
          <w:b/>
        </w:rPr>
        <w:t>Arbitrage et Bénéfices des Formes Galéniques :</w:t>
      </w:r>
      <w:r/>
    </w:p>
    <w:p>
      <w:r>
        <w:t>Les quatre dosages (5 mg, 10 mg, 15 mg, 25 mg) permettent l'adaptation posologique progressive en cas de cytopénies, d'insuffisance rénale, ou d'effets indésirables (25 → 20 → 15 → 10 → 5 mg → arrêt définitif). Les génériques algériens (SAIDAL, BIOPHARM, SOPHAL, DEMOCEDES) et indiens (DR.REDDY'S sous LENANGIO), ainsi que HIKMA (VOTIRA) présentent une équivalence pharmacocinétique documentée avec la spécialité princeps Revlimid®, autorisant la substitution. Le conditionnement de 21 gélules correspond à un cycle complet (21 jours de traitement + 7 jours d'arrêt). Le pharmacien d'officine joue un rôle pivot dans le PPPM (vérification du test de grossesse, de la contraception, du questionnaire), la vérification de la prescription (cycle de 28 jours, 21 jours de traitement), la prévention des interactions et le suivi de l'observance.</w:t>
      </w:r>
    </w:p>
    <w:p>
      <w:r/>
      <w:r>
        <w:rPr>
          <w:b/>
        </w:rPr>
        <w:t>Instructions et Conseils au Patient :</w:t>
      </w:r>
      <w:r/>
    </w:p>
    <w:p>
      <w:pPr>
        <w:pStyle w:val="ListBullet"/>
      </w:pPr>
      <w:r>
        <w:t>Communication au comptoir : « Le lénalidomide est un médicament anticancéreux oral qui cible spécifiquement les cellules de votre myélome ou de votre syndrome myélodysplasique, en agissant sur le système immunitaire et en bloquant la prolifération des cellules tumorales. Il se prend une fois par jour, à heure fixe, indifféremment avec ou sans nourriture mais toujours de la même manière, pendant 21 jours consécutifs, suivis de 7 jours d'arrêt (cycle de 28 jours). ATTENTION : ce médicament est TÉRATOGÈNE MAJEUR (risque de malformations graves chez le fœtus). Vous devez utiliser une double contraception (préservatif + pilule ou stérilet) pendant tout le traitement et 4 semaines après l'arrêt (chez la femme), ou utiliser un préservatif (chez l'homme). Les effets indésirables principaux sont : une baisse des globules blancs (neutropénie), des plaquettes (thrombopénie), des globules rouges (anémie), des diarrhées, des éruptions cutanées (rash), de la fatigue, et un risque accru de thrombose (caillots dans les veines). Prévenez immédiatement votre médecin en cas de fièvre (≥ 38,5 °C), de saignements anormaux, de douleur au mollet ou d'essoufflement (thrombose), d'éruption cutanée étendue, ou de fatigue intense. »</w:t>
      </w:r>
    </w:p>
    <w:p>
      <w:pPr>
        <w:pStyle w:val="ListBullet"/>
      </w:pPr>
      <w:r>
        <w:t>Observance : prise à heure fixe (matin ou soir), calendrier d'administration (21 jours pleins + 7 jours vides), ne jamais interrompre sans avis médical, prévoir une réserve, conserver à température &lt; 25 °C à l'abri de l'humidité. Manipuler avec précaution (risque tératogène en cas de contact).</w:t>
      </w:r>
    </w:p>
    <w:p>
      <w:pPr>
        <w:pStyle w:val="ListBullet"/>
      </w:pPr>
      <w:r>
        <w:t>PPPM (Femme en âge de procréer) : double contraception obligatoire 4 semaines avant initiation, pendant le traitement et 4 semaines après l'arrêt ; test de grossesse (β-hCG) avant initiation et mensuel pendant le traitement ; signaler immédiatement toute suspicion de grossesse (à soi-même ou à son partenaire).</w:t>
      </w:r>
    </w:p>
    <w:p>
      <w:pPr>
        <w:pStyle w:val="ListBullet"/>
      </w:pPr>
      <w:r>
        <w:t>PPPM (Homme traité) : préservatif obligatoire pendant le traitement et 4 semaines après l'arrêt (en cas de partenaire enceinte ou en âge de procréer).</w:t>
      </w:r>
    </w:p>
    <w:p>
      <w:pPr>
        <w:pStyle w:val="ListBullet"/>
      </w:pPr>
      <w:r>
        <w:t>Hygiène de vie : alcool à proscrire (neuropathie additive, hépatotoxicité), photoprotection SPF 50+, éviter les vaccins vivants sans avis médical, éviter les foules et contacts avec personnes infectées pendant les phases de neutropénie (J14-J21 du cycle).</w:t>
      </w:r>
    </w:p>
    <w:p>
      <w:pPr>
        <w:pStyle w:val="ListBullet"/>
      </w:pPr>
      <w:r>
        <w:t>Auto-surveillance cutanée : surveiller l'apparition de rash, prurit, fièvre dans les 2 premiers cycles (DRESS possible, signaler immédiatement).</w:t>
      </w:r>
    </w:p>
    <w:p>
      <w:r/>
      <w:r>
        <w:rPr>
          <w:b/>
        </w:rPr>
        <w:t>Notes, Règles d'Or &amp; Pièges au Comptoir :</w:t>
      </w:r>
      <w:r/>
    </w:p>
    <w:p>
      <w:pPr>
        <w:pStyle w:val="ListBullet"/>
      </w:pPr>
      <w:r>
        <w:t>Piège : le lénalidomide est un TÉRATOGÈNE MAJEUR (catégorie X), comme la thalidomide. Le PPPM (programme de prévention des grossesses) est OBLIGATOIRE. La dispensation doit être conditionnée à la vérification systématique : (i) de la prescription hospitalière ; (ii) du questionnaire de compliance contraceptive signé par la patiente (ou son partenaire) et le prescripteur ; (iii) du test de grossesse négatif (β-hCG quantitatif) pour les femmes en âge de procréer (datant de moins de 3 jours pour la première prescription, mensuel ensuite). Le pharmacien d'officine peut refuser la dispensation si ces éléments ne sont pas fournis.</w:t>
      </w:r>
    </w:p>
    <w:p>
      <w:pPr>
        <w:pStyle w:val="ListBullet"/>
      </w:pPr>
      <w:r>
        <w:t>Règle : la prophylaxie thrombo-embolique par HBPM (enoxaparine 40 mg SC/j) est OBLIGATOIRE en cas d'association à la dexaméthasone ou au bortézomib (risque thrombotique majoré). Le risque de thrombose veineuse profonde / embolie pulmonaire est de 5–15 % sans prophylaxie (vs &lt; 2 % avec prophylaxie).</w:t>
      </w:r>
    </w:p>
    <w:p>
      <w:pPr>
        <w:pStyle w:val="ListBullet"/>
      </w:pPr>
      <w:r>
        <w:t>Piège : le rash cutané est fréquent (30 %) et souvent bénin, mais peut être le signe d'un DRESS (Drug Reaction with Eosinophilia and Systemic Symptoms), syndrome rare mais grave (éosinophilie, fièvre, atteinte hépatique, rénale, pulmonaire) survenant 2–8 semaines après initiation. Rechercher systématiquement une hyperéosinophilie et une cytolyse hépatique en cas de rash grade ≥ 2.</w:t>
      </w:r>
    </w:p>
    <w:p>
      <w:pPr>
        <w:pStyle w:val="ListBullet"/>
      </w:pPr>
      <w:r>
        <w:t>Règle : l'adaptation posologique en cas de cytopénies grade 3/4 se fait par paliers (25 → 20 → 15 → 10 → 5 mg → arrêt), sans précipitation. Les premiers cycles sont souvent les plus cytopéniants.</w:t>
      </w:r>
    </w:p>
    <w:p>
      <w:pPr>
        <w:pStyle w:val="ListBullet"/>
      </w:pPr>
      <w:r>
        <w:t>Piège : l'adaptation à la fonction rénale est OBLIGATOIRE. DFG 30–50 mL/min : 10 mg/j ; DFG &lt; 30 mL/min sans dialyse : 15 mg tous les 2 jours ; DFG &lt; 30 mL/min en dialyse : 5 mg/jour de dialyse. Le lénalidomide est principalement éliminé par voie rénale (filtration glomérulaire et sécrétion tubulaire), et l'accumulation en cas d'insuffisance rénale expose à des cytopénies sévères.</w:t>
      </w:r>
    </w:p>
    <w:p>
      <w:pPr>
        <w:pStyle w:val="ListBullet"/>
      </w:pPr>
      <w:r>
        <w:t>Surveillance : surveiller la survenue de fièvre (neutropénie fébrile), de saignements (thrombopénie), de douleur mollet et dyspnée (thrombose), de rash avec fièvre et éosinophilie (DRESS).</w:t>
      </w:r>
    </w:p>
    <w:p>
      <w:pPr>
        <w:pStyle w:val="ListBullet"/>
      </w:pPr>
      <w:r>
        <w:t>Piège : oubli de plus de 12 heures — ne pas doubler la dose suivante.</w:t>
      </w:r>
    </w:p>
    <w:p>
      <w:pPr>
        <w:pStyle w:val="ListBullet"/>
      </w:pPr>
      <w:r>
        <w:t>Interactions : éviter les inhibiteurs de l'OCT2 et de la MATE1/2-K (cimétidine, cisplatine, pilule progestative) en raison du risque d'augmentation des concentrations de lénalidomide.</w:t>
      </w:r>
    </w:p>
    <w:p>
      <w:pPr>
        <w:pStyle w:val="ListBullet"/>
      </w:pPr>
      <w:r>
        <w:t>Règle : vacciner systématiquement (grippe, pneumocoque, hépatite B) avant initiation (immunosuppression relative, réponse humorale réduite).</w:t>
      </w:r>
    </w:p>
    <w:p>
      <w:pPr>
        <w:pStyle w:val="Heading3"/>
      </w:pPr>
      <w:r>
        <w:t>105.5.2 DCI : Pomalidomide</w:t>
      </w:r>
    </w:p>
    <w:p>
      <w:r/>
      <w:r>
        <w:rPr>
          <w:b/>
        </w:rPr>
        <w:t>Liste des Catégories :</w:t>
      </w:r>
      <w:r>
        <w:t xml:space="preserve"> Antinéoplasiques ; IMiD (Immunomodulatory Drug) de 3e génération ; Tératogène majeur (programme PPPM obligatoire) ; Liste I (sur prescription hospitalière spécialisée en hématologie clinique).</w:t>
      </w:r>
    </w:p>
    <w:p>
      <w:r>
        <w:t>Le pomalidomide (CC-4047, Imnovid®, Celgene/Bristol-Myers Squibb) est un IMiD de 3e génération, le plus puissant de la classe (10× plus puissant que le lénalidomide sur l'inhibition de TNF-α, 100× plus puissant que la thalidomide). Indiqué en association à la dexaméthasone (Pd) dans le myélome multiple en rechute/réfractaire après au moins 2 lignes de traitement incluant le lénalidomide et le bortézomib ; en association au daratumumab-dexaméthasone (Dara-Pd) en rechute/réfractaire ; en monothérapie dans le myélome multiple rechute/réfractaire (indication limitée) ; en association à l'elotuzumab-dexaméthasone (Elo-Pd) en rechute/réfractaire. AMM FDA février 2013, EMI août 2013. Le pomalidomide se distingue du lénalidomide par : (i) une plus grande puissance sur le cereblon (dégradation plus efficace de IKZF1/2 et IKZF3) ; (ii) une efficacité maintenue en cas de résistance au lénalidomide (myélome réfractaire au lénalidomide, grâce à l'interaction différente avec le cereblon) ; (iii) un profil de tolérance globalement similaire (neutropénie, thrombopénie, thrombose, tératogénicité majeure), avec peut-être une moindre neurotoxicité que la thalidomide.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POMALIDOMIDE BIOPHARM</w:t>
            </w:r>
          </w:p>
        </w:tc>
        <w:tc>
          <w:tcPr>
            <w:tcW w:type="dxa" w:w="1559"/>
          </w:tcPr>
          <w:p>
            <w:r>
              <w:rPr>
                <w:sz w:val="20"/>
              </w:rPr>
              <w:t>BIOPHARM</w:t>
            </w:r>
          </w:p>
        </w:tc>
        <w:tc>
          <w:tcPr>
            <w:tcW w:type="dxa" w:w="1559"/>
          </w:tcPr>
          <w:p>
            <w:r>
              <w:rPr>
                <w:sz w:val="20"/>
              </w:rPr>
              <w:t>Gélule 1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POMALIDOMIDE BIOPHARM</w:t>
            </w:r>
          </w:p>
        </w:tc>
        <w:tc>
          <w:tcPr>
            <w:tcW w:type="dxa" w:w="1559"/>
          </w:tcPr>
          <w:p>
            <w:r>
              <w:rPr>
                <w:sz w:val="20"/>
              </w:rPr>
              <w:t>BIOPHARM</w:t>
            </w:r>
          </w:p>
        </w:tc>
        <w:tc>
          <w:tcPr>
            <w:tcW w:type="dxa" w:w="1559"/>
          </w:tcPr>
          <w:p>
            <w:r>
              <w:rPr>
                <w:sz w:val="20"/>
              </w:rPr>
              <w:t>Gélule 2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POMALIDOMIDE BIOPHARM</w:t>
            </w:r>
          </w:p>
        </w:tc>
        <w:tc>
          <w:tcPr>
            <w:tcW w:type="dxa" w:w="1559"/>
          </w:tcPr>
          <w:p>
            <w:r>
              <w:rPr>
                <w:sz w:val="20"/>
              </w:rPr>
              <w:t>BIOPHARM</w:t>
            </w:r>
          </w:p>
        </w:tc>
        <w:tc>
          <w:tcPr>
            <w:tcW w:type="dxa" w:w="1559"/>
          </w:tcPr>
          <w:p>
            <w:r>
              <w:rPr>
                <w:sz w:val="20"/>
              </w:rPr>
              <w:t>Gélule 3 mg</w:t>
            </w:r>
          </w:p>
        </w:tc>
        <w:tc>
          <w:tcPr>
            <w:tcW w:type="dxa" w:w="1559"/>
          </w:tcPr>
          <w:p>
            <w:r>
              <w:rPr>
                <w:sz w:val="20"/>
              </w:rPr>
              <w:t>B/21</w:t>
            </w:r>
          </w:p>
        </w:tc>
        <w:tc>
          <w:tcPr>
            <w:tcW w:type="dxa" w:w="1559"/>
          </w:tcPr>
          <w:p>
            <w:r>
              <w:rPr>
                <w:sz w:val="20"/>
              </w:rPr>
              <w:t>Liste I</w:t>
            </w:r>
          </w:p>
        </w:tc>
        <w:tc>
          <w:tcPr>
            <w:tcW w:type="dxa" w:w="1559"/>
          </w:tcPr>
          <w:p>
            <w:r>
              <w:rPr>
                <w:sz w:val="20"/>
              </w:rPr>
              <w:t>Actif</w:t>
            </w:r>
          </w:p>
        </w:tc>
      </w:tr>
      <w:tr>
        <w:tc>
          <w:tcPr>
            <w:tcW w:type="dxa" w:w="1559"/>
          </w:tcPr>
          <w:p>
            <w:r>
              <w:rPr>
                <w:sz w:val="20"/>
              </w:rPr>
              <w:t>POMALIDOMIDE BIOPHARM</w:t>
            </w:r>
          </w:p>
        </w:tc>
        <w:tc>
          <w:tcPr>
            <w:tcW w:type="dxa" w:w="1559"/>
          </w:tcPr>
          <w:p>
            <w:r>
              <w:rPr>
                <w:sz w:val="20"/>
              </w:rPr>
              <w:t>BIOPHARM</w:t>
            </w:r>
          </w:p>
        </w:tc>
        <w:tc>
          <w:tcPr>
            <w:tcW w:type="dxa" w:w="1559"/>
          </w:tcPr>
          <w:p>
            <w:r>
              <w:rPr>
                <w:sz w:val="20"/>
              </w:rPr>
              <w:t>Gélule 4 mg</w:t>
            </w:r>
          </w:p>
        </w:tc>
        <w:tc>
          <w:tcPr>
            <w:tcW w:type="dxa" w:w="1559"/>
          </w:tcPr>
          <w:p>
            <w:r>
              <w:rPr>
                <w:sz w:val="20"/>
              </w:rPr>
              <w:t>B/21</w:t>
            </w:r>
          </w:p>
        </w:tc>
        <w:tc>
          <w:tcPr>
            <w:tcW w:type="dxa" w:w="1559"/>
          </w:tcPr>
          <w:p>
            <w:r>
              <w:rPr>
                <w:sz w:val="20"/>
              </w:rPr>
              <w:t>Liste I</w:t>
            </w:r>
          </w:p>
        </w:tc>
        <w:tc>
          <w:tcPr>
            <w:tcW w:type="dxa" w:w="1559"/>
          </w:tcPr>
          <w:p>
            <w:r>
              <w:rPr>
                <w:sz w:val="20"/>
              </w:rPr>
              <w:t>Actif</w:t>
            </w:r>
          </w:p>
        </w:tc>
      </w:tr>
    </w:tbl>
    <w:p/>
    <w:p>
      <w:r>
        <w:t>La formulation algérienne POMALIDOMIDE BIOPHARM (laboratoire BIOPHARM) est la seule spécialité disponible en Algérie. La spécialité princeps internationale IMNOVID (Celgene Europe Limited) n'est pas commercialisée dans la nomenclature algérienne active. Les quatre dosages (1 mg, 2 mg, 3 mg, 4 mg) permettent l'adaptation posologique (dose standard : 4 mg/j J1-J21 de chaque cycle de 28 jours ; dose réduite niveau 1 : 3 mg ; niveau 2 : 2 mg ; niveau 3 : 1 mg). Le conditionnement de 21 gélules correspond à un cycle complet (21 jours de traitement + 7 jours d'arrêt). La délivrance s'effectue en pharmacie hospitalière spécialisée (hématologie clinique) ou en officine sur prescription hospitalière, dans le cadre du programme de prévention des grossesses (PPPM).</w:t>
      </w:r>
    </w:p>
    <w:p>
      <w:r/>
      <w:r>
        <w:rPr>
          <w:b/>
        </w:rPr>
        <w:t>Sous-classe et Mécanisme d'action :</w:t>
      </w:r>
      <w:r/>
    </w:p>
    <w:p>
      <w:pPr>
        <w:pStyle w:val="ListBullet"/>
      </w:pPr>
      <w:r>
        <w:t>Sous-classe : IMiD (Immunomodulatory Drug) de 3e génération, le plus puissant de la classe, dérivé de la thalidomide (analogie structurelle avec groupements amino en position 4 et 3), classe des phtalimidés. DCI non inscrite sur la liste des médicaments essentiels OMS. Tératogène majeur (programme PPPM obligatoire).</w:t>
      </w:r>
    </w:p>
    <w:p>
      <w:pPr>
        <w:pStyle w:val="ListBullet"/>
      </w:pPr>
      <w:r>
        <w:t>Mécanisme d'action : le pomalidomide pénètre dans le compartiment intracellulaire et se lie de manière réversible au cereblon (CRBN), avec une affinité supérieure au lénalidomide (Ki ~10 nM vs ~100 nM). Comme le lénalidomide, il modifie le spectre de substrats du complexe E3 ubiquitine ligase CRL4-CRBN, induisant l'ubiquitination et la dégradation protéasomale de : (i) Ikaros (IKZF1) et Aiolos (IKZF2), avec une efficacité supérieure au lénalidomide (dégradation plus marquée et plus prolongée) ; (ii) CK1α (mais moins spécifique que le lénalidomide pour le myélodysplasie 5q-) ; (iii) ZFP91, SALL4. Le pomalidomide exerce une activité antitumorale par : (i) inhibition directe de la prolifération plasmocytaire (blocage de la boucle IRF4-MYC, plus marqué que le lénalidomide) ; (ii) immunostimulation T-cellulaire (augmentation de l'IL-2, activation des cellules NK et T cytotoxiques) ; (iii) anti-angiogénique (réduction de la production de VEGF et bFGF par les cellules stromales médullaires) ; (iv) altération du microenvironnement médullaire (inhibition de l'adhésion des cellules myélomateuses au stroma). Le pomalidomide reste actif en cas de résistance au lénalidomide (myélome réfractaire au lénalidomide), grâce à une interaction différente avec le cereblon et une plus grande puissance.</w:t>
      </w:r>
    </w:p>
    <w:p>
      <w:r/>
      <w:r>
        <w:rPr>
          <w:b/>
        </w:rPr>
        <w:t>Profil Pharmacologique :</w:t>
      </w:r>
      <w:r/>
    </w:p>
    <w:p>
      <w:pPr>
        <w:pStyle w:val="ListBullet"/>
      </w:pPr>
      <w:r>
        <w:t>Indications : (1) Myélome multiple en rechute/réfractaire, en association à la dexaméthasone (Pd), après au moins 2 lignes de traitement incluant le lénalidomide et le bortézomib — dose 4 mg/j J1-J21 de chaque cycle de 28 jours ; (2) Myélome multiple en rechute/réfractaire, en association au daratumumab-dexaméthasone (Dara-Pd) ; (3) Myélome multiple en rechute/réfractaire, en association à l'elotuzumab-dexaméthasone (Elo-Pd) ; (4) Myélome multiple en monothérapie (indication limitée).</w:t>
      </w:r>
    </w:p>
    <w:p>
      <w:pPr>
        <w:pStyle w:val="ListBullet"/>
      </w:pPr>
      <w:r>
        <w:t>Contre-indications : Hypersensibilité au pomalidomide, à la thalidomide, au lénalidomide, ou à l'un des excipients. GROSSESSE : CONTRE-INDICATION ABSOLUE (tératogène majeur). Précautions : insuffisance rénale modérée à sévère (réduction de dose selon DFG : 30–50 mL/min → 3 mg/j ; &lt; 30 mL/min → 2 mg/j ; &lt; 30 mL/min en dialyse → 2 mg/jour de dialyse), insuffisance hépatique sévère (surveillance), thrombopénie préexistante (&lt; 50 G/L, à corriger), neutropénie préexistante (&lt; 1,0 G/L, à corriger), antécédents thrombo-emboliques (prophylaxie HBPM systématique), rash sévère, infection active, syndrome de lyse tumorale.</w:t>
      </w:r>
    </w:p>
    <w:p>
      <w:pPr>
        <w:pStyle w:val="ListBullet"/>
      </w:pPr>
      <w:r>
        <w:t>Effets Indésirables : Très fréquents (&gt; 10 %) : neutropénie (50 %, dont 35 % grade 3/4 — effet signature, souvent plus marqué que le lénalidomide), thrombopénie (30 %, dont 15 % grade 3/4), anémie (35 %), fatigue (40 %), asthénie (35 %), nausées (25 %), vomissements (15 %), diarrhée (25 %), constipation (25 %), rash maculo-papuleux (25 %), prurit (15 %), céphalées (20 %), vertiges (15 %), insomnie (15 %), crampes musculaires (20 %), œdèmes périphériques (20 %), dyspnée (20 %), infections respiratoires hautes (15 %), fièvre (25 %), thrombose veineuse profonde (5 %, plus fréquente en association à la dexaméthasone), embolie pulmonaire (3 %), hypokaliémie, hyperglycémie. Fréquents (1–10 %) : syndrome de lyse tumorale (rare), hépatotoxicité, hypertension artérielle, insuffisance rénale, pneumopathie interstitielle, réaction d'hypersensibilité, syndrome de Stevens-Johnson (rare). Rares : myélodysplasie/LAM secondaire, pancréatite, hépatite fulminante, DRESS.</w:t>
      </w:r>
    </w:p>
    <w:p>
      <w:r/>
      <w:r>
        <w:rPr>
          <w:b/>
        </w:rPr>
        <w:t>Prévention et Gestion des Effets Indésirables :</w:t>
      </w:r>
      <w:r/>
    </w:p>
    <w:p>
      <w:pPr>
        <w:pStyle w:val="ListBullet"/>
      </w:pPr>
      <w:r>
        <w:t>Mesures Préventives : identiques au lénalidomide. (i) Programme de prévention des grossesses (PPPM) OBLIGATOIRE : questionnaire systématique, double contraception chez la femme en âge de procréer (4 semaines avant initiation, pendant le traitement et 4 semaines après l'arrêt), test de grossesse avant initiation et mensuel ; préservatif chez l'homme traité. (ii) NFS-plaquettes avant initiation, à J14, J21 du cycle, et avant l'initiation du cycle suivant (J28). (iii) Prophylaxie thrombo-embolique par HBPM systématique. (iv) Prophylaxie antivirale par aciclovir 400 mg/j. (v) Prophylaxie anti-Pneumocystis jirovecii par cotrimoxazole si association à la corticothérapie prolongée. (vi) Information du patient sur les signes d'alerte. (vii) Photographie cutanée de référence.</w:t>
      </w:r>
    </w:p>
    <w:p>
      <w:pPr>
        <w:pStyle w:val="ListBullet"/>
      </w:pPr>
      <w:r>
        <w:t>Conduite à Tenir : identique au lénalidomide. Neutropénie grade 3/4 : interruption transitoire, G-CSF si fébrile, reprise à dose réduite (4 → 3 → 2 → 1 mg). Thrombopénie grade 3/4 : interruption, reprise à dose réduite. Rash grade ≥ 2 : antihistaminiques, recherche DRESS. Thrombose veineuse profonde / embolie pulmonaire : arrêt transitoire, anticoagulation curative, reprise après 2–4 semaines.</w:t>
      </w:r>
    </w:p>
    <w:p>
      <w:r/>
      <w:r>
        <w:rPr>
          <w:b/>
        </w:rPr>
        <w:t>Interactions Médicamenteuses :</w:t>
      </w:r>
      <w:r/>
    </w:p>
    <w:p>
      <w:pPr>
        <w:pStyle w:val="ListBullet"/>
      </w:pPr>
      <w:r>
        <w:t>Médicaments (peu d'interactions significatives) : le pomalidomide est métabolisé principalement par hydrolyse non enzymatique et par le CYP1A2 (mineur, ~30 %) et le CYP3A4 (mineur). Inducteurs du CYP1A2 (tabac, oméprazole) → diminution des concentrations, à éviter. Inhibiteurs du CYP1A2 (fluvoxamine, ciprofloxacine) → augmentation modérée, surveillance. Inducteurs et inhibiteurs du CYP3A4 sans impact clinique majeur.</w:t>
      </w:r>
    </w:p>
    <w:p>
      <w:pPr>
        <w:pStyle w:val="ListBullet"/>
      </w:pPr>
      <w:r>
        <w:t>Transporteurs : le pomalidomide est substrat de la P-gp et de la BCRP ; éviter l'association avec les inhibiteurs puissants (ciclosporine, kétoconazole, clarithromycine, érythromycine) ou surveiller.</w:t>
      </w:r>
    </w:p>
    <w:p>
      <w:pPr>
        <w:pStyle w:val="ListBullet"/>
      </w:pPr>
      <w:r>
        <w:t>Anticoagulants : surveillance renforcée en cas d'association (risque hémorragique sur thrombopénie + risque thrombotique intrinsèque).</w:t>
      </w:r>
    </w:p>
    <w:p>
      <w:pPr>
        <w:pStyle w:val="ListBullet"/>
      </w:pPr>
      <w:r>
        <w:t>Dexaméthasone : pas d'interaction pharmacocinétique significative, mais augmentation du risque thrombotique.</w:t>
      </w:r>
    </w:p>
    <w:p>
      <w:pPr>
        <w:pStyle w:val="ListBullet"/>
      </w:pPr>
      <w:r>
        <w:t>Vaccins : vaccins vivants atténués (BCG, ROR, fièvre jaune, varicelle) contre-indiqués. Vaccins inactivés autorisés.</w:t>
      </w:r>
    </w:p>
    <w:p>
      <w:pPr>
        <w:pStyle w:val="ListBullet"/>
      </w:pPr>
      <w:r>
        <w:t>Alimentation : prendre à heure fixe, indifféremment avec ou sans nourriture. Modération alcoolique. Éviter le tabagisme (inducteur du CYP1A2, réduit l'efficacité).</w:t>
      </w:r>
    </w:p>
    <w:p>
      <w:r/>
      <w:r>
        <w:rPr>
          <w:b/>
        </w:rPr>
        <w:t>Grossesse et Allaitement :</w:t>
      </w:r>
      <w:r/>
    </w:p>
    <w:p>
      <w:pPr>
        <w:pStyle w:val="ListBullet"/>
      </w:pPr>
      <w:r>
        <w:t>Grossesse : CONTRE-INDICATION ABSOLUE (TÉRATOGÈNE MAJEUR, catégorie X). Identique au lénalidomide. PPPM obligatoire : double contraception chez la femme en âge de procréer (4 semaines avant, pendant, 4 semaines après), test de grossesse mensuel ; préservatif chez l'homme traité.</w:t>
      </w:r>
    </w:p>
    <w:p>
      <w:pPr>
        <w:pStyle w:val="ListBullet"/>
      </w:pPr>
      <w:r>
        <w:t>Allaitement : CONTRE-INDICATION ABSOLUE. Allaitement à interrompre pendant toute la durée du traitement et jusqu'à 4 semaines après l'arrêt.</w:t>
      </w:r>
    </w:p>
    <w:p>
      <w:pPr>
        <w:pStyle w:val="ListBullet"/>
      </w:pPr>
      <w:r>
        <w:t>Précautions : Femme en âge de procréer : PPPM obligatoire. Information de la patiente et de son partenaire sur le risque tératogène majeur.</w:t>
      </w:r>
    </w:p>
    <w:p>
      <w:r/>
      <w:r>
        <w:rPr>
          <w:b/>
        </w:rPr>
        <w:t>Posologie et Mode d'administration (Standard) :</w:t>
      </w:r>
      <w:r/>
    </w:p>
    <w:p>
      <w:pPr>
        <w:pStyle w:val="ListBullet"/>
      </w:pPr>
      <w:r>
        <w:t>Adulte : 4 mg/j en une prise par voie orale, à J1-J21 de chaque cycle de 28 jours (21 jours de traitement + 7 jours d'arrêt). Association à la dexaméthasone 40 mg hebdomadaire (Pd) ou au daratumumab-dexaméthasone (Dara-Pd).</w:t>
      </w:r>
    </w:p>
    <w:p>
      <w:pPr>
        <w:pStyle w:val="ListBullet"/>
      </w:pPr>
      <w:r>
        <w:t>Adaptation en cas de neutropénie/thrombopénie grade 3/4 : niveau 1 : 3 mg/j ; niveau 2 : 2 mg/j ; niveau 3 : 1 mg/j ; niveau 4 : arrêt définitif.</w:t>
      </w:r>
    </w:p>
    <w:p>
      <w:pPr>
        <w:pStyle w:val="ListBullet"/>
      </w:pPr>
      <w:r>
        <w:t>Adaptation à la fonction rénale : DFG ≥ 50 mL/min : pas d'adaptation (dose standard 4 mg/j) ; DFG 30–50 mL/min : 3 mg/j ; DFG &lt; 30 mL/min sans dialyse : 2 mg/j ; DFG &lt; 30 mL/min en dialyse : 2 mg/jour de dialyse.</w:t>
      </w:r>
    </w:p>
    <w:p>
      <w:pPr>
        <w:pStyle w:val="ListBullet"/>
      </w:pPr>
      <w:r>
        <w:t>Mode d'administration : voie orale stricte. Les gélules ne doivent pas être écrasées, mâchées ou ouvertes (risque tératogène). Prendre avec un grand verre d'eau, indifféremment avec ou sans nourriture. En cas d'oubli de moins de 12 heures : prendre immédiatement ; au-delà : ne pas doubler. En cas de vomissement : ne pas reprendre. Manipulation avec gants.</w:t>
      </w:r>
    </w:p>
    <w:p>
      <w:pPr>
        <w:pStyle w:val="ListBullet"/>
      </w:pPr>
      <w:r>
        <w:t>Durée du traitement : jusqu'à progression ou intolérance.</w:t>
      </w:r>
    </w:p>
    <w:p>
      <w:r/>
      <w:r>
        <w:rPr>
          <w:b/>
        </w:rPr>
        <w:t>Surveillance Biologique et Suivi Clinique :</w:t>
      </w:r>
      <w:r/>
    </w:p>
    <w:p>
      <w:pPr>
        <w:pStyle w:val="ListBullet"/>
      </w:pPr>
      <w:r>
        <w:t>Identique au lénalidomide. Hématologique, rénale, hépatique, thrombo-embolique, cutanée, infectiologique, suivi moléculaire, suivi PPPM.</w:t>
      </w:r>
    </w:p>
    <w:p>
      <w:pPr>
        <w:pStyle w:val="ListBullet"/>
      </w:pPr>
      <w:r>
        <w:t>Suivi moléculaire : électrophorèse des protéines sériques et urinaires, dosage des chaînes légères libres, β2-microglobuline, à chaque cycle.</w:t>
      </w:r>
    </w:p>
    <w:p>
      <w:r/>
      <w:r>
        <w:rPr>
          <w:b/>
        </w:rPr>
        <w:t>Arbitrage et Bénéfices des Formes Galéniques :</w:t>
      </w:r>
      <w:r/>
    </w:p>
    <w:p>
      <w:r>
        <w:t>Les quatre dosages (1 mg, 2 mg, 3 mg, 4 mg) permettent l'adaptation posologique progressive en cas de cytopénies, d'insuffisance rénale, ou d'effets indésirables (4 → 3 → 2 → 1 mg → arrêt définitif). Le conditionnement de 21 gélules correspond à un cycle complet (21 jours de traitement + 7 jours d'arrêt). La formulation algérienne BIOPHARM présente une équivalence pharmacocinétique documentée avec la spécialité princeps IMNOVID, autorisant la prescription en Algérie. Le pharmacien d'officine joue un rôle pivot dans le PPPM, la vérification de la prescription (cycle de 28 jours, 21 jours de traitement), la prévention des interactions et le suivi de l'observance.</w:t>
      </w:r>
    </w:p>
    <w:p>
      <w:r/>
      <w:r>
        <w:rPr>
          <w:b/>
        </w:rPr>
        <w:t>Instructions et Conseils au Patient :</w:t>
      </w:r>
      <w:r/>
    </w:p>
    <w:p>
      <w:pPr>
        <w:pStyle w:val="ListBullet"/>
      </w:pPr>
      <w:r>
        <w:t>Communication au comptoir : « Le pomalidomide est un médicament anticancéreux oral qui cible spécifiquement les cellules de votre myélome en agissant sur le système immunitaire et en bloquant la prolifération des cellules tumorales. Il se prend une fois par jour, à heure fixe, indifféremment avec ou sans nourriture, pendant 21 jours consécutifs, suivis de 7 jours d'arrêt (cycle de 28 jours). ATTENTION : ce médicament est TÉRATOGÈNE MAJEUR (risque de malformations graves chez le fœtus). Vous devez utiliser une double contraception (préservatif + pilule ou stérilet) pendant tout le traitement et 4 semaines après l'arrêt (chez la femme), ou utiliser un préservatif (chez l'homme). Les effets indésirables principaux sont : une baisse des globules blancs (neutropénie), des plaquettes (thrombopénie), une fatigue, des diarrhées, des éruptions cutanées, et un risque accru de thrombose. Prévenez immédiatement votre médecin en cas de fièvre (≥ 38,5 °C), de saignements, de douleur au mollet ou d'essoufflement (thrombose), d'éruption cutanée étendue, ou de fatigue intense. »</w:t>
      </w:r>
    </w:p>
    <w:p>
      <w:pPr>
        <w:pStyle w:val="ListBullet"/>
      </w:pPr>
      <w:r>
        <w:t>Observance : prise à heure fixe, calendrier d'administration (21 jours pleins + 7 jours vides), ne jamais interrompre sans avis médical. Manipuler avec précaution (risque tératogène).</w:t>
      </w:r>
    </w:p>
    <w:p>
      <w:pPr>
        <w:pStyle w:val="ListBullet"/>
      </w:pPr>
      <w:r>
        <w:t>PPPM (Femme en âge de procréer) : double contraception obligatoire, test de grossesse mensuel.</w:t>
      </w:r>
    </w:p>
    <w:p>
      <w:pPr>
        <w:pStyle w:val="ListBullet"/>
      </w:pPr>
      <w:r>
        <w:t>PPPM (Homme traité) : préservatif obligatoire pendant le traitement et 4 semaines après l'arrêt.</w:t>
      </w:r>
    </w:p>
    <w:p>
      <w:pPr>
        <w:pStyle w:val="ListBullet"/>
      </w:pPr>
      <w:r>
        <w:t>Hygiène de vie : éviter le tabac (inducteur du CYP1A2, réduit l'efficacité), photoprotection SPF 50+.</w:t>
      </w:r>
    </w:p>
    <w:p>
      <w:r/>
      <w:r>
        <w:rPr>
          <w:b/>
        </w:rPr>
        <w:t>Notes, Règles d'Or &amp; Pièges au Comptoir :</w:t>
      </w:r>
      <w:r/>
    </w:p>
    <w:p>
      <w:pPr>
        <w:pStyle w:val="ListBullet"/>
      </w:pPr>
      <w:r>
        <w:t>Piège : le pomalidomide est un TÉRATOGÈNE MAJEUR (catégorie X), comme le lénalidomide et la thalidomide. Le PPPM est OBLIGATOIRE. La dispensation doit être conditionnée à la vérification systématique de la prescription hospitalière, du questionnaire de compliance contraceptive signé, et du test de grossesse négatif (β-hCG quantitatif) pour les femmes en âge de procréer.</w:t>
      </w:r>
    </w:p>
    <w:p>
      <w:pPr>
        <w:pStyle w:val="ListBullet"/>
      </w:pPr>
      <w:r>
        <w:t>Règle : la prophylaxie thrombo-embolique par HBPM (enoxaparine 40 mg SC/j) est OBLIGATOIRE en cas d'association à la dexaméthasone (risque thrombotique majoré).</w:t>
      </w:r>
    </w:p>
    <w:p>
      <w:pPr>
        <w:pStyle w:val="ListBullet"/>
      </w:pPr>
      <w:r>
        <w:t>Piège : le pomalidomide est métabolisé accessoirement par le CYP1A2, et le tabagisme (inducteur du CYP1A2) réduit son efficacité. Conseiller le sevrage tabagique.</w:t>
      </w:r>
    </w:p>
    <w:p>
      <w:pPr>
        <w:pStyle w:val="ListBullet"/>
      </w:pPr>
      <w:r>
        <w:t>Règle : l'adaptation posologique en cas de cytopénies grade 3/4 se fait par paliers (4 → 3 → 2 → 1 mg → arrêt), sans précipitation. Les premiers cycles sont souvent les plus cytopéniants.</w:t>
      </w:r>
    </w:p>
    <w:p>
      <w:pPr>
        <w:pStyle w:val="ListBullet"/>
      </w:pPr>
      <w:r>
        <w:t>Piège : l'adaptation à la fonction rénale est OBLIGATOIRE. DFG 30–50 mL/min : 3 mg/j ; DFG &lt; 30 mL/min sans dialyse : 2 mg/j ; DFG &lt; 30 mL/min en dialyse : 2 mg/jour de dialyse.</w:t>
      </w:r>
    </w:p>
    <w:p>
      <w:pPr>
        <w:pStyle w:val="ListBullet"/>
      </w:pPr>
      <w:r>
        <w:t>Surveillance : surveiller la survenue de fièvre (neutropénie fébrile), de saignements (thrombopénie), de douleur mollet et dyspnée (thrombose), de rash avec fièvre et éosinophilie (DRESS).</w:t>
      </w:r>
    </w:p>
    <w:p>
      <w:pPr>
        <w:pStyle w:val="ListBullet"/>
      </w:pPr>
      <w:r>
        <w:t>Piège : oubli de plus de 12 heures — ne pas doubler la dose suivante.</w:t>
      </w:r>
    </w:p>
    <w:p>
      <w:pPr>
        <w:pStyle w:val="ListBullet"/>
      </w:pPr>
      <w:r>
        <w:t>Règle : vacciner systématiquement (grippe, pneumocoque) avant initiation.</w:t>
      </w:r>
    </w:p>
    <w:p>
      <w:pPr>
        <w:pStyle w:val="Heading2"/>
      </w:pPr>
      <w:r>
        <w:t>105.6 Sous-classe : Inhibiteurs BCL-2</w:t>
      </w:r>
    </w:p>
    <w:p>
      <w:r>
        <w:t>L'apoptose, ou mort cellulaire programmée, est un processus physiologique essentiel au développement embryonnaire, au maintien de l'homéostasie tissulaire et à l'élimination des cellules tumorales ou infectées. Sa régulation est assurée par un équilibre délicat entre les protéines pro-apoptotiques (BAX, BAK, BAD, BIM, BID, PUMA, NOXA — déclenchant la perméabilisation mitochondriale externe MOMP et libération du cytochrome c, activation des caspases 9 puis 3/7) et les protéines anti-apoptotiques (BCL-2, BCL-XL, BCL-W, MCL-1, BCL-A1 — neutralisant BAX/BAK et bloquant l'apoptose). BCL-2 (B-cell lymphoma 2, identifiée en 1985 à la translocation t(14;18) des lymphomes folliculaires, plaçant le gène BCL2 sous le contrôle du promoteur fort des chaînes lourdes d'immunoglobulines) fut la première oncogène anti-apoptotique identifiée. Sa surexpression dans les hémopathies lymphoïdes chroniques (LLC, leucémie lymphoïde chronique, ~85 % des cas) et les lymphomes folliculaires (~85 %) confère aux cellules tumorales une résistance à l'apoptose et un avantage de survie, expliquant l'accumulation lymphoïde et la chronicité de ces affections.</w:t>
      </w:r>
    </w:p>
    <w:p>
      <w:r>
        <w:t>Le venetoclax (ABT-199, Venclyxto®, AbbVie) est le premier inhibiteur de BCL-2 sélectif à avoir obtenu une AMM (FDA avril 2016 accélérée, EMI décembre 2016). C'est une petite molécule orale qui mime le motif BH3 (Bcl-2 homology domain 3) des protéines pro-apoptotiques (BIM, BAD), se lie de manière sélective et de haute affinité au sillon hydrophobe de BCL-2 (Ki &lt; 0,1 nM), et déplace BAK (et accessoirement BIM) de BCL-2. BAK libéré oligomérise à la membrane mitochondriale externe, induit la MOMP, libère le cytochrome c, active les caspases 9 puis 3/7, et restaure l'apoptose. Le venetoclax est indiqué dans la LLC chronique (en monothérapie ou en association à l'obinutuzumab ou au rituximab), dans les lymphomes folliculaires et du manteau en rechute/réfractaire (en association), dans la leucémie aiguë myéloïde (LAM) en association à l'azacitidine ou à la cytarabine à faible dose (patients âgés non éligibles à la chimiothérapie intensive), et en cours d'évaluation dans les myélomes multiples (en association au bortézomib ou au carfilzomib), les lymphomes B diffus à grandes cellules, les syndromes myélodysplasiques. La toxicité principale est le syndrome de lyse tumorale (SLT), particulièrement à l'initiation (rapide et massive lyse des lymphocytes tumoraux BCL-2-dépendants), imposant une augmentation progressive de dose (ramp-up) sur 5 semaines (20 → 50 → 100 → 200 → 400 mg) avec surveillance biologique rapprochée et prophylaxie (hyperhydratation, allopurinol ou rasburicase). La neutropénie (effet BCL-2 sur les granuleux) est également fréquente. Le venetoclax a transformé le pronostic de la LLC (réponse objective &gt; 80 %, réponse complète &gt; 20 %, survie sans progression &gt; 30 mois en monothérapie chez les patients 17p-/TP53 mutés, historiquement de très mauvais pronostic).</w:t>
      </w:r>
    </w:p>
    <w:p>
      <w:pPr>
        <w:pStyle w:val="Heading3"/>
      </w:pPr>
      <w:r>
        <w:t>105.6.1 DCI : Venetoclax</w:t>
      </w:r>
    </w:p>
    <w:p>
      <w:r/>
      <w:r>
        <w:rPr>
          <w:b/>
        </w:rPr>
        <w:t>Liste des Catégories :</w:t>
      </w:r>
      <w:r>
        <w:t xml:space="preserve"> Antinéoplasiques ; Inhibiteur de BCL-2 (BH3 mimétique sélectif) ; Liste I (sur prescription hospitalière spécialisée en hématologie clinique).</w:t>
      </w:r>
    </w:p>
    <w:p>
      <w:r>
        <w:t>Le venetoclax (ABT-199, Venclyxto® / Venclexta®, AbbVie) est un inhibiteur oral de BCL-2 (mimétique du motif BH3), indiqué dans : (i) la leucémie lymphoïde chronique (LLC) en monothérapie chez les patients ayant reçu au moins une ligne (avec ou sans anomalie 17p-/TP53), ou en première ligne en association à l'obinutuzumab (G-Ven) ; (ii) la LLC en association au rituximab chez les patients ayant reçu au moins une ligne ; (iii) les lymphomes folliculaires en rechute/réfractaire (en association au rituximab, après 2 lignes incluant un anti-CD20 et une chimiothérapie) ; (iv) les lymphomes du manteau en rechute/réfractaire (en association à l'ibrutinib) ; (v) la leucémie aiguë myéloïde (LAM) en association à l'azacitidine ou à la cytarabine à faible dose chez les patients âgés (&gt; 75 ans ou avec comorbidités) non éligibles à la chimiothérapie intensive ; (vi) la LAM en monothérapie d'entretien (en évaluation). AMM FDA avril 2016 (accélérée), EMI décembre 2016. Le venetoclax a transformé le pronostic de la LLC, particulièrement chez les patients 17p-/TP53 mutés (historiquement de très mauvais pronostic, survie &lt; 18 mois ; sous venetoclax, SSP &gt; 30 mois).</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VENCLYXTO</w:t>
            </w:r>
          </w:p>
        </w:tc>
        <w:tc>
          <w:tcPr>
            <w:tcW w:type="dxa" w:w="1559"/>
          </w:tcPr>
          <w:p>
            <w:r>
              <w:rPr>
                <w:sz w:val="20"/>
              </w:rPr>
              <w:t>LABORATOIRES ABBVIE</w:t>
            </w:r>
          </w:p>
        </w:tc>
        <w:tc>
          <w:tcPr>
            <w:tcW w:type="dxa" w:w="1559"/>
          </w:tcPr>
          <w:p>
            <w:r>
              <w:rPr>
                <w:sz w:val="20"/>
              </w:rPr>
              <w:t>Comprimé pelliculé 10 mg</w:t>
            </w:r>
          </w:p>
        </w:tc>
        <w:tc>
          <w:tcPr>
            <w:tcW w:type="dxa" w:w="1559"/>
          </w:tcPr>
          <w:p>
            <w:r>
              <w:rPr>
                <w:sz w:val="20"/>
              </w:rPr>
              <w:t>B/14</w:t>
            </w:r>
          </w:p>
        </w:tc>
        <w:tc>
          <w:tcPr>
            <w:tcW w:type="dxa" w:w="1559"/>
          </w:tcPr>
          <w:p>
            <w:r>
              <w:rPr>
                <w:sz w:val="20"/>
              </w:rPr>
              <w:t>Liste I</w:t>
            </w:r>
          </w:p>
        </w:tc>
        <w:tc>
          <w:tcPr>
            <w:tcW w:type="dxa" w:w="1559"/>
          </w:tcPr>
          <w:p>
            <w:r>
              <w:rPr>
                <w:sz w:val="20"/>
              </w:rPr>
              <w:t>Actif</w:t>
            </w:r>
          </w:p>
        </w:tc>
      </w:tr>
      <w:tr>
        <w:tc>
          <w:tcPr>
            <w:tcW w:type="dxa" w:w="1559"/>
          </w:tcPr>
          <w:p>
            <w:r>
              <w:rPr>
                <w:sz w:val="20"/>
              </w:rPr>
              <w:t>VENCLYXTO</w:t>
            </w:r>
          </w:p>
        </w:tc>
        <w:tc>
          <w:tcPr>
            <w:tcW w:type="dxa" w:w="1559"/>
          </w:tcPr>
          <w:p>
            <w:r>
              <w:rPr>
                <w:sz w:val="20"/>
              </w:rPr>
              <w:t>LABORATOIRES ABBVIE</w:t>
            </w:r>
          </w:p>
        </w:tc>
        <w:tc>
          <w:tcPr>
            <w:tcW w:type="dxa" w:w="1559"/>
          </w:tcPr>
          <w:p>
            <w:r>
              <w:rPr>
                <w:sz w:val="20"/>
              </w:rPr>
              <w:t>Comprimé pelliculé 50 mg</w:t>
            </w:r>
          </w:p>
        </w:tc>
        <w:tc>
          <w:tcPr>
            <w:tcW w:type="dxa" w:w="1559"/>
          </w:tcPr>
          <w:p>
            <w:r>
              <w:rPr>
                <w:sz w:val="20"/>
              </w:rPr>
              <w:t>Boîte de 7</w:t>
            </w:r>
          </w:p>
        </w:tc>
        <w:tc>
          <w:tcPr>
            <w:tcW w:type="dxa" w:w="1559"/>
          </w:tcPr>
          <w:p>
            <w:r>
              <w:rPr>
                <w:sz w:val="20"/>
              </w:rPr>
              <w:t>Liste I</w:t>
            </w:r>
          </w:p>
        </w:tc>
        <w:tc>
          <w:tcPr>
            <w:tcW w:type="dxa" w:w="1559"/>
          </w:tcPr>
          <w:p>
            <w:r>
              <w:rPr>
                <w:sz w:val="20"/>
              </w:rPr>
              <w:t>Actif</w:t>
            </w:r>
          </w:p>
        </w:tc>
      </w:tr>
      <w:tr>
        <w:tc>
          <w:tcPr>
            <w:tcW w:type="dxa" w:w="1559"/>
          </w:tcPr>
          <w:p>
            <w:r>
              <w:rPr>
                <w:sz w:val="20"/>
              </w:rPr>
              <w:t>VENCLYXTO</w:t>
            </w:r>
          </w:p>
        </w:tc>
        <w:tc>
          <w:tcPr>
            <w:tcW w:type="dxa" w:w="1559"/>
          </w:tcPr>
          <w:p>
            <w:r>
              <w:rPr>
                <w:sz w:val="20"/>
              </w:rPr>
              <w:t>LABORATOIRES ABBVIE</w:t>
            </w:r>
          </w:p>
        </w:tc>
        <w:tc>
          <w:tcPr>
            <w:tcW w:type="dxa" w:w="1559"/>
          </w:tcPr>
          <w:p>
            <w:r>
              <w:rPr>
                <w:sz w:val="20"/>
              </w:rPr>
              <w:t>Comprimé pelliculé 100 mg</w:t>
            </w:r>
          </w:p>
        </w:tc>
        <w:tc>
          <w:tcPr>
            <w:tcW w:type="dxa" w:w="1559"/>
          </w:tcPr>
          <w:p>
            <w:r>
              <w:rPr>
                <w:sz w:val="20"/>
              </w:rPr>
              <w:t>B/07 et B/14 et B/112</w:t>
            </w:r>
          </w:p>
        </w:tc>
        <w:tc>
          <w:tcPr>
            <w:tcW w:type="dxa" w:w="1559"/>
          </w:tcPr>
          <w:p>
            <w:r>
              <w:rPr>
                <w:sz w:val="20"/>
              </w:rPr>
              <w:t>Liste I</w:t>
            </w:r>
          </w:p>
        </w:tc>
        <w:tc>
          <w:tcPr>
            <w:tcW w:type="dxa" w:w="1559"/>
          </w:tcPr>
          <w:p>
            <w:r>
              <w:rPr>
                <w:sz w:val="20"/>
              </w:rPr>
              <w:t>Actif</w:t>
            </w:r>
          </w:p>
        </w:tc>
      </w:tr>
      <w:tr>
        <w:tc>
          <w:tcPr>
            <w:tcW w:type="dxa" w:w="1559"/>
          </w:tcPr>
          <w:p>
            <w:r>
              <w:rPr>
                <w:sz w:val="20"/>
              </w:rPr>
              <w:t>XERVEXTA</w:t>
            </w:r>
          </w:p>
        </w:tc>
        <w:tc>
          <w:tcPr>
            <w:tcW w:type="dxa" w:w="1559"/>
          </w:tcPr>
          <w:p>
            <w:r>
              <w:rPr>
                <w:sz w:val="20"/>
              </w:rPr>
              <w:t>HIKMA PHARMA ALGERIA</w:t>
            </w:r>
          </w:p>
        </w:tc>
        <w:tc>
          <w:tcPr>
            <w:tcW w:type="dxa" w:w="1559"/>
          </w:tcPr>
          <w:p>
            <w:r>
              <w:rPr>
                <w:sz w:val="20"/>
              </w:rPr>
              <w:t>Comprimé pelliculé 10 mg, 50 mg, 100 mg</w:t>
            </w:r>
          </w:p>
        </w:tc>
        <w:tc>
          <w:tcPr>
            <w:tcW w:type="dxa" w:w="1559"/>
          </w:tcPr>
          <w:p>
            <w:r>
              <w:rPr>
                <w:sz w:val="20"/>
              </w:rPr>
              <w:t>B/42 : 14 cp 10 mg, 7 cp 50 mg, 21 cp 100 mg (Starting Pack)</w:t>
            </w:r>
          </w:p>
        </w:tc>
        <w:tc>
          <w:tcPr>
            <w:tcW w:type="dxa" w:w="1559"/>
          </w:tcPr>
          <w:p>
            <w:r>
              <w:rPr>
                <w:sz w:val="20"/>
              </w:rPr>
              <w:t>Liste I</w:t>
            </w:r>
          </w:p>
        </w:tc>
        <w:tc>
          <w:tcPr>
            <w:tcW w:type="dxa" w:w="1559"/>
          </w:tcPr>
          <w:p>
            <w:r>
              <w:rPr>
                <w:sz w:val="20"/>
              </w:rPr>
              <w:t>Actif</w:t>
            </w:r>
          </w:p>
        </w:tc>
      </w:tr>
      <w:tr>
        <w:tc>
          <w:tcPr>
            <w:tcW w:type="dxa" w:w="1559"/>
          </w:tcPr>
          <w:p>
            <w:r>
              <w:rPr>
                <w:sz w:val="20"/>
              </w:rPr>
              <w:t>XERVEXTA</w:t>
            </w:r>
          </w:p>
        </w:tc>
        <w:tc>
          <w:tcPr>
            <w:tcW w:type="dxa" w:w="1559"/>
          </w:tcPr>
          <w:p>
            <w:r>
              <w:rPr>
                <w:sz w:val="20"/>
              </w:rPr>
              <w:t>HIKMA PHARMA ALGERIA</w:t>
            </w:r>
          </w:p>
        </w:tc>
        <w:tc>
          <w:tcPr>
            <w:tcW w:type="dxa" w:w="1559"/>
          </w:tcPr>
          <w:p>
            <w:r>
              <w:rPr>
                <w:sz w:val="20"/>
              </w:rPr>
              <w:t>Comprimé pelliculé 100 mg</w:t>
            </w:r>
          </w:p>
        </w:tc>
        <w:tc>
          <w:tcPr>
            <w:tcW w:type="dxa" w:w="1559"/>
          </w:tcPr>
          <w:p>
            <w:r>
              <w:rPr>
                <w:sz w:val="20"/>
              </w:rPr>
              <w:t>B/120</w:t>
            </w:r>
          </w:p>
        </w:tc>
        <w:tc>
          <w:tcPr>
            <w:tcW w:type="dxa" w:w="1559"/>
          </w:tcPr>
          <w:p>
            <w:r>
              <w:rPr>
                <w:sz w:val="20"/>
              </w:rPr>
              <w:t>Liste I</w:t>
            </w:r>
          </w:p>
        </w:tc>
        <w:tc>
          <w:tcPr>
            <w:tcW w:type="dxa" w:w="1559"/>
          </w:tcPr>
          <w:p>
            <w:r>
              <w:rPr>
                <w:sz w:val="20"/>
              </w:rPr>
              <w:t>Actif</w:t>
            </w:r>
          </w:p>
        </w:tc>
      </w:tr>
    </w:tbl>
    <w:p/>
    <w:p>
      <w:r>
        <w:t>La spécialité princeps VENCLYXTO (Laboratoires AbbVie, laboratoire américain) coexiste avec le générique algérien XERVEXTA (HIKMA PHARMA ALGERIA). Le conditionnement XERVEXTA STARTING PACK (B/42 : 14 cp 10 mg, 7 cp 50 mg, 21 cp 100 mg) correspond au kit de ramp-up (escalade posologique progressive sur 5 semaines pour prévenir le syndrome de lyse tumorale) : semaine 1 (20 mg/j = 2 cp 10 mg/j pendant 7 jours), semaine 2 (50 mg/j = 1 cp 50 mg/j pendant 7 jours), semaine 3 (100 mg/j = 1 cp 100 mg/j pendant 7 jours), semaine 4 (200 mg/j = 2 cp 100 mg/j pendant 7 jours), semaine 5 et au-delà (400 mg/j = 4 cp 100 mg/j en LLC, ou 800 mg/j en LAM = 8 cp 100 mg/j). Le conditionnement de 14 cp 10 mg correspond à la semaine 1, 7 cp 50 mg à la semaine 2, et 21 cp 100 mg à la semaine 3 (en LLc, démarrage direct à 100 mg en LAM). Le conditionnement B/07 et B/14 (100 mg) correspondent aux semaines 2 et 3, et le B/112 (100 mg) à 4 semaines de traitement d'entretien à 400 mg/j (4 cp/jour). Le B/120 de XERVEXTA correspond à 30 jours de traitement d'entretien (4 cp 100 mg/jour). La délivrance s'effectue en pharmacie hospitalière spécialisée (hématologie clinique) ou en officine sur prescription hospitalière.</w:t>
      </w:r>
    </w:p>
    <w:p>
      <w:r/>
      <w:r>
        <w:rPr>
          <w:b/>
        </w:rPr>
        <w:t>Sous-classe et Mécanisme d'action :</w:t>
      </w:r>
      <w:r/>
    </w:p>
    <w:p>
      <w:pPr>
        <w:pStyle w:val="ListBullet"/>
      </w:pPr>
      <w:r>
        <w:t>Sous-classe : Inhibiteur de BCL-2 (mimétique du motif BH3), sélectif de BCL-2 (Ki &lt; 0,1 nM), &gt; 100× plus sélectif que BCL-XL et MCL-1, classe des BH3 mimétiques. DCI non inscrite sur la liste des médicaments essentiels OMS.</w:t>
      </w:r>
    </w:p>
    <w:p>
      <w:pPr>
        <w:pStyle w:val="ListBullet"/>
      </w:pPr>
      <w:r>
        <w:t>Mécanisme d'action : le venetoclax pénètre dans le compartiment intracellulaire et se lie de manière réversible et de haute affinité (Ki &lt; 0,1 nM) au sillon hydrophobe de BCL-2 (B-cell lymphoma 2), protéine anti-apoptotique surexprimée dans les hémopathies lymphoïdes B (LLC, lymphomes folliculaires, lymphomes du manteau) et les LAM (sous-population de cellules souches leucémiques BCL-2-dépendantes). Le venetoclax mime le motif BH3 (Bcl-2 homology domain 3) des protéines pro-apoptotiques de la famille BCL-2 (BIM, BAD, BID, PUMA, NOXA) et entre en compétition avec BAK (et accessoirement BIM) pour la liaison à BCL-2. BAK libéré de BCL-2 oligomérise à la membrane mitochondriale externe, induit la MOMP (mitochondrial outer membrane permeabilization), libère le cytochrome c dans le cytosol, active APAF-1, caspase 9, puis caspases 3 et 7 effectrices, ce qui conduit à l'apoptose. La cellule tumorale, rendue « addicted » à BCL-2 par sa surexpression constitutive (translocation t(14;18) dans le lymphome folliculaire, anomalies épigénétiques dans la LLC, mutations TP53 dans la LLC 17p-), entre en apoptose rapide et massive. La sélectivité de BCL-2 (vs BCL-XL et MCL-1) explique l'absence de thrombopénie majeure (BCL-XL régule la survie plaquettaire) observée avec les inhibiteurs pan-BCL-2 (navitoclax). En LAM, le venetoclax cible préférentiellement les cellules souches leucémiques, en synergie avec l'azacitidine (déméthylant) et la cytarabine à faible dose.</w:t>
      </w:r>
    </w:p>
    <w:p>
      <w:r/>
      <w:r>
        <w:rPr>
          <w:b/>
        </w:rPr>
        <w:t>Profil Pharmacologique :</w:t>
      </w:r>
      <w:r/>
    </w:p>
    <w:p>
      <w:pPr>
        <w:pStyle w:val="ListBullet"/>
      </w:pPr>
      <w:r>
        <w:t>Indications : (1) LLC en monothérapie chez les patients ayant reçu au moins une ligne (avec ou sans anomalie 17p-/TP53), dose 400 mg/j après ramp-up sur 5 semaines ; (2) LLC en première ligne en association à l'obinutuzumab (G-Ven) — dose 400 mg/j après ramp-up ; (3) LLC en association au rituximab chez les patients ayant reçu au moins une ligne — dose 400 mg/j après ramp-up ; (4) Lymphome folliculaire en rechute/réfractaire en association au rituximab (Ven-R), après 2 lignes incluant un anti-CD20 et une chimiothérapie — dose 400 mg/j après ramp-up ; (5) Lymphome du manteau en rechute/réfractaire en association à l'ibrutinib — dose 400 mg/j après ramp-up ; (6) LAM en association à l'azacitidine (75 mg/m² J1-J7 de chaque cycle de 28 jours) ou à la cytarabine à faible dose (20 mg/m² J1-J10 de chaque cycle de 28 jours) chez les patients âgés (&gt; 75 ans ou avec comorbidités) non éligibles à la chimiothérapie intensive — dose 400 mg/j après ramp-up (démarrage à J1 ou J2 du cycle, dose cible 400 mg/j en jours 1-28) ; (7) En cours d'évaluation dans le myélome multiple (en association au bortézomib ou au carfilzomib).</w:t>
      </w:r>
    </w:p>
    <w:p>
      <w:pPr>
        <w:pStyle w:val="ListBullet"/>
      </w:pPr>
      <w:r>
        <w:t>Contre-indications : Hypersensibilité au venetoclax ou à l'un des excipients. GROSSESSE : CONTRE-INDICATION ABSOLUE (tératogène). Précautions : insuffisance rénale modérée à sévère (CrCl &lt; 80 mL/min, surveillance rapprochée pour SLT, prophylaxie renforcée), insuffisance hépatique modérée à sévère (surveillance, adaptation posologique selon tolérance), thrombopénie préexistante (&lt; 75 G/L, à corriger), neutropénie préexistante (&lt; 1,5 G/L, à corriger), masse tumorale élevée (ganglions &gt; 5 cm, ADP &gt; 10 cm, hyperleucocytose &gt; 25 G/L, LDH &gt; 2× LSN, risque majeur de SLT, prophylaxie renforcée), infection active, antécédents de SLT.</w:t>
      </w:r>
    </w:p>
    <w:p>
      <w:pPr>
        <w:pStyle w:val="ListBullet"/>
      </w:pPr>
      <w:r>
        <w:t>Effets Indésirables : Très fréquents (&gt; 10 %) : SYNDROME DE LYSE TUMORALE (SLT, 5–10 %, surtout à l'initiation — effet signature, pouvant être grave voire fatal), neutropénie (65 %, dont 40 % grade 3/4 — effet signature, lié à l'inhibition de BCL-2 sur les granuleux), thrombopénie (30 %, dont 15 % grade 3/4), anémie (25 %), lymphopénie (15 %), nausées (40 %), diarrhée (35 %), vomissements (20 %), constipation (25 %), fatigue (40 %), asthénie (30 %), céphalées (15 %), toux (15 %), pyrexie (25 %), infections respiratoires hautes (15 %), rash maculo-papuleux (15 %), hypophosphatémie, hyperkaliémie, hypokaliémie. Fréquents (1–10 %) : pneumopathie interstitielle, neutropénie fébrile (10 %), sepsis (5 %), réaction d'hypersensibilité, augmentation de la créatinine. Rares (&lt; 1 %) : syndrome de Stevens-Johnson, syndrome de Lyell, hépatotoxicité sévère, DRESS.</w:t>
      </w:r>
    </w:p>
    <w:p>
      <w:r/>
      <w:r>
        <w:rPr>
          <w:b/>
        </w:rPr>
        <w:t>Prévention et Gestion des Effets Indésirables :</w:t>
      </w:r>
      <w:r/>
    </w:p>
    <w:p>
      <w:pPr>
        <w:pStyle w:val="ListBullet"/>
      </w:pPr>
      <w:r>
        <w:t>Mesures Préventives : (i) Évaluation du risque de SLT avant initiation : faible (ganglions &lt; 5 cm ET leucocytes &lt; 25 G/L), moyen (ganglions 5-10 cm OU leucocytes ≥ 25 G/L), élevé (ganglions &gt; 10 cm OU leucocytes &gt; 25 G/L avec LDH &gt; 2× LSN). Pour risque moyen et élevé : prophylaxie renforcée. (ii) Ramp-up OBLIGATOIRE sur 5 semaines (sauf en LAM, démarrage direct à 100-200 mg puis 400 mg en jours 1-4 ou 1-14 selon protocole) : semaine 1 (20 mg/j), semaine 2 (50 mg/j), semaine 3 (100 mg/j), semaine 4 (200 mg/j), semaine 5 (400 mg/j en LLC, ou 800 mg/j en LAM). Utilisation du Starting Pack (14 cp 10 mg + 7 cp 50 mg + 21 cp 100 mg). (iii) Hyperhydratation IV préventive (1,5-2 L/j de NaCl 0,9 %) avant et pendant le ramp-up, surveillance de la diurèse. (iv) Prophylaxie anti-uricémique : allopurinol 300 mg/j dès J-3 du ramp-up (ou rasburicase 0,15-0,2 mg/kg/j en cas d'hyperuricémie préexistante, principalement pour risque élevé). (v) Surveillance biologique rapprochée pendant le ramp-up : ionogramme (K+, Ca++, PO4--, urée, créatinine), uricémie, avant l'initiation de chaque palier, à 6-8 heures et à 24 heures après la première prise de chaque palier. (vi) NFS-plaquettes avant initiation, à J15, J21, puis mensuel. (vii) Prophylaxie anti-infectieuse : cotrimoxazole (Bactrim®) pendant le traitement et 2 mois après l'arrêt (prophylaxie anti-Pneumocystis jirovecii), aciclovir 400 mg/j (prophylaxie anti-herpétique), considérer une prophylaxie antifongique (fluconazole) en cas de neutropénie profonde. (viii) Vaccination antigrippale, antipneumococcique, anti-COVID-19 avant initiation. (ix) Information du patient sur les signes d'alerte de SLT (fièvre, nausées, vomissements, diarrhée, œdèmes, fatigue intense, troubles du rythme, convulsions, oligurie).</w:t>
      </w:r>
    </w:p>
    <w:p>
      <w:pPr>
        <w:pStyle w:val="ListBullet"/>
      </w:pPr>
      <w:r>
        <w:t>Conduite à Tenir : SLT : urgence absolue. Diagnostic clinique (fièvre, nausées, vomissements, diarrhée, œdèmes, oligurie, troubles du rythme, convulsions) et biologique (hyperkaliémie, hyperphosphatémie, hypocalcémie, hyperuricémie, insuffisance rénale aiguë). Conduite : arrêt immédiat du venetoclax, hospitalisation (USI/Réanimation si SLT sévère), hyperhydratation IV massive (3-6 L/j), rasburicase (0,2 mg/kg/j), allopurinol, surveillance biologique toutes les 4-6 heures, hémodialyse si insuffisance rénale sévère ou hyperkaliémie réfractaire. Reprise à dose réduite après récupération complète (semaine de ramp-up à refaire). Neutropénie grade 3 (PNN 0,5-1,0 G/L) : poursuite à dose standard, surveillance ; grade 4 (PNN &lt; 0,5 G/L) : interruption transitoire, G-CSF (filgrastim 5 µg/kg/j) en optionnel, reprise à dose réduite (400 → 300 → 200 mg). Thrombopénie grade 3/4 : interruption transitoire, reprise à dose réduite. Diarrhée grade 2 : lopéramide, réhydratation ; grade 3 : interruption transitoire, réhydratation IV.</w:t>
      </w:r>
    </w:p>
    <w:p>
      <w:r/>
      <w:r>
        <w:rPr>
          <w:b/>
        </w:rPr>
        <w:t>Interactions Médicamenteuses :</w:t>
      </w:r>
      <w:r/>
    </w:p>
    <w:p>
      <w:pPr>
        <w:pStyle w:val="ListBullet"/>
      </w:pPr>
      <w:r>
        <w:t>CYP3A4 et P-gp (métabolisme principal) : inducteurs enzymatiques (rifampicine, phénytoïne, carbamazépine, phénobarbital, millepertuis, modafinil) → diminution majeure de l'ASC du venetoclax (jusqu'à −71 % avec rifampicine), à éviter absolument. Inhibiteurs puissants (kétoconazole, itraconazole, voriconazole, posaconazole, clarithromycine, ritonavir, cobicistat) → augmentation majeure de l'ASC (jusqu'à ×7 avec kétoconazole), réduire la dose de venetoclax à 70-100 mg/j (au lieu de 400 mg/j) pendant la durée de l'association, surveillance biologique rapprochée. Inhibiteurs modérés (fluconazole, érythromycine, diltiazem, vérapamil, amiodarone, dronédarone) → augmentation modérée (×2), réduire à 50 % de la dose standard.</w:t>
      </w:r>
    </w:p>
    <w:p>
      <w:pPr>
        <w:pStyle w:val="ListBullet"/>
      </w:pPr>
      <w:r>
        <w:t>Substrats à index thérapeutique étroit : le venetoclax est lui-même inhibiteur in vivo faible du CYP3A4 et de la P-gp ; surveiller : (i) digoxine (augmentation des concentrations, surveillance ECG et dosage sanguin), (ii) warfarine (INR), (iii) dabigatran, rivaroxaban, apixaban (risque hémorragique majoré), (iv) sirolimus, tacrolimus, cyclosporine, (v) statines (simvastatine, atorvastatine — préférer pravastatine, rosuvastatine), (vi) midazolam, triazolam.</w:t>
      </w:r>
    </w:p>
    <w:p>
      <w:pPr>
        <w:pStyle w:val="ListBullet"/>
      </w:pPr>
      <w:r>
        <w:t>Vaccins : vaccins vivants atténués (BCG, ROR, fièvre jaune, varicelle) contre-indiqués pendant le traitement en raison de l'immunosuppression et de la neutropénie. Vaccins inactivés autorisés mais réponse atténuée.</w:t>
      </w:r>
    </w:p>
    <w:p>
      <w:pPr>
        <w:pStyle w:val="ListBullet"/>
      </w:pPr>
      <w:r>
        <w:t>Alimentation : prendre au cours d'un repas (améliore l'absorption de 3,4×, à éviter à jeun qui réduit l'absorption). Éviter le jus de pamplemousse (inhibiteur du CYP3A4 intestinal). Éviter le millepertuis (inducteur). Éviter les oranges de Séville, les étoiles de badiane (inhibiteurs du CYP3A4). Modération alcoolique.</w:t>
      </w:r>
    </w:p>
    <w:p>
      <w:pPr>
        <w:pStyle w:val="ListBullet"/>
      </w:pPr>
      <w:r>
        <w:t>Azacitidine et cytarabine (associations en LAM) : pas d'interaction pharmacocinétique significative, mais augmentation du risque de cytopénies (effet additif).</w:t>
      </w:r>
    </w:p>
    <w:p>
      <w:pPr>
        <w:pStyle w:val="ListBullet"/>
      </w:pPr>
      <w:r>
        <w:t>Obinutuzumab et rituximab (associations en LLC et lymphomes) : pas d'interaction pharmacocinétique significative.</w:t>
      </w:r>
    </w:p>
    <w:p>
      <w:r/>
      <w:r>
        <w:rPr>
          <w:b/>
        </w:rPr>
        <w:t>Grossesse et Allaitement :</w:t>
      </w:r>
      <w:r/>
    </w:p>
    <w:p>
      <w:pPr>
        <w:pStyle w:val="ListBullet"/>
      </w:pPr>
      <w:r>
        <w:t>Grossesse : CONTRE-INDICATION ABSOLUE. Données animales tératogènes (malformations cardiovasculaires, squelettiques, et fœtotoxicité à exposition infra-thérapeutique chez le rat et le lapin). Une contraception efficace (double méthode : condom + contraception orale ou dispositif intra-utérin) est obligatoire chez la femme en âge de procréer durant le traitement et jusqu'à 30 jours après l'arrêt. Chez l'homme traité : altération possible de la spermatogenèse, contraception conseillée pendant le traitement et 30 jours après l'arrêt. Conservation de sperme recommandée avant tout traitement anticancéreux.</w:t>
      </w:r>
    </w:p>
    <w:p>
      <w:pPr>
        <w:pStyle w:val="ListBullet"/>
      </w:pPr>
      <w:r>
        <w:t>Allaitement : CONTRE-INDICATION ABSOLUE. Le venetoclax passe dans le lait maternel (forte lipophilie), exposant le nouveau-né à des concentrations cytotoxiques et à un risque de cytopénies sévères et de retards de croissance. Allaitement à interrompre pendant toute la durée du traitement et jusqu'à 1 semaine après l'arrêt.</w:t>
      </w:r>
    </w:p>
    <w:p>
      <w:pPr>
        <w:pStyle w:val="ListBullet"/>
      </w:pPr>
      <w:r>
        <w:t>Précautions : Femme en âge de procréer : test de grossesse avant initiation et mensuel pendant le traitement.</w:t>
      </w:r>
    </w:p>
    <w:p>
      <w:r/>
      <w:r>
        <w:rPr>
          <w:b/>
        </w:rPr>
        <w:t>Posologie et Mode d'administration (Standard) :</w:t>
      </w:r>
      <w:r/>
    </w:p>
    <w:p>
      <w:pPr>
        <w:pStyle w:val="ListBullet"/>
      </w:pPr>
      <w:r>
        <w:t>Adulte LLC (monothérapie ou association à obinutuzumab/rituximab) : Ramp-up sur 5 semaines : semaine 1 (20 mg/j), semaine 2 (50 mg/j), semaine 3 (100 mg/j), semaine 4 (200 mg/j), semaine 5 (400 mg/j). Dose d'entretien : 400 mg/j en une prise par voie orale, en continu (pas d'arrêt hebdomadaire). Utilisation du Starting Pack (XERVEXTA STARTING PACK : 14 cp 10 mg + 7 cp 50 mg + 21 cp 100 mg) pour les 3 premières semaines, puis cp 100 mg B/14 ou B/112 (4 cp/jour).</w:t>
      </w:r>
    </w:p>
    <w:p>
      <w:pPr>
        <w:pStyle w:val="ListBullet"/>
      </w:pPr>
      <w:r>
        <w:t>Adulte LAM (association à azacitidine ou cytarabine faible dose) : Ramp-up court : J1-J2 (100 mg/j), J3 (200 mg/j), J4 et au-delà (400 mg/j en jours 1-28 de chaque cycle de 28 jours). Dose cible 400 mg/j en jours 1-28. Utilisation du cp 100 mg B/14 ou B/112.</w:t>
      </w:r>
    </w:p>
    <w:p>
      <w:pPr>
        <w:pStyle w:val="ListBullet"/>
      </w:pPr>
      <w:r>
        <w:t>Adaptation en cas de SLT : interruption immédiate, reprise après récupération complète à la dose du palier précédent, en refaisant un ramp-up court.</w:t>
      </w:r>
    </w:p>
    <w:p>
      <w:pPr>
        <w:pStyle w:val="ListBullet"/>
      </w:pPr>
      <w:r>
        <w:t>Adaptation en cas de neutropénie grade 4 : interruption transitoire, G-CSF, reprise à dose réduite (400 → 300 → 200 mg).</w:t>
      </w:r>
    </w:p>
    <w:p>
      <w:pPr>
        <w:pStyle w:val="ListBullet"/>
      </w:pPr>
      <w:r>
        <w:t>Adaptation en cas d'insuffisance rénale (CrCl &lt; 80 mL/min) : surveillance rapprochée pour SLT (prophylaxie renforcée), pas d'adaptation de la dose standard mais ramp-up plus progressif (paliers de 4 jours au lieu de 7).</w:t>
      </w:r>
    </w:p>
    <w:p>
      <w:pPr>
        <w:pStyle w:val="ListBullet"/>
      </w:pPr>
      <w:r>
        <w:t>Adaptation en cas d'insuffisance hépatique modérée à sévère : surveillance, adaptation posologique selon tolérance (réduction à 300 mg/j ou 200 mg/j si EI).</w:t>
      </w:r>
    </w:p>
    <w:p>
      <w:pPr>
        <w:pStyle w:val="ListBullet"/>
      </w:pPr>
      <w:r>
        <w:t>Adaptation en cas d'interactions : sous inhibiteurs puissants du CYP3A4 (kétoconazole, itraconazole, clarithromycine, ritonavir) : réduire à 70-100 mg/j (au lieu de 400 mg/j). Sous inhibiteurs modérés (fluconazole, érythromycine, diltiazem, vérapamil) : réduire à 50 % (200 mg/j au lieu de 400 mg/j). Sous inducteurs (rifampicine, phénytoïne, carbamazépine, millepertuis) : éviter absolument.</w:t>
      </w:r>
    </w:p>
    <w:p>
      <w:pPr>
        <w:pStyle w:val="ListBullet"/>
      </w:pPr>
      <w:r>
        <w:t>Mode d'administration : voie orale stricte, monoprise quotidienne au cours d'un repas (améliore l'absorption), à heure fixe, avec un grand verre d'eau. Les comprimés pelliculés ne doivent pas être écrasés, mâchés ou dissous. En cas d'oubli de moins de 8 heures : prendre immédiatement ; au-delà : ne pas prendre la dose, poursuivre au schéma habituel (ne pas doubler la dose suivante). En cas de vomissement : ne pas reprendre de dose.</w:t>
      </w:r>
    </w:p>
    <w:p>
      <w:pPr>
        <w:pStyle w:val="ListBullet"/>
      </w:pPr>
      <w:r>
        <w:t>Durée du traitement : LLC : traitement au long cours jusqu'à progression ou intolérance. LAM : traitement jusqu'à progression ou intolérance (24 cycles en général). Lymphomes : jusqu'à progression ou intolérance (24 mois en général en association au rituximab).</w:t>
      </w:r>
    </w:p>
    <w:p>
      <w:r/>
      <w:r>
        <w:rPr>
          <w:b/>
        </w:rPr>
        <w:t>Surveillance Biologique et Suivi Clinique :</w:t>
      </w:r>
      <w:r/>
    </w:p>
    <w:p>
      <w:pPr>
        <w:pStyle w:val="ListBullet"/>
      </w:pPr>
      <w:r>
        <w:t>Hématologique : NFS-plaquettes avant initiation, à J15, J21 du cycle, puis mensuel. Seuils d'adaptation : PNN &lt; 1,0 G/L (grade 3) ou &lt; 0,5 G/L (grade 4) → interruption transitoire, G-CSF en optionnel, reprise à dose réduite. Plaquettes &lt; 50 G/L → interruption, reprise à dose réduite. Hb &lt; 80 g/L → transfusion de concentrés globulaires.</w:t>
      </w:r>
    </w:p>
    <w:p>
      <w:pPr>
        <w:pStyle w:val="ListBullet"/>
      </w:pPr>
      <w:r>
        <w:t>SLT (syndrome de lyse tumorale) — surveillance OBLIGATOIRE pendant le ramp-up : ionogramme (K+, Ca++, PO4--, Na+, Cl-), urée, créatinine, uricémie, avant l'initiation de chaque palier (J1, J8, J15, J22, J29), à 6-8 heures et à 24 heures après la première prise de chaque palier, puis quotidiennement pendant le ramp-up. En cas d'élévation (K+ &gt; 6 mmol/L, PO4-- &gt; 2,5 mmol/L, Ca++ &lt; 1,75 mmol/L, uricémie &gt; 475 µmol/L, créatinine &gt; 1,5× LSN) → arrêt immédiat, hyperhydratation, rasburicase.</w:t>
      </w:r>
    </w:p>
    <w:p>
      <w:pPr>
        <w:pStyle w:val="ListBullet"/>
      </w:pPr>
      <w:r>
        <w:t>Rénale : créatinine, urée, ionogramme avant initiation, mensuel pendant le ramp-up, puis trimestriel. Surveillance accrue en cas d'insuffisance rénale préexistante (CrCl &lt; 80 mL/min).</w:t>
      </w:r>
    </w:p>
    <w:p>
      <w:pPr>
        <w:pStyle w:val="ListBullet"/>
      </w:pPr>
      <w:r>
        <w:t>Hépatique : ALAT, ASAT, bilirubine avant initiation, mensuel 3 mois puis trimestriel.</w:t>
      </w:r>
    </w:p>
    <w:p>
      <w:pPr>
        <w:pStyle w:val="ListBullet"/>
      </w:pPr>
      <w:r>
        <w:t>Infectiologique : prophylaxie anti-Pneumocystis jirovecii par cotrimoxazole pendant le traitement et 2 mois après l'arrêt. Prophylaxie anti-herpétique par aciclovir pendant le traitement et 1 mois après l'arrêt. Considérer prophylaxie antifongique (fluconazole) en cas de neutropénie profonde &gt; 7 jours. Surveillance clinique des signes infectieux (fièvre, frissons).</w:t>
      </w:r>
    </w:p>
    <w:p>
      <w:pPr>
        <w:pStyle w:val="ListBullet"/>
      </w:pPr>
      <w:r>
        <w:t>Suivi moléculaire : électrophorèse des protéines sériques (gammapathie monoclonale), immunophénotypage lymphocytaire (LLC), biopsie ostéo-médullaire (LAM), à chaque cycle pour évaluation de la réponse.</w:t>
      </w:r>
    </w:p>
    <w:p>
      <w:r/>
      <w:r>
        <w:rPr>
          <w:b/>
        </w:rPr>
        <w:t>Arbitrage et Bénéfices des Formes Galéniques :</w:t>
      </w:r>
      <w:r/>
    </w:p>
    <w:p>
      <w:r>
        <w:t>Le Starting Pack (XERVEXTA STARTING PACK : 14 cp 10 mg + 7 cp 50 mg + 21 cp 100 mg) est conçu spécifiquement pour le ramp-up sur 3 semaines (semaine 1 : 2 cp 10 mg/j pendant 7 jours ; semaine 2 : 1 cp 50 mg/j pendant 7 jours ; semaine 3 : 1 cp 100 mg/j pendant 7 jours), garantissant la traçabilité et la sécurité de l'escalade posologique. Le conditionnement B/14 (cp 100 mg) correspond à la semaine 4 (200 mg/j = 2 cp/jour pendant 7 jours). Le B/112 (cp 100 mg) correspond à 4 semaines de traitement d'entretien à 400 mg/j (4 cp/jour). Le B/120 de XERVEXTA (cp 100 mg) correspond à 30 jours de traitement d'entretien à 400 mg/j (4 cp/jour). La formulation algérienne XERVEXTA (HIKMA PHARMA ALGERIA) présente une équivalence pharmacocinétique documentée avec la spécialité princeps VENCLYXTO (AbbVie). Le pharmacien d'officine joue un rôle pivot dans la vérification de la prescription (ramp-up obligatoire, dose d'entretien), la prévention des interactions (inducteurs et inhibiteurs du CYP3A4, aliments), et le suivi de l'observance (prise au cours d'un repas, calendrier de ramp-up).</w:t>
      </w:r>
    </w:p>
    <w:p>
      <w:r/>
      <w:r>
        <w:rPr>
          <w:b/>
        </w:rPr>
        <w:t>Instructions et Conseils au Patient :</w:t>
      </w:r>
      <w:r/>
    </w:p>
    <w:p>
      <w:pPr>
        <w:pStyle w:val="ListBullet"/>
      </w:pPr>
      <w:r>
        <w:t>Communication au comptoir : « Le venetoclax est un médicament anticancéreux oral qui cible spécifiquement les cellules tumorales de votre leucémie ou lymphome en restaurant l'apoptose (mort cellulaire programmée). Il se prend une fois par jour, au cours d'un repas, à heure fixe. IMPORTANT : la première prise se fait à dose très faible (20 mg/j pendant 7 jours), puis la dose augmente progressivement chaque semaine (50, 100, 200, 400 mg) pendant 5 semaines pour éviter un syndrome de lyse tumorale (destruction massive des cellules tumorales libérant des substances toxiques pour les reins et le cœur). Vous devez boire beaucoup d'eau (au moins 2 L/jour) et uriner régulièrement pendant cette période. Les effets indésirables principaux sont : nausées, diarrhées, fatigue, baisse des globules blancs (neutropénie, risque infectieux), et rarement syndrome de lyse tumorale. Prévenez immédiatement votre médecin ou allez aux urgences en cas de : fièvre (≥ 38,5 °C), frissons, nausées et vomissements intenses, diarrhée abondante, fatigue extrême, palpitations, convulsions, ou diminution de la quantité d'urine (signes de syndrome de lyse tumorale). Évitez le pamplemousse, le millepertuis et les oranges de Séville. »</w:t>
      </w:r>
    </w:p>
    <w:p>
      <w:pPr>
        <w:pStyle w:val="ListBullet"/>
      </w:pPr>
      <w:r>
        <w:t>Observance : prise à heure fixe au cours d'un repas, calendrier d'administration avec marquage des paliers de ramp-up (semaine 1-5), ne jamais interrompre sans avis médical, prévoir une réserve, conserver à température &lt; 25 °C à l'abri de l'humidité. En cas d'oubli de moins de 8 heures : prendre immédiatement ; au-delà : ne pas doubler.</w:t>
      </w:r>
    </w:p>
    <w:p>
      <w:pPr>
        <w:pStyle w:val="ListBullet"/>
      </w:pPr>
      <w:r>
        <w:t>Hygiène de vie : éviter le pamplemousse, le millepertuis, les oranges de Séville, les étoiles de badiane (inhibiteurs du CYP3A4), alcool à proscrire, photoprotection SPF 50+, éviter les vaccins vivants sans avis médical, éviter les foules et contacts avec personnes infectées pendant les phases de neutropénie.</w:t>
      </w:r>
    </w:p>
    <w:p>
      <w:pPr>
        <w:pStyle w:val="ListBullet"/>
      </w:pPr>
      <w:r>
        <w:t>Femmes en âge de procréer : double contraception obligatoire (préservatif + contraception hormonale ou dispositif intra-utérin), test de grossesse avant initiation et mensuel, contraception maintenue 30 jours après l'arrêt.</w:t>
      </w:r>
    </w:p>
    <w:p>
      <w:pPr>
        <w:pStyle w:val="ListBullet"/>
      </w:pPr>
      <w:r>
        <w:t>Hydratation : boire au moins 2 L d'eau par jour pendant le ramp-up, uriner régulièrement, surveiller la couleur des urines (clair = bonne hydratation).</w:t>
      </w:r>
    </w:p>
    <w:p>
      <w:r/>
      <w:r>
        <w:rPr>
          <w:b/>
        </w:rPr>
        <w:t>Notes, Règles d'Or &amp; Pièges au Comptoir :</w:t>
      </w:r>
      <w:r/>
    </w:p>
    <w:p>
      <w:pPr>
        <w:pStyle w:val="ListBullet"/>
      </w:pPr>
      <w:r>
        <w:t>Piège : le SYNDROME DE LYSE TUMORALE (SLT) est l'effet indésirable le plus grave et le plus caractéristique du venetoclax, survenant préférentiellement à l'initiation (pendant le ramp-up) chez les patients à masse tumorale élevée (ganglions &gt; 5 cm, hyperleucocytose &gt; 25 G/L, LDH &gt; 2× LSN). Le ramp-up OBLIGATOIRE sur 5 semaines et la prophylaxie (hyperhydratation, allopurinol/rasburicase) réduisent l'incidence à 1-2 % (vs 10-15 % sans ramp-up). La surveillance biologique rapprochée (ionogramme, uricémie, créatinine) avant chaque palier et à 6-8 heures après la première prise est IMPÉRATIVE. En cas de SLT : arrêt immédiat, hospitalisation, hyperhydratation, rasburicase, hémodialyse si nécessaire.</w:t>
      </w:r>
    </w:p>
    <w:p>
      <w:pPr>
        <w:pStyle w:val="ListBullet"/>
      </w:pPr>
      <w:r>
        <w:t>Règle : le ramp-up sur 5 semaines est OBLIGATOIRE en LLC (20 → 50 → 100 → 200 → 400 mg), avec une semaine par palier. En LAM, le ramp-up est court (J1-J2 : 100 mg, J3 : 200 mg, J4 et au-delà : 400 mg). Le pharmacien doit vérifier la compréhension du schéma par le patient (calendrier de ramp-up recommandé), l'utilisation du Starting Pack, et l'observance stricte (un palier = une semaine = une dose bien précise).</w:t>
      </w:r>
    </w:p>
    <w:p>
      <w:pPr>
        <w:pStyle w:val="ListBullet"/>
      </w:pPr>
      <w:r>
        <w:t>Piège : la prise doit se faire AU COURS D'UN REPAS (améliore l'absorption de 3,4×), pas à jeun. La prise à jeun réduit l'absorption et expose à un échec thérapeutique.</w:t>
      </w:r>
    </w:p>
    <w:p>
      <w:pPr>
        <w:pStyle w:val="ListBullet"/>
      </w:pPr>
      <w:r>
        <w:t>Règle : la prophylaxie anti-uricémique (allopurinol 300 mg/j ou rasburicase si hyperuricémie préexistante) et l'hyperhydratation (1,5-2 L/j) sont OBLIGATOIRES pendant le ramp-up.</w:t>
      </w:r>
    </w:p>
    <w:p>
      <w:pPr>
        <w:pStyle w:val="ListBullet"/>
      </w:pPr>
      <w:r>
        <w:t>Piège : les inhibiteurs puissants du CYP3A4 (kétoconazole, itraconazole, clarithromycine, ritonavir) doivent être évités ou conduire à une réduction majeure de dose à 70-100 mg/j (au lieu de 400 mg/j), en raison de l'augmentation majeure des concentrations et du risque de SLT. Les inducteurs (rifampicine, phénytoïne, millepertuis) doivent être évités absolument.</w:t>
      </w:r>
    </w:p>
    <w:p>
      <w:pPr>
        <w:pStyle w:val="ListBullet"/>
      </w:pPr>
      <w:r>
        <w:t>Surveillance : surveiller la survenue de fièvre (neutropénie fébrile, urgence absolue), de troubles du rythme (hyperkaliémie de SLT), de convulsions (SLT sévère), d'oligurie (insuffisance rénale de SLT).</w:t>
      </w:r>
    </w:p>
    <w:p>
      <w:pPr>
        <w:pStyle w:val="ListBullet"/>
      </w:pPr>
      <w:r>
        <w:t>Piège : oubli de plus de 8 heures — ne pas doubler la dose suivante.</w:t>
      </w:r>
    </w:p>
    <w:p>
      <w:pPr>
        <w:pStyle w:val="ListBullet"/>
      </w:pPr>
      <w:r>
        <w:t>Interactions : toujours vérifier l'absence d'inducteur enzymatique puissant (rifampicine, phénytoïne, millepertuis) en cas d'efficacité thérapeutique inexpliquée.</w:t>
      </w:r>
    </w:p>
    <w:p>
      <w:pPr>
        <w:pStyle w:val="ListBullet"/>
      </w:pPr>
      <w:r>
        <w:t>Règle : vacciner systématiquement (grippe, pneumocoque, hépatite B) avant initiation.</w:t>
      </w:r>
    </w:p>
    <w:p>
      <w:pPr>
        <w:pStyle w:val="Heading2"/>
      </w:pPr>
      <w:r>
        <w:t>105.7 Sous-classe : Inhibiteurs Hedgehog</w:t>
      </w:r>
    </w:p>
    <w:p>
      <w:r>
        <w:t>La voie de signalisation Hedgehog (Hh) est une voie morphogénétique embryonnaire majeure, identifiée en 1980 chez la drosophile (mutant de segmentation "hedgehog" = hérisson, en raison de l'aspect épineux des larves mutantes). Elle contrôle la polarité antéro-postérieure des embryons, le développement des membres, du tube neural, des vertèbres, et la différenciation de nombreux tissus (poumon, prostate, intestin, peau). Trois ligands Hedgehog existent chez les mammifères : Sonic (SHH, le plus étudié), Indian (IHH), et Desert (DHH) Hedgehog. Ils se fixent à un récepteur transmembranaire inhibiteur PTCH1 (Patched-1), qui en l'absence de ligand inhibe constitutivement un second récepteur transmembranaire SMO (Smoothened, GPCR de classe Frizzled). La liaison de Hh à PTCH1 lève l'inhibition de SMO, qui active la voie downstream via GLI1, GLI2 (activateurs transcriptionnels) et GLI3 (répresseur), régulant la transcription de gènes cibles (cyclines D1, c-MYC, BCL-2, VEGF, BMP, WNT). Dans l'embryon, cette voie est activée de manière transitoire et spatialement contrôlée.</w:t>
      </w:r>
    </w:p>
    <w:p>
      <w:r>
        <w:t>Chez l'adulte, la voie Hh est quiescente (réprimée), réactivée uniquement dans les cellules souches tissulaires (cellules souches hématopoïétiques, cellulles souches intestinales, cellules souches de la peau) en cas de lésion tissulaire. Dans certains cancers, la voie Hh est réactivée de manière aberrante, soit par mutation perte-de-fonction de PTCH1 (carcinome basocellulaire, ~70 % des cas ; médulloblastome, ~10 %), soit par mutation gain-de-fonction de SMO (carcinome basocellulaire, ~10 % ; médulloblastome, ~5 %), soit par autocrination ligand-dépendante (cancers pancréatique, prostatique, pulmonaire, colorectal, mammaires — plus controversé). Le carcinome basocellulaire (CBC) avancé, métastatique ou localement avancé non accessible à la chirurgie ou à la radiothérapie, est l'indication principale des inhibiteurs de Hedgehog.</w:t>
      </w:r>
    </w:p>
    <w:p>
      <w:r>
        <w:t>Le vismodegib (GDC-0449, Erivedge®, Roche) est le premier inhibiteur de Hedgehog à avoir obtenu une AMM (FDA janvier 2012, EMI juillet 2013). C'est une petite molécule orale qui se lie de manière reversible à SMO (smoothened), bloquant la voie downstream indépendamment de la mutation PTCH1 ou SMO. Indiqué dans le carcinome basocellulaire avancé (métastatique ou localement avancé non accessible à la chirurgie ou à la radiothérapie). Le profil de tolérance est dominé par les spasmes musculaires (70 %, dont 10 % grade 3/4), la dysgueusie (perte du goût, 55 %), l'alopécie (50 %), la fatigue (40 %), les nausées (30 %), la perte de poids (40 %), l'aménorrhée (chez la femme préménopausée), et plus rarement l'insuffisance rénale, l'hypophosphatémie, les élévations de la créatinine et de la lipase. La tératogénicité est majeure (voie Hedgehog cruciale pour le développement embryonnaire : anomalies craniofaciales, digitales, cardiovasculaires, neurologiques), imposant un programme de prévention des grossesses strict (PPPM) chez la femme en âge de procréer et chez l'homme traité (passage dans le sperme démontré).</w:t>
      </w:r>
    </w:p>
    <w:p>
      <w:pPr>
        <w:pStyle w:val="Heading3"/>
      </w:pPr>
      <w:r>
        <w:t>105.7.1 DCI : Vismodegib</w:t>
      </w:r>
    </w:p>
    <w:p>
      <w:r/>
      <w:r>
        <w:rPr>
          <w:b/>
        </w:rPr>
        <w:t>Liste des Catégories :</w:t>
      </w:r>
      <w:r>
        <w:t xml:space="preserve"> Antinéoplasiques ; Inhibiteur de la voie Hedgehog (SMO, smoothened) ; Tératogène majeur (programme PPPM obligatoire) ; Liste I (sur prescription hospitalière spécialisée en oncologie ou dermatologie oncologique).</w:t>
      </w:r>
    </w:p>
    <w:p>
      <w:r>
        <w:t>Le vismodegib (GDC-0449, Erivedge®, Roche) est un inhibiteur oral de la voie Hedgehog, indiqué dans le carcinome basocellulaire (CBC) avancé : (i) métastatique ; (ii) localement avancé non accessible à la chirurgie curative ou à la radiothérapie, ou en cas de récidive après chirurgie ou radiothérapie, ou en cas de contre-indication à ces traitements. AMM FDA janvier 2012, EMI juillet 2013. Le vismodegib a transformé la prise en charge du CBC avancé, historiquement de très mauvais pronostic (survie médiane &lt; 10 mois pour le CBC métastatique), avec une réponse objective chez 30-50 % des patients (métastatique) et 60-70 % (localement avancé), une survie médiane de 30 mois (métastatique) à &gt; 5 ans (localement avancé). Le vismodegib se distingue par : (i) une administration orale quotidienne, monoprise ; (ii) un profil de tolérance spécifique (spasmes musculaires, dysgueusie, alopécie) lié à l'inhibition physiologique de Hedgehog sur les cellules musculaires, gustatives, folliculaires ; (iii) une tératogénicité majeure (voie Hedgehog embryonnaire) imposant un programme PPPM strict.</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ERIVEDGE</w:t>
            </w:r>
          </w:p>
        </w:tc>
        <w:tc>
          <w:tcPr>
            <w:tcW w:type="dxa" w:w="1559"/>
          </w:tcPr>
          <w:p>
            <w:r>
              <w:rPr>
                <w:sz w:val="20"/>
              </w:rPr>
              <w:t>ROCHE PHARMA (SCHWEIZ) LTD</w:t>
            </w:r>
          </w:p>
        </w:tc>
        <w:tc>
          <w:tcPr>
            <w:tcW w:type="dxa" w:w="1559"/>
          </w:tcPr>
          <w:p>
            <w:r>
              <w:rPr>
                <w:sz w:val="20"/>
              </w:rPr>
              <w:t>Gélule 150 mg</w:t>
            </w:r>
          </w:p>
        </w:tc>
        <w:tc>
          <w:tcPr>
            <w:tcW w:type="dxa" w:w="1559"/>
          </w:tcPr>
          <w:p>
            <w:r>
              <w:rPr>
                <w:sz w:val="20"/>
              </w:rPr>
              <w:t>Pilulier de 28</w:t>
            </w:r>
          </w:p>
        </w:tc>
        <w:tc>
          <w:tcPr>
            <w:tcW w:type="dxa" w:w="1559"/>
          </w:tcPr>
          <w:p>
            <w:r>
              <w:rPr>
                <w:sz w:val="20"/>
              </w:rPr>
              <w:t>Liste I</w:t>
            </w:r>
          </w:p>
        </w:tc>
        <w:tc>
          <w:tcPr>
            <w:tcW w:type="dxa" w:w="1559"/>
          </w:tcPr>
          <w:p>
            <w:r>
              <w:rPr>
                <w:sz w:val="20"/>
              </w:rPr>
              <w:t>Actif</w:t>
            </w:r>
          </w:p>
        </w:tc>
      </w:tr>
    </w:tbl>
    <w:p/>
    <w:p>
      <w:r>
        <w:t>La spécialité princeps ERIVEDGE (Roche Pharma Schweiz AG, laboratoire suisse) est la seule formulation disponible. Le dosage unique de 150 mg correspond à la dose standard (150 mg/j en une prise, monoprise quotidienne). Le conditionnement pilulier de 28 gélules correspond à 4 semaines de traitement (28 jours, prise continue). La délivrance s'effectue en pharmacie hospitalière spécialisée (oncologie médicale, dermatologie oncologique) ou en officine sur prescription hospitalière, dans le cadre du programme de prévention des grossesses (PPPM).</w:t>
      </w:r>
    </w:p>
    <w:p>
      <w:r/>
      <w:r>
        <w:rPr>
          <w:b/>
        </w:rPr>
        <w:t>Sous-classe et Mécanisme d'action :</w:t>
      </w:r>
      <w:r/>
    </w:p>
    <w:p>
      <w:pPr>
        <w:pStyle w:val="ListBullet"/>
      </w:pPr>
      <w:r>
        <w:t>Sous-classe : Inhibiteur de la voie Hedgehog (SMO, smoothened), classe des pyridines et pyrimidines (analogue de cyclopamine, alcaloïde naturel de Veratrum californicum), chef de file de la classe. DCI non inscrite sur la liste des médicaments essentiels OMS. Tératogène majeur (programme PPPM obligatoire).</w:t>
      </w:r>
    </w:p>
    <w:p>
      <w:pPr>
        <w:pStyle w:val="ListBullet"/>
      </w:pPr>
      <w:r>
        <w:t>Mécanisme d'action : le vismodegib pénètre dans le compartiment intracellulaire et se lie de manière réversible à une poche hydrophobe du récepteur transmembranaire SMO (Smoothened, GPCR de classe Frizzled), au niveau de son domaine heptahélique transmembranaire, bloquant ainsi son activation. SMO est normalement inhibé par PTCH1 (Patched-1, récepteur inhibiteur) en l'absence de ligand Hedgehog (SHH, IHH, DHH). La liaison du ligand à PTCH1 lève l'inhibition de SMO, qui active la voie downstream via les facteurs de transcription GLI1, GLI2 (activateurs) et GLI3 (répresseur), régulant la transcription de gènes cibles (cyclines D1, c-MYC, BCL-2, VEGF, BMP, WNT). Dans le carcinome basocellulaire (CBC), la voie Hedgehog est réactivée de manière constitutive par : (i) mutation perte-de-fonction de PTCH1 (~70 % des cas, entraînant une activation constitutive de SMO) ; (ii) mutation gain-de-fonction de SMO (~10 % des cas, SMO constitutivement actif indépendamment de PTCH1) ; (iii) amplification de GLI1 ou GLI2 (~5 % des cas). Le vismodegib bloque SMO indépendamment de la mutation (PTCH1 ou SMO), supprimant la transcription GLI-dépendante, arrêtant la prolifération cellulaire (cytostase), et induisant l'apoptose (différenciation). Les cellules saines (voie Hedgehog quiescente) sont peu sensibles au vismodegib, expliquant la tolérance relative ; cependant, les effets indésirables musculaires (spasmes), gustatifs (dysgueusie), folliculaires (alopécie), osseux (retard de croissance épiphysaire chez l'enfant, non formé chez l'adulte) reflètent le rôle physiologique de Hedgehog sur ces tissus. La tératogénicité majeure est liée au rôle crucial de Hedgehog dans le développement embryonnaire (polarité antéro-postérieure, développement des membres, du tube neural, des vertèbres) : anomalies craniofaciales (holoprosencéphalie, cyclopie), digitales (polydactylie, syndactylie), cardiovasculaires, neurologiques, en cas d'exposition fœtale.</w:t>
      </w:r>
    </w:p>
    <w:p>
      <w:r/>
      <w:r>
        <w:rPr>
          <w:b/>
        </w:rPr>
        <w:t>Profil Pharmacologique :</w:t>
      </w:r>
      <w:r/>
    </w:p>
    <w:p>
      <w:pPr>
        <w:pStyle w:val="ListBullet"/>
      </w:pPr>
      <w:r>
        <w:t>Indications : (1) Carcinome basocellulaire (CBC) métastatique — dose 150 mg/j ; (2) Carcinome basocellulaire localement avancé non accessible à la chirurgie curative ou à la radiothérapie, ou en cas de récidive après chirurgie ou radiothérapie, ou en cas de contre-indication à ces traitements — dose 150 mg/j. Préalable : confirmation histologique du CBC (biopsie cutanée) avant initiation.</w:t>
      </w:r>
    </w:p>
    <w:p>
      <w:pPr>
        <w:pStyle w:val="ListBullet"/>
      </w:pPr>
      <w:r>
        <w:t>Contre-indications : Hypersensibilité au vismodegib ou à l'un des excipients (lactose, microcellulose, laurilsulfate de sodium, talc, gélatine, dioxyde de titane, oxyde de fer rouge). GROSSESSE : CONTRE-INDICATION ABSOLUE (tératogène majeur). Précautions : insuffisance rénale sévère (DFG &lt; 30 mL/min, surveillance), insuffisance hépatique modérée à sévère (surveillance), antécédents de spasmes musculaires sévères, aménorrhée, perte de poids, infection active, syndrome de lyse tumorale (rare, en cas de maladie tumorale volumineuse).</w:t>
      </w:r>
    </w:p>
    <w:p>
      <w:pPr>
        <w:pStyle w:val="ListBullet"/>
      </w:pPr>
      <w:r>
        <w:t>Effets Indésirables : Très fréquents (&gt; 10 %) : spasmes musculaires (70 %, dont 10 % grade 3/4 — effet signature, principalement des membres inférieurs, survenant en moyenne dans les 4-8 premières semaines, persistant pendant toute la durée du traitement), dysgueusie (55 %, perte du goût, agueusie, généralement réversible à l'arrêt), alopécie (50 %, diffuse, réversible à l'arrêt), perte de poids (40 %, moyenne 4-10 kg, liée à la dysgueusie et à la perte d'appétit), fatigue (40 %), nausées (30 %), diarrhée (25 %), constipation (15 %), vomissements (15 %), diminution de l'appétit (25 %), céphalées (15 %), arthralgies (15 %), dysgueusie (15 %), rash (15 %), pyrexie (10 %), syndrome main-pied (10 %, palmo-plantaire érythrodysesthésique). Fréquents (1-10 %) : hypophosphatémie, hyponatrémie, hypokaliémie, augmentation de la créatinine, augmentation de la lipase, augmentation de l'ALAT/ASAT, aménorrhée (chez la femme préménopausée), élévations de la bilirubine, syndrome de lyse tumorale (rare). Rares (&lt; 1 %) : hépatite, pancréatite, insuffisance rénale aiguë, syndrome de Stevens-Johnson.</w:t>
      </w:r>
    </w:p>
    <w:p>
      <w:r/>
      <w:r>
        <w:rPr>
          <w:b/>
        </w:rPr>
        <w:t>Prévention et Gestion des Effets Indésirables :</w:t>
      </w:r>
      <w:r/>
    </w:p>
    <w:p>
      <w:pPr>
        <w:pStyle w:val="ListBullet"/>
      </w:pPr>
      <w:r>
        <w:t>Mesures Préventives : (i) Programme de prévention des grossesses (PPPM) OBLIGATOIRE : questionnaire systématique à chaque prescription, double contraception chez la femme en âge de procréer (préservatif + contraception orale ou dispositif intra-utérin, 1 mois avant initiation, pendant le traitement et 24 mois après l'arrêt — longue demi-vie d'élimination), test de grossesse avant initiation et mensuel pendant le traitement (β-hCG quantitatif) ; chez l'homme traité, préservatif obligatoire pendant le traitement et 2 mois après l'arrêt (passage dans le sperme démontré, en cas de partenaire enceinte ou en âge de procréer). (ii) Bilan musculaire clinique de référence (échelle NCI-CTCAE v5.0 pour les spasmes), surveillance à chaque cycle. (iii) Bilan biologique (NFS-plaquettes, ionogramme, créatinine, lipase, ALAT, ASAT) avant initiation, mensuel 3 mois puis trimestriel. (iv) Information du patient sur les signes d'alerte (spasmes musculaires intenses, dysgueusie majeure, perte de poids, aménorrhée). (v) Photographie cutanée et capillaire de référence (alopécie). (vi) Poids de référence, surveillance mensuelle.</w:t>
      </w:r>
    </w:p>
    <w:p>
      <w:pPr>
        <w:pStyle w:val="ListBullet"/>
      </w:pPr>
      <w:r>
        <w:t>Conduite à Tenir : Spasmes musculaires grade 1-2 (modérés, sans retentissement fonctionnel) : poursuite à dose standard, calcium (500-1000 mg/j), magnésium (300-600 mg/j), hydratation, étirements, massages, antispasmodiques mineurs (thiocolchicoside, tolpérisone). Grade 3 (sévères, retentissement fonctionnel) : interruption transitoire 7-14 jours jusqu'à résolution, reprise à dose standard (le vismodegib n'est pas réduit à dose inférieure, dose unique 150 mg). Grade 4 (intolérables, hospitalisation) : arrêt définitif, switch vers sonidépigib (Odomzo®, inhibiteur de Hedgehog de 2e génération, non commercialisé en Algérie) ou alternative thérapeutique (chirurgie, radiothérapie, immunothérapie). Dysgueusie : supplémentation en zinc (sulfate de zinc 220 mg/j), compensation alimentaire (aliments aromatisés, épicés, froids), poursuite à dose standard. Alopécie : minoxidil topique 5 % (efficacité modérée), poursuite à dose standard, information de la réversibilité à l'arrêt. Perte de weight &gt; 10 % : consultation diététique, suppléments nutritionnels oraux (SNO), arrêt transitoire si dénutrition sévère. Aménorrhée : bilan hormonal (FSH, LH, estradiol, prolactine), information de la réversibilité à l'arrêt, switch vers alternative thérapeutique si précoce et persistante. Syndrome main-pied : urée crème 10-20 %, émollients, interruption transitoire si grade 3.</w:t>
      </w:r>
    </w:p>
    <w:p>
      <w:r/>
      <w:r>
        <w:rPr>
          <w:b/>
        </w:rPr>
        <w:t>Interactions Médicamenteuses :</w:t>
      </w:r>
      <w:r/>
    </w:p>
    <w:p>
      <w:pPr>
        <w:pStyle w:val="ListBullet"/>
      </w:pPr>
      <w:r>
        <w:t>Médicaments (peu d'interactions significatives) : le vismodegib est métabolisé principalement par les CYP2C9, CYP3A4 et CYP2C19 (mineurs), et éliminé par voie hépatique (48 %) et rénale (42 %). Inducteurs et inhibiteurs du CYP3A4 sans impact clinique majeur. Inducteurs du CYP2C9 (rifampicine, phénytoïne, carbamazépine) → diminution modérée des concentrations, à éviter. Inhibiteurs du CYP2C9 (fluconazole, sulfaméthoxazole) → augmentation modérée, surveillance.</w:t>
      </w:r>
    </w:p>
    <w:p>
      <w:pPr>
        <w:pStyle w:val="ListBullet"/>
      </w:pPr>
      <w:r>
        <w:t>Transporteurs : le vismodegib est substrat de la P-gp et de la BCRP, mais l'impact clinique est modéré.</w:t>
      </w:r>
    </w:p>
    <w:p>
      <w:pPr>
        <w:pStyle w:val="ListBullet"/>
      </w:pPr>
      <w:r>
        <w:t>Anticoagulants : pas d'interaction directe avec la warfarine, mais surveillance renforcée en cas d'association (risque hémorragique sur thrombopénie). Préférer les HBPM si nécessaire.</w:t>
      </w:r>
    </w:p>
    <w:p>
      <w:pPr>
        <w:pStyle w:val="ListBullet"/>
      </w:pPr>
      <w:r>
        <w:t>Substrats à index thérapeutique étroit : le vismodegib est lui-même inhibiteur in vivo du CYP2C8, du CYP2C9 et du CYP2C19 (modéré), et de la P-gp ; surveiller : (i) warfarine (INR, CYP2C9), (ii) phénytoïne (CYP2C9), (iii) oméprazole (CYP2C19), (iv) clopidogrel (CYP2C19, activation prodrogue), (v) digoxine (P-gp), (vi) paclitaxel (CYP2C8).</w:t>
      </w:r>
    </w:p>
    <w:p>
      <w:pPr>
        <w:pStyle w:val="ListBullet"/>
      </w:pPr>
      <w:r>
        <w:t>Vaccins : vaccins vivants atténués (BCG, ROR, fièvre jaune, varicelle) contre-indiqués pendant le traitement en raison de l'immunosuppression relative. Vaccins inactivés autorisés.</w:t>
      </w:r>
    </w:p>
    <w:p>
      <w:pPr>
        <w:pStyle w:val="ListBullet"/>
      </w:pPr>
      <w:r>
        <w:t>Alimentation : prendre à heure fixe, indifféremment avec ou sans nourriture (mais toujours de la même manière pour éviter la variabilité). Modération alcoolique. Pas de restriction pamplemousse/millepertuis (peu d'interaction CYP3A4).</w:t>
      </w:r>
    </w:p>
    <w:p>
      <w:r/>
      <w:r>
        <w:rPr>
          <w:b/>
        </w:rPr>
        <w:t>Grossesse et Allaitement :</w:t>
      </w:r>
      <w:r/>
    </w:p>
    <w:p>
      <w:pPr>
        <w:pStyle w:val="ListBullet"/>
      </w:pPr>
      <w:r>
        <w:t>Grossesse : CONTRE-INDICATION ABSOLUE (TÉRATOGÈNE MAJEUR). Le vismodegib est un tératogène majeur de catégorie X, en raison du rôle crucial de la voie Hedgehog dans le développement embryonnaire (polarité antéro-postérieure, développement des membres, du tube neural, des vertèbres). Données animales tératogènes (holoprosencéphalie, cyclopie, anomalies cranio-faciales, digitales, cardiovasculaires, neurologiques chez le rat et le lapin à exposition infra-thérapeutique). Le programme de prévention des grossesses (PPPM) est OBLIGATOIRE : (i) chez la femme en âge de procréer : double contraception (préservatif + contraception orale ou dispositif intra-utérin) 1 mois avant initiation, pendant le traitement et 24 mois après l'arrêt (longue demi-vie d'élimination, environ 4 jours, avec persistance du médicament dans les tissus) ; test de grossesse (β-hCG quantitatif) avant initiation, mensuel pendant le traitement, et 24 mois après l'arrêt ; (ii) chez l'homme traité : préservatif obligatoire pendant le traitement et 2 mois après l'arrêt (en cas de partenaire enceinte ou en âge de procréer, en raison du passage du vismodegib dans le sperme démontré) ; information sur le risque tératogène majeur et l'obligation de signaler toute suspicion de grossesse (partner ou elle-même) immédiatement. Conservation de sperme ou d'ovocytes/embryons recommandée avant tout traitement anticancéreux.</w:t>
      </w:r>
    </w:p>
    <w:p>
      <w:pPr>
        <w:pStyle w:val="ListBullet"/>
      </w:pPr>
      <w:r>
        <w:t>Allaitement : CONTRE-INDICATION ABSOLUE. Le vismodegib passe dans le lait maternel (forte lipophilie, longue demi-vie), exposant le nouveau-né à des concentrations cytotoxiques et tératogènes. Allaitement à interrompre pendant toute la durée du traitement et jusqu'à 24 mois après l'arrêt (longue persistance dans les tissus).</w:t>
      </w:r>
    </w:p>
    <w:p>
      <w:pPr>
        <w:pStyle w:val="ListBullet"/>
      </w:pPr>
      <w:r>
        <w:t>Précautions : Femme en âge de procréer : PPPM obligatoire avec contraception prolongée 24 mois après l'arrêt. Information de la patiente et de son partenaire sur le risque tératogène majeur et la longue persistance du médicament dans les tissus.</w:t>
      </w:r>
    </w:p>
    <w:p>
      <w:r/>
      <w:r>
        <w:rPr>
          <w:b/>
        </w:rPr>
        <w:t>Posologie et Mode d'administration (Standard) :</w:t>
      </w:r>
      <w:r/>
    </w:p>
    <w:p>
      <w:pPr>
        <w:pStyle w:val="ListBullet"/>
      </w:pPr>
      <w:r>
        <w:t>Adulte : 150 mg/j en une prise par voie orale, à heure fixe, indifféremment avec ou sans nourriture (mais toujours de la même manière pour éviter la variabilité), en continu (pas d'arrêt hebdomadaire). Le traitement se poursuit jusqu'à progression ou intolérance, ou jusqu'à résolution complète du CBC (reprise chirurgicale ou radiothérapie possible si réponse suffisante).</w:t>
      </w:r>
    </w:p>
    <w:p>
      <w:pPr>
        <w:pStyle w:val="ListBullet"/>
      </w:pPr>
      <w:r>
        <w:t>Pas d'adaptation posologique en cas de cytopénies, d'insuffisance hépatique ou rénale (dose unique 150 mg). En cas d'effets indésirables grade 3/4 (spasmes musculaires, dysgueusie sévère, alopécie majeure, perte de poids &gt; 10 %) : interruption transitoire 7-14 jours jusqu'à résolution, reprise à dose standard (le vismodegib n'est pas réduit à dose inférieure). En cas de récidive à la reprise, arrêt définitif.</w:t>
      </w:r>
    </w:p>
    <w:p>
      <w:pPr>
        <w:pStyle w:val="ListBullet"/>
      </w:pPr>
      <w:r>
        <w:t>Mode d'administration : voie orale stricte, monoprise quotidienne. Les gélules ne doivent pas être écrasées, mâchées ou ouvertes (risque tératogène en cas de contact cutané ou muqueux). Prendre avec un grand verre d'eau. En cas d'oubli de moins de 12 heures : prendre la dose immédiatement ; au-delà : ne pas prendre la dose, poursuivre au schéma habituel (ne pas doubler la dose suivante). En cas de vomissement : ne pas reprendre de dose. Manipulation avec gants par le personnel soignant et les aidants (risque tératogène).</w:t>
      </w:r>
    </w:p>
    <w:p>
      <w:pPr>
        <w:pStyle w:val="ListBullet"/>
      </w:pPr>
      <w:r>
        <w:t>Durée du traitement : jusqu'à progression ou intolérance, ou jusqu'à résolution complète du CBC (reprise chirurgicale ou radiothérapie possible si réponse suffisante). Réévaluation tous les 2-3 mois par imagerie (scanner, IRM) et biopsie si réponse. En cas de réponse complète prolongée, discussion de l'arrêt du traitement (surveillance rapprochée pour dépistage des récidives).</w:t>
      </w:r>
    </w:p>
    <w:p>
      <w:r/>
      <w:r>
        <w:rPr>
          <w:b/>
        </w:rPr>
        <w:t>Surveillance Biologique et Suivi Clinique :</w:t>
      </w:r>
      <w:r/>
    </w:p>
    <w:p>
      <w:pPr>
        <w:pStyle w:val="ListBullet"/>
      </w:pPr>
      <w:r>
        <w:t>Hématologique : NFS-plaquettes avant initiation, mensuel 3 mois puis trimestriel (cytopénies rares).</w:t>
      </w:r>
    </w:p>
    <w:p>
      <w:pPr>
        <w:pStyle w:val="ListBullet"/>
      </w:pPr>
      <w:r>
        <w:t>Métabolique : ionogramme (K+, Ca++, PO4--, Na+, Cl-), urée, créatinine, ALAT, ASAT, bilirubine, lipase avant initiation, mensuel 3 mois puis trimestriel.</w:t>
      </w:r>
    </w:p>
    <w:p>
      <w:pPr>
        <w:pStyle w:val="ListBullet"/>
      </w:pPr>
      <w:r>
        <w:t>Musculaire : examen clinique de référence, surveillance à chaque cycle (échelle NCI-CTCAE v5.0 pour les spasmes). En cas de spasmes musculaires intenses : dosage de la créatine phosphokinase (CPK) pour éliminer une rhabdomyolyse.</w:t>
      </w:r>
    </w:p>
    <w:p>
      <w:pPr>
        <w:pStyle w:val="ListBullet"/>
      </w:pPr>
      <w:r>
        <w:t>Cutané : photographie de référence (lésions tumorales et état capillaire), surveillance à chaque cycle (réponse tumorale, alopécie, rash). Examen dermatologique tous les 2-3 mois.</w:t>
      </w:r>
    </w:p>
    <w:p>
      <w:pPr>
        <w:pStyle w:val="ListBullet"/>
      </w:pPr>
      <w:r>
        <w:t>Suivi moléculaire : imagerie (scanner, IRM) tous les 2-3 mois pour évaluation de la réponse (critères RECIST 1.1 pour CBC métastatique). Biopsie cutanée si réponse complète clinique pour confirmation histologique.</w:t>
      </w:r>
    </w:p>
    <w:p>
      <w:pPr>
        <w:pStyle w:val="ListBullet"/>
      </w:pPr>
      <w:r>
        <w:t>Suivi PPPM : test de grossesse mensuel (β-hCG quantitatif) chez la femme en âge de procréer, questionnaire de compliance contraceptive. Chez l'homme, rappel du préservatif obligatoire pendant 2 mois après l'arrêt.</w:t>
      </w:r>
    </w:p>
    <w:p>
      <w:pPr>
        <w:pStyle w:val="ListBullet"/>
      </w:pPr>
      <w:r>
        <w:t>Poids : surveillance mensuelle (perte de weight fréquente, dénutrition possible).</w:t>
      </w:r>
    </w:p>
    <w:p>
      <w:r/>
      <w:r>
        <w:rPr>
          <w:b/>
        </w:rPr>
        <w:t>Arbitrage et Bénéfices des Formes Galéniques :</w:t>
      </w:r>
      <w:r/>
    </w:p>
    <w:p>
      <w:r>
        <w:t>Le dosage unique de 150 mg correspond à la dose standard (pas d'adaptation posologique). Le conditionnement pilulier de 28 gélules correspond à 4 semaines de traitement (28 jours, prise continue). La formulation gélule est l'unique disponible en Algérie (la spécialité princeps ERIVEDGE de Roche Pharma Schweiz). Le pharmacien d'officine joue un rôle pivot dans le PPPM (vérification du test de grossesse, de la contraception, du questionnaire), la vérification de la prescription (dose unique 150 mg, prise continue), la prévention des interactions et le suivi de l'observance. La longue persistance du vismodegib dans les tissus (demi-vie ~4 jours, présence dans le sperme démontrée) impose une contraception prolongée 24 mois après l'arrêt chez la femme et 2 mois chez l'homme.</w:t>
      </w:r>
    </w:p>
    <w:p>
      <w:r/>
      <w:r>
        <w:rPr>
          <w:b/>
        </w:rPr>
        <w:t>Instructions et Conseils au Patient :</w:t>
      </w:r>
      <w:r/>
    </w:p>
    <w:p>
      <w:pPr>
        <w:pStyle w:val="ListBullet"/>
      </w:pPr>
      <w:r>
        <w:t>Communication au comptoir : « Le vismodegib est un médicament anticancéreux oral qui cible spécifiquement les cellules de votre carcinome basocellulaire (cancer de la peau) en bloquant une voie de signalisation appelée Hedgehog, qui est anormalement activée dans votre tumeur. Il se prend une fois par jour, à heure fixe, indifféremment avec ou sans nourriture, en continu (pas d'arrêt hebdomadaire). ATTENTION : ce médicament est TÉRATOGÈNE MAJEUR (risque de malformations graves chez le fœtus, en raison de son action sur le développement embryonnaire). Vous devez utiliser une double contraception (préservatif + pilule ou stérilet) pendant tout le traitement et 24 mois après l'arrêt (chez la femme), ou utiliser un préservatif pendant 2 mois après l'arrêt (chez l'homme). Les effets indésirables principaux sont : des spasmes musculaires (surtout des jambes), une perte du goût (dysgueusie), une chute de cheveux (alopécie réversible), une perte de poids, de la fatigue, des nausées et des diarrhées. Prévenez immédiatement votre médecin en cas de spasmes musculaires intenses, de perte de poids importante, d'aménorrhée (absence de règles), ou de fatigue extrême. »</w:t>
      </w:r>
    </w:p>
    <w:p>
      <w:pPr>
        <w:pStyle w:val="ListBullet"/>
      </w:pPr>
      <w:r>
        <w:t>Observance : prise à heure fixe (matin ou soir, selon préférence), calendrier d'administration quotidien, ne jamais interrompre sans avis médical, prévoir une réserve, conserver à température &lt; 25 °C à l'abri de l'humidité. Manipuler avec précaution (risque tératogène en cas de contact).</w:t>
      </w:r>
    </w:p>
    <w:p>
      <w:pPr>
        <w:pStyle w:val="ListBullet"/>
      </w:pPr>
      <w:r>
        <w:t>PPPM (Femme en âge de procréer) : double contraception obligatoire 1 mois avant initiation, pendant le traitement et 24 mois après l'arrêt ; test de grossesse (β-hCG) avant initiation et mensuel pendant le traitement et 24 mois après l'arrêt ; signaler immédiatement toute suspicion de grossesse.</w:t>
      </w:r>
    </w:p>
    <w:p>
      <w:pPr>
        <w:pStyle w:val="ListBullet"/>
      </w:pPr>
      <w:r>
        <w:t>PPPM (Homme traité) : préservatif obligatoire pendant le traitement et 2 mois après l'arrêt (en cas de partenaire enceinte ou en âge de procréer).</w:t>
      </w:r>
    </w:p>
    <w:p>
      <w:pPr>
        <w:pStyle w:val="ListBullet"/>
      </w:pPr>
      <w:r>
        <w:t>Hygiène de vie : alcool à proscrire (hépatotoxicité additive), photoprotection SPF 50+ (protection contre les UV, prévention des nouveaux CBC), éviter les vaccins vivants sans avis médical, supplémentation en calcium et magnésium pour prévenir les spasmes musculaires.</w:t>
      </w:r>
    </w:p>
    <w:p>
      <w:pPr>
        <w:pStyle w:val="ListBullet"/>
      </w:pPr>
      <w:r>
        <w:t>Poids : surveillance mensuelle, consultation diététique en cas de perte &gt; 5 %.</w:t>
      </w:r>
    </w:p>
    <w:p>
      <w:r/>
      <w:r>
        <w:rPr>
          <w:b/>
        </w:rPr>
        <w:t>Notes, Règles d'Or &amp; Pièges au Comptoir :</w:t>
      </w:r>
      <w:r/>
    </w:p>
    <w:p>
      <w:pPr>
        <w:pStyle w:val="ListBullet"/>
      </w:pPr>
      <w:r>
        <w:t>Piège : le vismodegib est un TÉRATOGÈNE MAJEUR (catégorie X), en raison du rôle crucial de la voie Hedgehog dans le développement embryonnaire. Le PPPM (programme de prévention des grossesses) est OBLIGATOIRE avec une contraception PROLONGÉE 24 mois après l'arrêt chez la femme (longue demi-vie d'élimination, persistance dans les tissus) et 2 mois chez l'homme (passage dans le sperme démontré). La dispensation doit être conditionnée à la vérification systématique de la prescription hospitalière, du questionnaire de compliance contraceptive signé, et du test de grossesse négatif (β-hCG quantitatif) pour les femmes en âge de procréer.</w:t>
      </w:r>
    </w:p>
    <w:p>
      <w:pPr>
        <w:pStyle w:val="ListBullet"/>
      </w:pPr>
      <w:r>
        <w:t>Règle : la dose est UNIQUE (150 mg/j, pas d'adaptation posologique). En cas d'effets indésirables grade 3/4, on interrompt le traitement transitoirement (7-14 jours) puis on reprend à la même dose (pas de réduction). En cas de récidive des EI à la reprise, arrêt définitif et switch vers sonidépigib (non commercialisé en Algérie) ou alternative thérapeutique.</w:t>
      </w:r>
    </w:p>
    <w:p>
      <w:pPr>
        <w:pStyle w:val="ListBullet"/>
      </w:pPr>
      <w:r>
        <w:t>Piège : les spasmes musculaires (70 % des patients, dont 10 % grade 3/4) sont l'effet indésirable le plus fréquent et le plus caractéristique. Ils surviennent en moyenne dans les 4-8 premières semaines, persistent pendant toute la durée du traitement, et peuvent être soulagés par calcium, magnésium, hydratation, étirements, massages, et antispasmodiques mineurs (thiocolchicoside, tolpérisone). En cas de spasmes intenses : dosage de la CPK (éliminer une rhabdomyolyse).</w:t>
      </w:r>
    </w:p>
    <w:p>
      <w:pPr>
        <w:pStyle w:val="ListBullet"/>
      </w:pPr>
      <w:r>
        <w:t>Piège : la dysgueusie (55 %, perte du goût) et l'alopécie (50 %) sont fréquentes, généralement réversibles à l'arrêt, mais peuvent altérer la qualité de vie et la compliance. Supplémentation en zinc (sulfate de zinc 220 mg/j), compensation alimentaire (aliments aromatisés, épicés, froids), minoxidil topique 5 %.</w:t>
      </w:r>
    </w:p>
    <w:p>
      <w:pPr>
        <w:pStyle w:val="ListBullet"/>
      </w:pPr>
      <w:r>
        <w:t>Règle : la perte de poids (40 %, moyenne 4-10 kg) est fréquente et peut conduire à une dénutrition sévère. Surveillance mensuelle, consultation diététique, suppléments nutritionnels oraux (SNO).</w:t>
      </w:r>
    </w:p>
    <w:p>
      <w:pPr>
        <w:pStyle w:val="ListBullet"/>
      </w:pPr>
      <w:r>
        <w:t>Piège : la contraception après l'arrêt doit être PROLONGÉE (24 mois chez la femme, 2 mois chez l'homme) en raison de la longue persistance du vismodegib dans les tissus (demi-vie ~4 jours, présence dans le sperme démontrée).</w:t>
      </w:r>
    </w:p>
    <w:p>
      <w:pPr>
        <w:pStyle w:val="ListBullet"/>
      </w:pPr>
      <w:r>
        <w:t>Surveillance : surveiller la survenue de spasmes musculaires intenses (CPK, hospitalisation si rhabdomyolyse), de perte de poids importante (dénutrition), d'aménorrhée (chez la femme préménopausée), d'élévation de la créatinine ou de la lipase (insuffisance rénale, pancréatite).</w:t>
      </w:r>
    </w:p>
    <w:p>
      <w:pPr>
        <w:pStyle w:val="ListBullet"/>
      </w:pPr>
      <w:r>
        <w:t>Piège : oubli de plus de 12 heures — ne pas doubler la dose suivante.</w:t>
      </w:r>
    </w:p>
    <w:p>
      <w:pPr>
        <w:pStyle w:val="ListBullet"/>
      </w:pPr>
      <w:r>
        <w:t>Règle : vacciner systématiquement (grippe, pneumocoque) avant initiation (immunosuppression relative).</w:t>
      </w:r>
    </w:p>
    <w:p>
      <w:pPr>
        <w:pStyle w:val="Heading2"/>
      </w:pPr>
      <w:r>
        <w:t>105.8 Tableau comparatif synthétique des 12 DCI</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DCI</w:t>
            </w:r>
          </w:p>
        </w:tc>
        <w:tc>
          <w:tcPr>
            <w:tcW w:type="dxa" w:w="1039"/>
          </w:tcPr>
          <w:p>
            <w:r>
              <w:rPr>
                <w:b/>
                <w:sz w:val="20"/>
              </w:rPr>
              <w:t>Cible principale</w:t>
            </w:r>
          </w:p>
        </w:tc>
        <w:tc>
          <w:tcPr>
            <w:tcW w:type="dxa" w:w="1039"/>
          </w:tcPr>
          <w:p>
            <w:r>
              <w:rPr>
                <w:b/>
                <w:sz w:val="20"/>
              </w:rPr>
              <w:t>Indication principale</w:t>
            </w:r>
          </w:p>
        </w:tc>
        <w:tc>
          <w:tcPr>
            <w:tcW w:type="dxa" w:w="1039"/>
          </w:tcPr>
          <w:p>
            <w:r>
              <w:rPr>
                <w:b/>
                <w:sz w:val="20"/>
              </w:rPr>
              <w:t>Posologie standard</w:t>
            </w:r>
          </w:p>
        </w:tc>
        <w:tc>
          <w:tcPr>
            <w:tcW w:type="dxa" w:w="1039"/>
          </w:tcPr>
          <w:p>
            <w:r>
              <w:rPr>
                <w:b/>
                <w:sz w:val="20"/>
              </w:rPr>
              <w:t>Voie</w:t>
            </w:r>
          </w:p>
        </w:tc>
        <w:tc>
          <w:tcPr>
            <w:tcW w:type="dxa" w:w="1039"/>
          </w:tcPr>
          <w:p>
            <w:r>
              <w:rPr>
                <w:b/>
                <w:sz w:val="20"/>
              </w:rPr>
              <w:t>EI signature</w:t>
            </w:r>
          </w:p>
        </w:tc>
        <w:tc>
          <w:tcPr>
            <w:tcW w:type="dxa" w:w="1039"/>
          </w:tcPr>
          <w:p>
            <w:r>
              <w:rPr>
                <w:b/>
                <w:sz w:val="20"/>
              </w:rPr>
              <w:t>CI majeures</w:t>
            </w:r>
          </w:p>
        </w:tc>
        <w:tc>
          <w:tcPr>
            <w:tcW w:type="dxa" w:w="1039"/>
          </w:tcPr>
          <w:p>
            <w:r>
              <w:rPr>
                <w:b/>
                <w:sz w:val="20"/>
              </w:rPr>
              <w:t>Tératogène</w:t>
            </w:r>
          </w:p>
        </w:tc>
        <w:tc>
          <w:tcPr>
            <w:tcW w:type="dxa" w:w="1039"/>
          </w:tcPr>
          <w:p>
            <w:r>
              <w:rPr>
                <w:b/>
                <w:sz w:val="20"/>
              </w:rPr>
              <w:t>PPPM</w:t>
            </w:r>
          </w:p>
        </w:tc>
      </w:tr>
      <w:tr>
        <w:tc>
          <w:tcPr>
            <w:tcW w:type="dxa" w:w="1039"/>
          </w:tcPr>
          <w:p>
            <w:r>
              <w:rPr>
                <w:sz w:val="20"/>
              </w:rPr>
              <w:t>Everolimus</w:t>
            </w:r>
          </w:p>
        </w:tc>
        <w:tc>
          <w:tcPr>
            <w:tcW w:type="dxa" w:w="1039"/>
          </w:tcPr>
          <w:p>
            <w:r>
              <w:rPr>
                <w:sz w:val="20"/>
              </w:rPr>
              <w:t>mTORC1 (FKBP12)</w:t>
            </w:r>
          </w:p>
        </w:tc>
        <w:tc>
          <w:tcPr>
            <w:tcW w:type="dxa" w:w="1039"/>
          </w:tcPr>
          <w:p>
            <w:r>
              <w:rPr>
                <w:sz w:val="20"/>
              </w:rPr>
              <w:t>Cancer du rein, NEP, sein RH+, SEGA (Bourneville)</w:t>
            </w:r>
          </w:p>
        </w:tc>
        <w:tc>
          <w:tcPr>
            <w:tcW w:type="dxa" w:w="1039"/>
          </w:tcPr>
          <w:p>
            <w:r>
              <w:rPr>
                <w:sz w:val="20"/>
              </w:rPr>
              <w:t>10 mg/j</w:t>
            </w:r>
          </w:p>
        </w:tc>
        <w:tc>
          <w:tcPr>
            <w:tcW w:type="dxa" w:w="1039"/>
          </w:tcPr>
          <w:p>
            <w:r>
              <w:rPr>
                <w:sz w:val="20"/>
              </w:rPr>
              <w:t>PO</w:t>
            </w:r>
          </w:p>
        </w:tc>
        <w:tc>
          <w:tcPr>
            <w:tcW w:type="dxa" w:w="1039"/>
          </w:tcPr>
          <w:p>
            <w:r>
              <w:rPr>
                <w:sz w:val="20"/>
              </w:rPr>
              <w:t>Pneumopathie interstitielle, stomatite, dyslipidémie</w:t>
            </w:r>
          </w:p>
        </w:tc>
        <w:tc>
          <w:tcPr>
            <w:tcW w:type="dxa" w:w="1039"/>
          </w:tcPr>
          <w:p>
            <w:r>
              <w:rPr>
                <w:sz w:val="20"/>
              </w:rPr>
              <w:t>Grossesse, allaitement, Child C</w:t>
            </w:r>
          </w:p>
        </w:tc>
        <w:tc>
          <w:tcPr>
            <w:tcW w:type="dxa" w:w="1039"/>
          </w:tcPr>
          <w:p>
            <w:r>
              <w:rPr>
                <w:sz w:val="20"/>
              </w:rPr>
              <w:t>Oui</w:t>
            </w:r>
          </w:p>
        </w:tc>
        <w:tc>
          <w:tcPr>
            <w:tcW w:type="dxa" w:w="1039"/>
          </w:tcPr>
          <w:p>
            <w:r>
              <w:rPr>
                <w:sz w:val="20"/>
              </w:rPr>
              <w:t>Non (8 sem post-arrêt)</w:t>
            </w:r>
          </w:p>
        </w:tc>
      </w:tr>
      <w:tr>
        <w:tc>
          <w:tcPr>
            <w:tcW w:type="dxa" w:w="1039"/>
          </w:tcPr>
          <w:p>
            <w:r>
              <w:rPr>
                <w:sz w:val="20"/>
              </w:rPr>
              <w:t>Sirolimus</w:t>
            </w:r>
          </w:p>
        </w:tc>
        <w:tc>
          <w:tcPr>
            <w:tcW w:type="dxa" w:w="1039"/>
          </w:tcPr>
          <w:p>
            <w:r>
              <w:rPr>
                <w:sz w:val="20"/>
              </w:rPr>
              <w:t>mTORC1 (FKBP12)</w:t>
            </w:r>
          </w:p>
        </w:tc>
        <w:tc>
          <w:tcPr>
            <w:tcW w:type="dxa" w:w="1039"/>
          </w:tcPr>
          <w:p>
            <w:r>
              <w:rPr>
                <w:sz w:val="20"/>
              </w:rPr>
              <w:t>Transplant rénale, LAM</w:t>
            </w:r>
          </w:p>
        </w:tc>
        <w:tc>
          <w:tcPr>
            <w:tcW w:type="dxa" w:w="1039"/>
          </w:tcPr>
          <w:p>
            <w:r>
              <w:rPr>
                <w:sz w:val="20"/>
              </w:rPr>
              <w:t>2 mg/j (charge 6 mg)</w:t>
            </w:r>
          </w:p>
        </w:tc>
        <w:tc>
          <w:tcPr>
            <w:tcW w:type="dxa" w:w="1039"/>
          </w:tcPr>
          <w:p>
            <w:r>
              <w:rPr>
                <w:sz w:val="20"/>
              </w:rPr>
              <w:t>PO</w:t>
            </w:r>
          </w:p>
        </w:tc>
        <w:tc>
          <w:tcPr>
            <w:tcW w:type="dxa" w:w="1039"/>
          </w:tcPr>
          <w:p>
            <w:r>
              <w:rPr>
                <w:sz w:val="20"/>
              </w:rPr>
              <w:t>Pneumopathie, dyslipidémie, lymphocèle, retard cicatrisation</w:t>
            </w:r>
          </w:p>
        </w:tc>
        <w:tc>
          <w:tcPr>
            <w:tcW w:type="dxa" w:w="1039"/>
          </w:tcPr>
          <w:p>
            <w:r>
              <w:rPr>
                <w:sz w:val="20"/>
              </w:rPr>
              <w:t>Grossesse, allaitement, Child C</w:t>
            </w:r>
          </w:p>
        </w:tc>
        <w:tc>
          <w:tcPr>
            <w:tcW w:type="dxa" w:w="1039"/>
          </w:tcPr>
          <w:p>
            <w:r>
              <w:rPr>
                <w:sz w:val="20"/>
              </w:rPr>
              <w:t>Oui</w:t>
            </w:r>
          </w:p>
        </w:tc>
        <w:tc>
          <w:tcPr>
            <w:tcW w:type="dxa" w:w="1039"/>
          </w:tcPr>
          <w:p>
            <w:r>
              <w:rPr>
                <w:sz w:val="20"/>
              </w:rPr>
              <w:t>Non (12 sem post-arrêt)</w:t>
            </w:r>
          </w:p>
        </w:tc>
      </w:tr>
      <w:tr>
        <w:tc>
          <w:tcPr>
            <w:tcW w:type="dxa" w:w="1039"/>
          </w:tcPr>
          <w:p>
            <w:r>
              <w:rPr>
                <w:sz w:val="20"/>
              </w:rPr>
              <w:t>Palbociclib</w:t>
            </w:r>
          </w:p>
        </w:tc>
        <w:tc>
          <w:tcPr>
            <w:tcW w:type="dxa" w:w="1039"/>
          </w:tcPr>
          <w:p>
            <w:r>
              <w:rPr>
                <w:sz w:val="20"/>
              </w:rPr>
              <w:t>CDK4/6 (pRb)</w:t>
            </w:r>
          </w:p>
        </w:tc>
        <w:tc>
          <w:tcPr>
            <w:tcW w:type="dxa" w:w="1039"/>
          </w:tcPr>
          <w:p>
            <w:r>
              <w:rPr>
                <w:sz w:val="20"/>
              </w:rPr>
              <w:t>Sein RH+/HER2− métastatique</w:t>
            </w:r>
          </w:p>
        </w:tc>
        <w:tc>
          <w:tcPr>
            <w:tcW w:type="dxa" w:w="1039"/>
          </w:tcPr>
          <w:p>
            <w:r>
              <w:rPr>
                <w:sz w:val="20"/>
              </w:rPr>
              <w:t>125 mg/j (21/7)</w:t>
            </w:r>
          </w:p>
        </w:tc>
        <w:tc>
          <w:tcPr>
            <w:tcW w:type="dxa" w:w="1039"/>
          </w:tcPr>
          <w:p>
            <w:r>
              <w:rPr>
                <w:sz w:val="20"/>
              </w:rPr>
              <w:t>PO</w:t>
            </w:r>
          </w:p>
        </w:tc>
        <w:tc>
          <w:tcPr>
            <w:tcW w:type="dxa" w:w="1039"/>
          </w:tcPr>
          <w:p>
            <w:r>
              <w:rPr>
                <w:sz w:val="20"/>
              </w:rPr>
              <w:t>Neutropénie (80 %), fatigue, nausea</w:t>
            </w:r>
          </w:p>
        </w:tc>
        <w:tc>
          <w:tcPr>
            <w:tcW w:type="dxa" w:w="1039"/>
          </w:tcPr>
          <w:p>
            <w:r>
              <w:rPr>
                <w:sz w:val="20"/>
              </w:rPr>
              <w:t>Grossesse, allaitement</w:t>
            </w:r>
          </w:p>
        </w:tc>
        <w:tc>
          <w:tcPr>
            <w:tcW w:type="dxa" w:w="1039"/>
          </w:tcPr>
          <w:p>
            <w:r>
              <w:rPr>
                <w:sz w:val="20"/>
              </w:rPr>
              <w:t>Oui</w:t>
            </w:r>
          </w:p>
        </w:tc>
        <w:tc>
          <w:tcPr>
            <w:tcW w:type="dxa" w:w="1039"/>
          </w:tcPr>
          <w:p>
            <w:r>
              <w:rPr>
                <w:sz w:val="20"/>
              </w:rPr>
              <w:t>Non (3 sem post-arrêt)</w:t>
            </w:r>
          </w:p>
        </w:tc>
      </w:tr>
      <w:tr>
        <w:tc>
          <w:tcPr>
            <w:tcW w:type="dxa" w:w="1039"/>
          </w:tcPr>
          <w:p>
            <w:r>
              <w:rPr>
                <w:sz w:val="20"/>
              </w:rPr>
              <w:t>Olaparib</w:t>
            </w:r>
          </w:p>
        </w:tc>
        <w:tc>
          <w:tcPr>
            <w:tcW w:type="dxa" w:w="1039"/>
          </w:tcPr>
          <w:p>
            <w:r>
              <w:rPr>
                <w:sz w:val="20"/>
              </w:rPr>
              <w:t>PARP-1/2</w:t>
            </w:r>
          </w:p>
        </w:tc>
        <w:tc>
          <w:tcPr>
            <w:tcW w:type="dxa" w:w="1039"/>
          </w:tcPr>
          <w:p>
            <w:r>
              <w:rPr>
                <w:sz w:val="20"/>
              </w:rPr>
              <w:t>Ovaire, sein BRCA+, prostate mCRPC, pancréas BRCA+</w:t>
            </w:r>
          </w:p>
        </w:tc>
        <w:tc>
          <w:tcPr>
            <w:tcW w:type="dxa" w:w="1039"/>
          </w:tcPr>
          <w:p>
            <w:r>
              <w:rPr>
                <w:sz w:val="20"/>
              </w:rPr>
              <w:t>300 mg × 2/j</w:t>
            </w:r>
          </w:p>
        </w:tc>
        <w:tc>
          <w:tcPr>
            <w:tcW w:type="dxa" w:w="1039"/>
          </w:tcPr>
          <w:p>
            <w:r>
              <w:rPr>
                <w:sz w:val="20"/>
              </w:rPr>
              <w:t>PO</w:t>
            </w:r>
          </w:p>
        </w:tc>
        <w:tc>
          <w:tcPr>
            <w:tcW w:type="dxa" w:w="1039"/>
          </w:tcPr>
          <w:p>
            <w:r>
              <w:rPr>
                <w:sz w:val="20"/>
              </w:rPr>
              <w:t>Anémie, neutropénie, thrombopénie, MDS/LAM (long terme)</w:t>
            </w:r>
          </w:p>
        </w:tc>
        <w:tc>
          <w:tcPr>
            <w:tcW w:type="dxa" w:w="1039"/>
          </w:tcPr>
          <w:p>
            <w:r>
              <w:rPr>
                <w:sz w:val="20"/>
              </w:rPr>
              <w:t>Grossesse, allaitement</w:t>
            </w:r>
          </w:p>
        </w:tc>
        <w:tc>
          <w:tcPr>
            <w:tcW w:type="dxa" w:w="1039"/>
          </w:tcPr>
          <w:p>
            <w:r>
              <w:rPr>
                <w:sz w:val="20"/>
              </w:rPr>
              <w:t>Oui</w:t>
            </w:r>
          </w:p>
        </w:tc>
        <w:tc>
          <w:tcPr>
            <w:tcW w:type="dxa" w:w="1039"/>
          </w:tcPr>
          <w:p>
            <w:r>
              <w:rPr>
                <w:sz w:val="20"/>
              </w:rPr>
              <w:t>Non (6 mois post-arrêt)</w:t>
            </w:r>
          </w:p>
        </w:tc>
      </w:tr>
      <w:tr>
        <w:tc>
          <w:tcPr>
            <w:tcW w:type="dxa" w:w="1039"/>
          </w:tcPr>
          <w:p>
            <w:r>
              <w:rPr>
                <w:sz w:val="20"/>
              </w:rPr>
              <w:t>Niraparib</w:t>
            </w:r>
          </w:p>
        </w:tc>
        <w:tc>
          <w:tcPr>
            <w:tcW w:type="dxa" w:w="1039"/>
          </w:tcPr>
          <w:p>
            <w:r>
              <w:rPr>
                <w:sz w:val="20"/>
              </w:rPr>
              <w:t>PARP-1/2</w:t>
            </w:r>
          </w:p>
        </w:tc>
        <w:tc>
          <w:tcPr>
            <w:tcW w:type="dxa" w:w="1039"/>
          </w:tcPr>
          <w:p>
            <w:r>
              <w:rPr>
                <w:sz w:val="20"/>
              </w:rPr>
              <w:t>Ovaire (indépendant BRCA)</w:t>
            </w:r>
          </w:p>
        </w:tc>
        <w:tc>
          <w:tcPr>
            <w:tcW w:type="dxa" w:w="1039"/>
          </w:tcPr>
          <w:p>
            <w:r>
              <w:rPr>
                <w:sz w:val="20"/>
              </w:rPr>
              <w:t>200 mg/j (100 mg si &lt; 77 kg)</w:t>
            </w:r>
          </w:p>
        </w:tc>
        <w:tc>
          <w:tcPr>
            <w:tcW w:type="dxa" w:w="1039"/>
          </w:tcPr>
          <w:p>
            <w:r>
              <w:rPr>
                <w:sz w:val="20"/>
              </w:rPr>
              <w:t>PO</w:t>
            </w:r>
          </w:p>
        </w:tc>
        <w:tc>
          <w:tcPr>
            <w:tcW w:type="dxa" w:w="1039"/>
          </w:tcPr>
          <w:p>
            <w:r>
              <w:rPr>
                <w:sz w:val="20"/>
              </w:rPr>
              <w:t>Thrombopénie, HTA, anémie, neutropénie</w:t>
            </w:r>
          </w:p>
        </w:tc>
        <w:tc>
          <w:tcPr>
            <w:tcW w:type="dxa" w:w="1039"/>
          </w:tcPr>
          <w:p>
            <w:r>
              <w:rPr>
                <w:sz w:val="20"/>
              </w:rPr>
              <w:t>Grossesse, allaitement</w:t>
            </w:r>
          </w:p>
        </w:tc>
        <w:tc>
          <w:tcPr>
            <w:tcW w:type="dxa" w:w="1039"/>
          </w:tcPr>
          <w:p>
            <w:r>
              <w:rPr>
                <w:sz w:val="20"/>
              </w:rPr>
              <w:t>Oui</w:t>
            </w:r>
          </w:p>
        </w:tc>
        <w:tc>
          <w:tcPr>
            <w:tcW w:type="dxa" w:w="1039"/>
          </w:tcPr>
          <w:p>
            <w:r>
              <w:rPr>
                <w:sz w:val="20"/>
              </w:rPr>
              <w:t>Non (6 mois post-arrêt)</w:t>
            </w:r>
          </w:p>
        </w:tc>
      </w:tr>
      <w:tr>
        <w:tc>
          <w:tcPr>
            <w:tcW w:type="dxa" w:w="1039"/>
          </w:tcPr>
          <w:p>
            <w:r>
              <w:rPr>
                <w:sz w:val="20"/>
              </w:rPr>
              <w:t>Bortézomib</w:t>
            </w:r>
          </w:p>
        </w:tc>
        <w:tc>
          <w:tcPr>
            <w:tcW w:type="dxa" w:w="1039"/>
          </w:tcPr>
          <w:p>
            <w:r>
              <w:rPr>
                <w:sz w:val="20"/>
              </w:rPr>
              <w:t>Protéasome β5 (réversible)</w:t>
            </w:r>
          </w:p>
        </w:tc>
        <w:tc>
          <w:tcPr>
            <w:tcW w:type="dxa" w:w="1039"/>
          </w:tcPr>
          <w:p>
            <w:r>
              <w:rPr>
                <w:sz w:val="20"/>
              </w:rPr>
              <w:t>Myélome multiple, lymphome MCL</w:t>
            </w:r>
          </w:p>
        </w:tc>
        <w:tc>
          <w:tcPr>
            <w:tcW w:type="dxa" w:w="1039"/>
          </w:tcPr>
          <w:p>
            <w:r>
              <w:rPr>
                <w:sz w:val="20"/>
              </w:rPr>
              <w:t>1,3 mg/m² (J1, J4, J8, J11)</w:t>
            </w:r>
          </w:p>
        </w:tc>
        <w:tc>
          <w:tcPr>
            <w:tcW w:type="dxa" w:w="1039"/>
          </w:tcPr>
          <w:p>
            <w:r>
              <w:rPr>
                <w:sz w:val="20"/>
              </w:rPr>
              <w:t>SC/IV</w:t>
            </w:r>
          </w:p>
        </w:tc>
        <w:tc>
          <w:tcPr>
            <w:tcW w:type="dxa" w:w="1039"/>
          </w:tcPr>
          <w:p>
            <w:r>
              <w:rPr>
                <w:sz w:val="20"/>
              </w:rPr>
              <w:t>Neuropathie périphérique (35 %), thrombopénie, herpès zoster</w:t>
            </w:r>
          </w:p>
        </w:tc>
        <w:tc>
          <w:tcPr>
            <w:tcW w:type="dxa" w:w="1039"/>
          </w:tcPr>
          <w:p>
            <w:r>
              <w:rPr>
                <w:sz w:val="20"/>
              </w:rPr>
              <w:t>Grossesse, allaitement, bilirubine &gt; 3× LSN</w:t>
            </w:r>
          </w:p>
        </w:tc>
        <w:tc>
          <w:tcPr>
            <w:tcW w:type="dxa" w:w="1039"/>
          </w:tcPr>
          <w:p>
            <w:r>
              <w:rPr>
                <w:sz w:val="20"/>
              </w:rPr>
              <w:t>Oui</w:t>
            </w:r>
          </w:p>
        </w:tc>
        <w:tc>
          <w:tcPr>
            <w:tcW w:type="dxa" w:w="1039"/>
          </w:tcPr>
          <w:p>
            <w:r>
              <w:rPr>
                <w:sz w:val="20"/>
              </w:rPr>
              <w:t>Non (7 mois post-arrêt)</w:t>
            </w:r>
          </w:p>
        </w:tc>
      </w:tr>
      <w:tr>
        <w:tc>
          <w:tcPr>
            <w:tcW w:type="dxa" w:w="1039"/>
          </w:tcPr>
          <w:p>
            <w:r>
              <w:rPr>
                <w:sz w:val="20"/>
              </w:rPr>
              <w:t>Carfilzomib</w:t>
            </w:r>
          </w:p>
        </w:tc>
        <w:tc>
          <w:tcPr>
            <w:tcW w:type="dxa" w:w="1039"/>
          </w:tcPr>
          <w:p>
            <w:r>
              <w:rPr>
                <w:sz w:val="20"/>
              </w:rPr>
              <w:t>Protéasome β5 (irréversible)</w:t>
            </w:r>
          </w:p>
        </w:tc>
        <w:tc>
          <w:tcPr>
            <w:tcW w:type="dxa" w:w="1039"/>
          </w:tcPr>
          <w:p>
            <w:r>
              <w:rPr>
                <w:sz w:val="20"/>
              </w:rPr>
              <w:t>Myélome rechute (KRd, Kd)</w:t>
            </w:r>
          </w:p>
        </w:tc>
        <w:tc>
          <w:tcPr>
            <w:tcW w:type="dxa" w:w="1039"/>
          </w:tcPr>
          <w:p>
            <w:r>
              <w:rPr>
                <w:sz w:val="20"/>
              </w:rPr>
              <w:t>20-27 mg/m² (J1, J2, J8, J9, J15, J16)</w:t>
            </w:r>
          </w:p>
        </w:tc>
        <w:tc>
          <w:tcPr>
            <w:tcW w:type="dxa" w:w="1039"/>
          </w:tcPr>
          <w:p>
            <w:r>
              <w:rPr>
                <w:sz w:val="20"/>
              </w:rPr>
              <w:t>IV perf</w:t>
            </w:r>
          </w:p>
        </w:tc>
        <w:tc>
          <w:tcPr>
            <w:tcW w:type="dxa" w:w="1039"/>
          </w:tcPr>
          <w:p>
            <w:r>
              <w:rPr>
                <w:sz w:val="20"/>
              </w:rPr>
              <w:t>Insuffisance cardiaque (7 %), HTAP (5 %), HTA, thrombopénie</w:t>
            </w:r>
          </w:p>
        </w:tc>
        <w:tc>
          <w:tcPr>
            <w:tcW w:type="dxa" w:w="1039"/>
          </w:tcPr>
          <w:p>
            <w:r>
              <w:rPr>
                <w:sz w:val="20"/>
              </w:rPr>
              <w:t>Grossesse, allaitement, FEVG &lt; 40 %</w:t>
            </w:r>
          </w:p>
        </w:tc>
        <w:tc>
          <w:tcPr>
            <w:tcW w:type="dxa" w:w="1039"/>
          </w:tcPr>
          <w:p>
            <w:r>
              <w:rPr>
                <w:sz w:val="20"/>
              </w:rPr>
              <w:t>Oui</w:t>
            </w:r>
          </w:p>
        </w:tc>
        <w:tc>
          <w:tcPr>
            <w:tcW w:type="dxa" w:w="1039"/>
          </w:tcPr>
          <w:p>
            <w:r>
              <w:rPr>
                <w:sz w:val="20"/>
              </w:rPr>
              <w:t>Non (6 mois post-arrêt)</w:t>
            </w:r>
          </w:p>
        </w:tc>
      </w:tr>
      <w:tr>
        <w:tc>
          <w:tcPr>
            <w:tcW w:type="dxa" w:w="1039"/>
          </w:tcPr>
          <w:p>
            <w:r>
              <w:rPr>
                <w:sz w:val="20"/>
              </w:rPr>
              <w:t>Ixazomib</w:t>
            </w:r>
          </w:p>
        </w:tc>
        <w:tc>
          <w:tcPr>
            <w:tcW w:type="dxa" w:w="1039"/>
          </w:tcPr>
          <w:p>
            <w:r>
              <w:rPr>
                <w:sz w:val="20"/>
              </w:rPr>
              <w:t>Protéasome β5 (réversible, oral)</w:t>
            </w:r>
          </w:p>
        </w:tc>
        <w:tc>
          <w:tcPr>
            <w:tcW w:type="dxa" w:w="1039"/>
          </w:tcPr>
          <w:p>
            <w:r>
              <w:rPr>
                <w:sz w:val="20"/>
              </w:rPr>
              <w:t>Myélome rechute (IRd)</w:t>
            </w:r>
          </w:p>
        </w:tc>
        <w:tc>
          <w:tcPr>
            <w:tcW w:type="dxa" w:w="1039"/>
          </w:tcPr>
          <w:p>
            <w:r>
              <w:rPr>
                <w:sz w:val="20"/>
              </w:rPr>
              <w:t>4 mg (J1, J8, J15)</w:t>
            </w:r>
          </w:p>
        </w:tc>
        <w:tc>
          <w:tcPr>
            <w:tcW w:type="dxa" w:w="1039"/>
          </w:tcPr>
          <w:p>
            <w:r>
              <w:rPr>
                <w:sz w:val="20"/>
              </w:rPr>
              <w:t>PO</w:t>
            </w:r>
          </w:p>
        </w:tc>
        <w:tc>
          <w:tcPr>
            <w:tcW w:type="dxa" w:w="1039"/>
          </w:tcPr>
          <w:p>
            <w:r>
              <w:rPr>
                <w:sz w:val="20"/>
              </w:rPr>
              <w:t>Neuropathie (25 %), thrombopénie, rash, diarrhée</w:t>
            </w:r>
          </w:p>
        </w:tc>
        <w:tc>
          <w:tcPr>
            <w:tcW w:type="dxa" w:w="1039"/>
          </w:tcPr>
          <w:p>
            <w:r>
              <w:rPr>
                <w:sz w:val="20"/>
              </w:rPr>
              <w:t>Grossesse, allaitement, bilirubine &gt; 3× LSN</w:t>
            </w:r>
          </w:p>
        </w:tc>
        <w:tc>
          <w:tcPr>
            <w:tcW w:type="dxa" w:w="1039"/>
          </w:tcPr>
          <w:p>
            <w:r>
              <w:rPr>
                <w:sz w:val="20"/>
              </w:rPr>
              <w:t>Oui</w:t>
            </w:r>
          </w:p>
        </w:tc>
        <w:tc>
          <w:tcPr>
            <w:tcW w:type="dxa" w:w="1039"/>
          </w:tcPr>
          <w:p>
            <w:r>
              <w:rPr>
                <w:sz w:val="20"/>
              </w:rPr>
              <w:t>Non (90 j post-arrêt)</w:t>
            </w:r>
          </w:p>
        </w:tc>
      </w:tr>
      <w:tr>
        <w:tc>
          <w:tcPr>
            <w:tcW w:type="dxa" w:w="1039"/>
          </w:tcPr>
          <w:p>
            <w:r>
              <w:rPr>
                <w:sz w:val="20"/>
              </w:rPr>
              <w:t>Lénalidomide</w:t>
            </w:r>
          </w:p>
        </w:tc>
        <w:tc>
          <w:tcPr>
            <w:tcW w:type="dxa" w:w="1039"/>
          </w:tcPr>
          <w:p>
            <w:r>
              <w:rPr>
                <w:sz w:val="20"/>
              </w:rPr>
              <w:t>Cereblon (IKZF1/2, CK1α)</w:t>
            </w:r>
          </w:p>
        </w:tc>
        <w:tc>
          <w:tcPr>
            <w:tcW w:type="dxa" w:w="1039"/>
          </w:tcPr>
          <w:p>
            <w:r>
              <w:rPr>
                <w:sz w:val="20"/>
              </w:rPr>
              <w:t>Myélome (1re ligne + rechute), MDS 5q-, lymphomes FL/MCL/DLBCL</w:t>
            </w:r>
          </w:p>
        </w:tc>
        <w:tc>
          <w:tcPr>
            <w:tcW w:type="dxa" w:w="1039"/>
          </w:tcPr>
          <w:p>
            <w:r>
              <w:rPr>
                <w:sz w:val="20"/>
              </w:rPr>
              <w:t>25 mg/j (21/28)</w:t>
            </w:r>
          </w:p>
        </w:tc>
        <w:tc>
          <w:tcPr>
            <w:tcW w:type="dxa" w:w="1039"/>
          </w:tcPr>
          <w:p>
            <w:r>
              <w:rPr>
                <w:sz w:val="20"/>
              </w:rPr>
              <w:t>PO</w:t>
            </w:r>
          </w:p>
        </w:tc>
        <w:tc>
          <w:tcPr>
            <w:tcW w:type="dxa" w:w="1039"/>
          </w:tcPr>
          <w:p>
            <w:r>
              <w:rPr>
                <w:sz w:val="20"/>
              </w:rPr>
              <w:t>Neutropénie, thrombose (10 %), rash, DRESS</w:t>
            </w:r>
          </w:p>
        </w:tc>
        <w:tc>
          <w:tcPr>
            <w:tcW w:type="dxa" w:w="1039"/>
          </w:tcPr>
          <w:p>
            <w:r>
              <w:rPr>
                <w:sz w:val="20"/>
              </w:rPr>
              <w:t>Grossesse, allaitement</w:t>
            </w:r>
          </w:p>
        </w:tc>
        <w:tc>
          <w:tcPr>
            <w:tcW w:type="dxa" w:w="1039"/>
          </w:tcPr>
          <w:p>
            <w:r>
              <w:rPr>
                <w:sz w:val="20"/>
              </w:rPr>
              <w:t>Oui (majeur)</w:t>
            </w:r>
          </w:p>
        </w:tc>
        <w:tc>
          <w:tcPr>
            <w:tcW w:type="dxa" w:w="1039"/>
          </w:tcPr>
          <w:p>
            <w:r>
              <w:rPr>
                <w:sz w:val="20"/>
              </w:rPr>
              <w:t>OBLIGATOIRE (4 sem post-arrêt)</w:t>
            </w:r>
          </w:p>
        </w:tc>
      </w:tr>
      <w:tr>
        <w:tc>
          <w:tcPr>
            <w:tcW w:type="dxa" w:w="1039"/>
          </w:tcPr>
          <w:p>
            <w:r>
              <w:rPr>
                <w:sz w:val="20"/>
              </w:rPr>
              <w:t>Pomalidomide</w:t>
            </w:r>
          </w:p>
        </w:tc>
        <w:tc>
          <w:tcPr>
            <w:tcW w:type="dxa" w:w="1039"/>
          </w:tcPr>
          <w:p>
            <w:r>
              <w:rPr>
                <w:sz w:val="20"/>
              </w:rPr>
              <w:t>Cereblon (IKZF1/2)</w:t>
            </w:r>
          </w:p>
        </w:tc>
        <w:tc>
          <w:tcPr>
            <w:tcW w:type="dxa" w:w="1039"/>
          </w:tcPr>
          <w:p>
            <w:r>
              <w:rPr>
                <w:sz w:val="20"/>
              </w:rPr>
              <w:t>Myélome rechute (Pd, Dara-Pd)</w:t>
            </w:r>
          </w:p>
        </w:tc>
        <w:tc>
          <w:tcPr>
            <w:tcW w:type="dxa" w:w="1039"/>
          </w:tcPr>
          <w:p>
            <w:r>
              <w:rPr>
                <w:sz w:val="20"/>
              </w:rPr>
              <w:t>4 mg/j (21/28)</w:t>
            </w:r>
          </w:p>
        </w:tc>
        <w:tc>
          <w:tcPr>
            <w:tcW w:type="dxa" w:w="1039"/>
          </w:tcPr>
          <w:p>
            <w:r>
              <w:rPr>
                <w:sz w:val="20"/>
              </w:rPr>
              <w:t>PO</w:t>
            </w:r>
          </w:p>
        </w:tc>
        <w:tc>
          <w:tcPr>
            <w:tcW w:type="dxa" w:w="1039"/>
          </w:tcPr>
          <w:p>
            <w:r>
              <w:rPr>
                <w:sz w:val="20"/>
              </w:rPr>
              <w:t>Neutropénie, thrombose, rash, fatigue</w:t>
            </w:r>
          </w:p>
        </w:tc>
        <w:tc>
          <w:tcPr>
            <w:tcW w:type="dxa" w:w="1039"/>
          </w:tcPr>
          <w:p>
            <w:r>
              <w:rPr>
                <w:sz w:val="20"/>
              </w:rPr>
              <w:t>Grossesse, allaitement</w:t>
            </w:r>
          </w:p>
        </w:tc>
        <w:tc>
          <w:tcPr>
            <w:tcW w:type="dxa" w:w="1039"/>
          </w:tcPr>
          <w:p>
            <w:r>
              <w:rPr>
                <w:sz w:val="20"/>
              </w:rPr>
              <w:t>Oui (majeur)</w:t>
            </w:r>
          </w:p>
        </w:tc>
        <w:tc>
          <w:tcPr>
            <w:tcW w:type="dxa" w:w="1039"/>
          </w:tcPr>
          <w:p>
            <w:r>
              <w:rPr>
                <w:sz w:val="20"/>
              </w:rPr>
              <w:t>OBLIGATOIRE (4 sem post-arrêt)</w:t>
            </w:r>
          </w:p>
        </w:tc>
      </w:tr>
      <w:tr>
        <w:tc>
          <w:tcPr>
            <w:tcW w:type="dxa" w:w="1039"/>
          </w:tcPr>
          <w:p>
            <w:r>
              <w:rPr>
                <w:sz w:val="20"/>
              </w:rPr>
              <w:t>Venetoclax</w:t>
            </w:r>
          </w:p>
        </w:tc>
        <w:tc>
          <w:tcPr>
            <w:tcW w:type="dxa" w:w="1039"/>
          </w:tcPr>
          <w:p>
            <w:r>
              <w:rPr>
                <w:sz w:val="20"/>
              </w:rPr>
              <w:t>BCL-2 (BH3 mimetic)</w:t>
            </w:r>
          </w:p>
        </w:tc>
        <w:tc>
          <w:tcPr>
            <w:tcW w:type="dxa" w:w="1039"/>
          </w:tcPr>
          <w:p>
            <w:r>
              <w:rPr>
                <w:sz w:val="20"/>
              </w:rPr>
              <w:t>LLC, LMA (associé à AZA ou ARA-C), LF, MCL</w:t>
            </w:r>
          </w:p>
        </w:tc>
        <w:tc>
          <w:tcPr>
            <w:tcW w:type="dxa" w:w="1039"/>
          </w:tcPr>
          <w:p>
            <w:r>
              <w:rPr>
                <w:sz w:val="20"/>
              </w:rPr>
              <w:t>400 mg/j (ramp-up 5 sem)</w:t>
            </w:r>
          </w:p>
        </w:tc>
        <w:tc>
          <w:tcPr>
            <w:tcW w:type="dxa" w:w="1039"/>
          </w:tcPr>
          <w:p>
            <w:r>
              <w:rPr>
                <w:sz w:val="20"/>
              </w:rPr>
              <w:t>PO</w:t>
            </w:r>
          </w:p>
        </w:tc>
        <w:tc>
          <w:tcPr>
            <w:tcW w:type="dxa" w:w="1039"/>
          </w:tcPr>
          <w:p>
            <w:r>
              <w:rPr>
                <w:sz w:val="20"/>
              </w:rPr>
              <w:t>Syndrome de lyse tumorale (initiation), neutropénie</w:t>
            </w:r>
          </w:p>
        </w:tc>
        <w:tc>
          <w:tcPr>
            <w:tcW w:type="dxa" w:w="1039"/>
          </w:tcPr>
          <w:p>
            <w:r>
              <w:rPr>
                <w:sz w:val="20"/>
              </w:rPr>
              <w:t>Grossesse, allaitement, SLT à risque</w:t>
            </w:r>
          </w:p>
        </w:tc>
        <w:tc>
          <w:tcPr>
            <w:tcW w:type="dxa" w:w="1039"/>
          </w:tcPr>
          <w:p>
            <w:r>
              <w:rPr>
                <w:sz w:val="20"/>
              </w:rPr>
              <w:t>Oui</w:t>
            </w:r>
          </w:p>
        </w:tc>
        <w:tc>
          <w:tcPr>
            <w:tcW w:type="dxa" w:w="1039"/>
          </w:tcPr>
          <w:p>
            <w:r>
              <w:rPr>
                <w:sz w:val="20"/>
              </w:rPr>
              <w:t>Non (30 j post-arrêt)</w:t>
            </w:r>
          </w:p>
        </w:tc>
      </w:tr>
      <w:tr>
        <w:tc>
          <w:tcPr>
            <w:tcW w:type="dxa" w:w="1039"/>
          </w:tcPr>
          <w:p>
            <w:r>
              <w:rPr>
                <w:sz w:val="20"/>
              </w:rPr>
              <w:t>Vismodegib</w:t>
            </w:r>
          </w:p>
        </w:tc>
        <w:tc>
          <w:tcPr>
            <w:tcW w:type="dxa" w:w="1039"/>
          </w:tcPr>
          <w:p>
            <w:r>
              <w:rPr>
                <w:sz w:val="20"/>
              </w:rPr>
              <w:t>SMO (Hedgehog)</w:t>
            </w:r>
          </w:p>
        </w:tc>
        <w:tc>
          <w:tcPr>
            <w:tcW w:type="dxa" w:w="1039"/>
          </w:tcPr>
          <w:p>
            <w:r>
              <w:rPr>
                <w:sz w:val="20"/>
              </w:rPr>
              <w:t>Carcinome basocellulaire avancé</w:t>
            </w:r>
          </w:p>
        </w:tc>
        <w:tc>
          <w:tcPr>
            <w:tcW w:type="dxa" w:w="1039"/>
          </w:tcPr>
          <w:p>
            <w:r>
              <w:rPr>
                <w:sz w:val="20"/>
              </w:rPr>
              <w:t>150 mg/j</w:t>
            </w:r>
          </w:p>
        </w:tc>
        <w:tc>
          <w:tcPr>
            <w:tcW w:type="dxa" w:w="1039"/>
          </w:tcPr>
          <w:p>
            <w:r>
              <w:rPr>
                <w:sz w:val="20"/>
              </w:rPr>
              <w:t>PO</w:t>
            </w:r>
          </w:p>
        </w:tc>
        <w:tc>
          <w:tcPr>
            <w:tcW w:type="dxa" w:w="1039"/>
          </w:tcPr>
          <w:p>
            <w:r>
              <w:rPr>
                <w:sz w:val="20"/>
              </w:rPr>
              <w:t>Spasmes musculaires (70 %), dysgueusie (55 %), alopécie (50 %)</w:t>
            </w:r>
          </w:p>
        </w:tc>
        <w:tc>
          <w:tcPr>
            <w:tcW w:type="dxa" w:w="1039"/>
          </w:tcPr>
          <w:p>
            <w:r>
              <w:rPr>
                <w:sz w:val="20"/>
              </w:rPr>
              <w:t>Grossesse, allaitement</w:t>
            </w:r>
          </w:p>
        </w:tc>
        <w:tc>
          <w:tcPr>
            <w:tcW w:type="dxa" w:w="1039"/>
          </w:tcPr>
          <w:p>
            <w:r>
              <w:rPr>
                <w:sz w:val="20"/>
              </w:rPr>
              <w:t>Oui (majeur)</w:t>
            </w:r>
          </w:p>
        </w:tc>
        <w:tc>
          <w:tcPr>
            <w:tcW w:type="dxa" w:w="1039"/>
          </w:tcPr>
          <w:p>
            <w:r>
              <w:rPr>
                <w:sz w:val="20"/>
              </w:rPr>
              <w:t>OBLIGATOIRE (24 mois post-arrêt femme, 2 mois homme)</w:t>
            </w:r>
          </w:p>
        </w:tc>
      </w:tr>
    </w:tbl>
    <w:p/>
    <w:p>
      <w:pPr>
        <w:pStyle w:val="Heading2"/>
      </w:pPr>
      <w:r>
        <w:t>105.9 Synthèse pédagogique et messages clés</w:t>
      </w:r>
    </w:p>
    <w:p>
      <w:r>
        <w:t>La thérapie ciblée par inhibiteurs de mTOR, CDK4/6, PARP, protéasome, IMiD, BCL-2 et Hedgehog illustre la diversité des approches pharmacologiques de l'oncologie moléculaire moderne, complétant les ITK (chapitre 104) par des mécanismes d'action ciblant les voies de signalisation intracellulaire, le cycle cellulaire, la réparation de l'ADN, la dégradation protéique, l'apoptose et les voies morphogénétiques embryonnaires. Les 12 DCIs décrites dans ce chapitre peuvent être regroupées selon leur mécanisme d'action : (i) inhibition de la voie mTOR (everolimus, sirolimus) — blocage de la croissance cellulaire via p70S6K1 et 4E-BP1, efficacité dans les cancers à hyperactivation PI3K/AKT (sein, rein, NEP) et en transplantation ; (ii) inhibition de CDK4/6 (palbociclib) — blocage du cycle cellulaire en G1 via pRb-E2F, efficacité spectaculaire dans le cancer du sein RH+/HER2− métastatique ; (iii) inhibition de PARP (olaparib, niraparib) — létalité synthétique sur les cellules BRCA-déficientes (cancers du sein, de l'ovaire, de la prostate, pancréatique) ; (iv) inhibition du protéasome 26S (bortézomib, carfilzomib, ixazomib) — accumulation de protéines ubiquitinées et apoptose des plasmocytes tumoraux (myélome multiple, lymphome MCL) ; (v) inhibition du cereblon (lénalidomide, pomalidomide) — dégradation de IKZF1/2 et blocage de la boucle IRF4-MYC (myélome multiple, MDS 5q-) ; (vi) inhibition de BCL-2 (venetoclax) — restauration de l'apoptose dans les hémopathies lymphoïdes chroniques (LLC, LAM, lymphomes FL/MCL) ; (vii) inhibition de la voie Hedgehog (vismodegib) — blocage de SMO, efficacité dans le carcinome basocellulaire avancé.</w:t>
      </w:r>
    </w:p>
    <w:p>
      <w:pPr>
        <w:pStyle w:val="Heading3"/>
      </w:pPr>
      <w:r>
        <w:t>Messages clés à retenir</w:t>
      </w:r>
    </w:p>
    <w:p>
      <w:pPr>
        <w:pStyle w:val="ListNumber"/>
      </w:pPr>
      <w:r/>
      <w:r>
        <w:rPr>
          <w:b/>
        </w:rPr>
        <w:t>Pré-requis moléculaire obligatoire</w:t>
      </w:r>
      <w:r>
        <w:t xml:space="preserve"> : avant d'initier une thérapie ciblée de ce chapitre, il est impératif de confirmer la présence de la cible moléculaire ou du biomarqueur prédictif : statut BRCA1/2 (germinal ou somatique) pour les PARP (olaparib, niraparib), statut RH+/HER2− pour les CDK4/6 (palbociclib), mutation de la voie Hedgehog (PTCH1, SMO) pour le vismodegib, délétion 5q- pour le lénalidomide (MDS), mutation BCR-ABL pour exclure une LCM Ph+ avant venetoclax dans la LLC. L'administration à un patient dont la tumeur ne porte pas la cible est inefficace et expose à des effets indésirables inutiles.</w:t>
      </w:r>
    </w:p>
    <w:p>
      <w:pPr>
        <w:pStyle w:val="ListNumber"/>
      </w:pPr>
      <w:r/>
      <w:r>
        <w:rPr>
          <w:b/>
        </w:rPr>
        <w:t>Effets indésirables signature à connaître</w:t>
      </w:r>
      <w:r>
        <w:t xml:space="preserve"> : chaque DCI a un profil d'effets indésirables caractéristique qui doit être recherché systématiquement : pneumopathie interstitielle et stomatite (mTOR), neutropénie (palbociclib), thrombopénie et HTA (niraparib), anémie et risque de MDS/LAM secondaire à long terme (PARP), neuropathie périphérique et thrombopénie (bortézomib), insuffisance cardiaque et HTAP (carfilzomib), neutropénie et thrombose (IMiD), syndrome de lyse tumorale (venetoclax), spasmes musculaires et dysgueusie (vismodegib). La connaissance de ces signatures permet une surveillance ciblée et une prise en charge précoce.</w:t>
      </w:r>
    </w:p>
    <w:p>
      <w:pPr>
        <w:pStyle w:val="ListNumber"/>
      </w:pPr>
      <w:r/>
      <w:r>
        <w:rPr>
          <w:b/>
        </w:rPr>
        <w:t>Surveillance hématologique systématique</w:t>
      </w:r>
      <w:r>
        <w:t xml:space="preserve"> : la majorité des DCI de ce chapitre exposent à un risque de cytopénies (neutropénie, thrombopénie, anémie), parfois sévères (grade 3/4) et parfois prolongées. La surveillance de la NFS-plaquettes avant initiation, à J14, J21 du cycle, puis mensuelle est essentielle. Les seuils d'adaptation posologique varient selon la molécule (palbociclib : PNN &lt; 1,0 G/L ; venetoclax : PNN &lt; 1,0 G/L ; IMiD : PNN &lt; 0,5 G/L) et doivent être respectés strictement.</w:t>
      </w:r>
    </w:p>
    <w:p>
      <w:pPr>
        <w:pStyle w:val="ListNumber"/>
      </w:pPr>
      <w:r/>
      <w:r>
        <w:rPr>
          <w:b/>
        </w:rPr>
        <w:t>Prévention du syndrome de lyse tumorale (SLT) pour le venetoclax</w:t>
      </w:r>
      <w:r>
        <w:t xml:space="preserve"> : le venetoclax expose à un risque majeur de SLT à l'initiation, particulièrement chez les patients à masse tumorale élevée (ganglions &gt; 5 cm, hyperleucocytose &gt; 25 G/L, LDH &gt; 2× LSN). Le ramp-up OBLIGATOIRE sur 5 semaines (20 → 50 → 100 → 200 → 400 mg), l'hyperhydratation (1,5-2 L/j), la prophylaxie anti-uricémique (allopurinol ou rasburicase), et la surveillance biologique rapprochée (ionogramme, uricémie, créatinine avant chaque palier et à 6-8 heures après la première prise) réduisent l'incidence du SLT à 1-2 % (vs 10-15 % sans ramp-up).</w:t>
      </w:r>
    </w:p>
    <w:p>
      <w:pPr>
        <w:pStyle w:val="ListNumber"/>
      </w:pPr>
      <w:r/>
      <w:r>
        <w:rPr>
          <w:b/>
        </w:rPr>
        <w:t>Prévention de la thrombose veineuse pour les IMiD</w:t>
      </w:r>
      <w:r>
        <w:t xml:space="preserve"> : le lénalidomide et le pomalidomide exposent à un risque thrombotique veineux profond (5-15 % sans prophylaxie, surtout en association à la dexaméthasone). La prophylaxie systématique par HBPM (enoxaparine 40 mg SC/j ou daltéparine 5000 UI SC/j) en cas d'association à la dexaméthasone ou au bortézomib est obligatoire. Surveillance clinique des signes de thrombose (douleur mollet, œdème unilatéral, dyspnée, douleur thoracique).</w:t>
      </w:r>
    </w:p>
    <w:p>
      <w:pPr>
        <w:pStyle w:val="ListNumber"/>
      </w:pPr>
      <w:r/>
      <w:r>
        <w:rPr>
          <w:b/>
        </w:rPr>
        <w:t>Prévention de la neuropathie périphérique pour le bortézomib</w:t>
      </w:r>
      <w:r>
        <w:t xml:space="preserve"> : le bortézomib expose à un risque de neuropathie périphérique (35 % des patients, dont 10 % grade 3/4, plus marquée en IV qu'en SC). La voie sous-cutanée doit être privilégiée systématiquement (réduction de 40 % de la neurotoxicité vs IV, efficacité identique). Surveillance neurologique clinique à chaque cycle (échelle NCI-CTCAE v5.0), adaptation posologique par paliers (1,3 → 1,0 → 0,7 mg/m² → arrêt), ou switch vers carfilzomib/ixazomib (moins neurotoxiques) en cas de neuropathie sévère.</w:t>
      </w:r>
    </w:p>
    <w:p>
      <w:pPr>
        <w:pStyle w:val="ListNumber"/>
      </w:pPr>
      <w:r/>
      <w:r>
        <w:rPr>
          <w:b/>
        </w:rPr>
        <w:t>Prévention de la pneumopathie interstitielle pour les mTOR</w:t>
      </w:r>
      <w:r>
        <w:t xml:space="preserve"> : l'everolimus et le sirolimus exposent à un risque de pneumopathie interstitielle (10-14 %, effet signature). Toux sèche persistante + dyspnée d'effort chez un patient sous mTOR = scanner thoracique urgent et arrêt transitoire. Ne jamais attribuer la dyspnée à une simple infection bronchique sans investigation.</w:t>
      </w:r>
    </w:p>
    <w:p>
      <w:pPr>
        <w:pStyle w:val="ListNumber"/>
      </w:pPr>
      <w:r/>
      <w:r>
        <w:rPr>
          <w:b/>
        </w:rPr>
        <w:t>Prévention des grossesses (PPPM) pour les IMiD et le vismodegib</w:t>
      </w:r>
      <w:r>
        <w:t xml:space="preserve"> : le lénalidomide, le pomalidomide et le vismodegib sont des TÉRATOGÈNES MAJEURS (catégorie X). Le programme de prévention des grossesses (PPPM) est OBLIGATOIRE : questionnaire systématique à chaque prescription, double contraception chez la femme en âge de procréer (préservatif + contraception orale ou dispositif intra-utérin, 4 semaines avant initiation pour les IMiD, 1 mois pour le vismodegib, pendant le traitement et 4 semaines après l'arrêt pour les IMiD, 24 mois après l'arrêt pour le vismodegib chez la femme en raison de sa longue persistance dans les tissus), test de grossesse avant initiation et mensuel (β-hCG quantitatif) ; préservatif chez l'homme traité (4 semaines après l'arrêt pour les IMiD, 2 mois après l'arrêt pour le vismodegib en raison du passage dans le sperme démontré). Le pharmacien d'officina peut refuser la dispensation si ces éléments ne sont pas fournis.</w:t>
      </w:r>
    </w:p>
    <w:p>
      <w:pPr>
        <w:pStyle w:val="ListNumber"/>
      </w:pPr>
      <w:r/>
      <w:r>
        <w:rPr>
          <w:b/>
        </w:rPr>
        <w:t>Interactions médicamenteuses omniprésentes</w:t>
      </w:r>
      <w:r>
        <w:t xml:space="preserve"> : la majorité des DCI de ce chapitre sont métabolisées par le CYP3A4 et exposent à des interactions majeures avec les inducteurs (rifampicine, phénytoïne, carbamazépine, phénobarbital, millepertuis — baissent les concentrations et l'efficacité) et les inhibiteurs (kétoconazole, itraconazole, voriconazole, clarithromycine, ritonavir — augmentent les concentrations et la toxicité). Le pamplemousse doit être proscrit pour les molécules métabolisées par le CYP3A4. La warfarine est à remplacer par une HBPM en raison du risque hémorragique majoré. La vérification systématique des médicaments concomitants avant initiation est une étape obligatoire.</w:t>
      </w:r>
    </w:p>
    <w:p>
      <w:pPr>
        <w:pStyle w:val="ListNumber"/>
      </w:pPr>
      <w:r/>
      <w:r>
        <w:rPr>
          <w:b/>
        </w:rPr>
        <w:t>Voie orale et observance</w:t>
      </w:r>
      <w:r>
        <w:t xml:space="preserve"> : la majorité des DCI de ce chapitre sont administrées par voie orale (10/12 DCI), ce qui améliore la qualité de vie mais impose une observance stricte (prise à heure fixe, respect des conditions de prise — à jeun pour l'ixazomib, au cours d'un repas pour le venetoclax, indifférente pour les autres ; schéma 21/7 pour le palbociclib, le lénalidomide et le pomalidomide ; ramp-up pour le venetoclax). Le pharmacien d'officina joue un rôle central dans l'éducation thérapeutique, la prévention des interactions (automédication, pamplemousse, millepertuis), la surveillance des effets indésirables et le dépistage des difficultés d'observance. Les seules DCI parentérales sont le bortézomib (SC/IV) et le carfilzomib (IV perfusion), réservées au circuit hospitalier.</w:t>
      </w:r>
    </w:p>
    <w:p>
      <w:pPr>
        <w:pStyle w:val="ListNumber"/>
      </w:pPr>
      <w:r/>
      <w:r>
        <w:rPr>
          <w:b/>
        </w:rPr>
        <w:t>Accessibilité et circuit de dispensation en Algérie</w:t>
      </w:r>
      <w:r>
        <w:t xml:space="preserve"> : les 12 DCI de ce chapitre sont délivrées en Algérie via le circuit hospitalier spécialisé (services d'oncologie médicale, d'hématologie clinique, de dermatologie oncologique). La disponibilité de génériques algériens (SAIDAL, BIOPHARM, SOPHAL, ALFACARE, DEMOCEDES, ORION LAB, HIKMA PHARMA ALGERIA) et indiens (HETERO LABS, INTAS PHARMACEUTICALS, NATCO PHARMA, DR.REDDY'S LABORATORIES) a permis un accès élargi à ces traitements coûteux. Le pharmacien d'officina peut être amené à dispenser certaines DCI en ville (suite à une prescription hospitalière), et doit alors vérifier la traçabilité, l'observance, les effets indésirables et les interactions.</w:t>
      </w:r>
    </w:p>
    <w:p>
      <w:pPr>
        <w:pStyle w:val="ListNumber"/>
      </w:pPr>
      <w:r/>
      <w:r>
        <w:rPr>
          <w:b/>
        </w:rPr>
        <w:t>Révolution thérapeutique et pronostic</w:t>
      </w:r>
      <w:r>
        <w:t xml:space="preserve"> : l'avènement de ces thérapies ciblées a transformé le pronostic de nombreuses néoplasies : le myélome multiple est passé d'une survie médiane de 3-4 ans (ère de la melphalan-prednisone) à 7-10 ans sous bortézomib-lénalidomide-dexaméthasone (VRd) ; la LLC 17p-/TP53 mutée, historiquement de très mauvais pronostic (survie &lt; 18 mois), atteint désormais une SSP &gt; 30 mois sous venetoclax ; le cancer du sein RH+/HER2− métastatique est passé d'une SSP de 14,5 mois (hormonothérapie seule) à 24,8 mois sous palbociclib + letrozole (PALOMA-2) ; le cancer de l'ovaire BRCA-muté en 1re ligne atteint une SSP de 19,1 mois sous olaparib en entretien (SOLO-1) ; le carcinome basocellulaire avancé, historiquement de très mauvais pronostic, atteint une réponse objective de 30-50 % (métastatique) à 60-70 % (localement avancé) sous vismodegib. Ces progrès justifient l'enseignement approfondi de ces thérapies ciblées dans la formation des pharmaciens algériens, qui joueront un rôle central dans la dispensation, la surveillance et l'éducation thérapeutique des patients.</w:t>
      </w:r>
    </w:p>
    <w:p>
      <w:r/>
      <w:r>
        <w:rPr>
          <w:i/>
        </w:rPr>
        <w:t>Sources principales : VIDAL 2024, ANSM (RCP officiels), Thériaque, CRAT (Centre de Renseignement sur les Agents Tératogènes), NCCN Clinical Practice Guidelines in Oncology 2024, UpToDate, ESMO Clinical Practice Guidelines, ELN (European LeukemiaNet) 2020, IMWG (International Myeloma Working Group) 2024, EORTC cutaneous adverse events, FDA Prescribing Information (US package inserts), EMA Assessment Reports.</w:t>
      </w:r>
      <w:r/>
    </w:p>
    <w:p>
      <w:pPr>
        <w:pStyle w:val="Heading2"/>
      </w:pPr>
      <w:r>
        <w:t>Annexe 105.A — Pharmacocinétique comparée des 12 DCI</w:t>
      </w:r>
    </w:p>
    <w:p>
      <w:r>
        <w:t>La pharmacocinétique des DCI de ce chapitre partage plusieurs caractéristiques communes : (i) administration majoritairement orale (10/12 DCI), améliorant la qualité de vie ; (ii) absorption variable selon la prise alimentaire (à jeun pour l'ixazomib, au cours d'un repas pour le venetoclax, indifférente pour les autres) ; (iii) métabolisme hépatique principal par le CYP3A4 (sauf lénalidomide et pomalidomide, métabolisme non enzymatique) ; (iv) demi-vie d'élimination variable (de 5 heures pour le sirolimus à 4 jours pour le vismodegib) ; (v) élimination majoritairement fécale (sauf lénalidomide et pomalidomide, élimination rénale prédominante).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Biodisponibilité orale</w:t>
            </w:r>
          </w:p>
        </w:tc>
        <w:tc>
          <w:tcPr>
            <w:tcW w:type="dxa" w:w="1169"/>
          </w:tcPr>
          <w:p>
            <w:r>
              <w:rPr>
                <w:b/>
                <w:sz w:val="20"/>
              </w:rPr>
              <w:t>Tmax (h)</w:t>
            </w:r>
          </w:p>
        </w:tc>
        <w:tc>
          <w:tcPr>
            <w:tcW w:type="dxa" w:w="1169"/>
          </w:tcPr>
          <w:p>
            <w:r>
              <w:rPr>
                <w:b/>
                <w:sz w:val="20"/>
              </w:rPr>
              <w:t>Demi-vie (h)</w:t>
            </w:r>
          </w:p>
        </w:tc>
        <w:tc>
          <w:tcPr>
            <w:tcW w:type="dxa" w:w="1169"/>
          </w:tcPr>
          <w:p>
            <w:r>
              <w:rPr>
                <w:b/>
                <w:sz w:val="20"/>
              </w:rPr>
              <w:t>Liaison protéique (%)</w:t>
            </w:r>
          </w:p>
        </w:tc>
        <w:tc>
          <w:tcPr>
            <w:tcW w:type="dxa" w:w="1169"/>
          </w:tcPr>
          <w:p>
            <w:r>
              <w:rPr>
                <w:b/>
                <w:sz w:val="20"/>
              </w:rPr>
              <w:t>Métabolisme</w:t>
            </w:r>
          </w:p>
        </w:tc>
        <w:tc>
          <w:tcPr>
            <w:tcW w:type="dxa" w:w="1169"/>
          </w:tcPr>
          <w:p>
            <w:r>
              <w:rPr>
                <w:b/>
                <w:sz w:val="20"/>
              </w:rPr>
              <w:t>Élimination principale</w:t>
            </w:r>
          </w:p>
        </w:tc>
        <w:tc>
          <w:tcPr>
            <w:tcW w:type="dxa" w:w="1169"/>
          </w:tcPr>
          <w:p>
            <w:r>
              <w:rPr>
                <w:b/>
                <w:sz w:val="20"/>
              </w:rPr>
              <w:t>Effet alimentaire</w:t>
            </w:r>
          </w:p>
        </w:tc>
      </w:tr>
      <w:tr>
        <w:tc>
          <w:tcPr>
            <w:tcW w:type="dxa" w:w="1169"/>
          </w:tcPr>
          <w:p>
            <w:r>
              <w:rPr>
                <w:sz w:val="20"/>
              </w:rPr>
              <w:t>Everolimus</w:t>
            </w:r>
          </w:p>
        </w:tc>
        <w:tc>
          <w:tcPr>
            <w:tcW w:type="dxa" w:w="1169"/>
          </w:tcPr>
          <w:p>
            <w:r>
              <w:rPr>
                <w:sz w:val="20"/>
              </w:rPr>
              <w:t>60-80 %</w:t>
            </w:r>
          </w:p>
        </w:tc>
        <w:tc>
          <w:tcPr>
            <w:tcW w:type="dxa" w:w="1169"/>
          </w:tcPr>
          <w:p>
            <w:r>
              <w:rPr>
                <w:sz w:val="20"/>
              </w:rPr>
              <w:t>1-2</w:t>
            </w:r>
          </w:p>
        </w:tc>
        <w:tc>
          <w:tcPr>
            <w:tcW w:type="dxa" w:w="1169"/>
          </w:tcPr>
          <w:p>
            <w:r>
              <w:rPr>
                <w:sz w:val="20"/>
              </w:rPr>
              <w:t>30</w:t>
            </w:r>
          </w:p>
        </w:tc>
        <w:tc>
          <w:tcPr>
            <w:tcW w:type="dxa" w:w="1169"/>
          </w:tcPr>
          <w:p>
            <w:r>
              <w:rPr>
                <w:sz w:val="20"/>
              </w:rPr>
              <w:t>74</w:t>
            </w:r>
          </w:p>
        </w:tc>
        <w:tc>
          <w:tcPr>
            <w:tcW w:type="dxa" w:w="1169"/>
          </w:tcPr>
          <w:p>
            <w:r>
              <w:rPr>
                <w:sz w:val="20"/>
              </w:rPr>
              <w:t>CYP3A4, P-gp</w:t>
            </w:r>
          </w:p>
        </w:tc>
        <w:tc>
          <w:tcPr>
            <w:tcW w:type="dxa" w:w="1169"/>
          </w:tcPr>
          <w:p>
            <w:r>
              <w:rPr>
                <w:sz w:val="20"/>
              </w:rPr>
              <w:t>Fécale 80 %, rénale 5 %</w:t>
            </w:r>
          </w:p>
        </w:tc>
        <w:tc>
          <w:tcPr>
            <w:tcW w:type="dxa" w:w="1169"/>
          </w:tcPr>
          <w:p>
            <w:r>
              <w:rPr>
                <w:sz w:val="20"/>
              </w:rPr>
              <w:t>Indifférent (à heure fixe)</w:t>
            </w:r>
          </w:p>
        </w:tc>
      </w:tr>
      <w:tr>
        <w:tc>
          <w:tcPr>
            <w:tcW w:type="dxa" w:w="1169"/>
          </w:tcPr>
          <w:p>
            <w:r>
              <w:rPr>
                <w:sz w:val="20"/>
              </w:rPr>
              <w:t>Sirolimus</w:t>
            </w:r>
          </w:p>
        </w:tc>
        <w:tc>
          <w:tcPr>
            <w:tcW w:type="dxa" w:w="1169"/>
          </w:tcPr>
          <w:p>
            <w:r>
              <w:rPr>
                <w:sz w:val="20"/>
              </w:rPr>
              <w:t>14 %</w:t>
            </w:r>
          </w:p>
        </w:tc>
        <w:tc>
          <w:tcPr>
            <w:tcW w:type="dxa" w:w="1169"/>
          </w:tcPr>
          <w:p>
            <w:r>
              <w:rPr>
                <w:sz w:val="20"/>
              </w:rPr>
              <w:t>1-2</w:t>
            </w:r>
          </w:p>
        </w:tc>
        <w:tc>
          <w:tcPr>
            <w:tcW w:type="dxa" w:w="1169"/>
          </w:tcPr>
          <w:p>
            <w:r>
              <w:rPr>
                <w:sz w:val="20"/>
              </w:rPr>
              <w:t>60</w:t>
            </w:r>
          </w:p>
        </w:tc>
        <w:tc>
          <w:tcPr>
            <w:tcW w:type="dxa" w:w="1169"/>
          </w:tcPr>
          <w:p>
            <w:r>
              <w:rPr>
                <w:sz w:val="20"/>
              </w:rPr>
              <w:t>92</w:t>
            </w:r>
          </w:p>
        </w:tc>
        <w:tc>
          <w:tcPr>
            <w:tcW w:type="dxa" w:w="1169"/>
          </w:tcPr>
          <w:p>
            <w:r>
              <w:rPr>
                <w:sz w:val="20"/>
              </w:rPr>
              <w:t>CYP3A4, P-gp</w:t>
            </w:r>
          </w:p>
        </w:tc>
        <w:tc>
          <w:tcPr>
            <w:tcW w:type="dxa" w:w="1169"/>
          </w:tcPr>
          <w:p>
            <w:r>
              <w:rPr>
                <w:sz w:val="20"/>
              </w:rPr>
              <w:t>Fécale 91 %, rénale 2 %</w:t>
            </w:r>
          </w:p>
        </w:tc>
        <w:tc>
          <w:tcPr>
            <w:tcW w:type="dxa" w:w="1169"/>
          </w:tcPr>
          <w:p>
            <w:r>
              <w:rPr>
                <w:sz w:val="20"/>
              </w:rPr>
              <w:t>Indifférent (à heure fixe)</w:t>
            </w:r>
          </w:p>
        </w:tc>
      </w:tr>
      <w:tr>
        <w:tc>
          <w:tcPr>
            <w:tcW w:type="dxa" w:w="1169"/>
          </w:tcPr>
          <w:p>
            <w:r>
              <w:rPr>
                <w:sz w:val="20"/>
              </w:rPr>
              <w:t>Palbociclib</w:t>
            </w:r>
          </w:p>
        </w:tc>
        <w:tc>
          <w:tcPr>
            <w:tcW w:type="dxa" w:w="1169"/>
          </w:tcPr>
          <w:p>
            <w:r>
              <w:rPr>
                <w:sz w:val="20"/>
              </w:rPr>
              <w:t>46 %</w:t>
            </w:r>
          </w:p>
        </w:tc>
        <w:tc>
          <w:tcPr>
            <w:tcW w:type="dxa" w:w="1169"/>
          </w:tcPr>
          <w:p>
            <w:r>
              <w:rPr>
                <w:sz w:val="20"/>
              </w:rPr>
              <w:t>4</w:t>
            </w:r>
          </w:p>
        </w:tc>
        <w:tc>
          <w:tcPr>
            <w:tcW w:type="dxa" w:w="1169"/>
          </w:tcPr>
          <w:p>
            <w:r>
              <w:rPr>
                <w:sz w:val="20"/>
              </w:rPr>
              <w:t>29</w:t>
            </w:r>
          </w:p>
        </w:tc>
        <w:tc>
          <w:tcPr>
            <w:tcW w:type="dxa" w:w="1169"/>
          </w:tcPr>
          <w:p>
            <w:r>
              <w:rPr>
                <w:sz w:val="20"/>
              </w:rPr>
              <w:t>85</w:t>
            </w:r>
          </w:p>
        </w:tc>
        <w:tc>
          <w:tcPr>
            <w:tcW w:type="dxa" w:w="1169"/>
          </w:tcPr>
          <w:p>
            <w:r>
              <w:rPr>
                <w:sz w:val="20"/>
              </w:rPr>
              <w:t>CYP3A4, P-gp</w:t>
            </w:r>
          </w:p>
        </w:tc>
        <w:tc>
          <w:tcPr>
            <w:tcW w:type="dxa" w:w="1169"/>
          </w:tcPr>
          <w:p>
            <w:r>
              <w:rPr>
                <w:sz w:val="20"/>
              </w:rPr>
              <w:t>Fécale 74 %, rénale 18 %</w:t>
            </w:r>
          </w:p>
        </w:tc>
        <w:tc>
          <w:tcPr>
            <w:tcW w:type="dxa" w:w="1169"/>
          </w:tcPr>
          <w:p>
            <w:r>
              <w:rPr>
                <w:sz w:val="20"/>
              </w:rPr>
              <w:t>Indifférent</w:t>
            </w:r>
          </w:p>
        </w:tc>
      </w:tr>
      <w:tr>
        <w:tc>
          <w:tcPr>
            <w:tcW w:type="dxa" w:w="1169"/>
          </w:tcPr>
          <w:p>
            <w:r>
              <w:rPr>
                <w:sz w:val="20"/>
              </w:rPr>
              <w:t>Olaparib</w:t>
            </w:r>
          </w:p>
        </w:tc>
        <w:tc>
          <w:tcPr>
            <w:tcW w:type="dxa" w:w="1169"/>
          </w:tcPr>
          <w:p>
            <w:r>
              <w:rPr>
                <w:sz w:val="20"/>
              </w:rPr>
              <w:t>Variable</w:t>
            </w:r>
          </w:p>
        </w:tc>
        <w:tc>
          <w:tcPr>
            <w:tcW w:type="dxa" w:w="1169"/>
          </w:tcPr>
          <w:p>
            <w:r>
              <w:rPr>
                <w:sz w:val="20"/>
              </w:rPr>
              <w:t>1,5</w:t>
            </w:r>
          </w:p>
        </w:tc>
        <w:tc>
          <w:tcPr>
            <w:tcW w:type="dxa" w:w="1169"/>
          </w:tcPr>
          <w:p>
            <w:r>
              <w:rPr>
                <w:sz w:val="20"/>
              </w:rPr>
              <w:t>14</w:t>
            </w:r>
          </w:p>
        </w:tc>
        <w:tc>
          <w:tcPr>
            <w:tcW w:type="dxa" w:w="1169"/>
          </w:tcPr>
          <w:p>
            <w:r>
              <w:rPr>
                <w:sz w:val="20"/>
              </w:rPr>
              <w:t>82</w:t>
            </w:r>
          </w:p>
        </w:tc>
        <w:tc>
          <w:tcPr>
            <w:tcW w:type="dxa" w:w="1169"/>
          </w:tcPr>
          <w:p>
            <w:r>
              <w:rPr>
                <w:sz w:val="20"/>
              </w:rPr>
              <w:t>CYP3A4, P-gp, UGT</w:t>
            </w:r>
          </w:p>
        </w:tc>
        <w:tc>
          <w:tcPr>
            <w:tcW w:type="dxa" w:w="1169"/>
          </w:tcPr>
          <w:p>
            <w:r>
              <w:rPr>
                <w:sz w:val="20"/>
              </w:rPr>
              <w:t>Fécale 64 %, rénale 31 %</w:t>
            </w:r>
          </w:p>
        </w:tc>
        <w:tc>
          <w:tcPr>
            <w:tcW w:type="dxa" w:w="1169"/>
          </w:tcPr>
          <w:p>
            <w:r>
              <w:rPr>
                <w:sz w:val="20"/>
              </w:rPr>
              <w:t>Indifférent</w:t>
            </w:r>
          </w:p>
        </w:tc>
      </w:tr>
      <w:tr>
        <w:tc>
          <w:tcPr>
            <w:tcW w:type="dxa" w:w="1169"/>
          </w:tcPr>
          <w:p>
            <w:r>
              <w:rPr>
                <w:sz w:val="20"/>
              </w:rPr>
              <w:t>Niraparib</w:t>
            </w:r>
          </w:p>
        </w:tc>
        <w:tc>
          <w:tcPr>
            <w:tcW w:type="dxa" w:w="1169"/>
          </w:tcPr>
          <w:p>
            <w:r>
              <w:rPr>
                <w:sz w:val="20"/>
              </w:rPr>
              <w:t>73 %</w:t>
            </w:r>
          </w:p>
        </w:tc>
        <w:tc>
          <w:tcPr>
            <w:tcW w:type="dxa" w:w="1169"/>
          </w:tcPr>
          <w:p>
            <w:r>
              <w:rPr>
                <w:sz w:val="20"/>
              </w:rPr>
              <w:t>3</w:t>
            </w:r>
          </w:p>
        </w:tc>
        <w:tc>
          <w:tcPr>
            <w:tcW w:type="dxa" w:w="1169"/>
          </w:tcPr>
          <w:p>
            <w:r>
              <w:rPr>
                <w:sz w:val="20"/>
              </w:rPr>
              <w:t>36</w:t>
            </w:r>
          </w:p>
        </w:tc>
        <w:tc>
          <w:tcPr>
            <w:tcW w:type="dxa" w:w="1169"/>
          </w:tcPr>
          <w:p>
            <w:r>
              <w:rPr>
                <w:sz w:val="20"/>
              </w:rPr>
              <w:t>83</w:t>
            </w:r>
          </w:p>
        </w:tc>
        <w:tc>
          <w:tcPr>
            <w:tcW w:type="dxa" w:w="1169"/>
          </w:tcPr>
          <w:p>
            <w:r>
              <w:rPr>
                <w:sz w:val="20"/>
              </w:rPr>
              <w:t>Carboxylestérases (CES1/2), CYP3A4 (mineur)</w:t>
            </w:r>
          </w:p>
        </w:tc>
        <w:tc>
          <w:tcPr>
            <w:tcW w:type="dxa" w:w="1169"/>
          </w:tcPr>
          <w:p>
            <w:r>
              <w:rPr>
                <w:sz w:val="20"/>
              </w:rPr>
              <w:t>Fécale 49 %, rénale 45 %</w:t>
            </w:r>
          </w:p>
        </w:tc>
        <w:tc>
          <w:tcPr>
            <w:tcW w:type="dxa" w:w="1169"/>
          </w:tcPr>
          <w:p>
            <w:r>
              <w:rPr>
                <w:sz w:val="20"/>
              </w:rPr>
              <w:t>Indifférent</w:t>
            </w:r>
          </w:p>
        </w:tc>
      </w:tr>
      <w:tr>
        <w:tc>
          <w:tcPr>
            <w:tcW w:type="dxa" w:w="1169"/>
          </w:tcPr>
          <w:p>
            <w:r>
              <w:rPr>
                <w:sz w:val="20"/>
              </w:rPr>
              <w:t>Bortézomib</w:t>
            </w:r>
          </w:p>
        </w:tc>
        <w:tc>
          <w:tcPr>
            <w:tcW w:type="dxa" w:w="1169"/>
          </w:tcPr>
          <w:p>
            <w:r>
              <w:rPr>
                <w:sz w:val="20"/>
              </w:rPr>
              <w:t>— (IV/SC)</w:t>
            </w:r>
          </w:p>
        </w:tc>
        <w:tc>
          <w:tcPr>
            <w:tcW w:type="dxa" w:w="1169"/>
          </w:tcPr>
          <w:p>
            <w:r>
              <w:rPr>
                <w:sz w:val="20"/>
              </w:rPr>
              <w:t>—</w:t>
            </w:r>
          </w:p>
        </w:tc>
        <w:tc>
          <w:tcPr>
            <w:tcW w:type="dxa" w:w="1169"/>
          </w:tcPr>
          <w:p>
            <w:r>
              <w:rPr>
                <w:sz w:val="20"/>
              </w:rPr>
              <w:t>9-15 (IV) ; 76-108 (multidose)</w:t>
            </w:r>
          </w:p>
        </w:tc>
        <w:tc>
          <w:tcPr>
            <w:tcW w:type="dxa" w:w="1169"/>
          </w:tcPr>
          <w:p>
            <w:r>
              <w:rPr>
                <w:sz w:val="20"/>
              </w:rPr>
              <w:t>83</w:t>
            </w:r>
          </w:p>
        </w:tc>
        <w:tc>
          <w:tcPr>
            <w:tcW w:type="dxa" w:w="1169"/>
          </w:tcPr>
          <w:p>
            <w:r>
              <w:rPr>
                <w:sz w:val="20"/>
              </w:rPr>
              <w:t>CYP3A4, CYP2C9, CYP1A2</w:t>
            </w:r>
          </w:p>
        </w:tc>
        <w:tc>
          <w:tcPr>
            <w:tcW w:type="dxa" w:w="1169"/>
          </w:tcPr>
          <w:p>
            <w:r>
              <w:rPr>
                <w:sz w:val="20"/>
              </w:rPr>
              <w:t>Fécale/rénale</w:t>
            </w:r>
          </w:p>
        </w:tc>
        <w:tc>
          <w:tcPr>
            <w:tcW w:type="dxa" w:w="1169"/>
          </w:tcPr>
          <w:p>
            <w:r>
              <w:rPr>
                <w:sz w:val="20"/>
              </w:rPr>
              <w:t>—</w:t>
            </w:r>
          </w:p>
        </w:tc>
      </w:tr>
      <w:tr>
        <w:tc>
          <w:tcPr>
            <w:tcW w:type="dxa" w:w="1169"/>
          </w:tcPr>
          <w:p>
            <w:r>
              <w:rPr>
                <w:sz w:val="20"/>
              </w:rPr>
              <w:t>Carfilzomib</w:t>
            </w:r>
          </w:p>
        </w:tc>
        <w:tc>
          <w:tcPr>
            <w:tcW w:type="dxa" w:w="1169"/>
          </w:tcPr>
          <w:p>
            <w:r>
              <w:rPr>
                <w:sz w:val="20"/>
              </w:rPr>
              <w:t>— (IV)</w:t>
            </w:r>
          </w:p>
        </w:tc>
        <w:tc>
          <w:tcPr>
            <w:tcW w:type="dxa" w:w="1169"/>
          </w:tcPr>
          <w:p>
            <w:r>
              <w:rPr>
                <w:sz w:val="20"/>
              </w:rPr>
              <w:t>—</w:t>
            </w:r>
          </w:p>
        </w:tc>
        <w:tc>
          <w:tcPr>
            <w:tcW w:type="dxa" w:w="1169"/>
          </w:tcPr>
          <w:p>
            <w:r>
              <w:rPr>
                <w:sz w:val="20"/>
              </w:rPr>
              <w:t>&lt; 1 (parent) ; &gt; 24 (métabolites)</w:t>
            </w:r>
          </w:p>
        </w:tc>
        <w:tc>
          <w:tcPr>
            <w:tcW w:type="dxa" w:w="1169"/>
          </w:tcPr>
          <w:p>
            <w:r>
              <w:rPr>
                <w:sz w:val="20"/>
              </w:rPr>
              <w:t>97</w:t>
            </w:r>
          </w:p>
        </w:tc>
        <w:tc>
          <w:tcPr>
            <w:tcW w:type="dxa" w:w="1169"/>
          </w:tcPr>
          <w:p>
            <w:r>
              <w:rPr>
                <w:sz w:val="20"/>
              </w:rPr>
              <w:t>Peptidases (extra-hépatique), CYP3A4 (mineur)</w:t>
            </w:r>
          </w:p>
        </w:tc>
        <w:tc>
          <w:tcPr>
            <w:tcW w:type="dxa" w:w="1169"/>
          </w:tcPr>
          <w:p>
            <w:r>
              <w:rPr>
                <w:sz w:val="20"/>
              </w:rPr>
              <w:t>Peptidases</w:t>
            </w:r>
          </w:p>
        </w:tc>
        <w:tc>
          <w:tcPr>
            <w:tcW w:type="dxa" w:w="1169"/>
          </w:tcPr>
          <w:p>
            <w:r>
              <w:rPr>
                <w:sz w:val="20"/>
              </w:rPr>
              <w:t>—</w:t>
            </w:r>
          </w:p>
        </w:tc>
      </w:tr>
      <w:tr>
        <w:tc>
          <w:tcPr>
            <w:tcW w:type="dxa" w:w="1169"/>
          </w:tcPr>
          <w:p>
            <w:r>
              <w:rPr>
                <w:sz w:val="20"/>
              </w:rPr>
              <w:t>Ixazomib</w:t>
            </w:r>
          </w:p>
        </w:tc>
        <w:tc>
          <w:tcPr>
            <w:tcW w:type="dxa" w:w="1169"/>
          </w:tcPr>
          <w:p>
            <w:r>
              <w:rPr>
                <w:sz w:val="20"/>
              </w:rPr>
              <w:t>58 %</w:t>
            </w:r>
          </w:p>
        </w:tc>
        <w:tc>
          <w:tcPr>
            <w:tcW w:type="dxa" w:w="1169"/>
          </w:tcPr>
          <w:p>
            <w:r>
              <w:rPr>
                <w:sz w:val="20"/>
              </w:rPr>
              <w:t>1</w:t>
            </w:r>
          </w:p>
        </w:tc>
        <w:tc>
          <w:tcPr>
            <w:tcW w:type="dxa" w:w="1169"/>
          </w:tcPr>
          <w:p>
            <w:r>
              <w:rPr>
                <w:sz w:val="20"/>
              </w:rPr>
              <w:t>9,4 (journée 1) ; 18 (multidose)</w:t>
            </w:r>
          </w:p>
        </w:tc>
        <w:tc>
          <w:tcPr>
            <w:tcW w:type="dxa" w:w="1169"/>
          </w:tcPr>
          <w:p>
            <w:r>
              <w:rPr>
                <w:sz w:val="20"/>
              </w:rPr>
              <w:t>99</w:t>
            </w:r>
          </w:p>
        </w:tc>
        <w:tc>
          <w:tcPr>
            <w:tcW w:type="dxa" w:w="1169"/>
          </w:tcPr>
          <w:p>
            <w:r>
              <w:rPr>
                <w:sz w:val="20"/>
              </w:rPr>
              <w:t>CYP3A4 (mineur)</w:t>
            </w:r>
          </w:p>
        </w:tc>
        <w:tc>
          <w:tcPr>
            <w:tcW w:type="dxa" w:w="1169"/>
          </w:tcPr>
          <w:p>
            <w:r>
              <w:rPr>
                <w:sz w:val="20"/>
              </w:rPr>
              <w:t>Fécale 62 %, rénale 22 %</w:t>
            </w:r>
          </w:p>
        </w:tc>
        <w:tc>
          <w:tcPr>
            <w:tcW w:type="dxa" w:w="1169"/>
          </w:tcPr>
          <w:p>
            <w:r>
              <w:rPr>
                <w:sz w:val="20"/>
              </w:rPr>
              <w:t>À jeun (1h avant / 2h après repas)</w:t>
            </w:r>
          </w:p>
        </w:tc>
      </w:tr>
      <w:tr>
        <w:tc>
          <w:tcPr>
            <w:tcW w:type="dxa" w:w="1169"/>
          </w:tcPr>
          <w:p>
            <w:r>
              <w:rPr>
                <w:sz w:val="20"/>
              </w:rPr>
              <w:t>Lénalidomide</w:t>
            </w:r>
          </w:p>
        </w:tc>
        <w:tc>
          <w:tcPr>
            <w:tcW w:type="dxa" w:w="1169"/>
          </w:tcPr>
          <w:p>
            <w:r>
              <w:rPr>
                <w:sz w:val="20"/>
              </w:rPr>
              <w:t>50 %</w:t>
            </w:r>
          </w:p>
        </w:tc>
        <w:tc>
          <w:tcPr>
            <w:tcW w:type="dxa" w:w="1169"/>
          </w:tcPr>
          <w:p>
            <w:r>
              <w:rPr>
                <w:sz w:val="20"/>
              </w:rPr>
              <w:t>1-1,5</w:t>
            </w:r>
          </w:p>
        </w:tc>
        <w:tc>
          <w:tcPr>
            <w:tcW w:type="dxa" w:w="1169"/>
          </w:tcPr>
          <w:p>
            <w:r>
              <w:rPr>
                <w:sz w:val="20"/>
              </w:rPr>
              <w:t>3</w:t>
            </w:r>
          </w:p>
        </w:tc>
        <w:tc>
          <w:tcPr>
            <w:tcW w:type="dxa" w:w="1169"/>
          </w:tcPr>
          <w:p>
            <w:r>
              <w:rPr>
                <w:sz w:val="20"/>
              </w:rPr>
              <w:t>30</w:t>
            </w:r>
          </w:p>
        </w:tc>
        <w:tc>
          <w:tcPr>
            <w:tcW w:type="dxa" w:w="1169"/>
          </w:tcPr>
          <w:p>
            <w:r>
              <w:rPr>
                <w:sz w:val="20"/>
              </w:rPr>
              <w:t>Hydrolyse non enzymatique (pas de CYP)</w:t>
            </w:r>
          </w:p>
        </w:tc>
        <w:tc>
          <w:tcPr>
            <w:tcW w:type="dxa" w:w="1169"/>
          </w:tcPr>
          <w:p>
            <w:r>
              <w:rPr>
                <w:sz w:val="20"/>
              </w:rPr>
              <w:t>Rénale 90 % (filtration + sécrétion tubulaire)</w:t>
            </w:r>
          </w:p>
        </w:tc>
        <w:tc>
          <w:tcPr>
            <w:tcW w:type="dxa" w:w="1169"/>
          </w:tcPr>
          <w:p>
            <w:r>
              <w:rPr>
                <w:sz w:val="20"/>
              </w:rPr>
              <w:t>Indifférent</w:t>
            </w:r>
          </w:p>
        </w:tc>
      </w:tr>
      <w:tr>
        <w:tc>
          <w:tcPr>
            <w:tcW w:type="dxa" w:w="1169"/>
          </w:tcPr>
          <w:p>
            <w:r>
              <w:rPr>
                <w:sz w:val="20"/>
              </w:rPr>
              <w:t>Pomalidomide</w:t>
            </w:r>
          </w:p>
        </w:tc>
        <w:tc>
          <w:tcPr>
            <w:tcW w:type="dxa" w:w="1169"/>
          </w:tcPr>
          <w:p>
            <w:r>
              <w:rPr>
                <w:sz w:val="20"/>
              </w:rPr>
              <w:t>73 %</w:t>
            </w:r>
          </w:p>
        </w:tc>
        <w:tc>
          <w:tcPr>
            <w:tcW w:type="dxa" w:w="1169"/>
          </w:tcPr>
          <w:p>
            <w:r>
              <w:rPr>
                <w:sz w:val="20"/>
              </w:rPr>
              <w:t>2-3</w:t>
            </w:r>
          </w:p>
        </w:tc>
        <w:tc>
          <w:tcPr>
            <w:tcW w:type="dxa" w:w="1169"/>
          </w:tcPr>
          <w:p>
            <w:r>
              <w:rPr>
                <w:sz w:val="20"/>
              </w:rPr>
              <w:t>9,5</w:t>
            </w:r>
          </w:p>
        </w:tc>
        <w:tc>
          <w:tcPr>
            <w:tcW w:type="dxa" w:w="1169"/>
          </w:tcPr>
          <w:p>
            <w:r>
              <w:rPr>
                <w:sz w:val="20"/>
              </w:rPr>
              <w:t>12-44</w:t>
            </w:r>
          </w:p>
        </w:tc>
        <w:tc>
          <w:tcPr>
            <w:tcW w:type="dxa" w:w="1169"/>
          </w:tcPr>
          <w:p>
            <w:r>
              <w:rPr>
                <w:sz w:val="20"/>
              </w:rPr>
              <w:t>Hydrolyse non enzymatique, CYP1A2 (mineur 30 %), CYP3A4 (mineur)</w:t>
            </w:r>
          </w:p>
        </w:tc>
        <w:tc>
          <w:tcPr>
            <w:tcW w:type="dxa" w:w="1169"/>
          </w:tcPr>
          <w:p>
            <w:r>
              <w:rPr>
                <w:sz w:val="20"/>
              </w:rPr>
              <w:t>Fécale 73 %, rénale 15 %</w:t>
            </w:r>
          </w:p>
        </w:tc>
        <w:tc>
          <w:tcPr>
            <w:tcW w:type="dxa" w:w="1169"/>
          </w:tcPr>
          <w:p>
            <w:r>
              <w:rPr>
                <w:sz w:val="20"/>
              </w:rPr>
              <w:t>Indifférent</w:t>
            </w:r>
          </w:p>
        </w:tc>
      </w:tr>
      <w:tr>
        <w:tc>
          <w:tcPr>
            <w:tcW w:type="dxa" w:w="1169"/>
          </w:tcPr>
          <w:p>
            <w:r>
              <w:rPr>
                <w:sz w:val="20"/>
              </w:rPr>
              <w:t>Venetoclax</w:t>
            </w:r>
          </w:p>
        </w:tc>
        <w:tc>
          <w:tcPr>
            <w:tcW w:type="dxa" w:w="1169"/>
          </w:tcPr>
          <w:p>
            <w:r>
              <w:rPr>
                <w:sz w:val="20"/>
              </w:rPr>
              <w:t>Variable</w:t>
            </w:r>
          </w:p>
        </w:tc>
        <w:tc>
          <w:tcPr>
            <w:tcW w:type="dxa" w:w="1169"/>
          </w:tcPr>
          <w:p>
            <w:r>
              <w:rPr>
                <w:sz w:val="20"/>
              </w:rPr>
              <w:t>5-8</w:t>
            </w:r>
          </w:p>
        </w:tc>
        <w:tc>
          <w:tcPr>
            <w:tcW w:type="dxa" w:w="1169"/>
          </w:tcPr>
          <w:p>
            <w:r>
              <w:rPr>
                <w:sz w:val="20"/>
              </w:rPr>
              <w:t>26</w:t>
            </w:r>
          </w:p>
        </w:tc>
        <w:tc>
          <w:tcPr>
            <w:tcW w:type="dxa" w:w="1169"/>
          </w:tcPr>
          <w:p>
            <w:r>
              <w:rPr>
                <w:sz w:val="20"/>
              </w:rPr>
              <w:t>99</w:t>
            </w:r>
          </w:p>
        </w:tc>
        <w:tc>
          <w:tcPr>
            <w:tcW w:type="dxa" w:w="1169"/>
          </w:tcPr>
          <w:p>
            <w:r>
              <w:rPr>
                <w:sz w:val="20"/>
              </w:rPr>
              <w:t>CYP3A4 (major), CYP2C9 (mineur)</w:t>
            </w:r>
          </w:p>
        </w:tc>
        <w:tc>
          <w:tcPr>
            <w:tcW w:type="dxa" w:w="1169"/>
          </w:tcPr>
          <w:p>
            <w:r>
              <w:rPr>
                <w:sz w:val="20"/>
              </w:rPr>
              <w:t>Fécale 99,9 %, rénale &lt; 0,1 %</w:t>
            </w:r>
          </w:p>
        </w:tc>
        <w:tc>
          <w:tcPr>
            <w:tcW w:type="dxa" w:w="1169"/>
          </w:tcPr>
          <w:p>
            <w:r>
              <w:rPr>
                <w:sz w:val="20"/>
              </w:rPr>
              <w:t>Avec repas (×3,4 ASC)</w:t>
            </w:r>
          </w:p>
        </w:tc>
      </w:tr>
      <w:tr>
        <w:tc>
          <w:tcPr>
            <w:tcW w:type="dxa" w:w="1169"/>
          </w:tcPr>
          <w:p>
            <w:r>
              <w:rPr>
                <w:sz w:val="20"/>
              </w:rPr>
              <w:t>Vismodegib</w:t>
            </w:r>
          </w:p>
        </w:tc>
        <w:tc>
          <w:tcPr>
            <w:tcW w:type="dxa" w:w="1169"/>
          </w:tcPr>
          <w:p>
            <w:r>
              <w:rPr>
                <w:sz w:val="20"/>
              </w:rPr>
              <w:t>32 %</w:t>
            </w:r>
          </w:p>
        </w:tc>
        <w:tc>
          <w:tcPr>
            <w:tcW w:type="dxa" w:w="1169"/>
          </w:tcPr>
          <w:p>
            <w:r>
              <w:rPr>
                <w:sz w:val="20"/>
              </w:rPr>
              <w:t>Variable</w:t>
            </w:r>
          </w:p>
        </w:tc>
        <w:tc>
          <w:tcPr>
            <w:tcW w:type="dxa" w:w="1169"/>
          </w:tcPr>
          <w:p>
            <w:r>
              <w:rPr>
                <w:sz w:val="20"/>
              </w:rPr>
              <w:t>4 jours (96 h) continu</w:t>
            </w:r>
          </w:p>
        </w:tc>
        <w:tc>
          <w:tcPr>
            <w:tcW w:type="dxa" w:w="1169"/>
          </w:tcPr>
          <w:p>
            <w:r>
              <w:rPr>
                <w:sz w:val="20"/>
              </w:rPr>
              <w:t>99</w:t>
            </w:r>
          </w:p>
        </w:tc>
        <w:tc>
          <w:tcPr>
            <w:tcW w:type="dxa" w:w="1169"/>
          </w:tcPr>
          <w:p>
            <w:r>
              <w:rPr>
                <w:sz w:val="20"/>
              </w:rPr>
              <w:t>CYP2C9, CYP3A4, CYP2C19 (mineurs)</w:t>
            </w:r>
          </w:p>
        </w:tc>
        <w:tc>
          <w:tcPr>
            <w:tcW w:type="dxa" w:w="1169"/>
          </w:tcPr>
          <w:p>
            <w:r>
              <w:rPr>
                <w:sz w:val="20"/>
              </w:rPr>
              <w:t>Fécale 48 %, rénale 42 %</w:t>
            </w:r>
          </w:p>
        </w:tc>
        <w:tc>
          <w:tcPr>
            <w:tcW w:type="dxa" w:w="1169"/>
          </w:tcPr>
          <w:p>
            <w:r>
              <w:rPr>
                <w:sz w:val="20"/>
              </w:rPr>
              <w:t>Indifférent</w:t>
            </w:r>
          </w:p>
        </w:tc>
      </w:tr>
    </w:tbl>
    <w:p/>
    <w:p>
      <w:pPr>
        <w:pStyle w:val="Heading3"/>
      </w:pPr>
      <w:r>
        <w:t>Règles générales d'adaptation</w:t>
      </w:r>
    </w:p>
    <w:p>
      <w:pPr>
        <w:pStyle w:val="ListNumber"/>
      </w:pPr>
      <w:r/>
      <w:r>
        <w:rPr>
          <w:b/>
        </w:rPr>
        <w:t>Insuffisance rénale</w:t>
      </w:r>
      <w:r>
        <w:t xml:space="preserve"> : les DCI à élimination rénale prédominante (lénalidomide, pomalidomide) nécessitent une adaptation posologique stricte selon le DFG : DFG 30-50 mL/min → dose réduite (10 mg/j lénalidomide, 3 mg/j pomalidomide) ; DFG &lt; 30 mL/min sans dialyse → dose très réduite (15 mg tous les 2 jours lénalidomide, 2 mg/j pomalidomide) ; DFG &lt; 30 mL/min en dialyse → dose minimale (5 mg/j de dialyse lénalidomide, 2 mg/j de dialyse pomalidomide). Pour les autres DCI, l'adaptation est moins stricte mais la surveillance est renforcée (notamment pour le venetoclax en cas de CrCl &lt; 80 mL/min, risque majoré de SLT).</w:t>
      </w:r>
    </w:p>
    <w:p>
      <w:pPr>
        <w:pStyle w:val="ListNumber"/>
      </w:pPr>
      <w:r/>
      <w:r>
        <w:rPr>
          <w:b/>
        </w:rPr>
        <w:t>Insuffisance hépatique</w:t>
      </w:r>
      <w:r>
        <w:t xml:space="preserve"> : les DCI à métabolisme hépatique principal (everolimus, sirolimus, palbociclib, olaparib, niraparib, bortézomib, ixazomib, venetoclax) nécessitent une adaptation posologique selon le score de Child-Pugh : Child A → pas d'adaptation ; Child B → réduction à 50-75 % de la dose standard ; Child C → surveillance stricte ou contre-indication relative.</w:t>
      </w:r>
    </w:p>
    <w:p>
      <w:pPr>
        <w:pStyle w:val="ListNumber"/>
      </w:pPr>
      <w:r/>
      <w:r>
        <w:rPr>
          <w:b/>
        </w:rPr>
        <w:t>Inducteurs enzymatiques</w:t>
      </w:r>
      <w:r>
        <w:t xml:space="preserve"> : les inducteurs puissants du CYP3A4 (rifampicine, phénytoïne, carbamazépine, phénobarbital, millepertuis) doivent être évités pour la majorité des DCI de ce chapitre (réduction de l'ASC et de l'efficacité). Préférer des alternatives non inductrices : rifabutine (rifampicine → moindre inducteur), lévétiracetam ou lamotrigine (phénytoïne, carbamazépine).</w:t>
      </w:r>
    </w:p>
    <w:p>
      <w:pPr>
        <w:pStyle w:val="ListNumber"/>
      </w:pPr>
      <w:r/>
      <w:r>
        <w:rPr>
          <w:b/>
        </w:rPr>
        <w:t>Inhibiteurs enzymatiques</w:t>
      </w:r>
      <w:r>
        <w:t xml:space="preserve"> : les inhibiteurs puissants du CYP3A4 (kétoconazole proscrit en France depuis 2013, itraconazole, voriconazole, posaconazole, clarithromycine, ritonavir, cobicistat) doivent être évités ou conduire à une réduction de dose des DCI de ce chapitre. Préférer des alternatives non inhibitrices : fluconazole (kétoconazole), azithromycine (clarithromycine).</w:t>
      </w:r>
    </w:p>
    <w:p>
      <w:pPr>
        <w:pStyle w:val="Heading2"/>
      </w:pPr>
      <w:r>
        <w:t>Annexe 105.B — Précautions particulières chez la femme en âge de procréer et chez l'homme traité</w:t>
      </w:r>
    </w:p>
    <w:p>
      <w:r>
        <w:t>La prescription des DCI de ce chapitre chez la femme en âge de procréer et chez l'homme traité nécessite des précautions particulières :</w:t>
      </w:r>
    </w:p>
    <w:p>
      <w:pPr>
        <w:pStyle w:val="ListNumber"/>
      </w:pPr>
      <w:r/>
      <w:r>
        <w:rPr>
          <w:b/>
        </w:rPr>
        <w:t>Tératogénicité universelle</w:t>
      </w:r>
      <w:r>
        <w:t xml:space="preserve"> : toutes les DCI de ce chapitre sont tératogènes chez l'animal (malformations cardiovasculaires, squelettiques, rénales, neurologiques). Le risque tératogène est variable selon la molécule, mais toutes imposent une contraception efficace pendant le traitement et après l'arrêt (durée variable selon la demi-vie d'élimination).</w:t>
      </w:r>
    </w:p>
    <w:p>
      <w:pPr>
        <w:pStyle w:val="ListNumber"/>
      </w:pPr>
      <w:r/>
      <w:r>
        <w:rPr>
          <w:b/>
        </w:rPr>
        <w:t>Programme de prévention des grossesses (PPPM) OBLIGATOIRE pour les IMiD et le vismodegib</w:t>
      </w:r>
      <w:r>
        <w:t xml:space="preserve"> : le lénalidomide, le pomalidomide (catégorie X, tératogènes majeurs type thalidomide) et le vismodegib (catégorie X, voie Hedgehog embryonnaire) imposent un PPPM strict : questionnaire systématique à chaque prescription, double contraception chez la femme en âge de procréer (préservatif + contraception orale ou dispositif intra-utérin, 4 semaines avant initiation pour les IMiD, 1 mois pour le vismodegib, pendant le traitement et 4 semaines après l'arrêt pour les IMiD, 24 mois après l'arrêt pour le vismodegib), test de grossesse avant initiation et mensuel (β-hCG quantitatif) ; préservatif chez l'homme traité (4 semaines après l'arrêt pour les IMiD, 2 mois après l'arrêt pour le vismodegib).</w:t>
      </w:r>
    </w:p>
    <w:p>
      <w:pPr>
        <w:pStyle w:val="ListNumber"/>
      </w:pPr>
      <w:r/>
      <w:r>
        <w:rPr>
          <w:b/>
        </w:rPr>
        <w:t>Conservation de sperme et d'ovocytes/embryons</w:t>
      </w:r>
      <w:r>
        <w:t xml:space="preserve"> : recommandée avant tout traitement anticancéreux, en raison du risque d'altération de la fertilité (inhibition du protéasome, de mTOR, de CDK4/6, de PARP sur les cellules germinales).</w:t>
      </w:r>
    </w:p>
    <w:p>
      <w:pPr>
        <w:pStyle w:val="ListNumber"/>
      </w:pPr>
      <w:r/>
      <w:r>
        <w:rPr>
          <w:b/>
        </w:rPr>
        <w:t>Test de grossesse pré-conceptionnel</w:t>
      </w:r>
      <w:r>
        <w:t xml:space="preserve"> : avant l'initiation d'un traitement anticancéreux chez une femme en âge de procréer, un test de grossesse (β-hCG quantitatif) doit être réalisé dans les 3 jours précédant la première dose, puis mensuel pendant le traitement et pendant la période de wash-out après l'arrêt.</w:t>
      </w:r>
    </w:p>
    <w:p>
      <w:pPr>
        <w:pStyle w:val="ListNumber"/>
      </w:pPr>
      <w:r/>
      <w:r>
        <w:rPr>
          <w:b/>
        </w:rPr>
        <w:t>Contraception prolongée après l'arrêt</w:t>
      </w:r>
      <w:r>
        <w:t xml:space="preserve"> : la durée de contraception après l'arrêt varie selon la molécule : 1-2 semaines (palbociclib), 3-4 semaines (IMiD), 30 jours (venetoclax), 6 mois (olaparib, niraparib), 7 mois (bortézomib), 12 semaines (sirolimus), 24 mois (vismodegib, en raison de sa longue persistance dans les tissus).</w:t>
      </w:r>
    </w:p>
    <w:p>
      <w:pPr>
        <w:pStyle w:val="ListNumber"/>
      </w:pPr>
      <w:r/>
      <w:r>
        <w:rPr>
          <w:b/>
        </w:rPr>
        <w:t>Switch vers une thérapie compatible pendant la grossesse</w:t>
      </w:r>
      <w:r>
        <w:t xml:space="preserve"> : en cas de grossesse programmée chez une femme en rémission tumorale stable, discussion pluridisciplinaire oncologue-gynécologue pour switch vers une alternative compatible (interféron alpha pour la LCM, chimiothérapie compatible selon l'indication : paclitaxel, doxorubicine liposomale au 2e et 3e trimestre pour le cancer du sein), avec wash-out préalable du traitement anticancéreux.</w:t>
      </w:r>
    </w:p>
    <w:p>
      <w:pPr>
        <w:pStyle w:val="Heading2"/>
      </w:pPr>
      <w:r>
        <w:t>Annexe 105.C — Précautions particulières chez le sujet âgé</w:t>
      </w:r>
    </w:p>
    <w:p>
      <w:r>
        <w:t>La prescription des DCI de ce chapitre chez le sujet âgé (&gt; 75 ans) nécessite des précautions particulières :</w:t>
      </w:r>
    </w:p>
    <w:p>
      <w:pPr>
        <w:pStyle w:val="ListNumber"/>
      </w:pPr>
      <w:r/>
      <w:r>
        <w:rPr>
          <w:b/>
        </w:rPr>
        <w:t>Évaluation gériatrique globale</w:t>
      </w:r>
      <w:r>
        <w:t xml:space="preserve"> : avant initiation, évaluer l'autonomie (ADL, IADL), l'état nutritionnel (MNA), l'état cognitif (MMSE), les comorbidités (Cumulative Illness Rating Scale), la polymédication et le risque de chutes.</w:t>
      </w:r>
    </w:p>
    <w:p>
      <w:pPr>
        <w:pStyle w:val="ListNumber"/>
      </w:pPr>
      <w:r/>
      <w:r>
        <w:rPr>
          <w:b/>
        </w:rPr>
        <w:t>Adaptation posologique</w:t>
      </w:r>
      <w:r>
        <w:t xml:space="preserve"> : en cas d'insuffisance hépatique (fréquente en raison de l'atrophie hépatique sénile) ou rénale (réduction physiologique de la clairance de la créatinine), réduire la dose initiale de 25 à 50 % selon la DCI. Pour le palbociclib, niraparib (dose réduite à 100 mg/j si &lt; 77 kg), venetoclax (ramp-up plus progressif), IMiD (adaptation stricte au DFG), carfilzomib (surveillance cardiovasculaire renforcée), vismodegib (surveillance de la perte de poids et de la dénutrition).</w:t>
      </w:r>
    </w:p>
    <w:p>
      <w:pPr>
        <w:pStyle w:val="ListNumber"/>
      </w:pPr>
      <w:r/>
      <w:r>
        <w:rPr>
          <w:b/>
        </w:rPr>
        <w:t>Surveillance cardiovasculaire renforcée</w:t>
      </w:r>
      <w:r>
        <w:t xml:space="preserve"> : le sujet âgé est à risque accru d'événements cardiovasculaires (insuffisance cardiaque pour le carfilzomib, HTA pour le niraparib, dyslipidémie pour les mTOR, thrombose pour les IMiD). L'évaluation cardiovasculaire complète avant initiation et la surveillance rapprochée sont essentielles.</w:t>
      </w:r>
    </w:p>
    <w:p>
      <w:pPr>
        <w:pStyle w:val="ListNumber"/>
      </w:pPr>
      <w:r/>
      <w:r>
        <w:rPr>
          <w:b/>
        </w:rPr>
        <w:t>Risque d'interactions médicamenteuses majoré</w:t>
      </w:r>
      <w:r>
        <w:t xml:space="preserve"> : la polymédication fréquente chez le sujet âgé (antihypertenseurs, anticoagulants, hypoglycémiants, antidépresseurs, antiarythmiques) expose à un risque accru d'interactions médicamenteuses (CYP3A4, P-gp, allongement du QTc). La vérification systématique des médicaments concomitants avant initiation est obligatoire.</w:t>
      </w:r>
    </w:p>
    <w:p>
      <w:pPr>
        <w:pStyle w:val="ListNumber"/>
      </w:pPr>
      <w:r/>
      <w:r>
        <w:rPr>
          <w:b/>
        </w:rPr>
        <w:t>Risque de chutes</w:t>
      </w:r>
      <w:r>
        <w:t xml:space="preserve"> : la neuropathie périphérique (bortézomib), les spasmes musculaires (vismodegib), la fatigue (toutes DCI), l'hypotension orthostatique (bortézomib) et les cytopénies exposent à un risque accru de chutes, justifiant une évaluation de la marche et de l'équilibre avant initiation.</w:t>
      </w:r>
    </w:p>
    <w:p>
      <w:pPr>
        <w:pStyle w:val="ListNumber"/>
      </w:pPr>
      <w:r/>
      <w:r>
        <w:rPr>
          <w:b/>
        </w:rPr>
        <w:t>Tolérance digestive</w:t>
      </w:r>
      <w:r>
        <w:t xml:space="preserve"> : la diarrhée (palbociclib, ixazomib, IMiD) peut entraîner une déshydratation et une insuffisance rénale fonctionnelle chez le sujet âgé, justifiant une surveillance rapprochée du poids, de la pression artérielle et de la fonction rénale.</w:t>
      </w:r>
    </w:p>
    <w:p>
      <w:pPr>
        <w:pStyle w:val="ListNumber"/>
      </w:pPr>
      <w:r/>
      <w:r>
        <w:rPr>
          <w:b/>
        </w:rPr>
        <w:t>Dénutrition</w:t>
      </w:r>
      <w:r>
        <w:t xml:space="preserve"> : la perte de poids (vismodegib, 40 % des patients), la dysgueusie (vismodegib), la diminution de l'appétit (palbociclib, IMiD, olaparib) peuvent aggraver une dénutrition préexistante, fréquente chez le sujet âgé. Surveillance nutritionnelle mensuelle, suppléments nutritionnels oraux (SNO) si nécessaire.</w:t>
      </w:r>
    </w:p>
    <w:p>
      <w:pPr>
        <w:pStyle w:val="ListNumber"/>
      </w:pPr>
      <w:r/>
      <w:r>
        <w:rPr>
          <w:b/>
        </w:rPr>
        <w:t>Observance</w:t>
      </w:r>
      <w:r>
        <w:t xml:space="preserve"> : la complexité des schémas d'administration (ramp-up du venetoclax, 21/7 du palbociclib et des IMiD, biquotidien de l'olaparib, hebdomadaire de l'ixazomib) peut altérer l'observance chez le sujet âgé. Pilulier hebdomadaire, calendrier d'administration, soutien familial et éducation thérapeutique renforcée sont recommandés.</w:t>
      </w:r>
    </w:p>
    <w:p>
      <w:pPr>
        <w:pStyle w:val="Heading2"/>
      </w:pPr>
      <w:r>
        <w:t>Annexe 105.D — Précautions particulières chez l'enfant et l'adolescent</w:t>
      </w:r>
    </w:p>
    <w:p>
      <w:r>
        <w:t>La prescription des DCI de ce chapitre chez l'enfant et l'adolescent est limitée à certaines indications pédiatriques :</w:t>
      </w:r>
    </w:p>
    <w:p>
      <w:pPr>
        <w:pStyle w:val="ListNumber"/>
      </w:pPr>
      <w:r/>
      <w:r>
        <w:rPr>
          <w:b/>
        </w:rPr>
        <w:t>Everolimus</w:t>
      </w:r>
      <w:r>
        <w:t xml:space="preserve"> : indiqué chez l'enfant (&gt; 1 an) dans les astrocytomes sous-épendymaires géants à cellules (SEGA) associés à la sclérose tubéreuse de Bourneville (dose 4,5 mg/m²/j). Surveillance de la croissance staturo-pondérale et de la puberté (retard possible lié à l'inhibition de mTORC1). Suivi endocrinien pédiatrique recommandé.</w:t>
      </w:r>
    </w:p>
    <w:p>
      <w:pPr>
        <w:pStyle w:val="ListNumber"/>
      </w:pPr>
      <w:r/>
      <w:r>
        <w:rPr>
          <w:b/>
        </w:rPr>
        <w:t>Sirolimus</w:t>
      </w:r>
      <w:r>
        <w:t xml:space="preserve"> : utilisé en transplantation pédiatrique (rein, cœur, foie) à dose adaptée à la surface corporelle. Surveillance de la croissance staturo-pondérale et de la puberté.</w:t>
      </w:r>
    </w:p>
    <w:p>
      <w:pPr>
        <w:pStyle w:val="ListNumber"/>
      </w:pPr>
      <w:r/>
      <w:r>
        <w:rPr>
          <w:b/>
        </w:rPr>
        <w:t>Bortézomib</w:t>
      </w:r>
      <w:r>
        <w:t xml:space="preserve"> : utilisé dans certaines leucémies aiguës lymphoblastiques (LAL) réfractaires en rechute (indication limitée, protocoles expérimentaux), à dose adaptée à la surface corporelle (1,3 mg/m²).</w:t>
      </w:r>
    </w:p>
    <w:p>
      <w:pPr>
        <w:pStyle w:val="ListNumber"/>
      </w:pPr>
      <w:r/>
      <w:r>
        <w:rPr>
          <w:b/>
        </w:rPr>
        <w:t>Adaptation posologique</w:t>
      </w:r>
      <w:r>
        <w:t xml:space="preserve"> : chez l'enfant de poids &lt; 30 kg ou de surface corporelle &lt; 1 m², l'adaptation posologique est basée sur le poids ou la surface corporelle selon la DCI. La surveillance biologique est plus rapprochée que chez l'adulte (NFS-plaquettes hebdomadaire, bilan métabolique mensuel).</w:t>
      </w:r>
    </w:p>
    <w:p>
      <w:pPr>
        <w:pStyle w:val="ListNumber"/>
      </w:pPr>
      <w:r/>
      <w:r>
        <w:rPr>
          <w:b/>
        </w:rPr>
        <w:t>Tératogénicité chez l'adolescente</w:t>
      </w:r>
      <w:r>
        <w:t xml:space="preserve"> : contraception obligatoire dès l'adolescence pour les IMiD, le vismodegib, et toutes les DCI de ce chapitre (tératogènes), avec un projet de grossesse à anticiper en cas de maladie chronique (myélome, LLC) en rémission stable.</w:t>
      </w:r>
    </w:p>
    <w:p>
      <w:pPr>
        <w:pStyle w:val="ListNumber"/>
      </w:pPr>
      <w:r/>
      <w:r>
        <w:rPr>
          <w:b/>
        </w:rPr>
        <w:t>Adaptation galénique</w:t>
      </w:r>
      <w:r>
        <w:t xml:space="preserve"> : les comprimés et gélules pelliculés ne devant pas être écrasés (modification de la pharmacocinétique, amertume, risque tératogène en cas de contact pour le vismodegib et les IMiD), la dispersion dans un verre d'eau ou de jus de pomme (non gazeux) immédiatement avant ingestion est possible pour l'everolimus, le sirolimus et le palbociclib (se référer au RCP). La dispersion est déconseillée pour le bortézomib (forme injectable), le carfilzomib (forme injectable), l'ixazomib, l'olaparib, le niraparib, le lénalidomide (risque tératogène en cas de contact), le pomalidomide (idem), le venetoclax et le vismodegib (formulation gélule ou comprimé à libération modifiée, ou risque d'inhalation).</w:t>
      </w:r>
    </w:p>
    <w:p>
      <w:pPr>
        <w:pStyle w:val="ListNumber"/>
      </w:pPr>
      <w:r/>
      <w:r>
        <w:rPr>
          <w:b/>
        </w:rPr>
        <w:t>Suivi psychologique et scolaire</w:t>
      </w:r>
      <w:r>
        <w:t xml:space="preserve"> : la chronicité du traitement et ses effets indésirables (rash, fatigue, œdèmes, alopécie pour le vismodegib) peuvent retentir sur la vie scolaire et sociale de l'enfant et de l'adolescent ; un accompagnement psychologique et un projet d'accueil individualisé (PAI) à l'école sont recommandés.</w:t>
      </w:r>
    </w:p>
    <w:p>
      <w:pPr>
        <w:pStyle w:val="Heading2"/>
      </w:pPr>
      <w:r>
        <w:t>Annexe 105.E — Interactions médicamenteuses majeures à mémoriser</w:t>
      </w:r>
    </w:p>
    <w:p>
      <w:r>
        <w:t>Le tableau ci-dessous récapitule les interactions médicamenteuses majeures à connaître pour la dispensation en pharmacie de ville et la pratique hospitalière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DCI</w:t>
            </w:r>
          </w:p>
        </w:tc>
        <w:tc>
          <w:tcPr>
            <w:tcW w:type="dxa" w:w="1559"/>
          </w:tcPr>
          <w:p>
            <w:r>
              <w:rPr>
                <w:b/>
                <w:sz w:val="20"/>
              </w:rPr>
              <w:t>Inducteur CYP3A4 (à éviter)</w:t>
            </w:r>
          </w:p>
        </w:tc>
        <w:tc>
          <w:tcPr>
            <w:tcW w:type="dxa" w:w="1559"/>
          </w:tcPr>
          <w:p>
            <w:r>
              <w:rPr>
                <w:b/>
                <w:sz w:val="20"/>
              </w:rPr>
              <w:t>Inhibiteur CYP3A4 (réduire dose DCI)</w:t>
            </w:r>
          </w:p>
        </w:tc>
        <w:tc>
          <w:tcPr>
            <w:tcW w:type="dxa" w:w="1559"/>
          </w:tcPr>
          <w:p>
            <w:r>
              <w:rPr>
                <w:b/>
                <w:sz w:val="20"/>
              </w:rPr>
              <w:t>Substrats à risque (surveillance)</w:t>
            </w:r>
          </w:p>
        </w:tc>
        <w:tc>
          <w:tcPr>
            <w:tcW w:type="dxa" w:w="1559"/>
          </w:tcPr>
          <w:p>
            <w:r>
              <w:rPr>
                <w:b/>
                <w:sz w:val="20"/>
              </w:rPr>
              <w:t>EI signature</w:t>
            </w:r>
          </w:p>
        </w:tc>
        <w:tc>
          <w:tcPr>
            <w:tcW w:type="dxa" w:w="1559"/>
          </w:tcPr>
          <w:p>
            <w:r>
              <w:rPr>
                <w:b/>
                <w:sz w:val="20"/>
              </w:rPr>
              <w:t>Alimentation</w:t>
            </w:r>
          </w:p>
        </w:tc>
      </w:tr>
      <w:tr>
        <w:tc>
          <w:tcPr>
            <w:tcW w:type="dxa" w:w="1559"/>
          </w:tcPr>
          <w:p>
            <w:r>
              <w:rPr>
                <w:sz w:val="20"/>
              </w:rPr>
              <w:t>Everolimus</w:t>
            </w:r>
          </w:p>
        </w:tc>
        <w:tc>
          <w:tcPr>
            <w:tcW w:type="dxa" w:w="1559"/>
          </w:tcPr>
          <w:p>
            <w:r>
              <w:rPr>
                <w:sz w:val="20"/>
              </w:rPr>
              <w:t>Rifampicine (−65 %), phénytoïne, carbamazépine, millepertuis</w:t>
            </w:r>
          </w:p>
        </w:tc>
        <w:tc>
          <w:tcPr>
            <w:tcW w:type="dxa" w:w="1559"/>
          </w:tcPr>
          <w:p>
            <w:r>
              <w:rPr>
                <w:sz w:val="20"/>
              </w:rPr>
              <w:t>Kétoconazole (×15), itraconazole, voriconazole, clarithromycine, ritonavir (réduire à 2,5 mg/j)</w:t>
            </w:r>
          </w:p>
        </w:tc>
        <w:tc>
          <w:tcPr>
            <w:tcW w:type="dxa" w:w="1559"/>
          </w:tcPr>
          <w:p>
            <w:r>
              <w:rPr>
                <w:sz w:val="20"/>
              </w:rPr>
              <w:t>Simvastatine, atorvastatine (préférer pravastatine), tacrolimus, cyclosporine, sirolimus, digoxine, dabigatran</w:t>
            </w:r>
          </w:p>
        </w:tc>
        <w:tc>
          <w:tcPr>
            <w:tcW w:type="dxa" w:w="1559"/>
          </w:tcPr>
          <w:p>
            <w:r>
              <w:rPr>
                <w:sz w:val="20"/>
              </w:rPr>
              <w:t>Pneumopathie interstitielle, stomatite</w:t>
            </w:r>
          </w:p>
        </w:tc>
        <w:tc>
          <w:tcPr>
            <w:tcW w:type="dxa" w:w="1559"/>
          </w:tcPr>
          <w:p>
            <w:r>
              <w:rPr>
                <w:sz w:val="20"/>
              </w:rPr>
              <w:t>Pamplemousse à éviter</w:t>
            </w:r>
          </w:p>
        </w:tc>
      </w:tr>
      <w:tr>
        <w:tc>
          <w:tcPr>
            <w:tcW w:type="dxa" w:w="1559"/>
          </w:tcPr>
          <w:p>
            <w:r>
              <w:rPr>
                <w:sz w:val="20"/>
              </w:rPr>
              <w:t>Sirolimus</w:t>
            </w:r>
          </w:p>
        </w:tc>
        <w:tc>
          <w:tcPr>
            <w:tcW w:type="dxa" w:w="1559"/>
          </w:tcPr>
          <w:p>
            <w:r>
              <w:rPr>
                <w:sz w:val="20"/>
              </w:rPr>
              <w:t>Rifampicine (−80 %), phénytoïne, carbamazépine, millepertuis</w:t>
            </w:r>
          </w:p>
        </w:tc>
        <w:tc>
          <w:tcPr>
            <w:tcW w:type="dxa" w:w="1559"/>
          </w:tcPr>
          <w:p>
            <w:r>
              <w:rPr>
                <w:sz w:val="20"/>
              </w:rPr>
              <w:t>Kétoconazole (×10), itraconazole, voriconazole, clarithromycine, diltiazem (×3,5), ritonavir (réduire à 1 mg/j)</w:t>
            </w:r>
          </w:p>
        </w:tc>
        <w:tc>
          <w:tcPr>
            <w:tcW w:type="dxa" w:w="1559"/>
          </w:tcPr>
          <w:p>
            <w:r>
              <w:rPr>
                <w:sz w:val="20"/>
              </w:rPr>
              <w:t>Simvastatine, tacrolimus, digoxine</w:t>
            </w:r>
          </w:p>
        </w:tc>
        <w:tc>
          <w:tcPr>
            <w:tcW w:type="dxa" w:w="1559"/>
          </w:tcPr>
          <w:p>
            <w:r>
              <w:rPr>
                <w:sz w:val="20"/>
              </w:rPr>
              <w:t>Pneumopathie, dyslipidémie, lymphocèle</w:t>
            </w:r>
          </w:p>
        </w:tc>
        <w:tc>
          <w:tcPr>
            <w:tcW w:type="dxa" w:w="1559"/>
          </w:tcPr>
          <w:p>
            <w:r>
              <w:rPr>
                <w:sz w:val="20"/>
              </w:rPr>
              <w:t>Pamplemousse à éviter</w:t>
            </w:r>
          </w:p>
        </w:tc>
      </w:tr>
      <w:tr>
        <w:tc>
          <w:tcPr>
            <w:tcW w:type="dxa" w:w="1559"/>
          </w:tcPr>
          <w:p>
            <w:r>
              <w:rPr>
                <w:sz w:val="20"/>
              </w:rPr>
              <w:t>Palbociclib</w:t>
            </w:r>
          </w:p>
        </w:tc>
        <w:tc>
          <w:tcPr>
            <w:tcW w:type="dxa" w:w="1559"/>
          </w:tcPr>
          <w:p>
            <w:r>
              <w:rPr>
                <w:sz w:val="20"/>
              </w:rPr>
              <w:t>Rifampicine (−85 %), phénytoïne, carbamazépine, millepertuis</w:t>
            </w:r>
          </w:p>
        </w:tc>
        <w:tc>
          <w:tcPr>
            <w:tcW w:type="dxa" w:w="1559"/>
          </w:tcPr>
          <w:p>
            <w:r>
              <w:rPr>
                <w:sz w:val="20"/>
              </w:rPr>
              <w:t>Kétoconazole (×3), itraconazole, clarithromycine, ritonavir (réduire à 75 mg/j)</w:t>
            </w:r>
          </w:p>
        </w:tc>
        <w:tc>
          <w:tcPr>
            <w:tcW w:type="dxa" w:w="1559"/>
          </w:tcPr>
          <w:p>
            <w:r>
              <w:rPr>
                <w:sz w:val="20"/>
              </w:rPr>
              <w:t>Simvastatine, digoxine, midazolam</w:t>
            </w:r>
          </w:p>
        </w:tc>
        <w:tc>
          <w:tcPr>
            <w:tcW w:type="dxa" w:w="1559"/>
          </w:tcPr>
          <w:p>
            <w:r>
              <w:rPr>
                <w:sz w:val="20"/>
              </w:rPr>
              <w:t>Neutropénie (80 %)</w:t>
            </w:r>
          </w:p>
        </w:tc>
        <w:tc>
          <w:tcPr>
            <w:tcW w:type="dxa" w:w="1559"/>
          </w:tcPr>
          <w:p>
            <w:r>
              <w:rPr>
                <w:sz w:val="20"/>
              </w:rPr>
              <w:t>Pamplemousse à éviter</w:t>
            </w:r>
          </w:p>
        </w:tc>
      </w:tr>
      <w:tr>
        <w:tc>
          <w:tcPr>
            <w:tcW w:type="dxa" w:w="1559"/>
          </w:tcPr>
          <w:p>
            <w:r>
              <w:rPr>
                <w:sz w:val="20"/>
              </w:rPr>
              <w:t>Olaparib</w:t>
            </w:r>
          </w:p>
        </w:tc>
        <w:tc>
          <w:tcPr>
            <w:tcW w:type="dxa" w:w="1559"/>
          </w:tcPr>
          <w:p>
            <w:r>
              <w:rPr>
                <w:sz w:val="20"/>
              </w:rPr>
              <w:t>Rifampicine (−87 %), phénytoïne, carbamazépine, millepertuis</w:t>
            </w:r>
          </w:p>
        </w:tc>
        <w:tc>
          <w:tcPr>
            <w:tcW w:type="dxa" w:w="1559"/>
          </w:tcPr>
          <w:p>
            <w:r>
              <w:rPr>
                <w:sz w:val="20"/>
              </w:rPr>
              <w:t>Kétoconazole (×2,7), itraconazole, clarithromycine, ritonavir (réduire à 100 mg × 2/j)</w:t>
            </w:r>
          </w:p>
        </w:tc>
        <w:tc>
          <w:tcPr>
            <w:tcW w:type="dxa" w:w="1559"/>
          </w:tcPr>
          <w:p>
            <w:r>
              <w:rPr>
                <w:sz w:val="20"/>
              </w:rPr>
              <w:t>Simvastatine, digoxine, metformine, dabigatran</w:t>
            </w:r>
          </w:p>
        </w:tc>
        <w:tc>
          <w:tcPr>
            <w:tcW w:type="dxa" w:w="1559"/>
          </w:tcPr>
          <w:p>
            <w:r>
              <w:rPr>
                <w:sz w:val="20"/>
              </w:rPr>
              <w:t>Anémie, MDS/LAM (long terme)</w:t>
            </w:r>
          </w:p>
        </w:tc>
        <w:tc>
          <w:tcPr>
            <w:tcW w:type="dxa" w:w="1559"/>
          </w:tcPr>
          <w:p>
            <w:r>
              <w:rPr>
                <w:sz w:val="20"/>
              </w:rPr>
              <w:t>Pamplemousse à éviter</w:t>
            </w:r>
          </w:p>
        </w:tc>
      </w:tr>
      <w:tr>
        <w:tc>
          <w:tcPr>
            <w:tcW w:type="dxa" w:w="1559"/>
          </w:tcPr>
          <w:p>
            <w:r>
              <w:rPr>
                <w:sz w:val="20"/>
              </w:rPr>
              <w:t>Niraparib</w:t>
            </w:r>
          </w:p>
        </w:tc>
        <w:tc>
          <w:tcPr>
            <w:tcW w:type="dxa" w:w="1559"/>
          </w:tcPr>
          <w:p>
            <w:r>
              <w:rPr>
                <w:sz w:val="20"/>
              </w:rPr>
              <w:t>Rifampicine (−50 %), phénytoïne, carbamazépine, millepertuis</w:t>
            </w:r>
          </w:p>
        </w:tc>
        <w:tc>
          <w:tcPr>
            <w:tcW w:type="dxa" w:w="1559"/>
          </w:tcPr>
          <w:p>
            <w:r>
              <w:rPr>
                <w:sz w:val="20"/>
              </w:rPr>
              <w:t>Kétoconazole (+92 %), itraconazole, clarithromycine, ritonavir (surveillance)</w:t>
            </w:r>
          </w:p>
        </w:tc>
        <w:tc>
          <w:tcPr>
            <w:tcW w:type="dxa" w:w="1559"/>
          </w:tcPr>
          <w:p>
            <w:r>
              <w:rPr>
                <w:sz w:val="20"/>
              </w:rPr>
              <w:t>Digoxine, dabigatran, metformine</w:t>
            </w:r>
          </w:p>
        </w:tc>
        <w:tc>
          <w:tcPr>
            <w:tcW w:type="dxa" w:w="1559"/>
          </w:tcPr>
          <w:p>
            <w:r>
              <w:rPr>
                <w:sz w:val="20"/>
              </w:rPr>
              <w:t>Thrombopénie, HTA</w:t>
            </w:r>
          </w:p>
        </w:tc>
        <w:tc>
          <w:tcPr>
            <w:tcW w:type="dxa" w:w="1559"/>
          </w:tcPr>
          <w:p>
            <w:r>
              <w:rPr>
                <w:sz w:val="20"/>
              </w:rPr>
              <w:t>Pamplemousse à éviter</w:t>
            </w:r>
          </w:p>
        </w:tc>
      </w:tr>
      <w:tr>
        <w:tc>
          <w:tcPr>
            <w:tcW w:type="dxa" w:w="1559"/>
          </w:tcPr>
          <w:p>
            <w:r>
              <w:rPr>
                <w:sz w:val="20"/>
              </w:rPr>
              <w:t>Bortézomib</w:t>
            </w:r>
          </w:p>
        </w:tc>
        <w:tc>
          <w:tcPr>
            <w:tcW w:type="dxa" w:w="1559"/>
          </w:tcPr>
          <w:p>
            <w:r>
              <w:rPr>
                <w:sz w:val="20"/>
              </w:rPr>
              <w:t>Rifampicine, phénytoïne, carbamazépine, millepertuis, dexaméthasone IV</w:t>
            </w:r>
          </w:p>
        </w:tc>
        <w:tc>
          <w:tcPr>
            <w:tcW w:type="dxa" w:w="1559"/>
          </w:tcPr>
          <w:p>
            <w:r>
              <w:rPr>
                <w:sz w:val="20"/>
              </w:rPr>
              <w:t>Kétoconazole, itraconazole, clarithromycine, ritonavir</w:t>
            </w:r>
          </w:p>
        </w:tc>
        <w:tc>
          <w:tcPr>
            <w:tcW w:type="dxa" w:w="1559"/>
          </w:tcPr>
          <w:p>
            <w:r>
              <w:rPr>
                <w:sz w:val="20"/>
              </w:rPr>
              <w:t>Warfarine (INR), digoxine, amiodarone</w:t>
            </w:r>
          </w:p>
        </w:tc>
        <w:tc>
          <w:tcPr>
            <w:tcW w:type="dxa" w:w="1559"/>
          </w:tcPr>
          <w:p>
            <w:r>
              <w:rPr>
                <w:sz w:val="20"/>
              </w:rPr>
              <w:t>Neuropathie périphérique, thrombopénie</w:t>
            </w:r>
          </w:p>
        </w:tc>
        <w:tc>
          <w:tcPr>
            <w:tcW w:type="dxa" w:w="1559"/>
          </w:tcPr>
          <w:p>
            <w:r>
              <w:rPr>
                <w:sz w:val="20"/>
              </w:rPr>
              <w:t>Indifférent (parentéral)</w:t>
            </w:r>
          </w:p>
        </w:tc>
      </w:tr>
      <w:tr>
        <w:tc>
          <w:tcPr>
            <w:tcW w:type="dxa" w:w="1559"/>
          </w:tcPr>
          <w:p>
            <w:r>
              <w:rPr>
                <w:sz w:val="20"/>
              </w:rPr>
              <w:t>Carfilzomib</w:t>
            </w:r>
          </w:p>
        </w:tc>
        <w:tc>
          <w:tcPr>
            <w:tcW w:type="dxa" w:w="1559"/>
          </w:tcPr>
          <w:p>
            <w:r>
              <w:rPr>
                <w:sz w:val="20"/>
              </w:rPr>
              <w:t>Inducteurs modérés (peu d'impact)</w:t>
            </w:r>
          </w:p>
        </w:tc>
        <w:tc>
          <w:tcPr>
            <w:tcW w:type="dxa" w:w="1559"/>
          </w:tcPr>
          <w:p>
            <w:r>
              <w:rPr>
                <w:sz w:val="20"/>
              </w:rPr>
              <w:t>Inhibiteurs modérés (peu d'impact)</w:t>
            </w:r>
          </w:p>
        </w:tc>
        <w:tc>
          <w:tcPr>
            <w:tcW w:type="dxa" w:w="1559"/>
          </w:tcPr>
          <w:p>
            <w:r>
              <w:rPr>
                <w:sz w:val="20"/>
              </w:rPr>
              <w:t>Digoxine, warfarine</w:t>
            </w:r>
          </w:p>
        </w:tc>
        <w:tc>
          <w:tcPr>
            <w:tcW w:type="dxa" w:w="1559"/>
          </w:tcPr>
          <w:p>
            <w:r>
              <w:rPr>
                <w:sz w:val="20"/>
              </w:rPr>
              <w:t>Insuffisance cardiaque, HTAP</w:t>
            </w:r>
          </w:p>
        </w:tc>
        <w:tc>
          <w:tcPr>
            <w:tcW w:type="dxa" w:w="1559"/>
          </w:tcPr>
          <w:p>
            <w:r>
              <w:rPr>
                <w:sz w:val="20"/>
              </w:rPr>
              <w:t>Indifférent (parentéral)</w:t>
            </w:r>
          </w:p>
        </w:tc>
      </w:tr>
      <w:tr>
        <w:tc>
          <w:tcPr>
            <w:tcW w:type="dxa" w:w="1559"/>
          </w:tcPr>
          <w:p>
            <w:r>
              <w:rPr>
                <w:sz w:val="20"/>
              </w:rPr>
              <w:t>Ixazomib</w:t>
            </w:r>
          </w:p>
        </w:tc>
        <w:tc>
          <w:tcPr>
            <w:tcW w:type="dxa" w:w="1559"/>
          </w:tcPr>
          <w:p>
            <w:r>
              <w:rPr>
                <w:sz w:val="20"/>
              </w:rPr>
              <w:t>Rifampicine (−74 %), phénytoïne, carbamazépine, millepertuis</w:t>
            </w:r>
          </w:p>
        </w:tc>
        <w:tc>
          <w:tcPr>
            <w:tcW w:type="dxa" w:w="1559"/>
          </w:tcPr>
          <w:p>
            <w:r>
              <w:rPr>
                <w:sz w:val="20"/>
              </w:rPr>
              <w:t>Kétoconazole (+39 %), itraconazole, clarithromycine, ritonavir</w:t>
            </w:r>
          </w:p>
        </w:tc>
        <w:tc>
          <w:tcPr>
            <w:tcW w:type="dxa" w:w="1559"/>
          </w:tcPr>
          <w:p>
            <w:r>
              <w:rPr>
                <w:sz w:val="20"/>
              </w:rPr>
              <w:t>Warfarine, digoxine, midazolam</w:t>
            </w:r>
          </w:p>
        </w:tc>
        <w:tc>
          <w:tcPr>
            <w:tcW w:type="dxa" w:w="1559"/>
          </w:tcPr>
          <w:p>
            <w:r>
              <w:rPr>
                <w:sz w:val="20"/>
              </w:rPr>
              <w:t>Neuropathie, thrombopénie, rash</w:t>
            </w:r>
          </w:p>
        </w:tc>
        <w:tc>
          <w:tcPr>
            <w:tcW w:type="dxa" w:w="1559"/>
          </w:tcPr>
          <w:p>
            <w:r>
              <w:rPr>
                <w:sz w:val="20"/>
              </w:rPr>
              <w:t>À jeun (1h avant / 2h après repas), pamplemousse à éviter</w:t>
            </w:r>
          </w:p>
        </w:tc>
      </w:tr>
      <w:tr>
        <w:tc>
          <w:tcPr>
            <w:tcW w:type="dxa" w:w="1559"/>
          </w:tcPr>
          <w:p>
            <w:r>
              <w:rPr>
                <w:sz w:val="20"/>
              </w:rPr>
              <w:t>Lénalidomide</w:t>
            </w:r>
          </w:p>
        </w:tc>
        <w:tc>
          <w:tcPr>
            <w:tcW w:type="dxa" w:w="1559"/>
          </w:tcPr>
          <w:p>
            <w:r>
              <w:rPr>
                <w:sz w:val="20"/>
              </w:rPr>
              <w:t>Inducteurs et inhibiteurs CYP3A4 (peu d'impact)</w:t>
            </w:r>
          </w:p>
        </w:tc>
        <w:tc>
          <w:tcPr>
            <w:tcW w:type="dxa" w:w="1559"/>
          </w:tcPr>
          <w:p>
            <w:r>
              <w:rPr>
                <w:sz w:val="20"/>
              </w:rPr>
              <w:t>Inhibiteurs OCT2/MATE1/2-K (cimétidine, cisplatine)</w:t>
            </w:r>
          </w:p>
        </w:tc>
        <w:tc>
          <w:tcPr>
            <w:tcW w:type="dxa" w:w="1559"/>
          </w:tcPr>
          <w:p>
            <w:r>
              <w:rPr>
                <w:sz w:val="20"/>
              </w:rPr>
              <w:t>Digoxine, dexaméthasone (pro-thrombotique)</w:t>
            </w:r>
          </w:p>
        </w:tc>
        <w:tc>
          <w:tcPr>
            <w:tcW w:type="dxa" w:w="1559"/>
          </w:tcPr>
          <w:p>
            <w:r>
              <w:rPr>
                <w:sz w:val="20"/>
              </w:rPr>
              <w:t>Neutropénie, thrombose, DRESS</w:t>
            </w:r>
          </w:p>
        </w:tc>
        <w:tc>
          <w:tcPr>
            <w:tcW w:type="dxa" w:w="1559"/>
          </w:tcPr>
          <w:p>
            <w:r>
              <w:rPr>
                <w:sz w:val="20"/>
              </w:rPr>
              <w:t>Indifférent</w:t>
            </w:r>
          </w:p>
        </w:tc>
      </w:tr>
      <w:tr>
        <w:tc>
          <w:tcPr>
            <w:tcW w:type="dxa" w:w="1559"/>
          </w:tcPr>
          <w:p>
            <w:r>
              <w:rPr>
                <w:sz w:val="20"/>
              </w:rPr>
              <w:t>Pomalidomide</w:t>
            </w:r>
          </w:p>
        </w:tc>
        <w:tc>
          <w:tcPr>
            <w:tcW w:type="dxa" w:w="1559"/>
          </w:tcPr>
          <w:p>
            <w:r>
              <w:rPr>
                <w:sz w:val="20"/>
              </w:rPr>
              <w:t>Tabac (CYP1A2), oméprazole (CYP1A2)</w:t>
            </w:r>
          </w:p>
        </w:tc>
        <w:tc>
          <w:tcPr>
            <w:tcW w:type="dxa" w:w="1559"/>
          </w:tcPr>
          <w:p>
            <w:r>
              <w:rPr>
                <w:sz w:val="20"/>
              </w:rPr>
              <w:t>Fluvoxamine, ciprofloxacine (CYP1A2)</w:t>
            </w:r>
          </w:p>
        </w:tc>
        <w:tc>
          <w:tcPr>
            <w:tcW w:type="dxa" w:w="1559"/>
          </w:tcPr>
          <w:p>
            <w:r>
              <w:rPr>
                <w:sz w:val="20"/>
              </w:rPr>
              <w:t>Dexaméthasone (pro-thrombotique)</w:t>
            </w:r>
          </w:p>
        </w:tc>
        <w:tc>
          <w:tcPr>
            <w:tcW w:type="dxa" w:w="1559"/>
          </w:tcPr>
          <w:p>
            <w:r>
              <w:rPr>
                <w:sz w:val="20"/>
              </w:rPr>
              <w:t>Neutropénie, thrombose</w:t>
            </w:r>
          </w:p>
        </w:tc>
        <w:tc>
          <w:tcPr>
            <w:tcW w:type="dxa" w:w="1559"/>
          </w:tcPr>
          <w:p>
            <w:r>
              <w:rPr>
                <w:sz w:val="20"/>
              </w:rPr>
              <w:t>Indifférent, tabac à proscrire</w:t>
            </w:r>
          </w:p>
        </w:tc>
      </w:tr>
      <w:tr>
        <w:tc>
          <w:tcPr>
            <w:tcW w:type="dxa" w:w="1559"/>
          </w:tcPr>
          <w:p>
            <w:r>
              <w:rPr>
                <w:sz w:val="20"/>
              </w:rPr>
              <w:t>Venetoclax</w:t>
            </w:r>
          </w:p>
        </w:tc>
        <w:tc>
          <w:tcPr>
            <w:tcW w:type="dxa" w:w="1559"/>
          </w:tcPr>
          <w:p>
            <w:r>
              <w:rPr>
                <w:sz w:val="20"/>
              </w:rPr>
              <w:t>Rifampicine (−71 %), phénytoïne, carbamazépine, millepertuis</w:t>
            </w:r>
          </w:p>
        </w:tc>
        <w:tc>
          <w:tcPr>
            <w:tcW w:type="dxa" w:w="1559"/>
          </w:tcPr>
          <w:p>
            <w:r>
              <w:rPr>
                <w:sz w:val="20"/>
              </w:rPr>
              <w:t>Kétoconazole (×7), itraconazole, clarithromycine, ritonavir, cobicistat (réduire à 70-100 mg/j) ; fluconazole, érythromycine, diltiazem (réduire à 200 mg/j)</w:t>
            </w:r>
          </w:p>
        </w:tc>
        <w:tc>
          <w:tcPr>
            <w:tcW w:type="dxa" w:w="1559"/>
          </w:tcPr>
          <w:p>
            <w:r>
              <w:rPr>
                <w:sz w:val="20"/>
              </w:rPr>
              <w:t>Digoxine, warfarine, dabigatran, sirolimus, tacrolimus, simvastatine, midazolam</w:t>
            </w:r>
          </w:p>
        </w:tc>
        <w:tc>
          <w:tcPr>
            <w:tcW w:type="dxa" w:w="1559"/>
          </w:tcPr>
          <w:p>
            <w:r>
              <w:rPr>
                <w:sz w:val="20"/>
              </w:rPr>
              <w:t>Syndrome de lyse tumorale (initiation), neutropénie</w:t>
            </w:r>
          </w:p>
        </w:tc>
        <w:tc>
          <w:tcPr>
            <w:tcW w:type="dxa" w:w="1559"/>
          </w:tcPr>
          <w:p>
            <w:r>
              <w:rPr>
                <w:sz w:val="20"/>
              </w:rPr>
              <w:t>Avec repas (×3,4 ASC), pamplemousse CI absolue</w:t>
            </w:r>
          </w:p>
        </w:tc>
      </w:tr>
      <w:tr>
        <w:tc>
          <w:tcPr>
            <w:tcW w:type="dxa" w:w="1559"/>
          </w:tcPr>
          <w:p>
            <w:r>
              <w:rPr>
                <w:sz w:val="20"/>
              </w:rPr>
              <w:t>Vismodegib</w:t>
            </w:r>
          </w:p>
        </w:tc>
        <w:tc>
          <w:tcPr>
            <w:tcW w:type="dxa" w:w="1559"/>
          </w:tcPr>
          <w:p>
            <w:r>
              <w:rPr>
                <w:sz w:val="20"/>
              </w:rPr>
              <w:t>Rifampicine, phénytoïne, carbamazépine (CYP2C9)</w:t>
            </w:r>
          </w:p>
        </w:tc>
        <w:tc>
          <w:tcPr>
            <w:tcW w:type="dxa" w:w="1559"/>
          </w:tcPr>
          <w:p>
            <w:r>
              <w:rPr>
                <w:sz w:val="20"/>
              </w:rPr>
              <w:t>Fluconazole, sulfaméthoxazole (CYP2C9)</w:t>
            </w:r>
          </w:p>
        </w:tc>
        <w:tc>
          <w:tcPr>
            <w:tcW w:type="dxa" w:w="1559"/>
          </w:tcPr>
          <w:p>
            <w:r>
              <w:rPr>
                <w:sz w:val="20"/>
              </w:rPr>
              <w:t>Warfarine (CYP2C9), phénytoïne, oméprazole, clopidogrel, paclitaxel</w:t>
            </w:r>
          </w:p>
        </w:tc>
        <w:tc>
          <w:tcPr>
            <w:tcW w:type="dxa" w:w="1559"/>
          </w:tcPr>
          <w:p>
            <w:r>
              <w:rPr>
                <w:sz w:val="20"/>
              </w:rPr>
              <w:t>Spasmes musculaires, dysgueusie, alopécie</w:t>
            </w:r>
          </w:p>
        </w:tc>
        <w:tc>
          <w:tcPr>
            <w:tcW w:type="dxa" w:w="1559"/>
          </w:tcPr>
          <w:p>
            <w:r>
              <w:rPr>
                <w:sz w:val="20"/>
              </w:rPr>
              <w:t>Indifférent</w:t>
            </w:r>
          </w:p>
        </w:tc>
      </w:tr>
    </w:tbl>
    <w:p/>
    <w:p>
      <w:pPr>
        <w:pStyle w:val="Heading3"/>
      </w:pPr>
      <w:r>
        <w:t>Règles générales d'évitement</w:t>
      </w:r>
    </w:p>
    <w:p>
      <w:pPr>
        <w:pStyle w:val="ListNumber"/>
      </w:pPr>
      <w:r/>
      <w:r>
        <w:rPr>
          <w:b/>
        </w:rPr>
        <w:t>Inducteurs enzymatiques à proscrire</w:t>
      </w:r>
      <w:r>
        <w:t xml:space="preserve"> : rifampicine (alternative : rifabutine, moindre inducteur), phénytoïne (alternative : lévétiracetam, lamotrigine), carbamazépine (alternative : lévétiracetam, lamotrigine), phénobarbital (alternative : lévétiracetam), millepertuis (à proscrire définitivement), tabac pour le pomalidomide (inducteur du CYP1A2).</w:t>
      </w:r>
    </w:p>
    <w:p>
      <w:pPr>
        <w:pStyle w:val="ListNumber"/>
      </w:pPr>
      <w:r/>
      <w:r>
        <w:rPr>
          <w:b/>
        </w:rPr>
        <w:t>Inhibiteurs enzymatiques à éviter ou adapter</w:t>
      </w:r>
      <w:r>
        <w:t xml:space="preserve"> : kétoconazole (proscrit en France depuis 2013, alternative : fluconazole, isavuconazole), itraconazole (alternative : fluconazole), voriconazole, posaconazole (surveillance rapprochée), clarithromycine (alternative : azithromycine), érythromycine (alternative : azithromycine), ritonavir, cobicistat (adapter la dose de DCI selon l'antirétroviral), diltiazem (alternative : inhibiteur calcique non inhibiteur CYP3A4), vérapamil, amiodarone.</w:t>
      </w:r>
    </w:p>
    <w:p>
      <w:pPr>
        <w:pStyle w:val="ListNumber"/>
      </w:pPr>
      <w:r/>
      <w:r>
        <w:rPr>
          <w:b/>
        </w:rPr>
        <w:t>Substrats à index thérapeutique étroit à surveiller</w:t>
      </w:r>
      <w:r>
        <w:t xml:space="preserve"> : warfarine (préférer HBPM : enoxaparine, daltéparine), simvastatine (préférer pravastatine, rosuvastatine), cyclosporine, tacrolimus, sirolimus, digoxine (surveillance de la concentration), dabigatran (surveillance du temps de thrombine), metformine (risque d'acidose lactique en cas d'insuffisance rénale).</w:t>
      </w:r>
    </w:p>
    <w:p>
      <w:pPr>
        <w:pStyle w:val="ListNumber"/>
      </w:pPr>
      <w:r/>
      <w:r>
        <w:rPr>
          <w:b/>
        </w:rPr>
        <w:t>Allongement du QTc à éviter</w:t>
      </w:r>
      <w:r>
        <w:t xml:space="preserve"> : pour le palbociclib, l'olaparib, le niraparib et le carfilzomib, éviter l'association avec les antiarythmiques (amiodarone, sotalol, quinidine, disopyramide), certains antibiotiques (moxifloxacine, érythromycine IV, clarithromycine), antipsychotiques (halopéridol, dropéridol, pimozide), méthadone, ondansétron IV, dompéridone. Surveiller l'ionogramme (kaliémie, magnésémie, calcémie).</w:t>
      </w:r>
    </w:p>
    <w:p>
      <w:pPr>
        <w:pStyle w:val="ListNumber"/>
      </w:pPr>
      <w:r/>
      <w:r>
        <w:rPr>
          <w:b/>
        </w:rPr>
        <w:t>Neurotoxicité additive pour le bortézomib</w:t>
      </w:r>
      <w:r>
        <w:t xml:space="preserve"> : éviter l'association avec les autres médicaments neurotoxiques (vincristine, vinblastine, vinorelbine, taxanes, oxaliplatine, cisplatine, isoniazide, pyridoxine à haute dose, alcool chronique), en raison du risque majoré de neuropathie périphérique sévère.</w:t>
      </w:r>
    </w:p>
    <w:p>
      <w:pPr>
        <w:pStyle w:val="ListNumber"/>
      </w:pPr>
      <w:r/>
      <w:r>
        <w:rPr>
          <w:b/>
        </w:rPr>
        <w:t>Cardiotoxicité additive pour le carfilzomib</w:t>
      </w:r>
      <w:r>
        <w:t xml:space="preserve"> : éviter l'association avec les anthracyclines (doxorubicine, épirubicine), les trastuzumab, les inhibiteurs de l'angiogenèse (sunitinib, sorafenib, bevacizumab), en raison du risque majoré d'insuffisance cardiaque.</w:t>
      </w:r>
    </w:p>
    <w:p>
      <w:pPr>
        <w:pStyle w:val="ListNumber"/>
      </w:pPr>
      <w:r/>
      <w:r>
        <w:rPr>
          <w:b/>
        </w:rPr>
        <w:t>Néphrotoxicité additive pour le bortézomib, le carfilzomib et les IMiD</w:t>
      </w:r>
      <w:r>
        <w:t xml:space="preserve"> : éviter l'association avec les aminosides (gentamicine, amikacine), les produits de contraste iodés, les AINS à forte dose, le tacrolimus, la ciclosporine.</w:t>
      </w:r>
    </w:p>
    <w:p>
      <w:pPr>
        <w:pStyle w:val="ListNumber"/>
      </w:pPr>
      <w:r/>
      <w:r>
        <w:rPr>
          <w:b/>
        </w:rPr>
        <w:t>Alimentation</w:t>
      </w:r>
      <w:r>
        <w:t xml:space="preserve"> : pamplemousse (inhibiteur du CYP3A4 intestinal) à proscrire pour les DCI métabolisées par le CYP3A4 (mTOR, palbociclib, PARP, ixazomib, venetoclax) ; millepertuis (inducteur) à proscrire définitivement ; alcool à limiter (hépatotoxicité additive) ; tabac à proscrire pour le pomalidomide (inducteur du CYP1A2).</w:t>
      </w:r>
    </w:p>
    <w:p>
      <w:pPr>
        <w:pStyle w:val="Heading2"/>
      </w:pPr>
      <w:r>
        <w:t>Annexe 105.F — Recommandations pour la pharmacie d'officine algérienne</w:t>
      </w:r>
    </w:p>
    <w:p>
      <w:r>
        <w:t>La dispensation des DCI de ce chapitre en pharmacie d'officine (suite à une prescription hospitalière spécialisée) représente une opportunité d'éducation thérapeutique et de surveillance des patients algériens traités par thérapie ciblée anticancéreuse. Les recommandations suivantes sont proposées :</w:t>
      </w:r>
    </w:p>
    <w:p>
      <w:pPr>
        <w:pStyle w:val="Heading3"/>
      </w:pPr>
      <w:r>
        <w:t>1. Vérification de la prescription et de la traçabilité</w:t>
      </w:r>
    </w:p>
    <w:p>
      <w:pPr>
        <w:pStyle w:val="ListBullet"/>
      </w:pPr>
      <w:r>
        <w:t>Vérifier l'origine hospitalière de la prescription (service d'oncologie médicale, d'hématologie clinique, de dermatologie oncologique, de néphrologie pour le sirolimus en transplant).</w:t>
      </w:r>
    </w:p>
    <w:p>
      <w:pPr>
        <w:pStyle w:val="ListBullet"/>
      </w:pPr>
      <w:r>
        <w:t>Vérifier l'identité du patient, la date de la prescription, la durée de validité (généralement 6 mois pour les antinéoplasiques oraux).</w:t>
      </w:r>
    </w:p>
    <w:p>
      <w:pPr>
        <w:pStyle w:val="ListBullet"/>
      </w:pPr>
      <w:r>
        <w:t>Vérifier la concordance avec la nomenclature algérienne des médicaments (nom commercial, dosage, conditionnement).</w:t>
      </w:r>
    </w:p>
    <w:p>
      <w:pPr>
        <w:pStyle w:val="ListBullet"/>
      </w:pPr>
      <w:r>
        <w:t>Conserver une copie de la prescription dans le dossier patient.</w:t>
      </w:r>
    </w:p>
    <w:p>
      <w:pPr>
        <w:pStyle w:val="Heading3"/>
      </w:pPr>
      <w:r>
        <w:t>2. Analyse pharmaceutique</w:t>
      </w:r>
    </w:p>
    <w:p>
      <w:pPr>
        <w:pStyle w:val="ListBullet"/>
      </w:pPr>
      <w:r>
        <w:t>Vérifier l'absence de contre-indications (grossesse, allaitement, insuffisance hépatique sévère, allongement du QTc, antécédents cardiovasculaires pour le carfilzomib, neuropathie préexistante pour le bortézomib, masse tumorale élevée pour le venetoclax).</w:t>
      </w:r>
    </w:p>
    <w:p>
      <w:pPr>
        <w:pStyle w:val="ListBullet"/>
      </w:pPr>
      <w:r>
        <w:t>Vérifier les interactions médicamenteuses (inducteurs et inhibiteurs du CYP3A4, allongement du QTc, antivitamines K, statines, anti-acides, pamplemousse, millepertuis).</w:t>
      </w:r>
    </w:p>
    <w:p>
      <w:pPr>
        <w:pStyle w:val="ListBullet"/>
      </w:pPr>
      <w:r>
        <w:t>Vérifier l'adaptation posologique à la fonction hépatique et rénale.</w:t>
      </w:r>
    </w:p>
    <w:p>
      <w:pPr>
        <w:pStyle w:val="ListBullet"/>
      </w:pPr>
      <w:r>
        <w:t>Vérifier la cohérence de la posologie avec l'indication (par exemple, palbociclib 125 mg 21/7 pour le sein RH+ ; olaparib 300 mg × 2/j pour BRCA+ ; venetoclax 400 mg/j après ramp-up pour LLC).</w:t>
      </w:r>
    </w:p>
    <w:p>
      <w:pPr>
        <w:pStyle w:val="ListBullet"/>
      </w:pPr>
      <w:r>
        <w:t>Pour les IMiD et le vismodegib : vérifier le PPPM (questionnaire signé, test de grossesse négatif datant de moins de 3 jours pour la première prescription, mensuel ensuite, contraception effective).</w:t>
      </w:r>
    </w:p>
    <w:p>
      <w:pPr>
        <w:pStyle w:val="Heading3"/>
      </w:pPr>
      <w:r>
        <w:t>3. Conseil au patient et éducation thérapeutique</w:t>
      </w:r>
    </w:p>
    <w:p>
      <w:pPr>
        <w:pStyle w:val="ListBullet"/>
      </w:pPr>
      <w:r>
        <w:t>Expliquer le mécanisme d'action du traitement (thérapie ciblée sur la tumeur, épargne des cellules saines).</w:t>
      </w:r>
    </w:p>
    <w:p>
      <w:pPr>
        <w:pStyle w:val="ListBullet"/>
      </w:pPr>
      <w:r>
        <w:t>Rappeler les conditions de prise (à jeun pour l'ixazomib, au cours d'un repas pour le venetoclax, indifférente pour les autres ; à heure fixe, à 12 heures d'intervalle si biquotidienne pour l'olaparib ; 21 jours de traitement + 7 jours d'arrêt pour le palbociclib, le lénalidomide, le pomalidomide ; ramp-up pour le venetoclax).</w:t>
      </w:r>
    </w:p>
    <w:p>
      <w:pPr>
        <w:pStyle w:val="ListBullet"/>
      </w:pPr>
      <w:r>
        <w:t>Décrire les effets indésirables les plus fréquents et leur gestion (neutropénie pour le palbociclib, thrombopénie pour le niraparib, neuropathie pour le bortézomib, insuffisance cardiaque pour le carfilzomib, thrombose pour les IMiD, SLT pour le venetoclax, spasmes musculaires pour le vismodegib).</w:t>
      </w:r>
    </w:p>
    <w:p>
      <w:pPr>
        <w:pStyle w:val="ListBullet"/>
      </w:pPr>
      <w:r>
        <w:t>Rappeler les signes d'alerte nécessitant une consultation médicale immédiate (fièvre ≥ 38,5 °C, saignements anormaux, dyspnée, douleur thoracique, douleur mollet, jaunisse, douleurs abdominales intenses, convulsions, éruption cutanée étendue, vomissements intenses, oligurie).</w:t>
      </w:r>
    </w:p>
    <w:p>
      <w:pPr>
        <w:pStyle w:val="ListBullet"/>
      </w:pPr>
      <w:r>
        <w:t>Détailler les mesures prophylactiques (prophylaxie antivirale par aciclovir pour le bortézomib et le carfilzomib ; prophylaxie thrombo-embolique par HBPM pour les IMiD ; hyperhydratation pour le venetoclax pendant le ramp-up ; bains de bouche de dexaméthasone pour l'everolimus ; calcium-magnésium pour le vismodegib ; statine pravastatine/rosuvastatine pour les mTOR ; antiémétiques pour les IMiD et l'olaparib).</w:t>
      </w:r>
    </w:p>
    <w:p>
      <w:pPr>
        <w:pStyle w:val="ListBullet"/>
      </w:pPr>
      <w:r>
        <w:t>Rappeler l'importance de l'observance (prise à heure fixe, calendrier d'administration, ne jamais interrompre sans avis médical).</w:t>
      </w:r>
    </w:p>
    <w:p>
      <w:pPr>
        <w:pStyle w:val="ListBullet"/>
      </w:pPr>
      <w:r>
        <w:t>Évoquer la contraception obligatoire chez la femme en âge de procréer et chez le partenaire masculin (PPPM pour les IMiD et le vismodegib).</w:t>
      </w:r>
    </w:p>
    <w:p>
      <w:pPr>
        <w:pStyle w:val="Heading3"/>
      </w:pPr>
      <w:r>
        <w:t>4. Suivi et coordination avec le prescripteur hospitalier</w:t>
      </w:r>
    </w:p>
    <w:p>
      <w:pPr>
        <w:pStyle w:val="ListBullet"/>
      </w:pPr>
      <w:r>
        <w:t>Tenir un dossier pharmaceutique patient (DPP) mentionnant les DCI dispensées, les dates de dispensation, les effets indésirables rapportés, les interactions médicamenteuses identifiées.</w:t>
      </w:r>
    </w:p>
    <w:p>
      <w:pPr>
        <w:pStyle w:val="ListBullet"/>
      </w:pPr>
      <w:r>
        <w:t>Contacter le prescripteur hospitalier en cas d'effet indésirable grave, d'interaction médicamenteuse majeure, de difficulté d'observance, ou de modification du traitement concomitant.</w:t>
      </w:r>
    </w:p>
    <w:p>
      <w:pPr>
        <w:pStyle w:val="ListBullet"/>
      </w:pPr>
      <w:r>
        <w:t>Communiquer au prescripteur hospitalier les éléments d'observance et de tolérance recueillis en officine.</w:t>
      </w:r>
    </w:p>
    <w:p>
      <w:pPr>
        <w:pStyle w:val="Heading3"/>
      </w:pPr>
      <w:r>
        <w:t>5. Prévention des interactions médicamenteuses</w:t>
      </w:r>
    </w:p>
    <w:p>
      <w:pPr>
        <w:pStyle w:val="ListBullet"/>
      </w:pPr>
      <w:r>
        <w:t>Vérifier systématiquement les prescriptions concomitantes (antihypertenseurs, anticoagulants, hypoglycémiants, antidépresseurs, antibiotiques, antifongiques, antirétroviraux, antiépileptiques).</w:t>
      </w:r>
    </w:p>
    <w:p>
      <w:pPr>
        <w:pStyle w:val="ListBullet"/>
      </w:pPr>
      <w:r>
        <w:t>Déconseiller l'automédication (en particulier les produits contenant du millepertuis, du pamplemousse, ou des inhibiteurs/inducteurs enzymatiques).</w:t>
      </w:r>
    </w:p>
    <w:p>
      <w:pPr>
        <w:pStyle w:val="ListBullet"/>
      </w:pPr>
      <w:r>
        <w:t>Conseiller une contraception efficace (préservatif + contraception hormonale ou dispositif intra-utérin).</w:t>
      </w:r>
    </w:p>
    <w:p>
      <w:pPr>
        <w:pStyle w:val="Heading3"/>
      </w:pPr>
      <w:r>
        <w:t>6. Soutien psychologique et social</w:t>
      </w:r>
    </w:p>
    <w:p>
      <w:pPr>
        <w:pStyle w:val="ListBullet"/>
      </w:pPr>
      <w:r>
        <w:t>Reconnaître l'impact psychologique du diagnostic de cancer et du traitement au long cours (anxiété, dépression, isolement social).</w:t>
      </w:r>
    </w:p>
    <w:p>
      <w:pPr>
        <w:pStyle w:val="ListBullet"/>
      </w:pPr>
      <w:r>
        <w:t>Orienter vers les associations de patients (Ligue nationale de lutte contre le cancer, Algérie) et les structures de soutien psychologique.</w:t>
      </w:r>
    </w:p>
    <w:p>
      <w:pPr>
        <w:pStyle w:val="ListBullet"/>
      </w:pPr>
      <w:r>
        <w:t>Évaluer l'impact financier du traitement (les DCI de ce chapitre sont coûteuses, la couverture sociale est variable) et orienter vers les dispositifs d'aide sociale.</w:t>
      </w:r>
    </w:p>
    <w:p>
      <w:r/>
      <w:r>
        <w:rPr>
          <w:i/>
        </w:rPr>
        <w:t>Fin du chapitre 105 — Thérapies ciblées : mTOR, CDK4/6, PARP, Protéasome, IMiD, BCL-2, Hedgehog.</w:t>
      </w:r>
      <w:r/>
    </w:p>
    <w:p>
      <w:pPr>
        <w:pStyle w:val="Heading1"/>
      </w:pPr>
      <w:r>
        <w:t>Chapitre 106 — Anticorps monoclonaux en oncologie</w:t>
      </w:r>
    </w:p>
    <w:p>
      <w:pPr>
        <w:pStyle w:val="Heading2"/>
      </w:pPr>
      <w:r>
        <w:t>Introduction générale de la classe</w:t>
      </w:r>
    </w:p>
    <w:p>
      <w:r>
        <w:t>Les anticorps monoclonaux (AcM) thérapeutiques constituent la pierre angulaire de l'oncologie moléculaire du XXIe siècle, illustration emblématique du passage de la chimiothérapie cytotoxique non sélective à la thérapie ciblée spécifique d'un antigène tumoral. Issus de la technologie des hybridomes décrite par Köhler et Milstein en 1975 (Prix Nobel de Médecine 1984), les AcM sont des immunoglobulines G (IgG) recombinantes produites par des lignées cellulaires mammifères (CHO, NS0, Sp2/0) en bioréacteurs, capables de reconnaître un épitope unique avec une affinité de l'ordre de 10⁻⁹ à 10⁻¹⁰ mol/L. Leur structure associe deux chaînes lourdes et deux chaînes légères réunies par des ponts disulfures, formant un domaine Fc constant (déterminant l'isotype IgG1, IgG2 ou IgG4 et les fonctions effectrices — ADCC, CDC, opsonisation) et deux domaines Fab variables (reconnaissance antigénique). Selon l'origine des régions variables, on distingue les AcM murins (suffixe -omab, désormais retirés ou réservés à l'imagerie), chimériques (suffixe -ximab, ~30 % murin : rituximab, cetuximab, brentuximab), humanisés (suffixe -zumab, ~5–10 % murin : trastuzumab, pertuzumab, bevacizumab, nivolumab, pembrolizumab, ipilimumab, atezolizumab, avelumab, daratumumab, isatuximab, ramucirumab, denosumab) et totalement humains (suffixe -umab : panitumumab, adalimumab). Cette évolution vers une humanisation croissante a permis de réduire drastiquement l'immunogénicité (HAHA, human anti-human antibody) et d'améliorer la tolérance.</w:t>
      </w:r>
    </w:p>
    <w:p>
      <w:r>
        <w:t>Le mécanisme d'action des AcM antitumoraux est pléiotropique et combine plusieurs voies complémentaires : (i) blocage d'un récepteur de surface ou de son ligand (anti-HER2 : trastuzumab, pertuzumab ; anti-EGFR : cetuximab, panitumumab ; anti-VEGF : bevacizumab, aflibercept ; anti-VEGFR2 : ramucirumab ; anti-RANKL : denosumab), entraînant l'inhibition des voies de signalisation de prolifération, de survie et d'angiogenèse ; (ii) cytotoxicité cellulaire dépendante des anticorps (ADCC) médiée par les cellules NK via la liaison du domaine Fc au récepteur FcγRIIIa (CD16) et la libération de perforine/granzymes ; (iii) cytotoxicité dépendante du complément (CDC) par activation de la cascade classique du complément via C1q (anti-CD20 : rituximab ; anti-CD38 : daratumumab, isatuximab) ; (iv) opsonisation et phagocytose par les macrophages ; (v) induction de l'apoptose par récepteur (cross-linking de Fas, de CD20, de CD38) ; (vi) pour les AcM conjugués (ADC, antibody-drug conjugates), délivrance ciblée d'un cytotoxique après internalisation et clivage du linker (trastuzumab emtansine — DM1 inhibiteur des microtubules ; brentuximab vedotin — MMAE ; inotuzumab ozogamicine — calicheamicine). Une catégorie révolutionnaire, les inhibiteurs de points de contrôle immunitaire (immune checkpoint inhibitors, ICI), regroupe les anti-CTLA-4 (ipilimumab), anti-PD-1 (nivolumab, pembrolizumab) et anti-PD-L1 (atezolizumab, avelumab) qui, en levant les freins physiologiques de l'immunité antitumorale, restaurent l'activité cytotoxique des lymphocytes T contre les cellules tumorales.</w:t>
      </w:r>
    </w:p>
    <w:p>
      <w:r>
        <w:t>La pharmacocinétique des AcM se caractérise par une absorption nulle par voie orale (administration strictement IV, sous-cutanée ou intravitréenne), un volume de distribution limité au compartiment plasmatique et interstitiel (~3–6 L), une demi-vie d'élimination longue (de 3–6 jours pour les AcM internalisés à 20–30 jours pour les AcM de blocage), un métabolisme protidique non enzymatique (lysosomes, phagocytes) sans implication du CYP450 — d'où l'absence d'interactions métaboliques classiques —, et une élimination principalement intracellulaire. La clairance dépend de la cible (effet « antigen sink » pour les cibles très exprimées), du poids, de l'albuminémie et de l'état immunitaire. L'index thérapeutique varie selon la cible : étroit pour les AcM conjugués (toxicité du cytotoxique libéré), large pour les anti-RANKL et anti-PD-1/PD-L1. Les profils de tolérance diffèrent radicalement des cytotoxiques : pas d'alopécie conventionnelle (sauf AcM conjugués), peu de myélosuppression directe (sauf AcM conjugués), mais réactions liées à la perfusion (RLP) fréquentes lors des premières administrations (cytokine release syndrome), toxicités immunologiques spécifiques (immune-related adverse events, irAEs) pour les ICI (thyroidites, colites, pneumopathies, hépatites, dermatites, endocrinopathies), toxicités cardiaques spécifiques pour le trastuzumab (dysfonction ventriculaire gauche), hypertension artérielle et protéinurie pour les anti-VEGF, hypocalcémie et ostéonécrose de la mâchoire pour le denosumab, syndrome de lyse tumorale pour les AcM anti-CD20/CD38 à forte masse tumorale.</w:t>
      </w:r>
    </w:p>
    <w:p>
      <w:r>
        <w:t>La prescription des AcM est strictement hospitalière, réservée aux spécialistes en oncologie médicale, hématologie clinique, radiothérapie ou gynécologie obstétrique (cancer du sein). Leur administration en IV impose une infrastructure adaptée (lit ou fauteuil de perfusion, matériel de réanimation d'urgence, accès à un médecin réanimateur, protocole de gestion des réactions anaphylactiques) et une surveillance rapprochée lors des premières perfusions. La pré-médication (paracétamol, antihistaminique, corticothérapie) est systématique pour le rituximab, le cetuximab, le brentuximab vedotin, le daratumumab et l'inotuzumab ozogamicine. Les biosimilaires ont transformé l'accès économique à ces molécules coûteuses : pour le rituximab (MabThera vs Rixathon, Truxima, Ruxience, Redditux, Rituximab-Saidal, Kikuzubam), le trastuzumab (Herceptin vs Herzuma, Trazimera, Kanjinti, Herceptra, Hervycta, Trastuzumab-Saidal, Canmab, HertraZ, Zumab), le bevacizumab (Avastin vs Mvasi, Zirabev, AcurA, Avegra Biocad, Simbiva, Bevacizumab-Saidal, Versavo), le pembrolizumab (Keytruda vs Pembrolizumab-Saidal) ; ils ont une équivalence pharmacocinétique, efficacité et tolérance démontrées par les études pivot de phase III, et sont substituables à l'initiation (et parfois en cours de traitement après avis spécialisé). Ce chapitre, fondé sur la nomenclature algérienne des médicaments (Avril 2026), décrit les 20 DCIs d'AcM anticancéreux actuellement disponibles — sous leurs formulations commercialisées nationales — en détaillant pour chacune le mécanisme moléculaire, le profil pharmacocinétique, les indications validées par l'AMM (EMA, FDA), les contre-indications, les effets indésirables et leur gestion, les interactions médicamenteuses, les recommandations grossesse-allaitement selon le CRAT et l'EMA, la posologie, la surveillance biologique, les conseils aux patients et les pièges au comptoir.</w:t>
      </w:r>
    </w:p>
    <w:p>
      <w:pPr>
        <w:pStyle w:val="Heading2"/>
      </w:pPr>
      <w:r>
        <w:t>106.1 Sous-classe : AcM Anti-HER2</w:t>
      </w:r>
    </w:p>
    <w:p>
      <w:r>
        <w:t>Le récepteur HER2 (Human Epidermal growth factor Receptor 2, codé par le gène ERBB2 sur le chromosome 17q12) est un récepteur transmembranaire à activité tyrosine kinase de la famille EGFR/ErbB, surexprimé par amplification génique dans 15–20 % des cancers du sein (sous-type moléculaire HER2-positif), 10–20 % des cancers gastriques et plus rarement dans les cancers ovarien, vésical, endométrial et pulmonaire. À la différence d'EGFR, HER2 ne possède pas de ligand connu direct : il fonctionne comme partenaire de dimérisation privilégié des autres récepteurs ErbB (hétérodimérisation HER2-HER3 la plus puissante), transmettant un signal mitogène majeur via les voies PI3K/AKT/mTOR et MAPK/ERK. L'amplification de HER2, classique par HER2+/HER2- en IHC (immunohistochimie score 3+) ou amplification en FISH/CISH (ratio HER2/CEP17 &gt; 2,0 ou nombre de copies &gt; 6), confère un phénotype agressif (haut grade, prolifération, métastases ganglionnaires) historiquement associé à un pronostic sombre (survie médiane &lt; 18 mois en métastatique pré-trastuzumab). Le trastuzumab (Herceptin, 1998), premier AcM anti-HER2, a transformé cette maladie : survie médiane en métastatique portée de 20 à 56 mois, réduction de 33 % du risque de récidive en adjuvant. Le pertuzumab (Perjeta, 2012) cible un épitope distinct du domaine II de HER2 (région de dimérisation), bloquant l'hétérodimérisation HER2-HER3 et agissant en synergie avec le trastuzumab (dual blockade) : l'association trastuzumab+pertuzumab+docetaxel est devenue le standard de première ligne métastatique (survie médiane &gt; 57 mois, étude CLEOPATRA) et néoadjuvante (études NEOSPHERE, TRYPHAENA). Le trastuzumab emtansine (Kadcyla, 2013) est le premier AcM conjugué anti-HER2, combinant blocage HER2 et délivrance ciblée du DM1 (maytansinoïde inhibiteur des microtubules) pour les cancers HER2-positifs résiduels après néoadjuvant ou métastatiques après trastuzumab. La forme combinée sous-cutanée Phesgo (trastuzumab+pertuzumab, 2020) simplifie l'administration (5 min SC vs 60–150 min IV) et améliore la qualité de vie. La surveillance cardiologique (FEVG échographique avant puis tous les 3 mois) est indispensable, le trastuzumab induisant une dysfonction ventriculaire gauche réversible (souvent non dose-dépendante, mécanisme mitochondrial) chez 2–7 % des patientes (jusqu'à 27 % en association aux anthracyclines).</w:t>
      </w:r>
    </w:p>
    <w:p>
      <w:pPr>
        <w:pStyle w:val="Heading3"/>
      </w:pPr>
      <w:r>
        <w:t>106.1.1 DCI : Trastuzumab</w:t>
      </w:r>
    </w:p>
    <w:p>
      <w:r/>
      <w:r>
        <w:rPr>
          <w:b/>
        </w:rPr>
        <w:t>Liste des Catégories :</w:t>
      </w:r>
      <w:r>
        <w:t xml:space="preserve"> Antinéoplasiques ; Anticorps monoclonal humanisé IgG1 anti-HER2 ; Thérapie ciblée du cancer du sein HER2-positif et du cancer gastrique HER2+ ; Liste I (prescription hospitalière spécialisée en oncologie).</w:t>
      </w:r>
    </w:p>
    <w:p>
      <w:r>
        <w:t>Le trastuzumab est un AcM humanisé IgG1κ recombinant dirigé contre le domaine IV extracellulaire du récepteur HER2, premier AcM anticancéreux ciblé sur un oncogène, ayant obtenu une AMM FDA en septembre 1998 et EMA en août 2000. Sa mise au point par Genentech (devenu Roche), issue d'anticorps murins 4D5 humanisés par greffe CDR, a transformé le pronostic du cancer du sein HER2-positif (surexpression IHC 3+ ou amplification FISH) — sous-type moléculaire historiquement de plus mauvais pronostic. Le trastuzumab a inauguré l'ère de la médecine de précision en oncologie mammaire : il est inscrit sur la liste des médicaments essentiels OMS et constitue le traitement de référence du cancer du sein HER2+ à tous les stades (néoadjuvant, adjuvant, métastatique) ainsi que du cancer gastrique HER2+ métastatique en association à la chimiothérapie.</w:t>
      </w:r>
    </w:p>
    <w:p>
      <w:r/>
      <w:r>
        <w:rPr>
          <w:b/>
        </w:rPr>
        <w:t>Médicaments disponibles en Algérie (tableau des spécialités commercialisées)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HERCEPTIN</w:t>
            </w:r>
          </w:p>
        </w:tc>
        <w:tc>
          <w:tcPr>
            <w:tcW w:type="dxa" w:w="1559"/>
          </w:tcPr>
          <w:p>
            <w:r>
              <w:rPr>
                <w:sz w:val="20"/>
              </w:rPr>
              <w:t>ROCHE PHARMA (SCHWEIZ) LTD</w:t>
            </w:r>
          </w:p>
        </w:tc>
        <w:tc>
          <w:tcPr>
            <w:tcW w:type="dxa" w:w="1559"/>
          </w:tcPr>
          <w:p>
            <w:r>
              <w:rPr>
                <w:sz w:val="20"/>
              </w:rPr>
              <w:t>Lyophilisat pour solution à diluer pour perfusion IV — 150 mg</w:t>
            </w:r>
          </w:p>
        </w:tc>
        <w:tc>
          <w:tcPr>
            <w:tcW w:type="dxa" w:w="1559"/>
          </w:tcPr>
          <w:p>
            <w:r>
              <w:rPr>
                <w:sz w:val="20"/>
              </w:rPr>
              <w:t>B/1 flacon de lyophilisat</w:t>
            </w:r>
          </w:p>
        </w:tc>
        <w:tc>
          <w:tcPr>
            <w:tcW w:type="dxa" w:w="1559"/>
          </w:tcPr>
          <w:p>
            <w:r>
              <w:rPr>
                <w:sz w:val="20"/>
              </w:rPr>
              <w:t>Liste I</w:t>
            </w:r>
          </w:p>
        </w:tc>
        <w:tc>
          <w:tcPr>
            <w:tcW w:type="dxa" w:w="1559"/>
          </w:tcPr>
          <w:p>
            <w:r>
              <w:rPr>
                <w:sz w:val="20"/>
              </w:rPr>
              <w:t>Actif</w:t>
            </w:r>
          </w:p>
        </w:tc>
      </w:tr>
      <w:tr>
        <w:tc>
          <w:tcPr>
            <w:tcW w:type="dxa" w:w="1559"/>
          </w:tcPr>
          <w:p>
            <w:r>
              <w:rPr>
                <w:sz w:val="20"/>
              </w:rPr>
              <w:t>HERCEPTIN</w:t>
            </w:r>
          </w:p>
        </w:tc>
        <w:tc>
          <w:tcPr>
            <w:tcW w:type="dxa" w:w="1559"/>
          </w:tcPr>
          <w:p>
            <w:r>
              <w:rPr>
                <w:sz w:val="20"/>
              </w:rPr>
              <w:t>ROCHE PHARMA (SCHWEIZ) LTD</w:t>
            </w:r>
          </w:p>
        </w:tc>
        <w:tc>
          <w:tcPr>
            <w:tcW w:type="dxa" w:w="1559"/>
          </w:tcPr>
          <w:p>
            <w:r>
              <w:rPr>
                <w:sz w:val="20"/>
              </w:rPr>
              <w:t>Lyophilisat pour solution à diluer pour perfusion IV — 440 mg</w:t>
            </w:r>
          </w:p>
        </w:tc>
        <w:tc>
          <w:tcPr>
            <w:tcW w:type="dxa" w:w="1559"/>
          </w:tcPr>
          <w:p>
            <w:r>
              <w:rPr>
                <w:sz w:val="20"/>
              </w:rPr>
              <w:t>B/1 flacon 50 mL + 1 flacon solvant 20 mL</w:t>
            </w:r>
          </w:p>
        </w:tc>
        <w:tc>
          <w:tcPr>
            <w:tcW w:type="dxa" w:w="1559"/>
          </w:tcPr>
          <w:p>
            <w:r>
              <w:rPr>
                <w:sz w:val="20"/>
              </w:rPr>
              <w:t>Liste I</w:t>
            </w:r>
          </w:p>
        </w:tc>
        <w:tc>
          <w:tcPr>
            <w:tcW w:type="dxa" w:w="1559"/>
          </w:tcPr>
          <w:p>
            <w:r>
              <w:rPr>
                <w:sz w:val="20"/>
              </w:rPr>
              <w:t>Actif</w:t>
            </w:r>
          </w:p>
        </w:tc>
      </w:tr>
      <w:tr>
        <w:tc>
          <w:tcPr>
            <w:tcW w:type="dxa" w:w="1559"/>
          </w:tcPr>
          <w:p>
            <w:r>
              <w:rPr>
                <w:sz w:val="20"/>
              </w:rPr>
              <w:t>HERVYCTA</w:t>
            </w:r>
          </w:p>
        </w:tc>
        <w:tc>
          <w:tcPr>
            <w:tcW w:type="dxa" w:w="1559"/>
          </w:tcPr>
          <w:p>
            <w:r>
              <w:rPr>
                <w:sz w:val="20"/>
              </w:rPr>
              <w:t>ORION LAB</w:t>
            </w:r>
          </w:p>
        </w:tc>
        <w:tc>
          <w:tcPr>
            <w:tcW w:type="dxa" w:w="1559"/>
          </w:tcPr>
          <w:p>
            <w:r>
              <w:rPr>
                <w:sz w:val="20"/>
              </w:rPr>
              <w:t>Lyophilisat et solvant pour solution injectable — 150 mg</w:t>
            </w:r>
          </w:p>
        </w:tc>
        <w:tc>
          <w:tcPr>
            <w:tcW w:type="dxa" w:w="1559"/>
          </w:tcPr>
          <w:p>
            <w:r>
              <w:rPr>
                <w:sz w:val="20"/>
              </w:rPr>
              <w:t>B/1 flacon lyophilisat 15 mL + 1 flacon solvant 10 mL</w:t>
            </w:r>
          </w:p>
        </w:tc>
        <w:tc>
          <w:tcPr>
            <w:tcW w:type="dxa" w:w="1559"/>
          </w:tcPr>
          <w:p>
            <w:r>
              <w:rPr>
                <w:sz w:val="20"/>
              </w:rPr>
              <w:t>Liste I</w:t>
            </w:r>
          </w:p>
        </w:tc>
        <w:tc>
          <w:tcPr>
            <w:tcW w:type="dxa" w:w="1559"/>
          </w:tcPr>
          <w:p>
            <w:r>
              <w:rPr>
                <w:sz w:val="20"/>
              </w:rPr>
              <w:t>Actif</w:t>
            </w:r>
          </w:p>
        </w:tc>
      </w:tr>
      <w:tr>
        <w:tc>
          <w:tcPr>
            <w:tcW w:type="dxa" w:w="1559"/>
          </w:tcPr>
          <w:p>
            <w:r>
              <w:rPr>
                <w:sz w:val="20"/>
              </w:rPr>
              <w:t>HERVYCTA</w:t>
            </w:r>
          </w:p>
        </w:tc>
        <w:tc>
          <w:tcPr>
            <w:tcW w:type="dxa" w:w="1559"/>
          </w:tcPr>
          <w:p>
            <w:r>
              <w:rPr>
                <w:sz w:val="20"/>
              </w:rPr>
              <w:t>ORION LAB</w:t>
            </w:r>
          </w:p>
        </w:tc>
        <w:tc>
          <w:tcPr>
            <w:tcW w:type="dxa" w:w="1559"/>
          </w:tcPr>
          <w:p>
            <w:r>
              <w:rPr>
                <w:sz w:val="20"/>
              </w:rPr>
              <w:t>Lyophilisat et solvant pour solution injectable — 440 mg</w:t>
            </w:r>
          </w:p>
        </w:tc>
        <w:tc>
          <w:tcPr>
            <w:tcW w:type="dxa" w:w="1559"/>
          </w:tcPr>
          <w:p>
            <w:r>
              <w:rPr>
                <w:sz w:val="20"/>
              </w:rPr>
              <w:t>B/1 flacon lyophilisat 50 mL + 1 flacon solvant 20 mL</w:t>
            </w:r>
          </w:p>
        </w:tc>
        <w:tc>
          <w:tcPr>
            <w:tcW w:type="dxa" w:w="1559"/>
          </w:tcPr>
          <w:p>
            <w:r>
              <w:rPr>
                <w:sz w:val="20"/>
              </w:rPr>
              <w:t>Liste I</w:t>
            </w:r>
          </w:p>
        </w:tc>
        <w:tc>
          <w:tcPr>
            <w:tcW w:type="dxa" w:w="1559"/>
          </w:tcPr>
          <w:p>
            <w:r>
              <w:rPr>
                <w:sz w:val="20"/>
              </w:rPr>
              <w:t>Actif</w:t>
            </w:r>
          </w:p>
        </w:tc>
      </w:tr>
      <w:tr>
        <w:tc>
          <w:tcPr>
            <w:tcW w:type="dxa" w:w="1559"/>
          </w:tcPr>
          <w:p>
            <w:r>
              <w:rPr>
                <w:sz w:val="20"/>
              </w:rPr>
              <w:t>HERZUMA</w:t>
            </w:r>
          </w:p>
        </w:tc>
        <w:tc>
          <w:tcPr>
            <w:tcW w:type="dxa" w:w="1559"/>
          </w:tcPr>
          <w:p>
            <w:r>
              <w:rPr>
                <w:sz w:val="20"/>
              </w:rPr>
              <w:t>HIKMA PHARMA ALGERIA</w:t>
            </w:r>
          </w:p>
        </w:tc>
        <w:tc>
          <w:tcPr>
            <w:tcW w:type="dxa" w:w="1559"/>
          </w:tcPr>
          <w:p>
            <w:r>
              <w:rPr>
                <w:sz w:val="20"/>
              </w:rPr>
              <w:t>Poudre pour solution à diluer pour perfusion — 150 mg</w:t>
            </w:r>
          </w:p>
        </w:tc>
        <w:tc>
          <w:tcPr>
            <w:tcW w:type="dxa" w:w="1559"/>
          </w:tcPr>
          <w:p>
            <w:r>
              <w:rPr>
                <w:sz w:val="20"/>
              </w:rPr>
              <w:t>Flacon 20 mL</w:t>
            </w:r>
          </w:p>
        </w:tc>
        <w:tc>
          <w:tcPr>
            <w:tcW w:type="dxa" w:w="1559"/>
          </w:tcPr>
          <w:p>
            <w:r>
              <w:rPr>
                <w:sz w:val="20"/>
              </w:rPr>
              <w:t>Liste I</w:t>
            </w:r>
          </w:p>
        </w:tc>
        <w:tc>
          <w:tcPr>
            <w:tcW w:type="dxa" w:w="1559"/>
          </w:tcPr>
          <w:p>
            <w:r>
              <w:rPr>
                <w:sz w:val="20"/>
              </w:rPr>
              <w:t>Actif</w:t>
            </w:r>
          </w:p>
        </w:tc>
      </w:tr>
      <w:tr>
        <w:tc>
          <w:tcPr>
            <w:tcW w:type="dxa" w:w="1559"/>
          </w:tcPr>
          <w:p>
            <w:r>
              <w:rPr>
                <w:sz w:val="20"/>
              </w:rPr>
              <w:t>HERZUMA</w:t>
            </w:r>
          </w:p>
        </w:tc>
        <w:tc>
          <w:tcPr>
            <w:tcW w:type="dxa" w:w="1559"/>
          </w:tcPr>
          <w:p>
            <w:r>
              <w:rPr>
                <w:sz w:val="20"/>
              </w:rPr>
              <w:t>HIKMA PHARMA ALGERIA</w:t>
            </w:r>
          </w:p>
        </w:tc>
        <w:tc>
          <w:tcPr>
            <w:tcW w:type="dxa" w:w="1559"/>
          </w:tcPr>
          <w:p>
            <w:r>
              <w:rPr>
                <w:sz w:val="20"/>
              </w:rPr>
              <w:t>Poudre pour solution à diluer pour perfusion — 440 mg</w:t>
            </w:r>
          </w:p>
        </w:tc>
        <w:tc>
          <w:tcPr>
            <w:tcW w:type="dxa" w:w="1559"/>
          </w:tcPr>
          <w:p>
            <w:r>
              <w:rPr>
                <w:sz w:val="20"/>
              </w:rPr>
              <w:t>B/1 flacon 50 mL + 1 flacon solvant 20 mL</w:t>
            </w:r>
          </w:p>
        </w:tc>
        <w:tc>
          <w:tcPr>
            <w:tcW w:type="dxa" w:w="1559"/>
          </w:tcPr>
          <w:p>
            <w:r>
              <w:rPr>
                <w:sz w:val="20"/>
              </w:rPr>
              <w:t>Liste I</w:t>
            </w:r>
          </w:p>
        </w:tc>
        <w:tc>
          <w:tcPr>
            <w:tcW w:type="dxa" w:w="1559"/>
          </w:tcPr>
          <w:p>
            <w:r>
              <w:rPr>
                <w:sz w:val="20"/>
              </w:rPr>
              <w:t>Actif</w:t>
            </w:r>
          </w:p>
        </w:tc>
      </w:tr>
      <w:tr>
        <w:tc>
          <w:tcPr>
            <w:tcW w:type="dxa" w:w="1559"/>
          </w:tcPr>
          <w:p>
            <w:r>
              <w:rPr>
                <w:sz w:val="20"/>
              </w:rPr>
              <w:t>TRASTUZUMAB-SAIDAL</w:t>
            </w:r>
          </w:p>
        </w:tc>
        <w:tc>
          <w:tcPr>
            <w:tcW w:type="dxa" w:w="1559"/>
          </w:tcPr>
          <w:p>
            <w:r>
              <w:rPr>
                <w:sz w:val="20"/>
              </w:rPr>
              <w:t>GROUPE SAIDAL</w:t>
            </w:r>
          </w:p>
        </w:tc>
        <w:tc>
          <w:tcPr>
            <w:tcW w:type="dxa" w:w="1559"/>
          </w:tcPr>
          <w:p>
            <w:r>
              <w:rPr>
                <w:sz w:val="20"/>
              </w:rPr>
              <w:t>Poudre pour solution à diluer pour perfusion — 150 mg</w:t>
            </w:r>
          </w:p>
        </w:tc>
        <w:tc>
          <w:tcPr>
            <w:tcW w:type="dxa" w:w="1559"/>
          </w:tcPr>
          <w:p>
            <w:r>
              <w:rPr>
                <w:sz w:val="20"/>
              </w:rPr>
              <w:t>Flacon 20 mL</w:t>
            </w:r>
          </w:p>
        </w:tc>
        <w:tc>
          <w:tcPr>
            <w:tcW w:type="dxa" w:w="1559"/>
          </w:tcPr>
          <w:p>
            <w:r>
              <w:rPr>
                <w:sz w:val="20"/>
              </w:rPr>
              <w:t>Liste I</w:t>
            </w:r>
          </w:p>
        </w:tc>
        <w:tc>
          <w:tcPr>
            <w:tcW w:type="dxa" w:w="1559"/>
          </w:tcPr>
          <w:p>
            <w:r>
              <w:rPr>
                <w:sz w:val="20"/>
              </w:rPr>
              <w:t>Actif</w:t>
            </w:r>
          </w:p>
        </w:tc>
      </w:tr>
      <w:tr>
        <w:tc>
          <w:tcPr>
            <w:tcW w:type="dxa" w:w="1559"/>
          </w:tcPr>
          <w:p>
            <w:r>
              <w:rPr>
                <w:sz w:val="20"/>
              </w:rPr>
              <w:t>TRASTUZUMAB-SAIDAL</w:t>
            </w:r>
          </w:p>
        </w:tc>
        <w:tc>
          <w:tcPr>
            <w:tcW w:type="dxa" w:w="1559"/>
          </w:tcPr>
          <w:p>
            <w:r>
              <w:rPr>
                <w:sz w:val="20"/>
              </w:rPr>
              <w:t>GROUPE SAIDAL</w:t>
            </w:r>
          </w:p>
        </w:tc>
        <w:tc>
          <w:tcPr>
            <w:tcW w:type="dxa" w:w="1559"/>
          </w:tcPr>
          <w:p>
            <w:r>
              <w:rPr>
                <w:sz w:val="20"/>
              </w:rPr>
              <w:t>Poudre pour solution à diluer pour perfusion — 440 mg</w:t>
            </w:r>
          </w:p>
        </w:tc>
        <w:tc>
          <w:tcPr>
            <w:tcW w:type="dxa" w:w="1559"/>
          </w:tcPr>
          <w:p>
            <w:r>
              <w:rPr>
                <w:sz w:val="20"/>
              </w:rPr>
              <w:t>B/1 flacon poudre 20 mL + flacon solvant 50 mL</w:t>
            </w:r>
          </w:p>
        </w:tc>
        <w:tc>
          <w:tcPr>
            <w:tcW w:type="dxa" w:w="1559"/>
          </w:tcPr>
          <w:p>
            <w:r>
              <w:rPr>
                <w:sz w:val="20"/>
              </w:rPr>
              <w:t>Liste I</w:t>
            </w:r>
          </w:p>
        </w:tc>
        <w:tc>
          <w:tcPr>
            <w:tcW w:type="dxa" w:w="1559"/>
          </w:tcPr>
          <w:p>
            <w:r>
              <w:rPr>
                <w:sz w:val="20"/>
              </w:rPr>
              <w:t>Actif</w:t>
            </w:r>
          </w:p>
        </w:tc>
      </w:tr>
      <w:tr>
        <w:tc>
          <w:tcPr>
            <w:tcW w:type="dxa" w:w="1559"/>
          </w:tcPr>
          <w:p>
            <w:r>
              <w:rPr>
                <w:sz w:val="20"/>
              </w:rPr>
              <w:t>TRAZIMERA</w:t>
            </w:r>
          </w:p>
        </w:tc>
        <w:tc>
          <w:tcPr>
            <w:tcW w:type="dxa" w:w="1559"/>
          </w:tcPr>
          <w:p>
            <w:r>
              <w:rPr>
                <w:sz w:val="20"/>
              </w:rPr>
              <w:t>PFIZER EUROPE MA EEIG</w:t>
            </w:r>
          </w:p>
        </w:tc>
        <w:tc>
          <w:tcPr>
            <w:tcW w:type="dxa" w:w="1559"/>
          </w:tcPr>
          <w:p>
            <w:r>
              <w:rPr>
                <w:sz w:val="20"/>
              </w:rPr>
              <w:t>Poudre pour solution à diluer pour perfusion — 150 mg</w:t>
            </w:r>
          </w:p>
        </w:tc>
        <w:tc>
          <w:tcPr>
            <w:tcW w:type="dxa" w:w="1559"/>
          </w:tcPr>
          <w:p>
            <w:r>
              <w:rPr>
                <w:sz w:val="20"/>
              </w:rPr>
              <w:t>Flacon 15 mL</w:t>
            </w:r>
          </w:p>
        </w:tc>
        <w:tc>
          <w:tcPr>
            <w:tcW w:type="dxa" w:w="1559"/>
          </w:tcPr>
          <w:p>
            <w:r>
              <w:rPr>
                <w:sz w:val="20"/>
              </w:rPr>
              <w:t>Liste I</w:t>
            </w:r>
          </w:p>
        </w:tc>
        <w:tc>
          <w:tcPr>
            <w:tcW w:type="dxa" w:w="1559"/>
          </w:tcPr>
          <w:p>
            <w:r>
              <w:rPr>
                <w:sz w:val="20"/>
              </w:rPr>
              <w:t>Actif</w:t>
            </w:r>
          </w:p>
        </w:tc>
      </w:tr>
      <w:tr>
        <w:tc>
          <w:tcPr>
            <w:tcW w:type="dxa" w:w="1559"/>
          </w:tcPr>
          <w:p>
            <w:r>
              <w:rPr>
                <w:sz w:val="20"/>
              </w:rPr>
              <w:t>CANMAB 150</w:t>
            </w:r>
          </w:p>
        </w:tc>
        <w:tc>
          <w:tcPr>
            <w:tcW w:type="dxa" w:w="1559"/>
          </w:tcPr>
          <w:p>
            <w:r>
              <w:rPr>
                <w:sz w:val="20"/>
              </w:rPr>
              <w:t>BIOCON BIOLOGICS INDIA LIMITED</w:t>
            </w:r>
          </w:p>
        </w:tc>
        <w:tc>
          <w:tcPr>
            <w:tcW w:type="dxa" w:w="1559"/>
          </w:tcPr>
          <w:p>
            <w:r>
              <w:rPr>
                <w:sz w:val="20"/>
              </w:rPr>
              <w:t>Poudre et solvant pour solution à diluer pour perfusion IV — 150 mg</w:t>
            </w:r>
          </w:p>
        </w:tc>
        <w:tc>
          <w:tcPr>
            <w:tcW w:type="dxa" w:w="1559"/>
          </w:tcPr>
          <w:p>
            <w:r>
              <w:rPr>
                <w:sz w:val="20"/>
              </w:rPr>
              <w:t>B/1 flacon poudre + 1 flacon solvant 10 mL</w:t>
            </w:r>
          </w:p>
        </w:tc>
        <w:tc>
          <w:tcPr>
            <w:tcW w:type="dxa" w:w="1559"/>
          </w:tcPr>
          <w:p>
            <w:r>
              <w:rPr>
                <w:sz w:val="20"/>
              </w:rPr>
              <w:t>Liste I</w:t>
            </w:r>
          </w:p>
        </w:tc>
        <w:tc>
          <w:tcPr>
            <w:tcW w:type="dxa" w:w="1559"/>
          </w:tcPr>
          <w:p>
            <w:r>
              <w:rPr>
                <w:sz w:val="20"/>
              </w:rPr>
              <w:t>Actif</w:t>
            </w:r>
          </w:p>
        </w:tc>
      </w:tr>
      <w:tr>
        <w:tc>
          <w:tcPr>
            <w:tcW w:type="dxa" w:w="1559"/>
          </w:tcPr>
          <w:p>
            <w:r>
              <w:rPr>
                <w:sz w:val="20"/>
              </w:rPr>
              <w:t>HERTRAZ 440</w:t>
            </w:r>
          </w:p>
        </w:tc>
        <w:tc>
          <w:tcPr>
            <w:tcW w:type="dxa" w:w="1559"/>
          </w:tcPr>
          <w:p>
            <w:r>
              <w:rPr>
                <w:sz w:val="20"/>
              </w:rPr>
              <w:t>MYLAN LABORATORIES LIMITED</w:t>
            </w:r>
          </w:p>
        </w:tc>
        <w:tc>
          <w:tcPr>
            <w:tcW w:type="dxa" w:w="1559"/>
          </w:tcPr>
          <w:p>
            <w:r>
              <w:rPr>
                <w:sz w:val="20"/>
              </w:rPr>
              <w:t>Poudre et solvant pour solution à diluer pour perfusion IV — 440 mg</w:t>
            </w:r>
          </w:p>
        </w:tc>
        <w:tc>
          <w:tcPr>
            <w:tcW w:type="dxa" w:w="1559"/>
          </w:tcPr>
          <w:p>
            <w:r>
              <w:rPr>
                <w:sz w:val="20"/>
              </w:rPr>
              <w:t>B/1 flacon poudre + 2 flacons solvant 10 mL</w:t>
            </w:r>
          </w:p>
        </w:tc>
        <w:tc>
          <w:tcPr>
            <w:tcW w:type="dxa" w:w="1559"/>
          </w:tcPr>
          <w:p>
            <w:r>
              <w:rPr>
                <w:sz w:val="20"/>
              </w:rPr>
              <w:t>Liste I</w:t>
            </w:r>
          </w:p>
        </w:tc>
        <w:tc>
          <w:tcPr>
            <w:tcW w:type="dxa" w:w="1559"/>
          </w:tcPr>
          <w:p>
            <w:r>
              <w:rPr>
                <w:sz w:val="20"/>
              </w:rPr>
              <w:t>Actif</w:t>
            </w:r>
          </w:p>
        </w:tc>
      </w:tr>
      <w:tr>
        <w:tc>
          <w:tcPr>
            <w:tcW w:type="dxa" w:w="1559"/>
          </w:tcPr>
          <w:p>
            <w:r>
              <w:rPr>
                <w:sz w:val="20"/>
              </w:rPr>
              <w:t>ZUMAB</w:t>
            </w:r>
          </w:p>
        </w:tc>
        <w:tc>
          <w:tcPr>
            <w:tcW w:type="dxa" w:w="1559"/>
          </w:tcPr>
          <w:p>
            <w:r>
              <w:rPr>
                <w:sz w:val="20"/>
              </w:rPr>
              <w:t>PUR LAB</w:t>
            </w:r>
          </w:p>
        </w:tc>
        <w:tc>
          <w:tcPr>
            <w:tcW w:type="dxa" w:w="1559"/>
          </w:tcPr>
          <w:p>
            <w:r>
              <w:rPr>
                <w:sz w:val="20"/>
              </w:rPr>
              <w:t>Poudre pour solution à diluer pour perfusion — 150 mg</w:t>
            </w:r>
          </w:p>
        </w:tc>
        <w:tc>
          <w:tcPr>
            <w:tcW w:type="dxa" w:w="1559"/>
          </w:tcPr>
          <w:p>
            <w:r>
              <w:rPr>
                <w:sz w:val="20"/>
              </w:rPr>
              <w:t>Flacon 20 mL</w:t>
            </w:r>
          </w:p>
        </w:tc>
        <w:tc>
          <w:tcPr>
            <w:tcW w:type="dxa" w:w="1559"/>
          </w:tcPr>
          <w:p>
            <w:r>
              <w:rPr>
                <w:sz w:val="20"/>
              </w:rPr>
              <w:t>Liste I</w:t>
            </w:r>
          </w:p>
        </w:tc>
        <w:tc>
          <w:tcPr>
            <w:tcW w:type="dxa" w:w="1559"/>
          </w:tcPr>
          <w:p>
            <w:r>
              <w:rPr>
                <w:sz w:val="20"/>
              </w:rPr>
              <w:t>Actif</w:t>
            </w:r>
          </w:p>
        </w:tc>
      </w:tr>
      <w:tr>
        <w:tc>
          <w:tcPr>
            <w:tcW w:type="dxa" w:w="1559"/>
          </w:tcPr>
          <w:p>
            <w:r>
              <w:rPr>
                <w:sz w:val="20"/>
              </w:rPr>
              <w:t>KANJINTI (R)</w:t>
            </w:r>
          </w:p>
        </w:tc>
        <w:tc>
          <w:tcPr>
            <w:tcW w:type="dxa" w:w="1559"/>
          </w:tcPr>
          <w:p>
            <w:r>
              <w:rPr>
                <w:sz w:val="20"/>
              </w:rPr>
              <w:t>AMGEN EUROPE B.V.</w:t>
            </w:r>
          </w:p>
        </w:tc>
        <w:tc>
          <w:tcPr>
            <w:tcW w:type="dxa" w:w="1559"/>
          </w:tcPr>
          <w:p>
            <w:r>
              <w:rPr>
                <w:sz w:val="20"/>
              </w:rPr>
              <w:t>Poudre en solution pour perfusion — 150 mg</w:t>
            </w:r>
          </w:p>
        </w:tc>
        <w:tc>
          <w:tcPr>
            <w:tcW w:type="dxa" w:w="1559"/>
          </w:tcPr>
          <w:p>
            <w:r>
              <w:rPr>
                <w:sz w:val="20"/>
              </w:rPr>
              <w:t>B/1 flacon 20 mL</w:t>
            </w:r>
          </w:p>
        </w:tc>
        <w:tc>
          <w:tcPr>
            <w:tcW w:type="dxa" w:w="1559"/>
          </w:tcPr>
          <w:p>
            <w:r>
              <w:rPr>
                <w:sz w:val="20"/>
              </w:rPr>
              <w:t>Liste I</w:t>
            </w:r>
          </w:p>
        </w:tc>
        <w:tc>
          <w:tcPr>
            <w:tcW w:type="dxa" w:w="1559"/>
          </w:tcPr>
          <w:p>
            <w:r>
              <w:rPr>
                <w:sz w:val="20"/>
              </w:rPr>
              <w:t>Retrait</w:t>
            </w:r>
          </w:p>
        </w:tc>
      </w:tr>
      <w:tr>
        <w:tc>
          <w:tcPr>
            <w:tcW w:type="dxa" w:w="1559"/>
          </w:tcPr>
          <w:p>
            <w:r>
              <w:rPr>
                <w:sz w:val="20"/>
              </w:rPr>
              <w:t>KANJINTI (R)</w:t>
            </w:r>
          </w:p>
        </w:tc>
        <w:tc>
          <w:tcPr>
            <w:tcW w:type="dxa" w:w="1559"/>
          </w:tcPr>
          <w:p>
            <w:r>
              <w:rPr>
                <w:sz w:val="20"/>
              </w:rPr>
              <w:t>AMGEN EUROPE B.V.</w:t>
            </w:r>
          </w:p>
        </w:tc>
        <w:tc>
          <w:tcPr>
            <w:tcW w:type="dxa" w:w="1559"/>
          </w:tcPr>
          <w:p>
            <w:r>
              <w:rPr>
                <w:sz w:val="20"/>
              </w:rPr>
              <w:t>Poudre en solution pour perfusion — 420 mg/flacon</w:t>
            </w:r>
          </w:p>
        </w:tc>
        <w:tc>
          <w:tcPr>
            <w:tcW w:type="dxa" w:w="1559"/>
          </w:tcPr>
          <w:p>
            <w:r>
              <w:rPr>
                <w:sz w:val="20"/>
              </w:rPr>
              <w:t>B/1 flacon 50 mL</w:t>
            </w:r>
          </w:p>
        </w:tc>
        <w:tc>
          <w:tcPr>
            <w:tcW w:type="dxa" w:w="1559"/>
          </w:tcPr>
          <w:p>
            <w:r>
              <w:rPr>
                <w:sz w:val="20"/>
              </w:rPr>
              <w:t>Liste I</w:t>
            </w:r>
          </w:p>
        </w:tc>
        <w:tc>
          <w:tcPr>
            <w:tcW w:type="dxa" w:w="1559"/>
          </w:tcPr>
          <w:p>
            <w:r>
              <w:rPr>
                <w:sz w:val="20"/>
              </w:rPr>
              <w:t>Retrait</w:t>
            </w:r>
          </w:p>
        </w:tc>
      </w:tr>
    </w:tbl>
    <w:p/>
    <w:p>
      <w:r>
        <w:t>Le trastuzumab est délivré en Algérie via le circuit hospitalier spécialisé (oncologie médicale, gynéco-obstétrique). La spécialité princeps Herceptin (Roche) coexiste avec plusieurs biosimilaires (Herzuma — Hikma ; Trazimera — Pfizer ; Hervycta — Orion ; Canmab — Biocon ; HertraZ — Mylan ; Zumab — Pur Lab ; Trastuzumab-Saidal — Saidal). Le biosimilaire Kanjinti (Amgen) a été retiré du marché algérien. Les dosages à 150 mg et 440 mg permettent l'adaptation pondérale (dose de charge puis dose d'entretien).</w:t>
      </w:r>
    </w:p>
    <w:p>
      <w:r/>
      <w:r>
        <w:rPr>
          <w:b/>
        </w:rPr>
        <w:t>Sous-classe et Mécanisme d'action :</w:t>
      </w:r>
      <w:r/>
    </w:p>
    <w:p>
      <w:pPr>
        <w:pStyle w:val="ListBullet"/>
      </w:pPr>
      <w:r>
        <w:t>Sous-classe : AcM humanisé IgG1κ anti-HER2 (domaine IV extracellulaire), chef de file de la thérapie ciblée anti-HER2. DCI inscrite sur la liste des médicaments essentiels OMS.</w:t>
      </w:r>
    </w:p>
    <w:p>
      <w:pPr>
        <w:pStyle w:val="ListBullet"/>
      </w:pPr>
      <w:r>
        <w:t>Mécanisme d'action : pléiotropique. (i) Blocage de l'hétérodimérisation HER2-HER3 et HER2-EGFR, inhibant la transduction PI3K/AKT/mTOR et MAPK/ERK, réduisant la prolifération et restaurant l'apoptose. (ii) Internalisation et dégradation du récepteur HER2 (down-régulation). (iii) ADCC médiée par les cellules NK via la liaison du domaine Fc du trastuzumab au récepteur FcγRIIIa (CD16), avec libération de perforine/granzymes et lyse des cellules tumorales HER2+. (iv) Inhibition de la protéolyse du domaine extracellulaire de HER2 (prévention de la génération de p95-HER2 constitutivement actif). (v) Inhibition de l'angiogenèse tumorale (down-régulation du VEGF). (vi) Restauration de l'inhibition de contact et de l'adhésion intercellulaire (E-cadherine). Le trastuzumab agit essentiellement par cytostase (cytostatique), avec une activité cytotoxique modeste propre — d'où la nécessité de son association à la chimiothérapie (taxanes) pour optimiser l'efficacité.</w:t>
      </w:r>
    </w:p>
    <w:p>
      <w:r/>
      <w:r>
        <w:rPr>
          <w:b/>
        </w:rPr>
        <w:t>Profil Pharmacologique :</w:t>
      </w:r>
      <w:r/>
    </w:p>
    <w:p>
      <w:pPr>
        <w:pStyle w:val="ListBullet"/>
      </w:pPr>
      <w:r>
        <w:t>Indications : (1) Cancer du sein métastatique HER2+ : en première ligne en association au paclitaxel ou au docetaxel (et désormais au pertuzumab — trastuzumab+pertuzumab+docetaxel) ; en monothérapie d'entretien après association ; en cas de progression après chimiothérapie, en association au vinorelbine, capecitabine ou lapatinib. (2) Cancer du sein précoce HER2+ : en traitement adjuvant après chirurgie et chimiothérapie (schéma « séquentiel » : 1 an de trastuzumab après chimiothérapie, including anthracyclines et taxanes) ; en néoadjuvant en association à la chimiothérapie (schémas AC-TH, TCH, ou dose-dense). Durée totale standard de 12 mois (études HERA, BCIRG-006, NOAH). (3) Cancer gastrique métastatique HER2+ (IHC 3+ ou FISH+) : en association à la chimiothérapie (cisplatine + 5-FU ou capecitabine) selon l'étude ToGA. (4) Cancer du sein HER2+低 expression (IHC 1+ ou 2+/FISH-) en cours d'évaluation (études DESTINY-Breast04 avec T-DM1 ou T-DXd).</w:t>
      </w:r>
    </w:p>
    <w:p>
      <w:pPr>
        <w:pStyle w:val="ListBullet"/>
      </w:pPr>
      <w:r>
        <w:t>Contre-indications : Hypersensibilité connue au trastuzumab, aux protéines murines ou à l'un des excipients. Insuffisance cardiaque sévère (NYHA III/IV) — surveillance stricte. Pathologies cardiaques instables (angor instable, infarctus récent &lt; 6 mois, troubles du rythme non contrôlés). Insuffisance respiratoire sévère. Grossesse (CI relative — voir section Grossesse). Précautions : âge &gt; 65 ans, antécédents d'anthracyclines à dose cumulée élevée (doxorubicine &gt; 360 mg/m² ou équivalent), radiothérapie thoracique antérieure, hypertension artérielle non contrôlée, valvulopathie, FEVG à la limite basse (&lt; 55 %).</w:t>
      </w:r>
    </w:p>
    <w:p>
      <w:pPr>
        <w:pStyle w:val="ListBullet"/>
      </w:pPr>
      <w:r>
        <w:t>Effets Indésirables : Très fréquents (&gt; 10 %) : réactions liées à la perfusion (RLP) lors de la première administration (40 % — frissons, fièvre, nausées, vomissements, céphalées, rash, hypotension, dyspnée, parfois bronchospasme — généralement grade 1–2, manageable avec ralentissement/arrêt transitoire et reprise), toxicité cardiaque (dysfonction ventriculaire gauche asymétrique, baisse asymptomatique de la FEVG dans 4–7 %, insuffisance cardiaque clinique dans 1–4 %, souvent réversible à l'arrêt), diarrhée (surtout en association), myalgies, asthénie, nausées. Fréquents (1–10 %) : neutropénie (surtout en association à la chimiothérapie), anémie, thrombopénie, infections, troubles du goût, conjonctivite, rash, prurit, alothécie (en association aux cytotoxiques), arthralgies, douleurs osseuses. Peu fréquents (0,1–1 %) : pneumopathie interstitielle, hépatotoxicité (cytolyse), neutropénie fébrile, hypertension, tachycardie, anaphylaxie (rare), syndrome de Lyell, syndrome de Stevens-Johnson. Rares (&lt; 0,1 %) : pneumopathie d'hypersensibilité, arrêt cardiaque, choc anaphylactique. Particularité : toxicité cardiaque cumulative (effet dose), détection échographique systématique. Symptômes neurologiques (méningite carcinomateuse — indication intrathécale en cours d'évaluation).</w:t>
      </w:r>
    </w:p>
    <w:p>
      <w:r/>
      <w:r>
        <w:rPr>
          <w:b/>
        </w:rPr>
        <w:t>Prévention et Gestion des Effets Indésirables :</w:t>
      </w:r>
      <w:r/>
    </w:p>
    <w:p>
      <w:pPr>
        <w:pStyle w:val="ListBullet"/>
      </w:pPr>
      <w:r>
        <w:t>Mesures Préventives : Évaluation cardiaque systématique avant initiation : échographie cardiaque avec mesure de la FEVG (seuil acceptable &gt; 55 %, idéalement &gt; 60 %), ECG, antécédents cardiovasculaires détaillés. Suivi : FEVG échographique tous les 3 mois pendant le traitement, et à 6/12 mois après la fin. Pré-médication systématique avant la première perfusion : paracétamol 1 g + antihistaminique H1 (dexchlorphéniramine 5 mg ou cétirizine 10 mg) ± corticothérapie courte (hydrocortisone 100 mg IV) si terrain allergique. Hydratation IV préalable (500 mL sérum physiologique) chez les patients fragiles. Surveillance de la perfusion : administration en 90 min pour la dose de charge puis 30 min à partir de la cure 4 si tolérance bonne. NFS, bilan hépatique, ionogramme, créatinine avant chaque cycle.</w:t>
      </w:r>
    </w:p>
    <w:p>
      <w:pPr>
        <w:pStyle w:val="ListBullet"/>
      </w:pPr>
      <w:r>
        <w:t>Conduite à Tenir : RLP grade 1 (légère) : ralentissement de la perfusion, antihistaminique, paracétamol. RLP grade 2 (modérée) : pause, antihistaminique IV + corticothérapie IV, reprise à débit réduit de moitié. RLP grade 3 (sévère — hypotension, bronchospasme, hypoxie) : arrêt immédiat, hydrocortisone 200 mg IV, antihistaminique IV, O2, surveillance USIC, decision de switch vers un biosimilaire ou arrêt définitif. Baisse asymptomatique de la FEVG de 10–19 % sans passage sous le seuil bas : poursuite du traitement avec surveillance rapprochée. Baisse de la FEVG &gt; 20 % du baseline ou sous 50 % (ou &lt; 5 points sous LSN) : interruption 4–8 semaines, réévaluation échographique, introduction d'IEC/bêtabloquant à visée cardioprotectrice, reprise si récupération (cas le plus fréquent — toxicité réversible). Insuffisance cardiaque clinique : arrêt définitif, traitement cardiologique conventionnel (IEC + bêtabloquant + diurétique), éventuel switch vers trastuzumab emtansine ou autres thérapies. En cas de pneumopathie interstitielle : arrêt immédiat, corticothérapie 1 mg/kg/j, antibiothérapie large spectre.</w:t>
      </w:r>
    </w:p>
    <w:p>
      <w:r/>
      <w:r>
        <w:rPr>
          <w:b/>
        </w:rPr>
        <w:t>Interactions Médicamenteuses :</w:t>
      </w:r>
      <w:r/>
    </w:p>
    <w:p>
      <w:pPr>
        <w:pStyle w:val="ListBullet"/>
      </w:pPr>
      <w:r>
        <w:t>Anthracyclines (doxorubicine, épirubicine) : association formellement déconseillée en raison d'une potentialisation majeure de la cardiotoxicité (risque d'insuffisance cardiaque jusqu'à 27 %). En adjuvant, schéma séquentiel obligatoire (chimiothérapie contenant anthracycline puis trastuzumab après wash-out de 3–4 semaines). Le schéma TCH (docetaxel-carboplatine-trastuzumab) sans anthracycline est une alternative moins cardiotoxique.</w:t>
      </w:r>
    </w:p>
    <w:p>
      <w:pPr>
        <w:pStyle w:val="ListBullet"/>
      </w:pPr>
      <w:r>
        <w:t>Taxanes (paclitaxel, docetaxel) : synergie d'efficacité démontrée (études H0648g, M77001), association standard. Le docetaxel augmente l'ASC du trastuzumab ; surveillance de la tolérance neurologique et hématologique.</w:t>
      </w:r>
    </w:p>
    <w:p>
      <w:pPr>
        <w:pStyle w:val="ListBullet"/>
      </w:pPr>
      <w:r>
        <w:t>Pertuzumab : association synergique (dual blockade), standard de première ligne métastatique et néoadjuvante. Tolérance acceptable (diarrhée additive).</w:t>
      </w:r>
    </w:p>
    <w:p>
      <w:pPr>
        <w:pStyle w:val="ListBullet"/>
      </w:pPr>
      <w:r>
        <w:t>Vinorelbine, capecitabine, lapatinib : associations efficaces en situation métastatique. Surveillance diarrhée (lapatinib), neurotoxicité (vinorelbine), syndrome main-pied (capecitabine).</w:t>
      </w:r>
    </w:p>
    <w:p>
      <w:pPr>
        <w:pStyle w:val="ListBullet"/>
      </w:pPr>
      <w:r>
        <w:t>Cyclophosphamide, platines (carboplatine, cisplatine) : association possible (cancer gastrique, schéma TCH).</w:t>
      </w:r>
    </w:p>
    <w:p>
      <w:pPr>
        <w:pStyle w:val="ListBullet"/>
      </w:pPr>
      <w:r>
        <w:t>Warfarine/AVK : pas d'interaction métabolique directe, mais risque hémorragique majoré en cas de thrombopénie (chimiothérapie associée) ; surveiller l'INR.</w:t>
      </w:r>
    </w:p>
    <w:p>
      <w:pPr>
        <w:pStyle w:val="ListBullet"/>
      </w:pPr>
      <w:r>
        <w:t>Vaccins : éviter les vaccins vivants atténués (BCG, fièvre jaune, ROR, varicelle, zona) pendant le traitement et 6 mois après. Vaccins inactivés autorisés (grippe saisonnière annuelle, pneumocoque, COVID-19).</w:t>
      </w:r>
    </w:p>
    <w:p>
      <w:pPr>
        <w:pStyle w:val="ListBullet"/>
      </w:pPr>
      <w:r>
        <w:t>Pas d'interaction avec le CYP450 (AcM dégradé par protéolyse lysosomale).</w:t>
      </w:r>
    </w:p>
    <w:p>
      <w:r/>
      <w:r>
        <w:rPr>
          <w:b/>
        </w:rPr>
        <w:t>Grossesse et Allaitement :</w:t>
      </w:r>
      <w:r/>
    </w:p>
    <w:p>
      <w:pPr>
        <w:pStyle w:val="ListBullet"/>
      </w:pPr>
      <w:r>
        <w:t>Grossesse : ÉVITER. Données animales tératogènes (anomalies cardiaques, rénales, pulmonaires chez le singe à exposition thérapeutique, liées au rôle physiologique de HER2 dans l'embryogenèse — notamment le développement cardiaque et neural). Données humaines limitées : registres de grossesses sous trastuzumab (Roche) suggérant un risque d'oligohydramnios sévère (anomalie de volume du liquide amniotique, pouvant entraîner hypoplasie pulmonaire fœtale, anomalies de posture, mort fœtale in utero) lorsque l'exposition se fait pendant le 2e ou 3e trimestre. Le 1er trimestre semble moins à risque mais le trastuzumab traverse la barrière fœtale par transport FcRn à partir de la 14e semaine. Une contraception efficace (double méthode) est obligatoire pendant le traitement et 7 mois après l'arrêt. Chez une patiente enceinte nécessitant un traitement anticancéreux : évaluation multidisciplinaire (onco-gynéco-obstétricienne), préférence pour la chimiothérapie classique (anthracyclines et taxanes possibles au 2e trimestre), report du trastuzumab au post-partum.</w:t>
      </w:r>
    </w:p>
    <w:p>
      <w:pPr>
        <w:pStyle w:val="ListBullet"/>
      </w:pPr>
      <w:r>
        <w:t>Allaitement : CONTRE-INDICATION ABSOLUE. Le trastuzumab passe massivement dans le lait maternel (rapport lait/plasma élevé via FcRn), exposant le nouveau-né à une immunosuppression et à un risque de toxicité cardiaque. Allaitement à interrompre pendant toute la durée du traitement et 7 mois après la dernière perfusion.</w:t>
      </w:r>
    </w:p>
    <w:p>
      <w:pPr>
        <w:pStyle w:val="ListBullet"/>
      </w:pPr>
      <w:r>
        <w:t>Fertilité : pas d'étude spécifique ; la maladie cancéreuse et la chimiothérapie associée peuvent altérer la fertilité. Conservation ovarienne (congélation d'embryons, ovocytes ou tissu ovarien) à proposer avant tout traitement chez la femme en âge de procréer.</w:t>
      </w:r>
    </w:p>
    <w:p>
      <w:r/>
      <w:r>
        <w:rPr>
          <w:b/>
        </w:rPr>
        <w:t>Posologie et Mode d'administration (Standard) :</w:t>
      </w:r>
      <w:r/>
    </w:p>
    <w:p>
      <w:pPr>
        <w:pStyle w:val="ListBullet"/>
      </w:pPr>
      <w:r>
        <w:t>Adulte (cancer du sein) : dose de charge 8 mg/kg IV (90 min) puis dose d'entretien 6 mg/kg IV (30 min à partir de la 4e cure si tolérance bonne) toutes les 3 semaines. Alternative hebdomadaire : 4 mg/kg dose de charge puis 2 mg/kg chaque semaine. Durée totale de 12 mois en adjuvant/néoadjuvant (52 semaines, soit 17–18 cycles). En métastatique : traitement continu jusqu'à progression ou toxicité inacceptable.</w:t>
      </w:r>
    </w:p>
    <w:p>
      <w:pPr>
        <w:pStyle w:val="ListBullet"/>
      </w:pPr>
      <w:r>
        <w:t>Adulte (cancer gastrique métastatique) : dose de charge 8 mg/kg IV puis 6 mg/kg toutes les 3 semaines, en association à cisplatine + 5-FU ou capecitabine, jusqu'à progression.</w:t>
      </w:r>
    </w:p>
    <w:p>
      <w:pPr>
        <w:pStyle w:val="ListBullet"/>
      </w:pPr>
      <w:r>
        <w:t>Forme SC (Herceptin SC 600 mg/5 mL) non disponible dans la nomenclature algérienne actuelle (uniquement forme IV).</w:t>
      </w:r>
    </w:p>
    <w:p>
      <w:pPr>
        <w:pStyle w:val="ListBullet"/>
      </w:pPr>
      <w:r>
        <w:t>Mode d'administration : perfusion IV stricte dans 250 mL de NaCl 0,9 % (jamais de glucose — instabilité), via tubings spécifiques, en 90 min pour la dose de charge puis 30 min à partir de la cure 4. Ne jamais bolus IV. Ne pas mélanger avec d'autres médicaments dans la même poche.</w:t>
      </w:r>
    </w:p>
    <w:p>
      <w:pPr>
        <w:pStyle w:val="ListBullet"/>
      </w:pPr>
      <w:r>
        <w:t>Enfant (&gt; 3 ans) : 6 mg/kg dose de charge puis 3 mg/kg chaque semaine (cancers pédiatriques HER2+ rares — gliomes sous-épendymaires).</w:t>
      </w:r>
    </w:p>
    <w:p>
      <w:pPr>
        <w:pStyle w:val="ListBullet"/>
      </w:pPr>
      <w:r>
        <w:t>Insuffisance hépatique : pas d'adaptation (métabolisme protidique).</w:t>
      </w:r>
    </w:p>
    <w:p>
      <w:pPr>
        <w:pStyle w:val="ListBullet"/>
      </w:pPr>
      <w:r>
        <w:t>Insuffisance rénale : pas d'adaptation.</w:t>
      </w:r>
    </w:p>
    <w:p>
      <w:pPr>
        <w:pStyle w:val="ListBullet"/>
      </w:pPr>
      <w:r>
        <w:t>Sujet âgé : pas d'adaptation, mais surveillance cardiaque renforcée.</w:t>
      </w:r>
    </w:p>
    <w:p>
      <w:r/>
      <w:r>
        <w:rPr>
          <w:b/>
        </w:rPr>
        <w:t>Surveillance Biologique et Suivi Clinique :</w:t>
      </w:r>
      <w:r/>
    </w:p>
    <w:p>
      <w:pPr>
        <w:pStyle w:val="ListBullet"/>
      </w:pPr>
      <w:r>
        <w:t>Cardiaque : échographie cardiaque avec FEVG avant initiation (seuil &gt; 55 %), à 3 mois, 6 mois, 9 mois, 12 mois en adjuvant ; tous les 3 mois en métastatique. ECG avant traitement. BNP/NT-proBNP utile pour dépistage précoce. Arrêt si FEVG chute ≥ 10 % par rapport au baseline et sous 50 %, ou ≥ 16 % sans symptomatologie.</w:t>
      </w:r>
    </w:p>
    <w:p>
      <w:pPr>
        <w:pStyle w:val="ListBullet"/>
      </w:pPr>
      <w:r>
        <w:t>Hématologique : NFS-plaquettes avant chaque cycle (en cas d'association à la chimiothérapie).</w:t>
      </w:r>
    </w:p>
    <w:p>
      <w:pPr>
        <w:pStyle w:val="ListBullet"/>
      </w:pPr>
      <w:r>
        <w:t>Hépatique : ALAT, ASAT, bilirubine, PAL, γ-GT mensuels (surtout en cas d'association à la chimiothérapie hépatotoxique).</w:t>
      </w:r>
    </w:p>
    <w:p>
      <w:pPr>
        <w:pStyle w:val="ListBullet"/>
      </w:pPr>
      <w:r>
        <w:t>Rénale : créatinine, urée, ionogramme trimestriels.</w:t>
      </w:r>
    </w:p>
    <w:p>
      <w:pPr>
        <w:pStyle w:val="ListBullet"/>
      </w:pPr>
      <w:r>
        <w:t>Clinique : poids, TA, auscultation cardiaque et pulmonaire, recherche d'œdèmes des membres inférieurs, dyspnée d'effort (Échelle NYHA) à chaque consultation. Interrogatoire recherche de toux, palpitations, douleurs thoraciques, intolérance à l'effort.</w:t>
      </w:r>
    </w:p>
    <w:p>
      <w:pPr>
        <w:pStyle w:val="ListBullet"/>
      </w:pPr>
      <w:r>
        <w:t>Suivi carcinologique : imagerie mammaire (mammographie, IRM) annuelle ; scanner thoraco-abdomino-pelvien tous les 3 mois en métastatique ; marqueurs CA 15-3 (valeur limitée).</w:t>
      </w:r>
    </w:p>
    <w:p>
      <w:pPr>
        <w:pStyle w:val="ListBullet"/>
      </w:pPr>
      <w:r>
        <w:t>Bilan pré-thérapeutique obligatoire : statut HER2 confirmé (IHC 3+ ou FISH+ en cas d'IHC 2+) sur biopsie ou pièce chirurgicale.</w:t>
      </w:r>
    </w:p>
    <w:p>
      <w:r/>
      <w:r>
        <w:rPr>
          <w:b/>
        </w:rPr>
        <w:t>Arbitrage et Bénéfices des Formes Galéniques :</w:t>
      </w:r>
      <w:r/>
    </w:p>
    <w:p>
      <w:r>
        <w:t>La forme lyophilisée à 440 mg (avec solvant) correspond à la dose d'entretien standard d'une patiente de 70 kg (6 mg/kg × 70 = 420 mg, arrondi au flacon disponible). La forme à 150 mg est adaptée à l'adaptation pondérale fine (patientes de moins de 50 kg, dose de charge chez l'enfant, ajustement aux variations pondérales sous traitement). Les biosimilaires (Herzuma, Trazimera, Hervycta, Canmab, HertraZ, Zumab, Trastuzumab-Saidal) présentent les mêmes indications, posologie, tolérance et efficacité que la référence Herceptin, et sont substituables à l'initiation du traitement (recommandation ANSM, EMA). Le choix du biosimilaire repose sur les considerations économiques et les accords d'établissement. Le Kanjinti (Amgen) a été retiré du marché algérien en raison d'une décision industrielle (non liée à un problème de tolérance). La forme sous-cutanée Herceptin SC (600 mg/5 mL, 5 min d'administration) n'est pas disponible en Algérie à ce jour ; son utilisation est remplacée par la forme combinée Phesgo (trastuzumab + pertuzumab SC) lorsque l'association est indiquée.</w:t>
      </w:r>
    </w:p>
    <w:p>
      <w:r/>
      <w:r>
        <w:rPr>
          <w:b/>
        </w:rPr>
        <w:t>Instructions et Conseils au Patient :</w:t>
      </w:r>
      <w:r/>
    </w:p>
    <w:p>
      <w:pPr>
        <w:pStyle w:val="ListBullet"/>
      </w:pPr>
      <w:r>
        <w:t>Communication au comptoir : « Le trastuzumab est un anticorps monoclonal ciblé spécifiquement contre les cellules de votre cancer du sein qui surexpriment une protéine appelée HER2. Il est administré en perfusion intraveineuse à l'hôpital toutes les 3 semaines pendant 12 mois. Les effets indésirables les plus fréquents sont des réactions pendant la perfusion (frissons, fièvre, nausées), une fatigue, et surtout une surveillance cardiaque régulière (échographies cardiaques tous les 3 mois). Prévenez immédiatement votre médecin si vous ressentez un essoufflement, des œdèmes des jambes, des palpitations ou une prise de poids rapide (signes possibles d'atteinte cardiaque). Une contraception stricte est obligatoire pendant le traitement et 7 mois après. »</w:t>
      </w:r>
    </w:p>
    <w:p>
      <w:pPr>
        <w:pStyle w:val="ListBullet"/>
      </w:pPr>
      <w:r>
        <w:t>Observance : ne jamais manquer une cure (risque de rebond tumoral) ; signaler tout effet indésirable même mineur ; tenir un journal des symptômes.</w:t>
      </w:r>
    </w:p>
    <w:p>
      <w:pPr>
        <w:pStyle w:val="ListBullet"/>
      </w:pPr>
      <w:r>
        <w:t>Hygiène de vie : éviter les efforts physiques intenses en cas de baisse de la FEVG ; alimentation pauvre en sel en cas de rétention hydrosodée ; éviter l'alcool (hépatotoxicité additive) ; activité physique modérée régulière (effet cardioprotecteur).</w:t>
      </w:r>
    </w:p>
    <w:p>
      <w:pPr>
        <w:pStyle w:val="ListBullet"/>
      </w:pPr>
      <w:r>
        <w:t>Femmes en âge de procréer : double contraception obligatoire pendant et 7 mois après ; test de grossesse avant initiation.</w:t>
      </w:r>
    </w:p>
    <w:p>
      <w:pPr>
        <w:pStyle w:val="ListBullet"/>
      </w:pPr>
      <w:r>
        <w:t>Vaccins : éviter les vaccins vivants ; vaccination antigrippale annuelle recommandée.</w:t>
      </w:r>
    </w:p>
    <w:p>
      <w:r/>
      <w:r>
        <w:rPr>
          <w:b/>
        </w:rPr>
        <w:t>Notes, Règles d'Or &amp; Pièges au Comptoir :</w:t>
      </w:r>
      <w:r/>
    </w:p>
    <w:p>
      <w:pPr>
        <w:pStyle w:val="ListBullet"/>
      </w:pPr>
      <w:r>
        <w:t>Règle d'or : ne jamais administrer de glucose comme diluant (instabilité de l'AcM, formation d'agrégats) — NaCl 0,9 % strictement.</w:t>
      </w:r>
    </w:p>
    <w:p>
      <w:pPr>
        <w:pStyle w:val="ListBullet"/>
      </w:pPr>
      <w:r>
        <w:t>Piège : la cardiotoxicité du trastuzumab est réversible à l'arrêt (à la différence de celle des anthracyclines, dose-dépendante et cumulative irréversible) — ne pas confondre les deux mécanismes ; surveillance échographique systématique.</w:t>
      </w:r>
    </w:p>
    <w:p>
      <w:pPr>
        <w:pStyle w:val="ListBullet"/>
      </w:pPr>
      <w:r>
        <w:t>Piège : les RLP sont fréquentes lors de la première cure (40 %) et disparaissent le plus souvent avec les cures suivantes ; ne pas conclure hâtivement à une allergie et arrêter définitivement le traitement. Pré-médication systématique et ralentissement suffisent en général.</w:t>
      </w:r>
    </w:p>
    <w:p>
      <w:pPr>
        <w:pStyle w:val="ListBullet"/>
      </w:pPr>
      <w:r>
        <w:t>Règle : la confirmation du statut HER2 (IHC 3+ ou FISH+ en cas d'IHC 2+) est OBLIGATOIRE avant initiation — traitement inefficace (et coûteux) en cas de tumeur HER2-négative.</w:t>
      </w:r>
    </w:p>
    <w:p>
      <w:pPr>
        <w:pStyle w:val="ListBullet"/>
      </w:pPr>
      <w:r>
        <w:t>Piège : l'association trastuzumab + anthracyclines concomitante est formellement déconseillée (cardiotoxicité majeure) — schéma séquentiel obligatoire.</w:t>
      </w:r>
    </w:p>
    <w:p>
      <w:pPr>
        <w:pStyle w:val="ListBullet"/>
      </w:pPr>
      <w:r>
        <w:t>Surveillance : attention à la prescription de trastuzumab chez une patiente âgée de plus de 70 ans ou aux antécédents cardiovasculaires lourds — surveillance rapprochée, éventuel switch vers schéma TCH (sans anthracycline).</w:t>
      </w:r>
    </w:p>
    <w:p>
      <w:pPr>
        <w:pStyle w:val="ListBullet"/>
      </w:pPr>
      <w:r>
        <w:t>Règle : durée totale de 12 mois en adjuvant (études HERA, BCIRG-006, NOAH, B-31, N9831) ; ne pas prolonger au-delà (études HERA 24 mois non supérieures à 12 mois).</w:t>
      </w:r>
    </w:p>
    <w:p>
      <w:pPr>
        <w:pStyle w:val="ListBullet"/>
      </w:pPr>
      <w:r>
        <w:t>Piège : l'efficacité du trastuzumab est conditionnée par la continuité du traitement — une interruption supérieure à 7 jours nécessite une dose de charge (re-initiation à 8 mg/kg).</w:t>
      </w:r>
    </w:p>
    <w:p>
      <w:pPr>
        <w:pStyle w:val="Heading3"/>
      </w:pPr>
      <w:r>
        <w:t>106.1.2 DCI : Pertuzumab</w:t>
      </w:r>
    </w:p>
    <w:p>
      <w:r/>
      <w:r>
        <w:rPr>
          <w:b/>
        </w:rPr>
        <w:t>Liste des Catégories :</w:t>
      </w:r>
      <w:r>
        <w:t xml:space="preserve"> Antinéoplasiques ; Anticorps monoclonal humanisé IgG1 anti-HER2 (domaine II) ; Thérapie ciblée du cancer du sein HER2-positif (dual blockade avec trastuzumab) ; Liste I.</w:t>
      </w:r>
    </w:p>
    <w:p>
      <w:r>
        <w:t>Le pertuzumab est un AcM humanisé IgG1 recombinant dirigé contre le domaine II extracellulaire du récepteur HER2 — région de dimérisation — développé par Genentech/Roche. Il a obtenu une AMM FDA en juin 2012 et EMA en mars 2013. Sa particularité mécanistique est de cibler un épitope distinct de celui du trastuzumab (qui cible le domaine IV), permettant une stratégie de double blocage (dual blockade) de HER2 : le pertuzumab empêche l'hétérodimérisation HER2-HER3 (la plus puissante pour la signalisation oncogénique) et HER2-EGFR, tandis que le trastuzumab exerce ses effets ADCC et de down-régulation. L'association trastuzumab + pertuzumab + docetaxel est devenue le standard de traitement de première ligne du cancer du sein métastatique HER2+ (étude CLEOPATRA : survie médiane 56,5 mois vs 40,8 mois avec trastuzumab + docetaxel seul) et du traitement néoadjuvant (études NEOSPHERE et TRYPHAENA : taux de réponse pathologique complète pCR significativement améliorés). Le pertuzumab est également indiqué en adjuvant (étude APHINITY) chez les patientes à haut risque de récidive.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PERJETA</w:t>
            </w:r>
          </w:p>
        </w:tc>
        <w:tc>
          <w:tcPr>
            <w:tcW w:type="dxa" w:w="1559"/>
          </w:tcPr>
          <w:p>
            <w:r>
              <w:rPr>
                <w:sz w:val="20"/>
              </w:rPr>
              <w:t>ROCHE PHARMA (SCHWEIZ) LTD</w:t>
            </w:r>
          </w:p>
        </w:tc>
        <w:tc>
          <w:tcPr>
            <w:tcW w:type="dxa" w:w="1559"/>
          </w:tcPr>
          <w:p>
            <w:r>
              <w:rPr>
                <w:sz w:val="20"/>
              </w:rPr>
              <w:t>Solution à diluer pour perfusion — 30 mg/mL</w:t>
            </w:r>
          </w:p>
        </w:tc>
        <w:tc>
          <w:tcPr>
            <w:tcW w:type="dxa" w:w="1559"/>
          </w:tcPr>
          <w:p>
            <w:r>
              <w:rPr>
                <w:sz w:val="20"/>
              </w:rPr>
              <w:t>B/1 flacon 14 mL (420 mg/14 mL)</w:t>
            </w:r>
          </w:p>
        </w:tc>
        <w:tc>
          <w:tcPr>
            <w:tcW w:type="dxa" w:w="1559"/>
          </w:tcPr>
          <w:p>
            <w:r>
              <w:rPr>
                <w:sz w:val="20"/>
              </w:rPr>
              <w:t>Liste I</w:t>
            </w:r>
          </w:p>
        </w:tc>
        <w:tc>
          <w:tcPr>
            <w:tcW w:type="dxa" w:w="1559"/>
          </w:tcPr>
          <w:p>
            <w:r>
              <w:rPr>
                <w:sz w:val="20"/>
              </w:rPr>
              <w:t>Actif</w:t>
            </w:r>
          </w:p>
        </w:tc>
      </w:tr>
      <w:tr>
        <w:tc>
          <w:tcPr>
            <w:tcW w:type="dxa" w:w="1559"/>
          </w:tcPr>
          <w:p>
            <w:r>
              <w:rPr>
                <w:sz w:val="20"/>
              </w:rPr>
              <w:t>PECTUNA</w:t>
            </w:r>
          </w:p>
        </w:tc>
        <w:tc>
          <w:tcPr>
            <w:tcW w:type="dxa" w:w="1559"/>
          </w:tcPr>
          <w:p>
            <w:r>
              <w:rPr>
                <w:sz w:val="20"/>
              </w:rPr>
              <w:t>ORION LAB</w:t>
            </w:r>
          </w:p>
        </w:tc>
        <w:tc>
          <w:tcPr>
            <w:tcW w:type="dxa" w:w="1559"/>
          </w:tcPr>
          <w:p>
            <w:r>
              <w:rPr>
                <w:sz w:val="20"/>
              </w:rPr>
              <w:t>Solution à diluer pour perfusion — 30 mg/mL</w:t>
            </w:r>
          </w:p>
        </w:tc>
        <w:tc>
          <w:tcPr>
            <w:tcW w:type="dxa" w:w="1559"/>
          </w:tcPr>
          <w:p>
            <w:r>
              <w:rPr>
                <w:sz w:val="20"/>
              </w:rPr>
              <w:t>B/1 flacon 14 mL (420 mg/14 mL)</w:t>
            </w:r>
          </w:p>
        </w:tc>
        <w:tc>
          <w:tcPr>
            <w:tcW w:type="dxa" w:w="1559"/>
          </w:tcPr>
          <w:p>
            <w:r>
              <w:rPr>
                <w:sz w:val="20"/>
              </w:rPr>
              <w:t>Liste I</w:t>
            </w:r>
          </w:p>
        </w:tc>
        <w:tc>
          <w:tcPr>
            <w:tcW w:type="dxa" w:w="1559"/>
          </w:tcPr>
          <w:p>
            <w:r>
              <w:rPr>
                <w:sz w:val="20"/>
              </w:rPr>
              <w:t>Actif</w:t>
            </w:r>
          </w:p>
        </w:tc>
      </w:tr>
    </w:tbl>
    <w:p/>
    <w:p>
      <w:r>
        <w:t>Le pertuzumab est délivré en Algérie via le circuit hospitalier spécialisé en oncologie. La spécialité princeps Perjeta (Roche) et le biosimilaire Pectuna (Orion Lab) sont disponibles en flacon unique de 14 mL dosé à 420 mg, correspondant à la dose d'entretien standard d'une patiente de 70 kg (6 mg/kg × 70 kg = 420 mg).</w:t>
      </w:r>
    </w:p>
    <w:p>
      <w:r/>
      <w:r>
        <w:rPr>
          <w:b/>
        </w:rPr>
        <w:t>Sous-classe et Mécanisme d'action :</w:t>
      </w:r>
      <w:r/>
    </w:p>
    <w:p>
      <w:pPr>
        <w:pStyle w:val="ListBullet"/>
      </w:pPr>
      <w:r>
        <w:t>Sous-classe : AcM humanisé IgG1κ anti-HER2 (domaine II — région de dimérisation), chef de file du « dual blockade » HER2.</w:t>
      </w:r>
    </w:p>
    <w:p>
      <w:pPr>
        <w:pStyle w:val="ListBullet"/>
      </w:pPr>
      <w:r>
        <w:t>Mécanisme d'action : (i) Blocage de la région de dimérisation de HER2 (domaine II), empêchant l'hétérodimérisation HER2-HER3 et HER2-EGFR, et donc la transduction du signal mitogène. À la différence du trastuzumab (domaine IV), le pertuzumab n'induit pas de down-régulation du récepteur mais empêche son activation par partenariat. (ii) ADCC médiée par les cellules NK via FcγRIIIa (CD16), avec libération de perforine/granzymes ; ADCC moins puissante que celle du trastuzumab. (iii) Synergie avec le trastuzumab : blocage simultané de deux épitopes distincts (domaine II + domaine IV) empêche l'échappement par amplification des voies de dimérisation alternative. L'association trastuzumab + pertuzumab + docetaxel bloque HER2 par deux mécanismes complémentaires et potentialise la cytotoxicité du docetaxel.</w:t>
      </w:r>
    </w:p>
    <w:p>
      <w:r/>
      <w:r>
        <w:rPr>
          <w:b/>
        </w:rPr>
        <w:t>Profil Pharmacologique :</w:t>
      </w:r>
      <w:r/>
    </w:p>
    <w:p>
      <w:pPr>
        <w:pStyle w:val="ListBullet"/>
      </w:pPr>
      <w:r>
        <w:t>Indications : (1) Cancer du sein métastatique HER2+ en première ligne : pertuzumab + trastuzumab + docetaxel (schéma CLEOPATRA) — standard de référence. En cas de progression : switch vers T-DM1 (trastuzumab emtansine) ou T-DXd (trastuzumab deruxtecan, non disponible en Algérie). (2) Cancer du sein précoce HER2+ à haut risque de récidive (adjuvant — étude APHINITY) : pertuzumab + trastuzumab + chimiothérapie (durée 1 an), en particulier pour les patientes avec atteinte ganglionnaire ou tumeur &gt; 2 cm. (3) Cancer du sein néoadjuvant HER2+ : pertuzumab + trastuzumab + chimiothérapie (schémas TCHP ou AC-THP) pour les tumeurs ≥ 2 cm ou ganglionnaires — étude NEOSPHERE (pCR 45,8 % avec T+P+docetaxel vs 21,5 % avec T+docetaxel seul). (4) Cancer gastrique métastatique HER2+ (indication validée par FDA mais non par EMA dans la nomenclature algérienne) en association au trastuzumab + chimiothérapie (étude JACOB).</w:t>
      </w:r>
    </w:p>
    <w:p>
      <w:pPr>
        <w:pStyle w:val="ListBullet"/>
      </w:pPr>
      <w:r>
        <w:t>Contre-indications : Hypersensibilité au pertuzumab ou à l'un des excipients. Grossesse (CI relative — voir section Grossesse). Insuffisance cardiaque sévère (NYHA III/IV). Précautions : âge &gt; 65 ans, antécédents d'anthracyclines, FEVG à la limite basse, diarrhée sévère préalable.</w:t>
      </w:r>
    </w:p>
    <w:p>
      <w:pPr>
        <w:pStyle w:val="ListBullet"/>
      </w:pPr>
      <w:r>
        <w:t>Effets Indésirables : Très fréquents (&gt; 10 %) : diarrhée (60–70 % — effet propre du pertuzumab, plus marqué qu'avec le trastuzumab seul ; grade 3–4 dans 5–10 %), alopécie (en association à la chimiothérapie), nausées, vomissements, fatigue, neutropénie (surtout en association au docetaxel), mucite, rash, prurit, asthénie. Fréquents (1–10 %) : réactions liées à la perfusion (RLP, ~20 % à la première cure, surtout frissons et fièvre), toxicité cardiaque (baisse de la FEVG, moins fréquente qu'avec le trastuzumab seul — 2–4 %), neuropathie périphérique (en association au docetaxel), infections urinaires, paronychie, dysgueusie, sécheresse oculaire, épistaxis. Peu fréquents : neutropénie fébrile, pneumopathie interstitielle, hépatotoxicité. Rares : anaphylaxie, syndrome de Lyell. Particularité : diarrhée additive avec le docetaxel et le trastuzumab — surveillance et traitement précoces (loperamide).</w:t>
      </w:r>
    </w:p>
    <w:p>
      <w:r/>
      <w:r>
        <w:rPr>
          <w:b/>
        </w:rPr>
        <w:t>Prévention et Gestion des Effets Indésirables :</w:t>
      </w:r>
      <w:r/>
    </w:p>
    <w:p>
      <w:pPr>
        <w:pStyle w:val="ListBullet"/>
      </w:pPr>
      <w:r>
        <w:t>Mesures Préventives : Évaluation cardiaque avant initiation (FEVG échographique &gt; 55 %), à 3, 6, 9, 12 mois. Pré-médication systématique avant la première perfusion (paracétamol, antihistaminique). Conseil de prise de loperamide à domicile pour la diarrhée. NFS, bilan hépatique avant chaque cycle.</w:t>
      </w:r>
    </w:p>
    <w:p>
      <w:pPr>
        <w:pStyle w:val="ListBullet"/>
      </w:pPr>
      <w:r>
        <w:t>Conduite à Tenir : Diarrhée grade 1–2 : loperamide 4 mg puis 2 mg toutes les 2 heures jusqu'à 12 heures sans selle ; hydratation orale. Diarrhée grade 3–4 (&gt; 7 selle/jour ou hospitalisation) : arrêt transitoire du pertuzumab, hospitalisation, hydratation IV, antibiotique prophylactique (ciprofloxacine) en cas de neutropénie associée, reprise à dose réduite. RLP grade 1–2 : ralentissement, antihistaminique. RLP grade 3 : arrêt, corticothérapie IV, surveillance USIC. Baisse de la FEVG : voir trastuzumab. Pneumopathie : arrêt immédiat, corticothérapie.</w:t>
      </w:r>
    </w:p>
    <w:p>
      <w:r/>
      <w:r>
        <w:rPr>
          <w:b/>
        </w:rPr>
        <w:t>Interactions Médicamenteuses :</w:t>
      </w:r>
      <w:r/>
    </w:p>
    <w:p>
      <w:pPr>
        <w:pStyle w:val="ListBullet"/>
      </w:pPr>
      <w:r>
        <w:t>Trastuzumab : association standard (dual blockade), pas d'interaction pharmacocinétique significative, synergie pharmacodynamique.</w:t>
      </w:r>
    </w:p>
    <w:p>
      <w:pPr>
        <w:pStyle w:val="ListBullet"/>
      </w:pPr>
      <w:r>
        <w:t>Docetaxel : association standard, pas de modification pharmacocinétique majeure.</w:t>
      </w:r>
    </w:p>
    <w:p>
      <w:pPr>
        <w:pStyle w:val="ListBullet"/>
      </w:pPr>
      <w:r>
        <w:t>Anthracyclines : éviter l'association concomitante (cardiotoxicité cumulative).</w:t>
      </w:r>
    </w:p>
    <w:p>
      <w:pPr>
        <w:pStyle w:val="ListBullet"/>
      </w:pPr>
      <w:r>
        <w:t>Pas d'interaction avec le CYP450 (AcM).</w:t>
      </w:r>
    </w:p>
    <w:p>
      <w:pPr>
        <w:pStyle w:val="ListBullet"/>
      </w:pPr>
      <w:r>
        <w:t>Vaccins vivants : contre-indiqués pendant et 6 mois après.</w:t>
      </w:r>
    </w:p>
    <w:p>
      <w:r/>
      <w:r>
        <w:rPr>
          <w:b/>
        </w:rPr>
        <w:t>Grossesse et Allaitement :</w:t>
      </w:r>
      <w:r/>
    </w:p>
    <w:p>
      <w:pPr>
        <w:pStyle w:val="ListBullet"/>
      </w:pPr>
      <w:r>
        <w:t>Grossesse : ÉVITER. Données animales tératogènes (anomalies de développement embryo-fœtal chez le singe, role of HER2 in embryogenesis). Le pertuzumab traverse la barrière placentaire via FcRn à partir du 2e trimestre, avec risque d'oligohydramnios et d'hypoplasie pulmonaire fœtale (données limitées). Contraception obligatoire pendant le traitement et 7 mois après.</w:t>
      </w:r>
    </w:p>
    <w:p>
      <w:pPr>
        <w:pStyle w:val="ListBullet"/>
      </w:pPr>
      <w:r>
        <w:t>Allaitement : CONTRE-INDICATION ABSOLUE pendant le traitement et 7 mois après (passage massif dans le lait maternel via FcRn).</w:t>
      </w:r>
    </w:p>
    <w:p>
      <w:pPr>
        <w:pStyle w:val="ListBullet"/>
      </w:pPr>
      <w:r>
        <w:t>Fertilité : pas d'effet direct documenté ; conservation ovarienne à discuter avant traitement.</w:t>
      </w:r>
    </w:p>
    <w:p>
      <w:r/>
      <w:r>
        <w:rPr>
          <w:b/>
        </w:rPr>
        <w:t>Posologie et Mode d'administration (Standard) :</w:t>
      </w:r>
      <w:r/>
    </w:p>
    <w:p>
      <w:pPr>
        <w:pStyle w:val="ListBullet"/>
      </w:pPr>
      <w:r>
        <w:t>Adulte : dose de charge 840 mg IV (90 min) puis dose d'entretien 420 mg IV (30–60 min) toutes les 3 semaines. En association au trastuzumab + docetaxel en néoadjuvant/adjuvant/métastatique. Durée : 12 mois en adjuvant/néoadjuvant (selon schéma APHINITY), jusqu'à progression en métastatique.</w:t>
      </w:r>
    </w:p>
    <w:p>
      <w:pPr>
        <w:pStyle w:val="ListBullet"/>
      </w:pPr>
      <w:r>
        <w:t>Mode d'administration : perfusion IV stricte dans 250 mL NaCl 0,9 % (jamais glucose). Tubing dédié.</w:t>
      </w:r>
    </w:p>
    <w:p>
      <w:pPr>
        <w:pStyle w:val="ListBullet"/>
      </w:pPr>
      <w:r>
        <w:t>Forme SC combinée Phesgo (trastuzumab + pertuzumab) : voir section 106.2.1.</w:t>
      </w:r>
    </w:p>
    <w:p>
      <w:pPr>
        <w:pStyle w:val="ListBullet"/>
      </w:pPr>
      <w:r>
        <w:t>Insuffisance hépatique/rénale : pas d'adaptation.</w:t>
      </w:r>
    </w:p>
    <w:p>
      <w:r/>
      <w:r>
        <w:rPr>
          <w:b/>
        </w:rPr>
        <w:t>Surveillance Biologique et Suivi Clinique :</w:t>
      </w:r>
      <w:r/>
    </w:p>
    <w:p>
      <w:pPr>
        <w:pStyle w:val="ListBullet"/>
      </w:pPr>
      <w:r>
        <w:t>Cardiaque : échographie FEVG avant initiation, à 3, 6, 9, 12 mois. ECG avant traitement.</w:t>
      </w:r>
    </w:p>
    <w:p>
      <w:pPr>
        <w:pStyle w:val="ListBullet"/>
      </w:pPr>
      <w:r>
        <w:t>Hématologique : NFS-plaquettes avant chaque cycle.</w:t>
      </w:r>
    </w:p>
    <w:p>
      <w:pPr>
        <w:pStyle w:val="ListBullet"/>
      </w:pPr>
      <w:r>
        <w:t>Hépatique : bilan hépatique mensuel.</w:t>
      </w:r>
    </w:p>
    <w:p>
      <w:pPr>
        <w:pStyle w:val="ListBullet"/>
      </w:pPr>
      <w:r>
        <w:t>Clinique : poids, TA, examen cardio-pulmonaire à chaque consultation ; interrogationatoire diarrhée, fatigue, dyspnée.</w:t>
      </w:r>
    </w:p>
    <w:p>
      <w:pPr>
        <w:pStyle w:val="ListBullet"/>
      </w:pPr>
      <w:r>
        <w:t>Suivi carcinologique : imagerie mammaire annuelle ; scanner TAP tous les 3 mois en métastatique.</w:t>
      </w:r>
    </w:p>
    <w:p>
      <w:pPr>
        <w:pStyle w:val="ListBullet"/>
      </w:pPr>
      <w:r>
        <w:t>Statut HER2 confirmé obligatoire avant initiation.</w:t>
      </w:r>
    </w:p>
    <w:p>
      <w:r/>
      <w:r>
        <w:rPr>
          <w:b/>
        </w:rPr>
        <w:t>Arbitrage et Bénéfices des Formes Galéniques :</w:t>
      </w:r>
      <w:r/>
    </w:p>
    <w:p>
      <w:r>
        <w:t>Le pertuzumab est disponible uniquement en forme IV (flacon de 14 mL dosé à 420 mg). Le flacon unique correspond à la dose d'entretien standard d'une patiente de 70 kg (6 mg/kg × 70). Pour la dose de charge (840 mg), deux flacons sont nécessaires (840 = 2 × 420). La forme combinée sous-cutanée Phesgo (trastuzumab 600 mg + pertuzumab 600 mg en 10 mL ou 15 mL) est une alternative pour les patientes sous trastuzumab + pertuzumab conjointement — voir fiche 106.2.1. Le biosimilaire Pectuna (Orion) est équivalent à la référence Perjeta. Le choix entre la forme IV séparée et la forme SC combinée dépend des habitudes locales, de la disponibilité, et de la préférence de la patiente (la forme SC permet une administration en 5 min vs 60–90 min pour la double perfusion IV).</w:t>
      </w:r>
    </w:p>
    <w:p>
      <w:r/>
      <w:r>
        <w:rPr>
          <w:b/>
        </w:rPr>
        <w:t>Instructions et Conseils au Patient :</w:t>
      </w:r>
      <w:r/>
    </w:p>
    <w:p>
      <w:pPr>
        <w:pStyle w:val="ListBullet"/>
      </w:pPr>
      <w:r>
        <w:t>Communication au comptoir : « Le pertuzumab est un anticorps monoclonal qui cible la protéine HER2 d'une manière complémentaire au trastuzumab. Il est toujours administré en association au trastuzumab et à une chimiothérapie (docetaxel), ce qui permet de bloquer HER2 par deux mécanismes différents et d'améliorer l'efficacité. Les effets indésirables les plus fréquents sont la diarrhée (parfois sévère, à signaler immédiatement), la fatigue, des réactions pendant la perfusion, et une surveillance cardiaque régulière. Prévenez votre médecin en cas de diarrhée persistante, d'essoufflement ou d'œdèmes. »</w:t>
      </w:r>
    </w:p>
    <w:p>
      <w:pPr>
        <w:pStyle w:val="ListBullet"/>
      </w:pPr>
      <w:r>
        <w:t>Observance : signaler tout épisode diarrhéique dès les premières selles molles pour adaptation du loperamide ; ne jamais manquer une cure.</w:t>
      </w:r>
    </w:p>
    <w:p>
      <w:pPr>
        <w:pStyle w:val="ListBullet"/>
      </w:pPr>
      <w:r>
        <w:t>Hygiène de vie : hydratation abondante (prévention de la déshydratation en cas de diarrhée), alimentation pauvre en résidus en cas de diarrhée.</w:t>
      </w:r>
    </w:p>
    <w:p>
      <w:pPr>
        <w:pStyle w:val="ListBullet"/>
      </w:pPr>
      <w:r>
        <w:t>Femmes en âge de procréer : double contraception obligatoire pendant et 7 mois après.</w:t>
      </w:r>
    </w:p>
    <w:p>
      <w:r/>
      <w:r>
        <w:rPr>
          <w:b/>
        </w:rPr>
        <w:t>Notes, Règles d'Or &amp; Pièges au Comptoir :</w:t>
      </w:r>
      <w:r/>
    </w:p>
    <w:p>
      <w:pPr>
        <w:pStyle w:val="ListBullet"/>
      </w:pPr>
      <w:r>
        <w:t>Règle d'or : le pertuzumab ne s'utilise JAMAIS en monothérapie — toujours en association au trastuzumab (dual blockade) + chimiothérapie (docetaxel).</w:t>
      </w:r>
    </w:p>
    <w:p>
      <w:pPr>
        <w:pStyle w:val="ListBullet"/>
      </w:pPr>
      <w:r>
        <w:t>Piège : la diarrhée est plus fréquente et plus sévère avec l'association trastuzumab+pertuzumab+docetaxel qu'avec le trastuzumab seul ; ne pas sous-estimer, traitement précoce obligatoire (loperamide dès la première selle molle).</w:t>
      </w:r>
    </w:p>
    <w:p>
      <w:pPr>
        <w:pStyle w:val="ListBullet"/>
      </w:pPr>
      <w:r>
        <w:t>Règle : confirmation du statut HER2 obligatoire avant initiation.</w:t>
      </w:r>
    </w:p>
    <w:p>
      <w:pPr>
        <w:pStyle w:val="ListBullet"/>
      </w:pPr>
      <w:r>
        <w:t>Piège : toxicité cardiaque additive avec le trastuzumab — surveillance échographique renforcée.</w:t>
      </w:r>
    </w:p>
    <w:p>
      <w:pPr>
        <w:pStyle w:val="ListBullet"/>
      </w:pPr>
      <w:r>
        <w:t>Surveillance : attention aux associations multiples (pertuzumab + trastuzumab + docetaxel + G-CSF en prophylaxie) — risque de toxicité pulmonaire (pneumopathie interstitielle).</w:t>
      </w:r>
    </w:p>
    <w:p>
      <w:pPr>
        <w:pStyle w:val="ListBullet"/>
      </w:pPr>
      <w:r>
        <w:t>Règle : la dose de charge (840 mg) doit être administrée avant la dose d'entretien (420 mg) — ne jamais débuter directement à la dose d'entretien.</w:t>
      </w:r>
    </w:p>
    <w:p>
      <w:pPr>
        <w:pStyle w:val="Heading2"/>
      </w:pPr>
      <w:r>
        <w:t>106.2 Sous-classe : AcM Anti-HER2 (associations)</w:t>
      </w:r>
    </w:p>
    <w:p>
      <w:r>
        <w:t>La combinaison trastuzumab + pertuzumab en une formulation sous-cutanée unique (Phesgo®, Roche) constitue une avancée majeure en termes de simplification thérapeutique et de qualité de vie des patientes traitées pour un cancer du sein HER2-positif. Cette association fixe, administrée en 5 minutes par voie sous-cutanée (vs 60–150 minutes pour la double perfusion IV), a obtenu l'AMM EMA en décembre 2020. Elle associe les deux AcM anti-HER2 à des doses pondérales adaptées (trastuzumab 600 mg + pertuzumab 600 mg pour les patientes &lt; 70 kg ; trastuzumab 600 mg + pertuzumab 1200 mg pour les patientes ≥ 70 kg, conditionné en flacon de 15 mL). Les études pivots FEIHANC, KRHPH, en Hollande (PrefHER) ont démontré une équivalence pharmacocinétique (ASC trastuzumab et pertuzumab dans les bornes bioéquivalence), une efficacité comparable (taux de pCR similaire en néoadjuvant), et une préférence marquée des patientes pour la voie SC (qualité de vie, temps de perfusion réduit, moins de réactions à la perfusion). La forme SC combine l'hyaluronidase recombinante (rHuPH20, ENHANZE technology) qui augmente transitoirement la perméabilité du tissu sous-cutané et permet l'administration de volumes importants (10–15 mL) en une seule injection. Phesgo est indiqué dans le cancer du sein précoce HER2+ (néoadjuvant et adjuvant) en association à la chimiothérapie, et dans le cancer du sein métastatique HER2+ en association au docetaxel (en première ligne, schéma CLEOPATRA-SC). Les contre-indications, précautions et effets indésirables sont ceux de chaque composant (trastuzumab + pertuzumab) ; la tolérance globale est superposable à la forme IV, avec un taux similaire de cardiotoxicité et de diarrhée. Cette forme permet une administration en hospitalisation à domicile ou en consultation courte, réduisant considérablement la charge hospitalière.</w:t>
      </w:r>
    </w:p>
    <w:p>
      <w:pPr>
        <w:pStyle w:val="Heading3"/>
      </w:pPr>
      <w:r>
        <w:t>106.2.1 DCI : Trastuzumab + Pertuzumab (Phesgo)</w:t>
      </w:r>
    </w:p>
    <w:p>
      <w:r/>
      <w:r>
        <w:rPr>
          <w:b/>
        </w:rPr>
        <w:t>Liste des Catégories :</w:t>
      </w:r>
      <w:r>
        <w:t xml:space="preserve"> Antinéoplasiques ; Association fixe d'anticorps monoclonaux humanisés anti-HER2 (trastuzumab IgG1 anti-domaine IV + pertuzumab IgG1 anti-domaine II) ; Forme sous-cutanée avec hyaluronidase recombinante (rHuPH20) ; Thérapie ciblée du cancer du sein HER2-positif (dual blockade) ; Liste I.</w:t>
      </w:r>
    </w:p>
    <w:p>
      <w:r>
        <w:t>La spécialité Phesgo (trastuzumab + pertuzumab SC) est la première association fixe d'AcM anticancéreux administrée par voie sous-cutanée. Elle a été conçue pour simplifier le schéma thérapeutique standard de double blocage HER2 (trastuzumab + pertuzumab IV), en réduisant le temps d'administration de plus de 90 minutes (double perfusion IV) à 5 minutes (injection SC unique), améliorant significativement le confort de la patiente et la logistique hospitalière. La technologie ENHANZE repose sur l'adjonction d'hyaluronidase recombinante humaine PH20 (rHuPH20) qui dégrade transitoirement l'acide hyaluronique du tissu sous-cutané, augmentant sa perméabilité et permettant l'administration de volumes importants (10–15 mL) sans douleur excessive. La pharmacocinétique des deux AcM après administration SC est bioéquivalente à la forme IV (ASC, Cmax, Cmin dans les bornes de bioéquivalence 80–125 %), avec une demi-vie d'environ 18–20 jours permettant un schéma toutes les 3 semaines. L'efficacité (taux de pCR néoadjuvant, survie sans progression métastatique) est comparable à la forme IV. Cette forme est particulièrement adaptée à l'organisation des hospitalisations à domicile et à la désengorgement des unités de jour.</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PHESGO</w:t>
            </w:r>
          </w:p>
        </w:tc>
        <w:tc>
          <w:tcPr>
            <w:tcW w:type="dxa" w:w="1559"/>
          </w:tcPr>
          <w:p>
            <w:r>
              <w:rPr>
                <w:sz w:val="20"/>
              </w:rPr>
              <w:t>ROCHE PHARMA (SCHWEIZ) LTD</w:t>
            </w:r>
          </w:p>
        </w:tc>
        <w:tc>
          <w:tcPr>
            <w:tcW w:type="dxa" w:w="1559"/>
          </w:tcPr>
          <w:p>
            <w:r>
              <w:rPr>
                <w:sz w:val="20"/>
              </w:rPr>
              <w:t>Solution pour injection sous-cutanée — 600 mg/mL (trastuzumab 600 mg + pertuzumab 600 mg en 10 mL)</w:t>
            </w:r>
          </w:p>
        </w:tc>
        <w:tc>
          <w:tcPr>
            <w:tcW w:type="dxa" w:w="1559"/>
          </w:tcPr>
          <w:p>
            <w:r>
              <w:rPr>
                <w:sz w:val="20"/>
              </w:rPr>
              <w:t>B/1 flacon 10 mL</w:t>
            </w:r>
          </w:p>
        </w:tc>
        <w:tc>
          <w:tcPr>
            <w:tcW w:type="dxa" w:w="1559"/>
          </w:tcPr>
          <w:p>
            <w:r>
              <w:rPr>
                <w:sz w:val="20"/>
              </w:rPr>
              <w:t>Liste I</w:t>
            </w:r>
          </w:p>
        </w:tc>
        <w:tc>
          <w:tcPr>
            <w:tcW w:type="dxa" w:w="1559"/>
          </w:tcPr>
          <w:p>
            <w:r>
              <w:rPr>
                <w:sz w:val="20"/>
              </w:rPr>
              <w:t>Actif</w:t>
            </w:r>
          </w:p>
        </w:tc>
      </w:tr>
      <w:tr>
        <w:tc>
          <w:tcPr>
            <w:tcW w:type="dxa" w:w="1559"/>
          </w:tcPr>
          <w:p>
            <w:r>
              <w:rPr>
                <w:sz w:val="20"/>
              </w:rPr>
              <w:t>PHESGO</w:t>
            </w:r>
          </w:p>
        </w:tc>
        <w:tc>
          <w:tcPr>
            <w:tcW w:type="dxa" w:w="1559"/>
          </w:tcPr>
          <w:p>
            <w:r>
              <w:rPr>
                <w:sz w:val="20"/>
              </w:rPr>
              <w:t>ROCHE PHARMA SCHWEIZ AG</w:t>
            </w:r>
          </w:p>
        </w:tc>
        <w:tc>
          <w:tcPr>
            <w:tcW w:type="dxa" w:w="1559"/>
          </w:tcPr>
          <w:p>
            <w:r>
              <w:rPr>
                <w:sz w:val="20"/>
              </w:rPr>
              <w:t>Solution pour injection sous-cutanée — 600 mg/1200 mg/15 mL (trastuzumab 600 mg + pertuzumab 1200 mg en 15 mL)</w:t>
            </w:r>
          </w:p>
        </w:tc>
        <w:tc>
          <w:tcPr>
            <w:tcW w:type="dxa" w:w="1559"/>
          </w:tcPr>
          <w:p>
            <w:r>
              <w:rPr>
                <w:sz w:val="20"/>
              </w:rPr>
              <w:t>B/1 flacon 15 mL</w:t>
            </w:r>
          </w:p>
        </w:tc>
        <w:tc>
          <w:tcPr>
            <w:tcW w:type="dxa" w:w="1559"/>
          </w:tcPr>
          <w:p>
            <w:r>
              <w:rPr>
                <w:sz w:val="20"/>
              </w:rPr>
              <w:t>Liste I</w:t>
            </w:r>
          </w:p>
        </w:tc>
        <w:tc>
          <w:tcPr>
            <w:tcW w:type="dxa" w:w="1559"/>
          </w:tcPr>
          <w:p>
            <w:r>
              <w:rPr>
                <w:sz w:val="20"/>
              </w:rPr>
              <w:t>Actif</w:t>
            </w:r>
          </w:p>
        </w:tc>
      </w:tr>
    </w:tbl>
    <w:p/>
    <w:p>
      <w:r>
        <w:t>Phesgo est délivré en Algérie via le circuit hospitalier spécialisé en oncologie (et gynéco-obstétrique). Deux dosages sont disponibles : 10 mL (600 mg trastuzumab + 600 mg pertuzumab) pour les patientes de moins de 70 kg, et 15 mL (600 mg trastuzumab + 1200 mg pertuzumab) pour les patientes de 70 kg et plus. L'adaptation pondérale simplifiée (deux paliers) facilite la prescription et l'administration en routine.</w:t>
      </w:r>
    </w:p>
    <w:p>
      <w:r/>
      <w:r>
        <w:rPr>
          <w:b/>
        </w:rPr>
        <w:t>Sous-classe et Mécanisme d'action :</w:t>
      </w:r>
      <w:r/>
    </w:p>
    <w:p>
      <w:pPr>
        <w:pStyle w:val="ListBullet"/>
      </w:pPr>
      <w:r>
        <w:t>Sous-classe : association fixe de deux AcM humanisés IgG1 anti-HER2 (trastuzumab + pertuzumab) + hyaluronidase recombinante PH20 (rHuPH20, ENHANZE technology).</w:t>
      </w:r>
    </w:p>
    <w:p>
      <w:pPr>
        <w:pStyle w:val="ListBullet"/>
      </w:pPr>
      <w:r>
        <w:t>Mécanisme d'action : combinaison des effets mécanistiques du trastuzumab (domaine IV — down-régulation, ADCC, blocage hétérodimérisation) et du pertuzumab (domaine II — blocage de la région de dimérisation HER2-HER3 et HER2-EGFR), soit un double blocage complet de HER2 (dual blockade). L'hyaluronidase recombinante PH20 dégrade transitoirement l'acide hyaluronique du tissu sous-cutané, augmentant la dispersion et la perméabilité tissulaire, permettant l'injection de 10–15 mL en une seule fois. La demi-vie longue des deux AcM (18–20 jours) permet un schéma d'administration toutes les 3 semaines. La biodisponibilité SC est complète (équivalente à la forme IV).</w:t>
      </w:r>
    </w:p>
    <w:p>
      <w:r/>
      <w:r>
        <w:rPr>
          <w:b/>
        </w:rPr>
        <w:t>Profil Pharmacologique :</w:t>
      </w:r>
      <w:r/>
    </w:p>
    <w:p>
      <w:pPr>
        <w:pStyle w:val="ListBullet"/>
      </w:pPr>
      <w:r>
        <w:t>Indications : (1) Cancer du sein précoce HER2+ en néoadjuvant (tumeurs &gt; 2 cm ou ganglionnaires) en association à la chimiothérapie (docetaxel, schéma TCHP ou AC-THP). (2) Cancer du sein précoce HER2+ en adjuvant (durée 1 an, total 18 cycles). (3) Cancer du sein métastatique HER2+ en première ligne en association au docetaxel (schéma CLEOPATRA-SC, équivalence démontrée avec la forme IV).</w:t>
      </w:r>
    </w:p>
    <w:p>
      <w:pPr>
        <w:pStyle w:val="ListBullet"/>
      </w:pPr>
      <w:r>
        <w:t>Contre-indications : Hypersensibilité au trastuzumab, au pertuzumab, à l'hyaluronidase ou à l'un des excipients. Grossesse (CI relative). Insuffisance cardiaque sévère (NYHA III/IV).</w:t>
      </w:r>
    </w:p>
    <w:p>
      <w:pPr>
        <w:pStyle w:val="ListBullet"/>
      </w:pPr>
      <w:r>
        <w:t>Effets Indésirables : Très fréquents : diarrhée (50–60 %, effet propre du pertuzumab), alopécie (en association à la chimiothérapie), nausées, fatigue, neutropénie (avec chimiothérapie), réactions au site d'injection (15 % — rougeur, douleur, œdème, prurit, généralement grade 1–2), asthénie, rash. Fréquents : RLP (10 %, surtout à la première cure), baisse asymptomatique de la FEVG (2–4 %), neuropathie périphérique, mucite, paronychie. Peu fréquents : insuffisance cardiaque clinique, neutropénie fébrile, pneumopathie interstitielle. Rares : anaphylaxie.</w:t>
      </w:r>
    </w:p>
    <w:p>
      <w:r/>
      <w:r>
        <w:rPr>
          <w:b/>
        </w:rPr>
        <w:t>Prévention et Gestion des Effets Indésirables :</w:t>
      </w:r>
      <w:r/>
    </w:p>
    <w:p>
      <w:pPr>
        <w:pStyle w:val="ListBullet"/>
      </w:pPr>
      <w:r>
        <w:t>Mesures Préventives : Évaluation cardiaque préalable (FEVG &gt; 55 %) à 3, 6, 9, 12 mois. Pré-médication paracétamol + antihistaminique avant chaque cure (surtout la première). Loperamide à domicile pour la diarrhée. Rotation des sites d'injection SC (cuisses alternées, abdomen) pour limiter les réactions locales.</w:t>
      </w:r>
    </w:p>
    <w:p>
      <w:pPr>
        <w:pStyle w:val="ListBullet"/>
      </w:pPr>
      <w:r>
        <w:t>Conduite à Tenir : Réaction au site d'injection grade 1–2 : application de glace, antihistaminique local, surveillance. Réaction grade 3 : arrêt transitoire, dermato-consultation. Diarrhée grade 3–4 : arrêt, hospitalisation, hydratation IV, loperamide, antibiothérapie prophylactique. Baisse de la FEVG : voir fiche trastuzumab. RLP grade 3 : arrêt immédiat, corticothérapie IV, surveillance USIC, switch vers la forme IV en cas de récidive.</w:t>
      </w:r>
    </w:p>
    <w:p>
      <w:r/>
      <w:r>
        <w:rPr>
          <w:b/>
        </w:rPr>
        <w:t>Interactions Médicamenteuses :</w:t>
      </w:r>
      <w:r/>
    </w:p>
    <w:p>
      <w:pPr>
        <w:pStyle w:val="ListBullet"/>
      </w:pPr>
      <w:r>
        <w:t>Trastuzumab et pertuzumab : pas d'interaction pharmacocinétique entre les deux composants.</w:t>
      </w:r>
    </w:p>
    <w:p>
      <w:pPr>
        <w:pStyle w:val="ListBullet"/>
      </w:pPr>
      <w:r>
        <w:t>Docetaxel : association standard, pas de modification pharmacocinétique majeure.</w:t>
      </w:r>
    </w:p>
    <w:p>
      <w:pPr>
        <w:pStyle w:val="ListBullet"/>
      </w:pPr>
      <w:r>
        <w:t>Anthracyclines : éviter l'association concomitante (cardiotoxicité additive).</w:t>
      </w:r>
    </w:p>
    <w:p>
      <w:pPr>
        <w:pStyle w:val="ListBullet"/>
      </w:pPr>
      <w:r>
        <w:t>Hyaluronidase : aucun effet systémique attendu (activité locale transitoire, dégradation rapide).</w:t>
      </w:r>
    </w:p>
    <w:p>
      <w:pPr>
        <w:pStyle w:val="ListBullet"/>
      </w:pPr>
      <w:r>
        <w:t>Pas d'interaction avec le CYP450.</w:t>
      </w:r>
    </w:p>
    <w:p>
      <w:pPr>
        <w:pStyle w:val="ListBullet"/>
      </w:pPr>
      <w:r>
        <w:t>Vaccins vivants : contre-indiqués.</w:t>
      </w:r>
    </w:p>
    <w:p>
      <w:r/>
      <w:r>
        <w:rPr>
          <w:b/>
        </w:rPr>
        <w:t>Grossesse et Allaitement :</w:t>
      </w:r>
      <w:r/>
    </w:p>
    <w:p>
      <w:pPr>
        <w:pStyle w:val="ListBullet"/>
      </w:pPr>
      <w:r>
        <w:t>Grossesse : ÉVITER. Données animales tératogènes (pertuzumab et trastuzumab). Risque d'oligohydramnios et d'hypoplasie pulmonaire fœtale. Contraception obligatoire pendant le traitement et 7 mois après.</w:t>
      </w:r>
    </w:p>
    <w:p>
      <w:pPr>
        <w:pStyle w:val="ListBullet"/>
      </w:pPr>
      <w:r>
        <w:t>Allaitement : CONTRE-INDICATION ABSOLUE pendant le traitement et 7 mois après (passage massif dans le lait via FcRn).</w:t>
      </w:r>
    </w:p>
    <w:p>
      <w:r/>
      <w:r>
        <w:rPr>
          <w:b/>
        </w:rPr>
        <w:t>Posologie et Mode d'administration (Standard) :</w:t>
      </w:r>
      <w:r/>
    </w:p>
    <w:p>
      <w:pPr>
        <w:pStyle w:val="ListBullet"/>
      </w:pPr>
      <w:r>
        <w:t>Adulte : dose de charge initiale — pour patientes &lt; 70 kg : trastuzumab 600 mg + pertuzumab 600 mg (flacon 10 mL) en une injection SC de 5 minutes ; pour patientes ≥ 70 kg : trastuzumab 600 mg + pertuzumab 1200 mg (flacon 15 mL) en une injection SC de 5 minutes. Dose d'entretien : mêmes doses toutes les 3 semaines (à J1 du cycle suivant).</w:t>
      </w:r>
    </w:p>
    <w:p>
      <w:pPr>
        <w:pStyle w:val="ListBullet"/>
      </w:pPr>
      <w:r>
        <w:t>Mode d'administration : injection SC stricte dans la cuisse (alternance gauche/droite) ou l'abdomen, en 5 minutes. Ne jamais IV. Ne pas mélanger avec d'autres médicaments.</w:t>
      </w:r>
    </w:p>
    <w:p>
      <w:pPr>
        <w:pStyle w:val="ListBullet"/>
      </w:pPr>
      <w:r>
        <w:t>Durée : 12 mois en adjuvant/néoadjuvant (18 cycles), jusqu'à progression en métastatique.</w:t>
      </w:r>
    </w:p>
    <w:p>
      <w:pPr>
        <w:pStyle w:val="ListBullet"/>
      </w:pPr>
      <w:r>
        <w:t>Insuffisance hépatique/rénale : pas d'adaptation.</w:t>
      </w:r>
    </w:p>
    <w:p>
      <w:r/>
      <w:r>
        <w:rPr>
          <w:b/>
        </w:rPr>
        <w:t>Surveillance Biologique et Suivi Clinique :</w:t>
      </w:r>
      <w:r/>
    </w:p>
    <w:p>
      <w:pPr>
        <w:pStyle w:val="ListBullet"/>
      </w:pPr>
      <w:r>
        <w:t>Cardiaque : échographie FEVG avant initiation, à 3, 6, 9, 12 mois. ECG avant traitement.</w:t>
      </w:r>
    </w:p>
    <w:p>
      <w:pPr>
        <w:pStyle w:val="ListBullet"/>
      </w:pPr>
      <w:r>
        <w:t>Hématologique : NFS-plaquettes avant chaque cycle.</w:t>
      </w:r>
    </w:p>
    <w:p>
      <w:pPr>
        <w:pStyle w:val="ListBullet"/>
      </w:pPr>
      <w:r>
        <w:t>Hépatique : bilan hépatique mensuel.</w:t>
      </w:r>
    </w:p>
    <w:p>
      <w:pPr>
        <w:pStyle w:val="ListBullet"/>
      </w:pPr>
      <w:r>
        <w:t>Clinique : poids, TA, examen cardio-pulmonaire à chaque consultation ; interrogatoire diarrhée, fatigue, dyspnée, réactions au site d'injection.</w:t>
      </w:r>
    </w:p>
    <w:p>
      <w:pPr>
        <w:pStyle w:val="ListBullet"/>
      </w:pPr>
      <w:r>
        <w:t>Statut HER2 confirmé obligatoire avant initiation.</w:t>
      </w:r>
    </w:p>
    <w:p>
      <w:r/>
      <w:r>
        <w:rPr>
          <w:b/>
        </w:rPr>
        <w:t>Arbitrage et Bénéfices des Formes Galéniques :</w:t>
      </w:r>
      <w:r/>
    </w:p>
    <w:p>
      <w:r>
        <w:t>Phesgo est une alternative à l'administration séparée IV du trastuzumab (Herceptin/Hervycta/Herzuma) et du pertuzumab (Perjeta/Pectuna). Avantages : administration en 5 min vs 60–150 min pour la double perfusion IV, simplification logistique (un seul produit à préparer), préférence patiente (qualité de vie), possibilité d'HAD. Inconvénients : volume injecté important (10–15 mL), réactions au site d'injection plus fréquentes, pas de biosimilaire disponible (spécialité unique Roche, coût potentiellement supérieur). Le choix entre Phesgo et la double perfusion IV dépend du contexte (préférence patiente, disponibilité, logistique locale). En cas de RLP sévère ou d'intolérance à la forme SC, retour à la forme IV possible.</w:t>
      </w:r>
    </w:p>
    <w:p>
      <w:r/>
      <w:r>
        <w:rPr>
          <w:b/>
        </w:rPr>
        <w:t>Instructions et Conseils au Patient :</w:t>
      </w:r>
      <w:r/>
    </w:p>
    <w:p>
      <w:pPr>
        <w:pStyle w:val="ListBullet"/>
      </w:pPr>
      <w:r>
        <w:t>Communication au comptoir : « Phesgo est une forme simplifiée d'administration des deux anticorps ciblant HER2 (trastuzumab et pertuzumab) en une seule injection sous-cutanée de 5 minutes au lieu de deux perfusions IV de plus d'une heure. Vous pouvez l'administrer en consultation courte ou à domicile. Les effets indésirables sont les mêmes que ceux du trastuzumab et du pertuzumab : diarrhée (à signaler), fatigue, surveillance cardiaque, et des réactions locales au site d'injection (rougeur, douleur transitoire). Prévenez votre médecin en cas d'essoufflement, d'œdèmes, de diarrhée persistante ou de fièvre. »</w:t>
      </w:r>
    </w:p>
    <w:p>
      <w:pPr>
        <w:pStyle w:val="ListBullet"/>
      </w:pPr>
      <w:r>
        <w:t>Observance : signaler tout effet indésirable ; alterner les sites d'injection ; tenir un journal des symptômes.</w:t>
      </w:r>
    </w:p>
    <w:p>
      <w:pPr>
        <w:pStyle w:val="ListBullet"/>
      </w:pPr>
      <w:r>
        <w:t>Hygiène de vie : hydratation abondante en cas de diarrhée ; activité physique modérée.</w:t>
      </w:r>
    </w:p>
    <w:p>
      <w:pPr>
        <w:pStyle w:val="ListBullet"/>
      </w:pPr>
      <w:r>
        <w:t>Femmes en âge de procréer : double contraception obligatoire pendant et 7 mois après.</w:t>
      </w:r>
    </w:p>
    <w:p>
      <w:r/>
      <w:r>
        <w:rPr>
          <w:b/>
        </w:rPr>
        <w:t>Notes, Règles d'Or &amp; Pièges au Comptoir :</w:t>
      </w:r>
      <w:r/>
    </w:p>
    <w:p>
      <w:pPr>
        <w:pStyle w:val="ListBullet"/>
      </w:pPr>
      <w:r>
        <w:t>Règle d'or : Phesgo ne s'administre que par voie SOUS-CUTANÉE — ne jamais IV (risque d'anaphylaxie).</w:t>
      </w:r>
    </w:p>
    <w:p>
      <w:pPr>
        <w:pStyle w:val="ListBullet"/>
      </w:pPr>
      <w:r>
        <w:t>Piège : l'adaptation posologique ne se fait pas selon la surface corporelle mais selon le poids (deux paliers : &lt; 70 kg ou ≥ 70 kg) — ne pas calculer en mg/kg.</w:t>
      </w:r>
    </w:p>
    <w:p>
      <w:pPr>
        <w:pStyle w:val="ListBullet"/>
      </w:pPr>
      <w:r>
        <w:t>Règle : la dose de charge initiale (J1 du cycle 1) est identique à la dose d'entretien (à J1 du cycle 2 et suivants) — pas de dose de charge majorée comme pour les formes IV séparées.</w:t>
      </w:r>
    </w:p>
    <w:p>
      <w:pPr>
        <w:pStyle w:val="ListBullet"/>
      </w:pPr>
      <w:r>
        <w:t>Piège : en cas de réaction locale au site d'injection, alterner les sites (cuisses, abdomen) et appliquer de la glace — ne pas conclure hâtivement à une allergie.</w:t>
      </w:r>
    </w:p>
    <w:p>
      <w:pPr>
        <w:pStyle w:val="ListBullet"/>
      </w:pPr>
      <w:r>
        <w:t>Règle : ne pas substituer Phesgo par les formes IV séparées (trastuzumab + pertuzumab) sans avis spécialisé — équivalence pharmacocinétique démontrée mais surveillance requise.</w:t>
      </w:r>
    </w:p>
    <w:p>
      <w:pPr>
        <w:pStyle w:val="ListBullet"/>
      </w:pPr>
      <w:r>
        <w:t>Surveillance : surveillance cardiaque échographique identique à la forme IV.</w:t>
      </w:r>
    </w:p>
    <w:p>
      <w:pPr>
        <w:pStyle w:val="Heading2"/>
      </w:pPr>
      <w:r>
        <w:t>106.3 Sous-classe : AcM Conjugués anticorps-médicament (ADC, Antibody-Drug Conjugates)</w:t>
      </w:r>
    </w:p>
    <w:p>
      <w:r>
        <w:t>Les AcM conjugués anticorps-médicament (ADC) représentent une innovation thérapeutique majeure combinant la spécificité de ciblage d'un AcM à la puissance cytotoxique d'un chimiothérapie classique. Le concept, initié dans les années 1980, repose sur la liaison covalente d'un cytotoxique à un AcM via un linker chimique : l'AcM reconnaît et se fixe spécifiquement à l'antigène tumoral, est internalisé par endocytose, le linker est clivé dans le lysosome (pH acide, protéases spécifiques), libérant le cytotoxique qui exerce son action cytotoxique intracellulaire. Cette stratégie permet une délivrance ciblée du cytotoxique aux cellules tumorales, réduisant considérablement la toxicité systémique et augmentant l'index thérapeutique. Les composants d'un ADC sont : (i) l'AcM (généralement humanisé ou totalement humain, IgG1) ; (ii) le linker (clivable par pH acide, protéase, ou réduction — ex. hydrazones, peptides, disulfures) ; (iii) le cytotoxique (généralement 100 à 1000 fois plus puissant que les cytotoxiques classiques — maytansinoïdes DM1/DM4, auristatines MMAE/MMAF, calicheamicine, deruxtecan, SN-38) ; (iv) le DAR (Drug-to-Antibody Ratio, nombre moyen de cytotoxiques par AcM, optimal 2–4). Le trastuzumab emtansine (Kadcyla, 2013) fut le premier ADC anti-HER2 (trastuzumab + DM1 inhibiteur des microtubules), indiqué en adjuvant pour les cancers du sein HER2+ résiduels après néoadjuvant et en métastatique après trastuzumab. Le brentuximab vedotin (Adcetris, 2012) est un AcM anti-CD30 (marker de Reed-Sternberg dans la maladie de Hodgkin et des lymphomes T) conjugué au MMAE (auristatine), indiqué dans la maladie de Hodgkin avancée et les lymphomes T périphériques. L'inotuzumab ozogamicine (Besponsa, 2017) est un AcM anti-CD22 conjugué à la calicheamicine, indiqué dans les leucémies aiguës lymphoblastiques B-CD22+ récidivantes/réfractaires. Plus récemment, le trastuzumab deruxtecan (Enhertu, 2019) — AcM anti-HER2 + deruxtecan (inhibiteur topoisomérase I) — et le sacituzumab govitecan (Trodelvy, 2020) — AcM anti-Trop-2 + SN-38 — ont été développés mais ne sont pas disponibles dans la nomenclature algérienne. Les profils de tolérance des ADC combinent les toxicités de l'AcM (réactions liées à la perfusion, immunogénicité résiduelle) et celles du cytotoxique libéré (myélosuppression, neuropathie, hépatotoxicité, mucite), avec certaines toxicités spécifiques : thrombopénie majeure pour le T-DM1, neuropathie périphérique et neutropénie pour le brentuximab vedotin, maladie veino-occlusive hépatique pour l'inotuzumab ozogamicine. La pharmacocinétique est complexe, avec une demi-vie d'élimination de l'ADC complet plus longue (3–6 jours) que celle du cytotoxique libre, un métabolisme lysosomal et hépatique, et un risque de résistance par internalisation défectueuse, perte d'expression antigénique, ou mutation du cytotoxique cible. La prescription est strictement hospitalière spécialisée, avec pré-medication systématique et surveillance rapprochée.</w:t>
      </w:r>
    </w:p>
    <w:p>
      <w:pPr>
        <w:pStyle w:val="Heading3"/>
      </w:pPr>
      <w:r>
        <w:t>106.3.1 DCI : Trastuzumab emtansine (T-DM1)</w:t>
      </w:r>
    </w:p>
    <w:p>
      <w:r/>
      <w:r>
        <w:rPr>
          <w:b/>
        </w:rPr>
        <w:t>Liste des Catégories :</w:t>
      </w:r>
      <w:r>
        <w:t xml:space="preserve"> Antinéoplasiques ; Anticorps monoclonal conjugué (ADC) anti-HER2 (trastuzumab IgG1 + DM1, maytansinoïde inhibiteur des microtubules) ; Thérapie ciblée du cancer du sein HER2-positif métastatique et adjuvant ; Liste I.</w:t>
      </w:r>
    </w:p>
    <w:p>
      <w:r>
        <w:t>Le trastuzumab emtansine (T-DM1, Kadcyla®, Roche) est le premier AcM conjugué anticorps-médicament à avoir obtenu une AMM (FDA en février 2013, EMA en novembre 2013). Il associe le trastuzumab (AcM humanisé IgG1 anti-HER2, domaine IV) au DM1 (maytansinoïde dérivé de la maytansine, inhibiteur des microtubules, ~100 fois plus puissant que les vinca-alcaloïdes) via un linker thioéther stable (MCC, 4-mercaptovaline-maleimidomethyl cyclohexane-1-carboxylate) non clivable — libération du DM1 après internalisation et dégradation lysosomale de l'AcM. Le DAR moyen est de 3,5 (3,5 molécules de DM1 par AcM). L'ADC combine le blocage HER2 par le trastuzumab (ADCC, down-régulation, inhibition de la dimérisation) à la cytotoxicité du DM1 (blocage de la polymérisation des microtubules, arrêt en phase G2/M, apoptose) délivrée spécifiquement aux cellules tumorales HER2+. Cette stratégie permet de surmonter la résistance au trastuzumab seul. Le T-DM1 est indiqué en adjuvant pour les cancers du sein HER2+ résiduels après néoadjuvant (étude KATHERINE : réduction de 50 % du risque de récidive à 3 ans) et en métastatique après trastuzumab et taxane (étude EMILIA : survie médiane 30,9 mois vs 25,1 mois avec lapatinib + capecitabine).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KADCYLA</w:t>
            </w:r>
          </w:p>
        </w:tc>
        <w:tc>
          <w:tcPr>
            <w:tcW w:type="dxa" w:w="1559"/>
          </w:tcPr>
          <w:p>
            <w:r>
              <w:rPr>
                <w:sz w:val="20"/>
              </w:rPr>
              <w:t>ROCHE PHARMA (SCHWEIZ) LTD</w:t>
            </w:r>
          </w:p>
        </w:tc>
        <w:tc>
          <w:tcPr>
            <w:tcW w:type="dxa" w:w="1559"/>
          </w:tcPr>
          <w:p>
            <w:r>
              <w:rPr>
                <w:sz w:val="20"/>
              </w:rPr>
              <w:t>Poudre pour solution à diluer pour perfusion — 20 mg/mL</w:t>
            </w:r>
          </w:p>
        </w:tc>
        <w:tc>
          <w:tcPr>
            <w:tcW w:type="dxa" w:w="1559"/>
          </w:tcPr>
          <w:p>
            <w:r>
              <w:rPr>
                <w:sz w:val="20"/>
              </w:rPr>
              <w:t>B/1 flacon 100 mg poudre (100 mg/5 mL) et B/1 flacon 160 mg (160 mg/8 mL)</w:t>
            </w:r>
          </w:p>
        </w:tc>
        <w:tc>
          <w:tcPr>
            <w:tcW w:type="dxa" w:w="1559"/>
          </w:tcPr>
          <w:p>
            <w:r>
              <w:rPr>
                <w:sz w:val="20"/>
              </w:rPr>
              <w:t>Liste I</w:t>
            </w:r>
          </w:p>
        </w:tc>
        <w:tc>
          <w:tcPr>
            <w:tcW w:type="dxa" w:w="1559"/>
          </w:tcPr>
          <w:p>
            <w:r>
              <w:rPr>
                <w:sz w:val="20"/>
              </w:rPr>
              <w:t>Actif</w:t>
            </w:r>
          </w:p>
        </w:tc>
      </w:tr>
    </w:tbl>
    <w:p/>
    <w:p>
      <w:r>
        <w:t>Le trastuzumab emtansine est délivré en Algérie via le circuit hospitalier spécialisé en oncologie. La spécialité princeps Kadcyla (Roche) est disponible en deux dosages : 100 mg (flacon reconstitué à 5 mL, soit 20 mg/mL) et 160 mg (flacon reconstitué à 8 mL, soit 20 mg/mL), permettant l'adaptation pondérale (3,6 mg/kg).</w:t>
      </w:r>
    </w:p>
    <w:p>
      <w:r/>
      <w:r>
        <w:rPr>
          <w:b/>
        </w:rPr>
        <w:t>Sous-classe et Mécanisme d'action :</w:t>
      </w:r>
      <w:r/>
    </w:p>
    <w:p>
      <w:pPr>
        <w:pStyle w:val="ListBullet"/>
      </w:pPr>
      <w:r>
        <w:t>Sous-classe : AcM conjugué (ADC), trastuzumab + DM1 (maytansinoïde, inhibiteur des microtubules). Chef de file des ADC anti-HER2.</w:t>
      </w:r>
    </w:p>
    <w:p>
      <w:pPr>
        <w:pStyle w:val="ListBullet"/>
      </w:pPr>
      <w:r>
        <w:t>Mécanisme d'action : combinaison de trois mécanismes. (i) Blocage HER2 par le trastuzumab (domaine IV) — down-régulation du récepteur, ADCC médiée par NK via FcγRIIIa, inhibition de la dimérisation HER2-HER3, inhibition de la signalisation PI3K/AKT et MAPK. (ii) Internalisation de l'ADC après liaison à HER2, dégradation lysosomale de l'AcM (protéases lysosomales), libération du DM1 (et de ses métabolites lysine-MCC-DM1) dans le cytoplasme. (iii) Le DM1 se fixe à la tubuline β, bloque la polymérisation des microtubules, arrête le cycle cellulaire en phase G2/M et induit l'apoptose. L'effet est cytotoxique direct (à la différence du trastuzumab essentiellement cytostatique). Le DAR de 3,5 garantit un équilibre entre cytotoxicité et pharmacocinétique (DAR trop élevé altère la demi-vie). L'effet bystander est limité (linker non clivable, métabolites non diffusibles), ce qui impose une expression forte et homogène de HER2.</w:t>
      </w:r>
    </w:p>
    <w:p>
      <w:r/>
      <w:r>
        <w:rPr>
          <w:b/>
        </w:rPr>
        <w:t>Profil Pharmacologique :</w:t>
      </w:r>
      <w:r/>
    </w:p>
    <w:p>
      <w:pPr>
        <w:pStyle w:val="ListBullet"/>
      </w:pPr>
      <w:r>
        <w:t>Indications : (1) Cancer du sein précoce HER2+ adjuvant en cas de maladie résiduelle invasive (non réponse pathologique complète pCR) après traitement néoadjuvant comportant taxane + trastuzumab ou trastuzumab + pertuzumab (étude KATHERINE) — 14 cycles. (2) Cancer du sein métastatique HER2+ après trastuzumab + taxane (études EMILIA, TH3RESA) — traitement continu jusqu'à progression ou toxicité. (3) En cours d'évaluation : cancer du sein HER2-low (IHC 1+ ou 2+/FISH-) en 2e ligne métastatique (mais indication plutôt réservée au T-DXd, trastuzumab deruxtecan, non disponible en Algérie).</w:t>
      </w:r>
    </w:p>
    <w:p>
      <w:pPr>
        <w:pStyle w:val="ListBullet"/>
      </w:pPr>
      <w:r>
        <w:t>Contre-indications : Hypersensibilité au trastuzumab, au DM1 ou à l'un des excipients. Insuffisance hépatique sévère (Child-Pugh C). Thrombopénie &lt; 100 G/L avant initiation. Grossesse (CI relative — voir section Grossesse). Précautions : thrombopénie préexistante, antécédents d'hémorragie, traitement anticoagulant ou antiagrégant, hypertension portale, hyperbilirubinémie.</w:t>
      </w:r>
    </w:p>
    <w:p>
      <w:pPr>
        <w:pStyle w:val="ListBullet"/>
      </w:pPr>
      <w:r>
        <w:t>Effets Indésirables : Très fréquents (&gt; 10 %) : thrombopénie (60–80 % — effet propre du DM1, souvent grade 1–2, parfois grade 3–4 dans 20–30 %, nadir à J14, récupération à J21), fatigue, nausées, transaminases élevées (ALAT/ASAT, 25–40 %), anémie, neutropénie (modérée), diarrhée, constipation, céphalées, arthralgies, myalgies. Fréquents (1–10 %) : alopécie (modérée, ~20 %, moins marquée qu'avec la chimiothérapie classique), RLP (à la première cure, ~5 %), épistaxis (en cas de thrombopénie), stomatite, rash, prurit, hypoesthésie, neuropathie périphérique (effet propre du DM1), insuffisance cardiaque (moins fréquente qu'avec le trastuzumab seul — 2–4 %), hypokaliémie, hypocalcémie. Peu fréquents : hypertension portale (mécanisme nodulaire régénérative hépatique, 1–2 %, à rechercher chez les patients avec antécédents hépatiques), maladie veino-occlusive hépatique, syndrome de Lyell, syndrome de Stevens-Johnson, pneumopathie interstitielle, hémorragie sévère (en cas de thrombopénie grade 4). Rares : anaphylaxie.</w:t>
      </w:r>
    </w:p>
    <w:p>
      <w:r/>
      <w:r>
        <w:rPr>
          <w:b/>
        </w:rPr>
        <w:t>Prévention et Gestion des Effets Indésirables :</w:t>
      </w:r>
      <w:r/>
    </w:p>
    <w:p>
      <w:pPr>
        <w:pStyle w:val="ListBullet"/>
      </w:pPr>
      <w:r>
        <w:t>Mesures Préventives : NFS-plaquettes avant chaque cycle (seuil &gt; 100 G/L pour initier), à J14 si besoin (nadir thrombocytaire), bilan hépatique complet (ALAT, ASAT, bilirubine totale, PAL, γ-GT) avant chaque cycle, échographie cardiaque FEVG avant initiation et tous les 3 mois. Pré-médication paracétamol + antihistaminique avant la première perfusion. Arrêt des anticoagulants et antiagrégants plaquettaires si possible pendant la période de thrombopénie (J7–J21 du cycle).</w:t>
      </w:r>
    </w:p>
    <w:p>
      <w:pPr>
        <w:pStyle w:val="ListBullet"/>
      </w:pPr>
      <w:r>
        <w:t>Conduite à Tenir : Thrombopénie grade 2 (50–75 G/L) : poursuite à dose inchangée, surveillance. Grade 3 (25–50 G/L) : report de la cure jusqu'à récupération ≥ 75 G/L, reprise à dose réduite (3,6 → 3,0 mg/kg). Grade 4 (&lt; 25 G/L) : report, reprise à 3,0 mg/kg si récupération, arrêt définitif en cas de récidive grade 4. Élévation des transaminases grade 2 (&gt; 2,5–5× LSN) : surveillance rapprochée. Grade 3 (&gt; 5–20× LSN) : report, recherche d'autres causes (viral, médicamenteux, alcool, métastases), reprise à dose réduite après normalisation. Grade 4 (&gt; 20× LSN) : arrêt définitif. Bilirubine &gt; 1,5× LSN (sans métastases hépatiques) : suspicion d'hypertension portale nodulaire régénérative — arrêt, échographie hépatique avec doppler, gastroscopie recherche de varices œsophagiennes. Neuropathie périphérique grade 2 : poursuite à dose inchangée. Grade 3 : arrêt, reprise à dose réduite. RLP : voir trastuzumab. Pneumopathie : arrêt immédiat, corticothérapie 1 mg/kg/j, antibiothérapie.</w:t>
      </w:r>
    </w:p>
    <w:p>
      <w:r/>
      <w:r>
        <w:rPr>
          <w:b/>
        </w:rPr>
        <w:t>Interactions Médicamenteuses :</w:t>
      </w:r>
      <w:r/>
    </w:p>
    <w:p>
      <w:pPr>
        <w:pStyle w:val="ListBullet"/>
      </w:pPr>
      <w:r>
        <w:t>CYP3A4 (métabolisme du DM1) : éviter les inhibiteurs puissants (kétoconazole, itraconazole, clarithromycine, ritonavir) qui augmentent l'exposition au DM1 et le risque de toxicité (thrombopénie, hépatotoxicité). Éviter les inducteurs puissants (rifampicine, phénytoïne, carbamazépine, millepertuis) qui réduisent l'efficacité. Pas d'interaction avec le trastuzumab lui-même.</w:t>
      </w:r>
    </w:p>
    <w:p>
      <w:pPr>
        <w:pStyle w:val="ListBullet"/>
      </w:pPr>
      <w:r>
        <w:t>Anticoagulants et antiagrégants : risque hémorragique majoré en cas de thrombopénie induite. Surveillance, arrêt transitoire si thrombopénie grade 3–4.</w:t>
      </w:r>
    </w:p>
    <w:p>
      <w:pPr>
        <w:pStyle w:val="ListBullet"/>
      </w:pPr>
      <w:r>
        <w:t>Warfarine : pas d'interaction directe mais surveillance INR.</w:t>
      </w:r>
    </w:p>
    <w:p>
      <w:pPr>
        <w:pStyle w:val="ListBullet"/>
      </w:pPr>
      <w:r>
        <w:t>Vaccins vivants : contre-indiqués.</w:t>
      </w:r>
    </w:p>
    <w:p>
      <w:pPr>
        <w:pStyle w:val="ListBullet"/>
      </w:pPr>
      <w:r>
        <w:t>Pas d'interaction significative avec le CYP2D6, CYP2C9.</w:t>
      </w:r>
    </w:p>
    <w:p>
      <w:r/>
      <w:r>
        <w:rPr>
          <w:b/>
        </w:rPr>
        <w:t>Grossesse et Allaitement :</w:t>
      </w:r>
      <w:r/>
    </w:p>
    <w:p>
      <w:pPr>
        <w:pStyle w:val="ListBullet"/>
      </w:pPr>
      <w:r>
        <w:t>Grossesse : CONTRE-INDICATION ABSOLUE. Le DM1 est un inhibiteur des microtubules (mécanisme similaire aux vinca-alcaloïdes), tératogène chez l'animal (anomalies embryo-fœtales, mort embryonnaire à exposition comparable à l'humain). Risque d'oligohydramnios et d'atteinte fœtale lié au trastuzumab. Contraception obligatoire pendant le traitement et 7 mois après (femme et partenaire masculin).</w:t>
      </w:r>
    </w:p>
    <w:p>
      <w:pPr>
        <w:pStyle w:val="ListBullet"/>
      </w:pPr>
      <w:r>
        <w:t>Allaitement : CONTRE-INDICATION ABSOLUE pendant le traitement et 7 mois après (passage du trastuzumab et du DM1 dans le lait).</w:t>
      </w:r>
    </w:p>
    <w:p>
      <w:pPr>
        <w:pStyle w:val="ListBullet"/>
      </w:pPr>
      <w:r>
        <w:t>Fertilité : le DM1 peut altérer la fertilité masculine et féminine (toxicité gonadique). Conservation de sperme, ovocytes ou tissu ovarien à proposer avant traitement.</w:t>
      </w:r>
    </w:p>
    <w:p>
      <w:r/>
      <w:r>
        <w:rPr>
          <w:b/>
        </w:rPr>
        <w:t>Posologie et Mode d'administration (Standard) :</w:t>
      </w:r>
      <w:r/>
    </w:p>
    <w:p>
      <w:pPr>
        <w:pStyle w:val="ListBullet"/>
      </w:pPr>
      <w:r>
        <w:t>Adulte : 3,6 mg/kg IV toutes les 3 semaines (dose unique, sans dose de charge). Adaptation pondérale selon le poids corporel. Calcul : poids × 3,6 = dose totale en mg ; répartition entre flacons de 100 mg et 160 mg pour minimiser le gaspillage.</w:t>
      </w:r>
    </w:p>
    <w:p>
      <w:pPr>
        <w:pStyle w:val="ListBullet"/>
      </w:pPr>
      <w:r>
        <w:t>Mode d'administration : perfusion IV stricte dans 250 mL NaCl 0,9 % (jamais glucose), en 90 min pour la première cure puis 30 min à partir de la cure 2 si tolérance bonne. Tubing dédié, filtre de 0,22 μm recommandé.</w:t>
      </w:r>
    </w:p>
    <w:p>
      <w:pPr>
        <w:pStyle w:val="ListBullet"/>
      </w:pPr>
      <w:r>
        <w:t>Adaptation : thrombopénie grade 3 → report + reprise à 3,0 mg/kg ; grade 4 → report + reprise à 3,0 mg/kg ou arrêt définitif. Transaminases grade 3 → report + reprise à 3,0 mg/kg.</w:t>
      </w:r>
    </w:p>
    <w:p>
      <w:pPr>
        <w:pStyle w:val="ListBullet"/>
      </w:pPr>
      <w:r>
        <w:t>Insuffisance hépatique : CI si Child-Pugh C ; pas d'adaptation pour Child-Pugh A ou B mais surveillance renforcée.</w:t>
      </w:r>
    </w:p>
    <w:p>
      <w:pPr>
        <w:pStyle w:val="ListBullet"/>
      </w:pPr>
      <w:r>
        <w:t>Insuffisance rénale : pas d'adaptation (étude limitée pour ClCr &lt; 30 mL/min).</w:t>
      </w:r>
    </w:p>
    <w:p>
      <w:pPr>
        <w:pStyle w:val="ListBullet"/>
      </w:pPr>
      <w:r>
        <w:t>Durée : 14 cycles en adjuvant (KATHERINE) ; jusqu'à progression en métastatique (EMILIA, TH3RESA).</w:t>
      </w:r>
    </w:p>
    <w:p>
      <w:r/>
      <w:r>
        <w:rPr>
          <w:b/>
        </w:rPr>
        <w:t>Surveillance Biologique et Suivi Clinique :</w:t>
      </w:r>
      <w:r/>
    </w:p>
    <w:p>
      <w:pPr>
        <w:pStyle w:val="ListBullet"/>
      </w:pPr>
      <w:r>
        <w:t>Hématologique : NFS-plaquettes avant chaque cycle (seuil initier : PNN &gt; 1,5 G/L, plaquettes &gt; 100 G/L, Hb &gt; 90 g/L) ; NFS à J14 si besoin (nadir thrombocytaire).</w:t>
      </w:r>
    </w:p>
    <w:p>
      <w:pPr>
        <w:pStyle w:val="ListBullet"/>
      </w:pPr>
      <w:r>
        <w:t>Hépatique : ALAT, ASAT, bilirubine totale, PAL, γ-GT avant chaque cycle. Bilirubine &gt; 1,5× LSN : suspicion d'hypertension portale — échographie + gastroscopie.</w:t>
      </w:r>
    </w:p>
    <w:p>
      <w:pPr>
        <w:pStyle w:val="ListBullet"/>
      </w:pPr>
      <w:r>
        <w:t>Cardiaque : échographie FEVG avant initiation, à 3, 6, 9 mois puis tous les 6 mois. ECG si besoin.</w:t>
      </w:r>
    </w:p>
    <w:p>
      <w:pPr>
        <w:pStyle w:val="ListBullet"/>
      </w:pPr>
      <w:r>
        <w:t>Rénale : créatinine, urée, ionogramme trimestriels.</w:t>
      </w:r>
    </w:p>
    <w:p>
      <w:pPr>
        <w:pStyle w:val="ListBullet"/>
      </w:pPr>
      <w:r>
        <w:t>Clinique : poids, TA, examen cardio-pulmonaire à chaque consultation ; interrogatoire saignement (gingivorragies, épistaxis, ecchymoses), fatigue, dyspnée, neuropathie (engourdissements, paresthésies), ictère.</w:t>
      </w:r>
    </w:p>
    <w:p>
      <w:pPr>
        <w:pStyle w:val="ListBullet"/>
      </w:pPr>
      <w:r>
        <w:t>Suivi carcinologique : imagerie mammaire annuelle ; scanner TAP tous les 3 mois en métastatique.</w:t>
      </w:r>
    </w:p>
    <w:p>
      <w:pPr>
        <w:pStyle w:val="ListBullet"/>
      </w:pPr>
      <w:r>
        <w:t>Statut HER2 confirmé obligatoire avant initiation.</w:t>
      </w:r>
    </w:p>
    <w:p>
      <w:r/>
      <w:r>
        <w:rPr>
          <w:b/>
        </w:rPr>
        <w:t>Arbitrage et Bénéfices des Formes Galéniques :</w:t>
      </w:r>
      <w:r/>
    </w:p>
    <w:p>
      <w:r>
        <w:t>Le T-DM1 est disponible uniquement en forme IV lyophilisée à reconstituer (100 mg/5 mL et 160 mg/8 mL). Pas de forme SC, pas de biosimilaire. Le choix entre les dosages 100 mg et 160 mg dépend du poids de la patiente (3,6 mg/kg) : pour 60 kg → 216 mg (1 flacon 160 mg + 1 flacon 100 mg = 260 mg, gaspillage 44 mg) ; pour 70 kg → 252 mg (1 flacon 160 mg + 1 flacon 100 mg = 260 mg, gaspillage 8 mg) ; pour 90 kg → 324 mg (2 flacons 160 mg + 1 flacon 100 mg = 420 mg, gaspillage 96 mg). La planification de la prescription vise à minimiser le gaspillage. La conservation au réfrigérateur (2–8 °C) et la reconstitution aseptique stricte (biosécurité, manipulation en zone protégée) sont obligatoires.</w:t>
      </w:r>
    </w:p>
    <w:p>
      <w:r/>
      <w:r>
        <w:rPr>
          <w:b/>
        </w:rPr>
        <w:t>Instructions et Conseils au Patient :</w:t>
      </w:r>
      <w:r/>
    </w:p>
    <w:p>
      <w:pPr>
        <w:pStyle w:val="ListBullet"/>
      </w:pPr>
      <w:r>
        <w:t>Communication au comptoir : « Le trastuzumab emtansine est un médicament innovant qui combine un anticorps ciblant HER2 à un cytotoxique puissant, délivrant le traitement directement à l'intérieur des cellules tumorales. Il est administré en perfusion IV toutes les 3 semaines. Les effets indésirables les plus fréquents sont une baisse des plaquettes (risque de saignement — signalez tout saignement anormal), une fatigue, des élévations du bilan hépatique (jaunisse à signaler), et plus rarement une atteinte cardiaque ou neurologique. Prévenez votre médecin en cas de saignement, ictère, douleurs abdominales, essoufflement. Une contraception stricte est obligatoire. »</w:t>
      </w:r>
    </w:p>
    <w:p>
      <w:pPr>
        <w:pStyle w:val="ListBullet"/>
      </w:pPr>
      <w:r>
        <w:t>Observance : signaler tout saignement (gingivorragies, épistaxis, ecchymoses, selles noires), ictère, douleurs abdominales, engourdissements.</w:t>
      </w:r>
    </w:p>
    <w:p>
      <w:pPr>
        <w:pStyle w:val="ListBullet"/>
      </w:pPr>
      <w:r>
        <w:t>Hygiène de vie : éviter les efforts physiques intenses en cas de thrombopénie ; éviter les anti-inflammatoires (AINS) et l'aspirine sans avis ; alimentation équilibrée.</w:t>
      </w:r>
    </w:p>
    <w:p>
      <w:pPr>
        <w:pStyle w:val="ListBullet"/>
      </w:pPr>
      <w:r>
        <w:t>Femmes en âge de procréer : double contraception obligatoire pendant et 7 mois après.</w:t>
      </w:r>
    </w:p>
    <w:p>
      <w:r/>
      <w:r>
        <w:rPr>
          <w:b/>
        </w:rPr>
        <w:t>Notes, Règles d'Or &amp; Pièges au Comptoir :</w:t>
      </w:r>
      <w:r/>
    </w:p>
    <w:p>
      <w:pPr>
        <w:pStyle w:val="ListBullet"/>
      </w:pPr>
      <w:r>
        <w:t>Règle d'or : ne pas initier en cas de thrombopénie &lt; 100 G/L — le T-DM1 est l'un des AcM les plus thrombopéniants.</w:t>
      </w:r>
    </w:p>
    <w:p>
      <w:pPr>
        <w:pStyle w:val="ListBullet"/>
      </w:pPr>
      <w:r>
        <w:t>Piège : l'élévation de la bilirubine isolée (sans métastases hépatiques) doit faire évoquer une hypertension portale nodulaire régénérative (effet propre du DM1) — ne pas attribuer systématiquement à des métastases.</w:t>
      </w:r>
    </w:p>
    <w:p>
      <w:pPr>
        <w:pStyle w:val="ListBullet"/>
      </w:pPr>
      <w:r>
        <w:t>Piège : la toxicité hématologique est cumulative (effet dose) — surveillance à chaque cycle.</w:t>
      </w:r>
    </w:p>
    <w:p>
      <w:pPr>
        <w:pStyle w:val="ListBullet"/>
      </w:pPr>
      <w:r>
        <w:t>Règle : ne pas substituer par le trastuzumab seul en cas de progression sous T-DM1 — switch vers T-DXd (non disponible) ou autres thérapies.</w:t>
      </w:r>
    </w:p>
    <w:p>
      <w:pPr>
        <w:pStyle w:val="ListBullet"/>
      </w:pPr>
      <w:r>
        <w:t>Piège : l'adaptation à 3,0 mg/kg après toxicité est univoque (pas de paliers intermédiaires) ; en cas de toxicité récidivante à 3,0 mg/kg, arrêt définitif.</w:t>
      </w:r>
    </w:p>
    <w:p>
      <w:pPr>
        <w:pStyle w:val="ListBullet"/>
      </w:pPr>
      <w:r>
        <w:t>Surveillance : attention aux patientes sous anticoagulants ou antiagrégants — arrêt transitoire pendant la période thrombopénique (J7–J21).</w:t>
      </w:r>
    </w:p>
    <w:p>
      <w:pPr>
        <w:pStyle w:val="Heading3"/>
      </w:pPr>
      <w:r>
        <w:t>106.3.2 DCI : Brentuximab vedotin</w:t>
      </w:r>
    </w:p>
    <w:p>
      <w:r/>
      <w:r>
        <w:rPr>
          <w:b/>
        </w:rPr>
        <w:t>Liste des Catégories :</w:t>
      </w:r>
      <w:r>
        <w:t xml:space="preserve"> Antinéoplasiques ; Anticorps monoclonal chimérique IgG1 conjugué (ADC) anti-CD30 + MMAE (monomethyl auristatin E, inhibiteur des microtubules) ; Thérapie ciblée de la maladie de Hodgkin et des lymphomes T périphériques CD30+ ; Liste I.</w:t>
      </w:r>
    </w:p>
    <w:p>
      <w:r>
        <w:t>Le brentuximab vedotin (Adcetris®, Takeda) est un AcM chimérique IgG1 anti-CD30 conjugué au MMAE (monomethyl auristatin E, analogue synthétique de la dolastatine, inhibiteur puissant de la polymérisation des microtubules, ~1000 fois plus puissant que le vincristine) via un linker clivable par protéase (valine-citrulline, vc, clivable par cathepsine B lysosomale). Le DAR moyen est de 4. L'ADC a obtenu une AMM FDA en août 2011 et EMA en octobre 2012. Le CD30 (TNFRSF8) est un membre de la superfamille des récepteurs du TNF, surexprimé à la surface des cellules de Reed-Sternberg (maladie de Hodgkin), des lymphomes T périphériques (lymphome anaplasique à grandes cellules ALCL, mycosis fongoïde/Syndrome de Sézary, lymphome T cutané) et de certaines lymphomes B. L'ADC se fixe au CD30, est internalisé, le linker est clivé dans le lysosome, et le MMAE libéré bloque la polymérisation des microtubules, arrêtant le cycle en G2/M et induisant l'apoptose. Le brentuximab vedotin a transformé la prise en charge de la maladie de Hodgkin avancée (schéma brentuximab+AVD en première ligne, étude ECHELON-1) et en consolidation après autogreffe de cellules souches (étude AETHERA), ainsi que des lymphomes T périphériques (schéma brentuximab+CHP en première ligne, étude ECHELON-2 — supériorité sur le CHOP classique).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ADCETRIS</w:t>
            </w:r>
          </w:p>
        </w:tc>
        <w:tc>
          <w:tcPr>
            <w:tcW w:type="dxa" w:w="1559"/>
          </w:tcPr>
          <w:p>
            <w:r>
              <w:rPr>
                <w:sz w:val="20"/>
              </w:rPr>
              <w:t>TAKEDA PHARMA A/S</w:t>
            </w:r>
          </w:p>
        </w:tc>
        <w:tc>
          <w:tcPr>
            <w:tcW w:type="dxa" w:w="1559"/>
          </w:tcPr>
          <w:p>
            <w:r>
              <w:rPr>
                <w:sz w:val="20"/>
              </w:rPr>
              <w:t>Poudre pour solution à diluer pour perfusion — 5 mg/mL (50 mg/flacon)</w:t>
            </w:r>
          </w:p>
        </w:tc>
        <w:tc>
          <w:tcPr>
            <w:tcW w:type="dxa" w:w="1559"/>
          </w:tcPr>
          <w:p>
            <w:r>
              <w:rPr>
                <w:sz w:val="20"/>
              </w:rPr>
              <w:t>B/1 flacon</w:t>
            </w:r>
          </w:p>
        </w:tc>
        <w:tc>
          <w:tcPr>
            <w:tcW w:type="dxa" w:w="1559"/>
          </w:tcPr>
          <w:p>
            <w:r>
              <w:rPr>
                <w:sz w:val="20"/>
              </w:rPr>
              <w:t>Liste I</w:t>
            </w:r>
          </w:p>
        </w:tc>
        <w:tc>
          <w:tcPr>
            <w:tcW w:type="dxa" w:w="1559"/>
          </w:tcPr>
          <w:p>
            <w:r>
              <w:rPr>
                <w:sz w:val="20"/>
              </w:rPr>
              <w:t>Actif</w:t>
            </w:r>
          </w:p>
        </w:tc>
      </w:tr>
    </w:tbl>
    <w:p/>
    <w:p>
      <w:r>
        <w:t>Le brentuximab vedotin est délivré en Algérie via le circuit hospitalier spécialisé en hématologie clinique. La spécialité princeps Adcetris (Takeda) est disponible en flacon unique de 50 mg (reconstitution à 10 mL, soit 5 mg/mL). Pas de biosimilaire disponible.</w:t>
      </w:r>
    </w:p>
    <w:p>
      <w:r/>
      <w:r>
        <w:rPr>
          <w:b/>
        </w:rPr>
        <w:t>Sous-classe et Mécanisme d'action :</w:t>
      </w:r>
      <w:r/>
    </w:p>
    <w:p>
      <w:pPr>
        <w:pStyle w:val="ListBullet"/>
      </w:pPr>
      <w:r>
        <w:t>Sous-classe : AcM chimérique IgG1 conjugué (ADC), brentuximab anti-CD30 + MMAE (monomethyl auristatin E, inhibiteur des microtubules).</w:t>
      </w:r>
    </w:p>
    <w:p>
      <w:pPr>
        <w:pStyle w:val="ListBullet"/>
      </w:pPr>
      <w:r>
        <w:t>Mécanisme d'action : combinaison de trois mécanismes. (i) Liaison spécifique du brentuximab au CD30 (TNFRSF8) à la surface des cellules tumorales (Reed-Sternberg, lymphomes T, certains lymphomes B). (ii) Internalisation de l'ADC par endocytose, dégradation lysosomale, clivage du linker vc (valine-citrulline) par la cathepsine B, libération du MMAE dans le cytoplasme. (iii) Le MMAE se fixe à la tubuline β, bloque la polymérisation des microtubules, arrête le cycle cellulaire en phase G2/M et induit l'apoptose. Le DAR de 4 garantit un équilibre entre cytotoxicité et pharmacocinétique. L'effet bystander est significatif (linker clivable, MMAE diffusible), permettant une action cytotoxique sur les cellules tumorales adjacentes CD30-négatives (intéressant pour les tumeurs hétérogènes).</w:t>
      </w:r>
    </w:p>
    <w:p>
      <w:r/>
      <w:r>
        <w:rPr>
          <w:b/>
        </w:rPr>
        <w:t>Profil Pharmacologique :</w:t>
      </w:r>
      <w:r/>
    </w:p>
    <w:p>
      <w:pPr>
        <w:pStyle w:val="ListBullet"/>
      </w:pPr>
      <w:r>
        <w:t>Indications : (1) Maladie de Hodgkin classique avancée (stades III–IV) en première ligne : brentuximab vedotin + AVD (doxorubicine, vinblastine, dacarbazine), schéma ECHELON-1 (supériorité sur le ABVD standard). (2) Maladie de Hodgkin en consolidation post-autogreffe de CSH chez les patients à haut risque de récidive (étude AETHERA) : jusqu'à 16 cycles. (3) Maladie de Hodgkin récidivante/réfractaire non candidate à une autogreffe ou après échec post-autogreffe. (4) Lymphome T périphérique CD30+ en première ligne : brentuximab vedotin + CHP (cyclophosphamide, doxorubicine, prednisone) — schéma ECHELON-2 (supériorité sur le CHOP). (5) Lymphome anaplasique à grandes cellules (ALCL) systémique récidivant. (6) Mycosis fongoïde/Syndrome de Sézary après au moins une ligne systémique. (7) Lymphome T cutané CD30+ (lymphoproliferation CD30+ primaire cutanée) en cours d'évaluation.</w:t>
      </w:r>
    </w:p>
    <w:p>
      <w:pPr>
        <w:pStyle w:val="ListBullet"/>
      </w:pPr>
      <w:r>
        <w:t>Contre-indications : Hypersensibilité au brentuximab, au MMAE ou à l'un des excipients. Co-administration avec la bléomycine (toxicité pulmonaire synergique majeure — CI absolue). Grossesse (CI relative). Précautions : neuropathie périphérique préexistante, insuffisance hépatique, traitement anticoagulant, neutropénie préalable.</w:t>
      </w:r>
    </w:p>
    <w:p>
      <w:pPr>
        <w:pStyle w:val="ListBullet"/>
      </w:pPr>
      <w:r>
        <w:t>Effets Indésirables : Très fréquents (&gt; 10 %) : neutropénie (50–70 %, parfois grade 3–4 dans 30 % des cas — G-CSF prophylactique recommandé), neuropathie périphérique sensitive (40–50 %, effet propre du MMAE — paresthésies, engourdissements, souvent régressive à l'arrêt), anémie (30 %), fatigue (40 %), nausées, vomissements, diarrhée, constipation, mucite, rash, prurit, alopécie (modérée), pyrexie. Fréquents (1–10 %) : thrombopénie (modérée), RLP (à la première cure, ~10 %), hyperglycémie, hypokaliémie, hypoalbuminémie, transaminases élevées, infections (pneumonie, herpès, zona — prophylaxie antivirale recommandée), syndrome de Lyell, syndrome de Stevens-Johnson. Peu fréquents : pneumopathie interstitielle (surtout si antécédent de chimiothérapie pulmonotoxique), pancréatite, hépatotoxicité sévère, neutropénie fébrile, leucoencéphalopathie multifocale progressive (LEMP — rare, à évoquer devant des symptômes neurologiques centraux nouveaux). Rares : anaphylaxie.</w:t>
      </w:r>
    </w:p>
    <w:p>
      <w:r/>
      <w:r>
        <w:rPr>
          <w:b/>
        </w:rPr>
        <w:t>Prévention et Gestion des Effets Indésirables :</w:t>
      </w:r>
      <w:r/>
    </w:p>
    <w:p>
      <w:pPr>
        <w:pStyle w:val="ListBullet"/>
      </w:pPr>
      <w:r>
        <w:t>Mesures Préventives : G-CSF prophylactique (pegfilgrastim 6 mg J2 de chaque cycle ou filgrastim 5 μg/kg/j J4–J13) systématique en cas de schéma brentuximab+AVD ou brentuximab+CHP. Prophylaxie antivirale (valaciclovir 500 mg/j) et antipneumocystose (cotrimoxazole 400/80 mg 3×/semaine) recommandée pendant 6 mois minimum. Pré-médication paracétamol + antihistaminique avant la première perfusion. Bilan hépatique, NFS, ionogramme avant chaque cycle. Examen neurologique périphérique (sensibilité, réflexes) avant chaque cure.</w:t>
      </w:r>
    </w:p>
    <w:p>
      <w:pPr>
        <w:pStyle w:val="ListBullet"/>
      </w:pPr>
      <w:r>
        <w:t>Conduite à Tenir : Neuropathie grade 1 (paresthésies sans retentissement fonctionnel) : poursuite à dose inchangée, surveillance. Grade 2 (retentissement modéré) : report jusqu'à récupération grade ≤ 1, reprise à dose réduite (1,8 → 1,2 mg/kg). Grade 3 (retentissement sévère) : arrêt, reprise à 1,2 mg/kg si récupération, arrêt définitif en cas de récidive. Neutropénie grade 3–4 : G-CSF, report de 1 semaine si non récupération, reprise à dose réduite si récidive. Pancréatite : arrêt immédiat. Pneumopathie : arrêt, corticothérapie. LEMP : arrêt immédiat, IRM cérébrale, ponction lombaire PCR JC virus.</w:t>
      </w:r>
    </w:p>
    <w:p>
      <w:r/>
      <w:r>
        <w:rPr>
          <w:b/>
        </w:rPr>
        <w:t>Interactions Médicamenteuses :</w:t>
      </w:r>
      <w:r/>
    </w:p>
    <w:p>
      <w:pPr>
        <w:pStyle w:val="ListBullet"/>
      </w:pPr>
      <w:r>
        <w:t>Bléomycine : CONTRE-INDICATION ABSOLUE (toxicité pulmonaire synergique — décès rapportés) — ne jamais associer. En cas de maladie de Hodgkin, le schéma brentuximab+AVD (sans bléomycine) remplace le schéma ABVD classique.</w:t>
      </w:r>
    </w:p>
    <w:p>
      <w:pPr>
        <w:pStyle w:val="ListBullet"/>
      </w:pPr>
      <w:r>
        <w:t>CYP3A4 (métabolisme du MMAE) : inhibiteurs puissants (kétoconazole, itraconazole, clarithromycine, ritonavir) → augmentation de l'exposition au MMAE libre et majoration du risque de neutropénie et neuropathie. Éviter si possible ; sinon surveillance rapprochée. Inducteurs (rifampicine, phénytoïne, carbamazépine) → diminution de l'efficacité.</w:t>
      </w:r>
    </w:p>
    <w:p>
      <w:pPr>
        <w:pStyle w:val="ListBullet"/>
      </w:pPr>
      <w:r>
        <w:t>Vinca-alcaloïdes (vincristine, vinblastine) : association déconseillée (neuropathie additive cumulative).</w:t>
      </w:r>
    </w:p>
    <w:p>
      <w:pPr>
        <w:pStyle w:val="ListBullet"/>
      </w:pPr>
      <w:r>
        <w:t>Anticoagulants : risque hémorragique majoré en cas de thrombopénie.</w:t>
      </w:r>
    </w:p>
    <w:p>
      <w:pPr>
        <w:pStyle w:val="ListBullet"/>
      </w:pPr>
      <w:r>
        <w:t>Vaccins vivants : contre-indiqués pendant et 6 mois après.</w:t>
      </w:r>
    </w:p>
    <w:p>
      <w:pPr>
        <w:pStyle w:val="ListBullet"/>
      </w:pPr>
      <w:r>
        <w:t>Pas d'interaction significative avec le CYP2D6, CYP2C9.</w:t>
      </w:r>
    </w:p>
    <w:p>
      <w:r/>
      <w:r>
        <w:rPr>
          <w:b/>
        </w:rPr>
        <w:t>Grossesse et Allaitement :</w:t>
      </w:r>
      <w:r/>
    </w:p>
    <w:p>
      <w:pPr>
        <w:pStyle w:val="ListBullet"/>
      </w:pPr>
      <w:r>
        <w:t>Grossesse : CONTRE-INDICATION ABSOLUE. Le MMAE est un inhibiteur des microtubules (mécanisme vinca-alcaloïde-like), tératogène chez l'animal (anomalies embryo-fœtales, mort embryonnaire). Contraception obligatoire pendant le traitement et 6 mois après (femme et partenaire masculin). Le risque pour le partenaire masculin traité n'est pas négligeable (potentiel effet sur la spermatogenèse — conservation de sperme à proposer avant traitement).</w:t>
      </w:r>
    </w:p>
    <w:p>
      <w:pPr>
        <w:pStyle w:val="ListBullet"/>
      </w:pPr>
      <w:r>
        <w:t>Allaitement : CONTRE-INDICATION ABSOLUE pendant le traitement et 6 mois après.</w:t>
      </w:r>
    </w:p>
    <w:p>
      <w:r/>
      <w:r>
        <w:rPr>
          <w:b/>
        </w:rPr>
        <w:t>Posologie et Mode d'administration (Standard) :</w:t>
      </w:r>
      <w:r/>
    </w:p>
    <w:p>
      <w:pPr>
        <w:pStyle w:val="ListBullet"/>
      </w:pPr>
      <w:r>
        <w:t>Adulte : 1,8 mg/kg IV (dose maximale 180 mg) toutes les 3 semaines en perfusion de 30 min. En association à AVD ou CHP : 1,8 mg/kg à J1 du cycle de 28 jours, jusqu'à 6 cycles maximum en première ligne. En consolidation post-autogreffe : 1,8 mg/kg toutes les 3 semaines pendant 16 cycles maximum (AETHERA). En situation réfractaire/récidivante : jusqu'à progression ou toxicité.</w:t>
      </w:r>
    </w:p>
    <w:p>
      <w:pPr>
        <w:pStyle w:val="ListBullet"/>
      </w:pPr>
      <w:r>
        <w:t>Mode d'administration : perfusion IV stricte dans 100–150 mL NaCl 0,9 %, dextrose 5 % ou LR. Pas de bolus. Tubing dédié.</w:t>
      </w:r>
    </w:p>
    <w:p>
      <w:pPr>
        <w:pStyle w:val="ListBullet"/>
      </w:pPr>
      <w:r>
        <w:t>Adaptation : neuropathie grade 2 → 1,2 mg/kg ; grade 3 → arrêt ou 1,2 mg/kg si récupération. Neutropénie grade 3–4 → G-CSF + éventuelle réduction à 1,2 mg/kg.</w:t>
      </w:r>
    </w:p>
    <w:p>
      <w:pPr>
        <w:pStyle w:val="ListBullet"/>
      </w:pPr>
      <w:r>
        <w:t>Insuffisance hépatique modérée (Child-Pugh A) : dose réduite à 1,2 mg/kg. Insuffisance hépatique sévère (Child-Pugh B/C) : éviter.</w:t>
      </w:r>
    </w:p>
    <w:p>
      <w:pPr>
        <w:pStyle w:val="ListBullet"/>
      </w:pPr>
      <w:r>
        <w:t>Insuffisance rénale (ClCr &lt; 30 mL/min) : éviter ou réduire à 1,2 mg/kg avec surveillance.</w:t>
      </w:r>
    </w:p>
    <w:p>
      <w:pPr>
        <w:pStyle w:val="ListBullet"/>
      </w:pPr>
      <w:r>
        <w:t>Pédiatrie : indications validées chez l'enfant &gt; 6 ans (maladie de Hodgkin) à 1,8 mg/kg.</w:t>
      </w:r>
    </w:p>
    <w:p>
      <w:r/>
      <w:r>
        <w:rPr>
          <w:b/>
        </w:rPr>
        <w:t>Surveillance Biologique et Suivi Clinique :</w:t>
      </w:r>
      <w:r/>
    </w:p>
    <w:p>
      <w:pPr>
        <w:pStyle w:val="ListBullet"/>
      </w:pPr>
      <w:r>
        <w:t>Hématologique : NFS-plaquettes avant chaque cycle (seuil initier : PNN &gt; 1,5 G/L, plaquettes &gt; 100 G/L, Hb &gt; 90 g/L) ; NFS hebdomadaire en cas de neutropénie grade 3–4.</w:t>
      </w:r>
    </w:p>
    <w:p>
      <w:pPr>
        <w:pStyle w:val="ListBullet"/>
      </w:pPr>
      <w:r>
        <w:t>Hépatique : ALAT, ASAT, bilirubine, PAL, γ-GT, lipasémie, amylasémie avant chaque cycle.</w:t>
      </w:r>
    </w:p>
    <w:p>
      <w:pPr>
        <w:pStyle w:val="ListBullet"/>
      </w:pPr>
      <w:r>
        <w:t>Neurologique : examen clinique complet (sensibilité, réflexes ostéotendineux, force musculaire) avant chaque cure.</w:t>
      </w:r>
    </w:p>
    <w:p>
      <w:pPr>
        <w:pStyle w:val="ListBullet"/>
      </w:pPr>
      <w:r>
        <w:t>Infectiologie : prophylaxie antivirale et antipneumocystose pendant 6 mois minimum ; surveillance clinique (toux, fièvre, dyspnée pour LEMP). PCR JC virus si symptômes neurologiques centraux.</w:t>
      </w:r>
    </w:p>
    <w:p>
      <w:pPr>
        <w:pStyle w:val="ListBullet"/>
      </w:pPr>
      <w:r>
        <w:t>Clinique : poids, TA, examen cardio-pulmonaire à chaque consultation ; interrogatoire neuropathie (engourdissements, paresthésies), fatigue, infections.</w:t>
      </w:r>
    </w:p>
    <w:p>
      <w:pPr>
        <w:pStyle w:val="ListBullet"/>
      </w:pPr>
      <w:r>
        <w:t>Suivi carcinologique : scanner TAP et PET-scan avant traitement, à mi-cot, en fin de traitement, puis tous les 3–6 mois.</w:t>
      </w:r>
    </w:p>
    <w:p>
      <w:r/>
      <w:r>
        <w:rPr>
          <w:b/>
        </w:rPr>
        <w:t>Arbitrage et Bénéfices des Formes Galéniques :</w:t>
      </w:r>
      <w:r/>
    </w:p>
    <w:p>
      <w:r>
        <w:t>Le brentuximab vedotin est disponible uniquement en forme IV lyophilisée (50 mg/flacon). Pas de forme SC, pas de biosimilaire. La dose unique de 1,8 mg/kg (max 180 mg) correspond à 4 flacons pour un adulte de 70 kg (1,8 × 70 = 126 mg → 3 flacons de 50 mg = 150 mg avec gaspillage, ou arrondi). La planification de la prescription vise à minimiser le gaspillage. La reconstitution aseptique stricte (biosécurité, manipulation en zone protégée) est obligatoire. La conservation au réfrigérateur (2–8 °C) est nécessaire.</w:t>
      </w:r>
    </w:p>
    <w:p>
      <w:r/>
      <w:r>
        <w:rPr>
          <w:b/>
        </w:rPr>
        <w:t>Instructions et Conseils au Patient :</w:t>
      </w:r>
      <w:r/>
    </w:p>
    <w:p>
      <w:pPr>
        <w:pStyle w:val="ListBullet"/>
      </w:pPr>
      <w:r>
        <w:t>Communication au comptoir : « Le brentuximab vedotin est un anticorps conjugué ciblant le CD30 des cellules de votre lymphome, et délivrant un traitement cytotoxique directement à l'intérieur des cellules tumorales. Il est administré en perfusion IV toutes les 3 semaines. Les effets indésirables les plus fréquents sont une baisse des globules blancs (risque infectieux — fièvre à signaler immédiatement), une neuropathie périphérique (engourdissements, picotements des mains et pieds — à signaler dès le début), des nausées, de la fatigue. Prévenez votre médecin en cas de fièvre, d'engourdissements, de douleurs abdominales (pancréatite), de difficultés respiratoires (pneumopathie). Une contraception stricte est obligatoire. »</w:t>
      </w:r>
    </w:p>
    <w:p>
      <w:pPr>
        <w:pStyle w:val="ListBullet"/>
      </w:pPr>
      <w:r>
        <w:t>Observance : signaler tout symptôme neurologique (engourdissements, faiblesse), toute fièvre, toute douleur abdominale.</w:t>
      </w:r>
    </w:p>
    <w:p>
      <w:pPr>
        <w:pStyle w:val="ListBullet"/>
      </w:pPr>
      <w:r>
        <w:t>Hygiène de vie : éviter l'alcool (hépatotoxicité et pancréatotoxicité) ; activité physique modérée ; éviter les efforts intenses en cas de neuropathie (risque de chutes).</w:t>
      </w:r>
    </w:p>
    <w:p>
      <w:pPr>
        <w:pStyle w:val="ListBullet"/>
      </w:pPr>
      <w:r>
        <w:t>Prophylaxie : prendre scrupuleusement le traitement antiviral (valaciclovir) et antipneumocystose (cotrimoxazole) prescrit ; ne pas arrêter sans avis.</w:t>
      </w:r>
    </w:p>
    <w:p>
      <w:pPr>
        <w:pStyle w:val="ListBullet"/>
      </w:pPr>
      <w:r>
        <w:t>Femmes et hommes en âge de procréer : double contraception obligatoire pendant et 6 mois après ; conservation de sperme/ovocytes à discuter avant traitement.</w:t>
      </w:r>
    </w:p>
    <w:p>
      <w:r/>
      <w:r>
        <w:rPr>
          <w:b/>
        </w:rPr>
        <w:t>Notes, Règles d'Or &amp; Pièges au Comptoir :</w:t>
      </w:r>
      <w:r/>
    </w:p>
    <w:p>
      <w:pPr>
        <w:pStyle w:val="ListBullet"/>
      </w:pPr>
      <w:r>
        <w:t>Règle d'or : ne JAMAIS associer à la bléomycine (toxicité pulmonaire létale) — le schéma brentuximab+AVD remplace le ABVD.</w:t>
      </w:r>
    </w:p>
    <w:p>
      <w:pPr>
        <w:pStyle w:val="ListBullet"/>
      </w:pPr>
      <w:r>
        <w:t>Piège : la neuropathie périphérique est souvent régressive à l'arrêt mais peut persister plusieurs mois — ne pas sous-estimer, traiter précocement (réduction de dose).</w:t>
      </w:r>
    </w:p>
    <w:p>
      <w:pPr>
        <w:pStyle w:val="ListBullet"/>
      </w:pPr>
      <w:r>
        <w:t>Règle : G-CSF prophylactique systématique en cas de schéma brentuximab+AVD ou brentuximab+CHP (réduction de la neutropénie fébrile).</w:t>
      </w:r>
    </w:p>
    <w:p>
      <w:pPr>
        <w:pStyle w:val="ListBullet"/>
      </w:pPr>
      <w:r>
        <w:t>Piège : le LEMP (leucoencéphalopathie multifocale progressive) est rare mais à évoquer devant tout symptôme neurologique central nouveau (troubles visuels, faiblesse, troubles cognitifs) — IRM urgente.</w:t>
      </w:r>
    </w:p>
    <w:p>
      <w:pPr>
        <w:pStyle w:val="ListBullet"/>
      </w:pPr>
      <w:r>
        <w:t>Règle : la durée maximale en consolidation post-autogreffe est de 16 cycles — ne pas prolonger au-delà (toxicité cumulative).</w:t>
      </w:r>
    </w:p>
    <w:p>
      <w:pPr>
        <w:pStyle w:val="ListBullet"/>
      </w:pPr>
      <w:r>
        <w:t>Surveillance : attention aux patients sous anticoagulants — risque hémorragique en cas de thrombopénie.</w:t>
      </w:r>
    </w:p>
    <w:p>
      <w:pPr>
        <w:pStyle w:val="Heading3"/>
      </w:pPr>
      <w:r>
        <w:t>106.3.3 DCI : Inotuzumab ozogamicine</w:t>
      </w:r>
    </w:p>
    <w:p>
      <w:r/>
      <w:r>
        <w:rPr>
          <w:b/>
        </w:rPr>
        <w:t>Liste des Catégories :</w:t>
      </w:r>
      <w:r>
        <w:t xml:space="preserve"> Antinéoplasiques ; Anticorps monoclonal humanisé IgG4 conjugué (ADC) anti-CD22 + calicheamicine (cytotoxique ADN-dépendant) ; Thérapie ciblée des leucémies aiguës lymphoblastiques B-CD22+ récidivantes/réfractaires ; Liste I.</w:t>
      </w:r>
    </w:p>
    <w:p>
      <w:r>
        <w:t>L'inotuzumab ozogamicine (Besponsa®, Wyeth/Pfizer) est un AcM humanisé IgG4 anti-CD22 conjugué à un dérivé de la calicheamicine (N-acétyl-gamma-calicheamicine diméthylhydrazide), cytotoxique puissant qui se fixe au petit sillon de l'ADN et induit des cassures double-brin entraînant l'apoptose. Le linker est une hydrazone (clivable en pH acide lysosomal). Le DAR moyen est de 6. L'ADC a obtenu une AMM FDA en août 2017 et EMA en juin 2017. Le CD22 (SIGLEC-2) est un récepteur transmembranaire des lymphocytes B pré-B et matures, surexprimé dans plus de 90 % des leucémies aiguës lymphoblastiques B (LAL-B) et dans certains lymphomes B non hodgkiniens. L'ADC se fixe au CD22, est internalisé, le linker est clivé dans le lysosome, et la calicheamicine libérée se fixe à l'ADN, induisant des cassures double-brin et l'apoptose. L'inotuzumab ozogamicine a transformé la prise en charge des LAL-B récidivantes/réfractaires de l'adulte (étude INO-VATE : taux de rémission complète 80,7 % vs 29,4 % avec chimiothérapie standard), avec un taux accru de greffe de CSH allogénique et une amélioration de la survie sans progression. Son profil de tolérance est marqué par le risque de maladie veino-occlusive hépatique (VOD/SOS, sinusoidal obstruction syndrome), particulièrement après greffe de CSH ultérieure.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BESPONSA</w:t>
            </w:r>
          </w:p>
        </w:tc>
        <w:tc>
          <w:tcPr>
            <w:tcW w:type="dxa" w:w="1559"/>
          </w:tcPr>
          <w:p>
            <w:r>
              <w:rPr>
                <w:sz w:val="20"/>
              </w:rPr>
              <w:t>WYETH PHARMACEUTICALS LLC</w:t>
            </w:r>
          </w:p>
        </w:tc>
        <w:tc>
          <w:tcPr>
            <w:tcW w:type="dxa" w:w="1559"/>
          </w:tcPr>
          <w:p>
            <w:r>
              <w:rPr>
                <w:sz w:val="20"/>
              </w:rPr>
              <w:t>Poudre lyophilisée pour solution à diluer pour perfusion — 0,9 mg/flacon</w:t>
            </w:r>
          </w:p>
        </w:tc>
        <w:tc>
          <w:tcPr>
            <w:tcW w:type="dxa" w:w="1559"/>
          </w:tcPr>
          <w:p>
            <w:r>
              <w:rPr>
                <w:sz w:val="20"/>
              </w:rPr>
              <w:t>B/1 flacon monodose</w:t>
            </w:r>
          </w:p>
        </w:tc>
        <w:tc>
          <w:tcPr>
            <w:tcW w:type="dxa" w:w="1559"/>
          </w:tcPr>
          <w:p>
            <w:r>
              <w:rPr>
                <w:sz w:val="20"/>
              </w:rPr>
              <w:t>Liste I</w:t>
            </w:r>
          </w:p>
        </w:tc>
        <w:tc>
          <w:tcPr>
            <w:tcW w:type="dxa" w:w="1559"/>
          </w:tcPr>
          <w:p>
            <w:r>
              <w:rPr>
                <w:sz w:val="20"/>
              </w:rPr>
              <w:t>Actif</w:t>
            </w:r>
          </w:p>
        </w:tc>
      </w:tr>
    </w:tbl>
    <w:p/>
    <w:p>
      <w:r>
        <w:t>L'inotuzumab ozogamicine est délivré en Algérie via le circuit hospitalier spécialisé en hématologie clinique. La spécialité princeps Besponsa (Wyeth/Pfizer) est disponible en flacon unique de 0,9 mg (reconstitution à 4,1 mL, soit 0,25 mg/mL). Pas de biosimilaire disponible.</w:t>
      </w:r>
    </w:p>
    <w:p>
      <w:r/>
      <w:r>
        <w:rPr>
          <w:b/>
        </w:rPr>
        <w:t>Sous-classe et Mécanisme d'action :</w:t>
      </w:r>
      <w:r/>
    </w:p>
    <w:p>
      <w:pPr>
        <w:pStyle w:val="ListBullet"/>
      </w:pPr>
      <w:r>
        <w:t>Sous-classe : AcM humanisé IgG4 conjugué (ADC), inotuzumab anti-CD22 + calicheamicine (cytotoxique ADN-dépendant).</w:t>
      </w:r>
    </w:p>
    <w:p>
      <w:pPr>
        <w:pStyle w:val="ListBullet"/>
      </w:pPr>
      <w:r>
        <w:t>Mécanisme d'action : combinaison de trois mécanismes. (i) Liaison spécifique de l'inotuzumab au CD22 (SIGLEC-2) à la surface des lymphocytes B pré-B et matures tumoraux (LAL-B, lymphomes B). (ii) Internalisation de l'ADC par endocytose, dégradation lysosomale, clivage du linker hydrazone en pH acide, libération de la calicheamicine dans le cytoplasme. (iii) La calicheamicine (N-acétyl-gamma-calicheamicine) se fixe au petit sillon de l'ADN, subit une activation par réduction (glutathion), génère des radicaux diradicalaires qui induisent des cassures double-brin de l'ADN, entraînant l'apoptose. Le DAR de 6 assure une cytotoxicité importante. L'effet bystander est limité (linker clivable mais calicheamicine non diffusible).</w:t>
      </w:r>
    </w:p>
    <w:p>
      <w:r/>
      <w:r>
        <w:rPr>
          <w:b/>
        </w:rPr>
        <w:t>Profil Pharmacologique :</w:t>
      </w:r>
      <w:r/>
    </w:p>
    <w:p>
      <w:pPr>
        <w:pStyle w:val="ListBullet"/>
      </w:pPr>
      <w:r>
        <w:t>Indications : (1) Leucémie aiguë lymphoblastique B (LAL-B) CD22+ de l'adulte récidivante ou réfractaire (étude INO-VATE), en monothérapie, dans l'objectif d'induire une rémission complète permettant une greffe de CSH allogénique. (2) En cours d'évaluation : LAL-B pédiatrique réfractaire (étude INO-VATE-PED) ; lymphomes B non hodgkiniens CD22+ réfractaires.</w:t>
      </w:r>
    </w:p>
    <w:p>
      <w:pPr>
        <w:pStyle w:val="ListBullet"/>
      </w:pPr>
      <w:r>
        <w:t>Contre-indications : Hypersensibilité à l'inotuzumab, à la calicheamicine ou à l'un des excipients. Maladie veino-occlusive hépatique (VOD/SOS) active ou antécédent. Insuffisance hépatique sévère (bilirubine &gt; 1,5× LSN sans rapport avec la maladie). Grossesse (CI relative). Précautions : antécédents de chimiothérapie hépatotoxique (anthracyclines, cyclophosphamide), greffe de CSH programmée, thrombopénie préexistante, traitement anticoagulant.</w:t>
      </w:r>
    </w:p>
    <w:p>
      <w:pPr>
        <w:pStyle w:val="ListBullet"/>
      </w:pPr>
      <w:r>
        <w:t>Effets Indésirables : Très fréquents (&gt; 10 %) : thrombopénie (60–80 % — effet propre de la calicheamicine sur les mégacaryocytes, parfois grade 3–4 dans 50 %), neutropénie (50–60 %, parfois grade 3–4), anémie (40 %), infections (30 % — bactériennes, virales, fongiques), fièvre, fatigue, nausées, vomissements, diarrhée, constipation, stomatite, transaminases élevées (30 %), hyperbilirubinémie (20 % — surveiller VOD), céphalées, rash, prurit. Fréquents (1–10 %) : RLP (à la première cure), hémorragie (en cas de thrombopénie grade 4 — saignements mucocutanés, parfois cérébraux), maladie veino-occlusive hépatique (VOD/SOS, 5–15 % — effet propre de la calicheamicine sur les cellules sinusoïdales hépatiques ; risque majoré après greffe de CSH ultérieure, jusqu'à 25 %), hypertension, hypokaliémie, hypophosphatémie, hypoalbuminémie, neutropénie fébrile. Peu fréquents : pancréatite, hépatotoxicité sévère, syndrome de lyse tumorale (en cas d'hyperleucocytose), LEMP (rare). Rares : anaphylaxie.</w:t>
      </w:r>
    </w:p>
    <w:p>
      <w:r/>
      <w:r>
        <w:rPr>
          <w:b/>
        </w:rPr>
        <w:t>Prévention et Gestion des Effets Indésirables :</w:t>
      </w:r>
      <w:r/>
    </w:p>
    <w:p>
      <w:pPr>
        <w:pStyle w:val="ListBullet"/>
      </w:pPr>
      <w:r>
        <w:t>Mesures Préventives : NFS-plaquettes avant chaque cycle (seuil initier : PNN &gt; 1,5 G/L, plaquettes &gt; 100 G/L, Hb &gt; 90 g/L). Bilan hépatique complet (ALAT, ASAT, bilirubine totale, PAL, γ-GT) avant chaque cycle — recherche systématique de VOD. Échographie hépatique avec doppler portal avant initiation et en cas d'hyperbilirubinémie. Prophylaxie antifongique (azolé) et antivirale (valaciclovir) pendant et 6 mois après traitement. Pré-médication paracétamol + antihistaminique + corticothérapie courte avant chaque cure. Défibrotide prophylactique (6,25 mg/kg × 4/j) en cas de greffe de CSH ultérieure programmée. Surveillance clinique étroite des signes de VOD (ictère, prise de poids rapide, douleurs de l'hypochondre droit, ascite) — diagnostic précoce et introduction rapide de défibrotide.</w:t>
      </w:r>
    </w:p>
    <w:p>
      <w:pPr>
        <w:pStyle w:val="ListBullet"/>
      </w:pPr>
      <w:r>
        <w:t>Conduite à Tenir : VOD/SOS grade 2 (bilirubine 2–3 mg/dL + 2 critères cliniques) : arrêt transitoire, défibrotide 6,25 mg/kg × 4/j IV pendant ≥ 14 jours, surveillance hépatique et rénale quotidienne. Grade 3 (bilirubine &gt; 3 mg/dL + 2 critères, atteinte multi-organique) : arrêt définitif, défibrotide, soins de réanimation, évaluation pour greffe de CSH différée. Thrombopénie grade 3–4 : report de 1–2 semaines jusqu'à récupération, reprise à dose réduite. Neutropénie grade 4 : G-CSF, prophylaxie antibactérienne (levofloxacine). Hémorragie : arrêt, transfusion plaquettaire (objectif &gt; 50 G/L pour saignement actif, &gt; 100 G/L pour saignement cérébral). RLP : voir trastuzumab.</w:t>
      </w:r>
    </w:p>
    <w:p>
      <w:r/>
      <w:r>
        <w:rPr>
          <w:b/>
        </w:rPr>
        <w:t>Interactions Médicamenteuses :</w:t>
      </w:r>
      <w:r/>
    </w:p>
    <w:p>
      <w:pPr>
        <w:pStyle w:val="ListBullet"/>
      </w:pPr>
      <w:r>
        <w:t>CYP3A4 (métabolisme de la calicheamicine) : inhibiteurs (kétoconazole, itraconazole, clarithromycine, ritonavir) → augmentation de l'exposition et majoration de l'hépatotoxicité. Éviter. Inducteurs (rifampicine, phénytoïne) → diminution de l'efficacité.</w:t>
      </w:r>
    </w:p>
    <w:p>
      <w:pPr>
        <w:pStyle w:val="ListBullet"/>
      </w:pPr>
      <w:r>
        <w:t>Défibrotide : association à surveiller (potentialisation de l'effet thrombolytique, mais utilisation prophylactique ou curative de la VOD).</w:t>
      </w:r>
    </w:p>
    <w:p>
      <w:pPr>
        <w:pStyle w:val="ListBullet"/>
      </w:pPr>
      <w:r>
        <w:t>Anticoagulants et antiagrégants : risque hémorragique majoré en cas de thrombopénie.</w:t>
      </w:r>
    </w:p>
    <w:p>
      <w:pPr>
        <w:pStyle w:val="ListBullet"/>
      </w:pPr>
      <w:r>
        <w:t>Vaccins vivants : contre-indiqués.</w:t>
      </w:r>
    </w:p>
    <w:p>
      <w:pPr>
        <w:pStyle w:val="ListBullet"/>
      </w:pPr>
      <w:r>
        <w:t>Chimiothérapies hépatotoxiques (anthracyclines, cyclophosphamide, mercaptopurine) : potentialisation de l'hépatotoxicité (VOD).</w:t>
      </w:r>
    </w:p>
    <w:p>
      <w:r/>
      <w:r>
        <w:rPr>
          <w:b/>
        </w:rPr>
        <w:t>Grossesse et Allaitement :</w:t>
      </w:r>
      <w:r/>
    </w:p>
    <w:p>
      <w:pPr>
        <w:pStyle w:val="ListBullet"/>
      </w:pPr>
      <w:r>
        <w:t>Grossesse : CONTRE-INDICATION ABSOLUE. La calicheamicine est un agent cassant l'ADN (mécanisme similaire aux alkylants), extrêmement tératogène et embryotoxique chez l'animal. Contraception obligatoire pendant le traitement et 6 mois après (femme et partenaire masculin).</w:t>
      </w:r>
    </w:p>
    <w:p>
      <w:pPr>
        <w:pStyle w:val="ListBullet"/>
      </w:pPr>
      <w:r>
        <w:t>Allaitement : CONTRE-INDICATION ABSOLUE pendant le traitement et 6 mois après.</w:t>
      </w:r>
    </w:p>
    <w:p>
      <w:pPr>
        <w:pStyle w:val="ListBullet"/>
      </w:pPr>
      <w:r>
        <w:t>Fertilité : risque d'altération de la fertilité masculine et féminine (toxicité gonadique de la calicheamicine). Conservation de sperme, ovocytes ou tissu ovarien à proposer avant traitement.</w:t>
      </w:r>
    </w:p>
    <w:p>
      <w:r/>
      <w:r>
        <w:rPr>
          <w:b/>
        </w:rPr>
        <w:t>Posologie et Mode d'administration (Standard) :</w:t>
      </w:r>
      <w:r/>
    </w:p>
    <w:p>
      <w:pPr>
        <w:pStyle w:val="ListBullet"/>
      </w:pPr>
      <w:r>
        <w:t>Adulte : cycle 1 (28 jours) — J1 : 1,8 mg/m² (dose totale du cycle répartie en 3 doses : 0,8 mg/m² J1, 0,5 mg/m² J8, 0,5 mg/m² J15 — schéma fractionné recommandé sur la forme continue). Dose maximale absolue : 2,3 mg/dose. Cycles suivants (28 jours) — pour les patients en rémission complète : 1,5 mg/m² (0,5 mg/m² J1, 0,5 mg/m² J8, 0,5 mg/m² J15) ; pour les patients en rémission partielle : 1,8 mg/m² (schéma identique au cycle 1). Durée maximale : 4 cycles (objectif : atteindre une RC permettant la greffe de CSH allogénique).</w:t>
      </w:r>
    </w:p>
    <w:p>
      <w:pPr>
        <w:pStyle w:val="ListBullet"/>
      </w:pPr>
      <w:r>
        <w:t>Mode d'administration : perfusion IV stricte en 1 heure dans 50 mL NaCl 0,9 % (jamais glucose). Tubing dédié, filtre de 0,22 μm. Ne jamais bolus IV.</w:t>
      </w:r>
    </w:p>
    <w:p>
      <w:pPr>
        <w:pStyle w:val="ListBullet"/>
      </w:pPr>
      <w:r>
        <w:t>Adaptation : thrombopénie grade 3–4 → report ; VOD grade ≥ 2 → arrêt définitif.</w:t>
      </w:r>
    </w:p>
    <w:p>
      <w:pPr>
        <w:pStyle w:val="ListBullet"/>
      </w:pPr>
      <w:r>
        <w:t>Insuffisance hépatique modérée (bilirubine 1,5–3× LSN, ASAT/ALAT 2,5–5× LSN) : réduire la dose à 50 %. Insuffisance hépatique sévère : CI.</w:t>
      </w:r>
    </w:p>
    <w:p>
      <w:pPr>
        <w:pStyle w:val="ListBullet"/>
      </w:pPr>
      <w:r>
        <w:t>Insuffisance rénale : pas d'adaptation pour ClCr &gt; 30 mL/min ; éviter en cas d'insuffisance rénale sévère.</w:t>
      </w:r>
    </w:p>
    <w:p>
      <w:r/>
      <w:r>
        <w:rPr>
          <w:b/>
        </w:rPr>
        <w:t>Surveillance Biologique et Suivi Clinique :</w:t>
      </w:r>
      <w:r/>
    </w:p>
    <w:p>
      <w:pPr>
        <w:pStyle w:val="ListBullet"/>
      </w:pPr>
      <w:r>
        <w:t>Hématologique : NFS-plaquettes avant chaque dose et hebdomadaire (nadir à J14–21).</w:t>
      </w:r>
    </w:p>
    <w:p>
      <w:pPr>
        <w:pStyle w:val="ListBullet"/>
      </w:pPr>
      <w:r>
        <w:t>Hépatique : ALAT, ASAT, bilirubine totale, PAL, γ-GT avant chaque dose, hebdomadaire pendant le traitement, et jusqu'à 8 semaines après greffe de CSH (recherche VOD).</w:t>
      </w:r>
    </w:p>
    <w:p>
      <w:pPr>
        <w:pStyle w:val="ListBullet"/>
      </w:pPr>
      <w:r>
        <w:t>Coagulation : TP, TCA, fibrinogène avant chaque cycle (recherche de coagulopathie de consommation associée à la VOD).</w:t>
      </w:r>
    </w:p>
    <w:p>
      <w:pPr>
        <w:pStyle w:val="ListBullet"/>
      </w:pPr>
      <w:r>
        <w:t>Infectiologie : prophylaxie antifongique (azolé), antivirale (valaciclovir), antibactérienne (levofloxacine si neutropénie prolongée) pendant et 6 mois après traitement.</w:t>
      </w:r>
    </w:p>
    <w:p>
      <w:pPr>
        <w:pStyle w:val="ListBullet"/>
      </w:pPr>
      <w:r>
        <w:t>Clinique : poids quotidien (prise de poids = signe précoce de VOD), périmètre abdominal, ictère, douleurs de l'hypochrompe droit, ascite ; examen neurologique (LEMP) ; fièvre (neutropénie fébrile).</w:t>
      </w:r>
    </w:p>
    <w:p>
      <w:pPr>
        <w:pStyle w:val="ListBullet"/>
      </w:pPr>
      <w:r>
        <w:t>Suivi carcinologique : myélogramme avant chaque cycle (rémission complète RC, rémission partielle RP) ; cytométrie en flux (maladie résiduelle minimale MRD) ; immunophénotypage.</w:t>
      </w:r>
    </w:p>
    <w:p>
      <w:r/>
      <w:r>
        <w:rPr>
          <w:b/>
        </w:rPr>
        <w:t>Arbitrage et Bénéfices des Formes Galéniques :</w:t>
      </w:r>
      <w:r/>
    </w:p>
    <w:p>
      <w:r>
        <w:t>L'inotuzumab ozogamicine est disponible uniquement en forme IV lyophilisée (0,9 mg/flacon). Pas de forme SC, pas de biosimilaire. La dose est calculée en mg/m² (surface corporelle), avec adaptation à 1,8 mg/m² puis 1,5 mg/m² en RC. La planification de la prescription vise à minimiser le gaspillage (flacon de 0,9 mg). La reconstitution aseptique stricte (biosécurité) est obligatoire. La conservation au réfrigérateur (2–8 °C) est nécessaire.</w:t>
      </w:r>
    </w:p>
    <w:p>
      <w:r/>
      <w:r>
        <w:rPr>
          <w:b/>
        </w:rPr>
        <w:t>Instructions et Conseils au Patient :</w:t>
      </w:r>
      <w:r/>
    </w:p>
    <w:p>
      <w:pPr>
        <w:pStyle w:val="ListBullet"/>
      </w:pPr>
      <w:r>
        <w:t>Communication au comptoir : « L'inotuzumab ozogamicine est un anticorps conjugué ciblant le CD22 des cellules de votre leucémie, et délivrant un traitement cytotoxique directement à l'intérieur des cellules tumorales. Il est administré en perfusion IV hebdomadaire pendant 4 cycles maximum. Les effets indésirables les plus fréquents sont une baisse des plaquettes (risque de saignement — signalez tout saignement), une baisse des globules blancs (risque infectieux — fièvre à signaler), des troubles hépatiques (jaunisse à signaler immédiatement — maladie veino-occlusive possible), de la fatigue. Prévenez immédiatement votre médecin en cas d'ictère, de prise de poids rapide, de douleurs du côté droit du ventre, de fièvre, ou de saignement anormal. Une contraception stricte est obligatoire. »</w:t>
      </w:r>
    </w:p>
    <w:p>
      <w:pPr>
        <w:pStyle w:val="ListBullet"/>
      </w:pPr>
      <w:r>
        <w:t>Observance : pesée quotidienne à domicile ; signaler ictère, douleurs abdominales, saignement, fièvre.</w:t>
      </w:r>
    </w:p>
    <w:p>
      <w:pPr>
        <w:pStyle w:val="ListBullet"/>
      </w:pPr>
      <w:r>
        <w:t>Hygiène de vie : alimentation pauvre en graisses (prévention de la stéatose hépatique) ; éviter l'alcool ; éviter les efforts physiques en cas de thrombopénie.</w:t>
      </w:r>
    </w:p>
    <w:p>
      <w:pPr>
        <w:pStyle w:val="ListBullet"/>
      </w:pPr>
      <w:r>
        <w:t>Prophylaxie : prendre scrupuleusement le traitement antifongique, antiviral et antibactérien prescrit.</w:t>
      </w:r>
    </w:p>
    <w:p>
      <w:pPr>
        <w:pStyle w:val="ListBullet"/>
      </w:pPr>
      <w:r>
        <w:t>Femmes et hommes en âge de procréer : double contraception obligatoire pendant et 6 mois après ; conservation de sperme/ovocytes à discuter avant traitement.</w:t>
      </w:r>
    </w:p>
    <w:p>
      <w:r/>
      <w:r>
        <w:rPr>
          <w:b/>
        </w:rPr>
        <w:t>Notes, Règles d'Or &amp; Pièges au Comptoir :</w:t>
      </w:r>
      <w:r/>
    </w:p>
    <w:p>
      <w:pPr>
        <w:pStyle w:val="ListBullet"/>
      </w:pPr>
      <w:r>
        <w:t>Règle d'or : surveiller quotiennement le poids et le bilan hépatique pendant le traitement et 8 semaines après greffe de CSH — la VOD est la toxicité la plus grave et peut survenir jusqu'à 8 semaines après la greffe.</w:t>
      </w:r>
    </w:p>
    <w:p>
      <w:pPr>
        <w:pStyle w:val="ListBullet"/>
      </w:pPr>
      <w:r>
        <w:t>Piège : le risque de VOD est majoré après greffe de CSH allogénique (jusqu'à 25 %) — défibrotide prophylactique à discuter.</w:t>
      </w:r>
    </w:p>
    <w:p>
      <w:pPr>
        <w:pStyle w:val="ListBullet"/>
      </w:pPr>
      <w:r>
        <w:t>Règle : la durée maximale de 4 cycles est liée à l'objectif d'induire une RC permettant la greffe de CSH — ne pas prolonger en l'absence d'objectif de greffe.</w:t>
      </w:r>
    </w:p>
    <w:p>
      <w:pPr>
        <w:pStyle w:val="ListBullet"/>
      </w:pPr>
      <w:r>
        <w:t>Piège : le risque de LEMP (leucoencéphalopathie multifocale progressive) est rare mais à évoquer devant tout symptôme neurologique central nouveau.</w:t>
      </w:r>
    </w:p>
    <w:p>
      <w:pPr>
        <w:pStyle w:val="ListBullet"/>
      </w:pPr>
      <w:r>
        <w:t>Surveillance : attention aux patients sous anticoagulants — risque hémorragique majeur en cas de thrombopénie grade 4.</w:t>
      </w:r>
    </w:p>
    <w:p>
      <w:pPr>
        <w:pStyle w:val="Heading2"/>
      </w:pPr>
      <w:r>
        <w:t>106.4 Sous-classe : AcM Anti-CD20</w:t>
      </w:r>
    </w:p>
    <w:p>
      <w:r>
        <w:t>Le CD20 (MS4A1) est une phosphoprotéine transmembranaire de 33–37 kDa exprimée exclusivement à la surface des lymphocytes B pré-B matures et matures (mais pas des progéniteurs pro-B ni des plasmocytes), codée par le gène MS4A1 sur le chromosome 11q12. Sa fonction physiologique exacte reste partiellement élucidée (rôle possible de canal calcique, régulation de la prolifération et de la différenciation B), mais son expression spécifique et stable en fait une cible idéale pour les AcM thérapeutiques dirigés contre les lymphomes B non hodgkiniens (LNH-B) et la leucémie lymphoïde chronique B (LLC-B). Le rituximab (MabThera, 1997) est le premier AcM anticancéreux ayant obtenu une AMM (FDA novembre 1997, EMA juin 1998), chef de file des AcM anti-CD20, et a transformé la prise en charge des hémopathies lymphoïdes B : association R-CHOP devenue standard de traitement des LNH-B diffus à grandes cellules (survie à 5 ans portée de 50 % à 65 %), association R-CVP pour les LNH-B folliculaires (survie sans progression multipliée par 2,5), association R-FC pour la LLC (survie globale significativement améliorée). Le rituximab est également utilisé dans les LNH-B de Burkitt, les LNH-B du manteau, les LNH-B marginal, les hémopathies lymphoïdes B pédiatriques (en association à la chimiothérapie), et certaines maladies auto-immunes (polyarthrite rhumatoïde, vascularites ANCA-associated) — ces dernières indications relèvent de la rhumatologie/médecine interne et ne sont pas traitées dans ce chapitre oncologique. Le mécanisme d'action du rituximab combine : (i) blocage de la signalisation CD20 (effet antiprolifératif modeste) ; (ii) ADCC puissante via FcγRIIIa (CD16) des cellules NK (polymorphisme K158V influençant l'efficacité) ; (iii) CDC via activation de la cascade classique du complément C1q-C9 (membrane attack complex) — le rituximab est l'AcM anti-CD20 le plus puissant pour la CDC ; (iv) opsonisation et phagocytose par les macrophages ; (v) induction directe de l'apoptose par cross-linking. Les AcM anti-CD20 de 2e génération (ofatumumab, obinutuzumab) ont été développés pour surmonter la résistance au rituximab, mais ne sont pas disponibles dans la nomenclature algérienne actuelle. Le profil de tolérance du rituximab est dominé par les réactions liées à la perfusion (très fréquentes à la première cure en cas de forte masse tumorale, par relargage de cytokines — syndrome de relargage cytokinique pouvant mime un syndrome de lyse tumorale), la myélosuppression (modérée, lymphopénie B prolongée), l'immunodépression humorale (hypogammaglobulinémie, infections bactériennes à germes encapsulés, réactivation virale — notamment VHB avec risque d'hépatite fulminante), et plus rarement les pneumopathies interstitielles, les toxidermies sévères (syndrome de Lyell, syndrome de Stevens-Johnson) et les leucoencéphalopathies multifocales progressives (LEMP — JC virus). La pré-médication systématique (paracétamol, antihistaminique, corticothérapie ± prednisone) et la surveillance de la première perfusion sont obligatoires.</w:t>
      </w:r>
    </w:p>
    <w:p>
      <w:pPr>
        <w:pStyle w:val="Heading3"/>
      </w:pPr>
      <w:r>
        <w:t>106.4.1 DCI : Rituximab (oncologie)</w:t>
      </w:r>
    </w:p>
    <w:p>
      <w:r/>
      <w:r>
        <w:rPr>
          <w:b/>
        </w:rPr>
        <w:t>Liste des Catégories :</w:t>
      </w:r>
      <w:r>
        <w:t xml:space="preserve"> Antinéoplasiques ; Anticorps monoclonal chimérique IgG1κ anti-CD20 ; Thérapie ciblée des hémopathies lymphoïdes B (lymphomes non hodgkiniens B, leucémie lymphoïde chronique) ; Liste I.</w:t>
      </w:r>
    </w:p>
    <w:p>
      <w:r>
        <w:t>Le rituximab (MabThera®, Roche) est un AcM chimérique IgG1κ recombinant murin/humain (~30 % murin pour les régions variables Fab, ~70 % humain pour le Fc et la charpente), dirigé contre l'épitope épito-péptidique du CD20 (large extracellular loop, résidus 170–182). Il a obtenu une AMM FDA en novembre 1997 et EMA en juin 1998, premier AcM anticancéreux commercialisé, ayant transformé la prise en charge des hémopathies lymphoïdes B. Son développement, issu de l'AcM murin 2B8 (IDEC Pharmaceuticals), a été humanisé par génie génétique (technologie des hybridomes chimériques), réduisant l'immunogénicité (HACA, human anti-chimeric antibody) sans l'annuler complètement (10–15 % des patients développent des anticorps anti-rituximab). Le rituximab est indiqué dans les lymphomes non hodgkiniens B (LNH-B) de tous sous-types (diffus à grandes cellules, folliculaire, du manteau, marginal, Burkitt), en association à la chimiothérapie (R-CHOP, R-CVP, R-FC, R-Bendamustine) ou en monothérapie d'entretien, et dans la leucémie lymphoïde chronique B (LLC-B) en association à la chimiothérapie. Il est inscrit sur la liste des médicaments essentiels OMS.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MABTHERA</w:t>
            </w:r>
          </w:p>
        </w:tc>
        <w:tc>
          <w:tcPr>
            <w:tcW w:type="dxa" w:w="1559"/>
          </w:tcPr>
          <w:p>
            <w:r>
              <w:rPr>
                <w:sz w:val="20"/>
              </w:rPr>
              <w:t>ROCHE PHARMA (SCHWEIZ) LTD</w:t>
            </w:r>
          </w:p>
        </w:tc>
        <w:tc>
          <w:tcPr>
            <w:tcW w:type="dxa" w:w="1559"/>
          </w:tcPr>
          <w:p>
            <w:r>
              <w:rPr>
                <w:sz w:val="20"/>
              </w:rPr>
              <w:t>Solution concentrée à diluer pour perfusion IV — 10 mg/mL (100 mg/10 mL et 500 mg/50 mL)</w:t>
            </w:r>
          </w:p>
        </w:tc>
        <w:tc>
          <w:tcPr>
            <w:tcW w:type="dxa" w:w="1559"/>
          </w:tcPr>
          <w:p>
            <w:r>
              <w:rPr>
                <w:sz w:val="20"/>
              </w:rPr>
              <w:t>B/2 flacons 10 mL et B/1 flacon 50 mL</w:t>
            </w:r>
          </w:p>
        </w:tc>
        <w:tc>
          <w:tcPr>
            <w:tcW w:type="dxa" w:w="1559"/>
          </w:tcPr>
          <w:p>
            <w:r>
              <w:rPr>
                <w:sz w:val="20"/>
              </w:rPr>
              <w:t>Liste I</w:t>
            </w:r>
          </w:p>
        </w:tc>
        <w:tc>
          <w:tcPr>
            <w:tcW w:type="dxa" w:w="1559"/>
          </w:tcPr>
          <w:p>
            <w:r>
              <w:rPr>
                <w:sz w:val="20"/>
              </w:rPr>
              <w:t>Actif</w:t>
            </w:r>
          </w:p>
        </w:tc>
      </w:tr>
      <w:tr>
        <w:tc>
          <w:tcPr>
            <w:tcW w:type="dxa" w:w="1559"/>
          </w:tcPr>
          <w:p>
            <w:r>
              <w:rPr>
                <w:sz w:val="20"/>
              </w:rPr>
              <w:t>REDDITUX</w:t>
            </w:r>
          </w:p>
        </w:tc>
        <w:tc>
          <w:tcPr>
            <w:tcW w:type="dxa" w:w="1559"/>
          </w:tcPr>
          <w:p>
            <w:r>
              <w:rPr>
                <w:sz w:val="20"/>
              </w:rPr>
              <w:t>ORION LAB</w:t>
            </w:r>
          </w:p>
        </w:tc>
        <w:tc>
          <w:tcPr>
            <w:tcW w:type="dxa" w:w="1559"/>
          </w:tcPr>
          <w:p>
            <w:r>
              <w:rPr>
                <w:sz w:val="20"/>
              </w:rPr>
              <w:t>Solution concentrée à diluer pour perfusion — 10 mg/mL</w:t>
            </w:r>
          </w:p>
        </w:tc>
        <w:tc>
          <w:tcPr>
            <w:tcW w:type="dxa" w:w="1559"/>
          </w:tcPr>
          <w:p>
            <w:r>
              <w:rPr>
                <w:sz w:val="20"/>
              </w:rPr>
              <w:t>B/1 flacon 10 mL (100 mg/10 mL) et B/1 flacon 50 mL (500 mg/50 mL)</w:t>
            </w:r>
          </w:p>
        </w:tc>
        <w:tc>
          <w:tcPr>
            <w:tcW w:type="dxa" w:w="1559"/>
          </w:tcPr>
          <w:p>
            <w:r>
              <w:rPr>
                <w:sz w:val="20"/>
              </w:rPr>
              <w:t>Liste I</w:t>
            </w:r>
          </w:p>
        </w:tc>
        <w:tc>
          <w:tcPr>
            <w:tcW w:type="dxa" w:w="1559"/>
          </w:tcPr>
          <w:p>
            <w:r>
              <w:rPr>
                <w:sz w:val="20"/>
              </w:rPr>
              <w:t>Actif</w:t>
            </w:r>
          </w:p>
        </w:tc>
      </w:tr>
      <w:tr>
        <w:tc>
          <w:tcPr>
            <w:tcW w:type="dxa" w:w="1559"/>
          </w:tcPr>
          <w:p>
            <w:r>
              <w:rPr>
                <w:sz w:val="20"/>
              </w:rPr>
              <w:t>RITUXIMAB-SAIDAL</w:t>
            </w:r>
          </w:p>
        </w:tc>
        <w:tc>
          <w:tcPr>
            <w:tcW w:type="dxa" w:w="1559"/>
          </w:tcPr>
          <w:p>
            <w:r>
              <w:rPr>
                <w:sz w:val="20"/>
              </w:rPr>
              <w:t>GROUPE SAIDAL</w:t>
            </w:r>
          </w:p>
        </w:tc>
        <w:tc>
          <w:tcPr>
            <w:tcW w:type="dxa" w:w="1559"/>
          </w:tcPr>
          <w:p>
            <w:r>
              <w:rPr>
                <w:sz w:val="20"/>
              </w:rPr>
              <w:t>Solution concentrée à diluer pour perfusion — 10 mg/mL</w:t>
            </w:r>
          </w:p>
        </w:tc>
        <w:tc>
          <w:tcPr>
            <w:tcW w:type="dxa" w:w="1559"/>
          </w:tcPr>
          <w:p>
            <w:r>
              <w:rPr>
                <w:sz w:val="20"/>
              </w:rPr>
              <w:t>B/1 flacon 50 mL (500 mg/50 mL), B/2 flacons 10 mL (100 mg/10 mL)</w:t>
            </w:r>
          </w:p>
        </w:tc>
        <w:tc>
          <w:tcPr>
            <w:tcW w:type="dxa" w:w="1559"/>
          </w:tcPr>
          <w:p>
            <w:r>
              <w:rPr>
                <w:sz w:val="20"/>
              </w:rPr>
              <w:t>Liste I</w:t>
            </w:r>
          </w:p>
        </w:tc>
        <w:tc>
          <w:tcPr>
            <w:tcW w:type="dxa" w:w="1559"/>
          </w:tcPr>
          <w:p>
            <w:r>
              <w:rPr>
                <w:sz w:val="20"/>
              </w:rPr>
              <w:t>Actif</w:t>
            </w:r>
          </w:p>
        </w:tc>
      </w:tr>
      <w:tr>
        <w:tc>
          <w:tcPr>
            <w:tcW w:type="dxa" w:w="1559"/>
          </w:tcPr>
          <w:p>
            <w:r>
              <w:rPr>
                <w:sz w:val="20"/>
              </w:rPr>
              <w:t>RIXATHON</w:t>
            </w:r>
          </w:p>
        </w:tc>
        <w:tc>
          <w:tcPr>
            <w:tcW w:type="dxa" w:w="1559"/>
          </w:tcPr>
          <w:p>
            <w:r>
              <w:rPr>
                <w:sz w:val="20"/>
              </w:rPr>
              <w:t>SANDOZ GMBH AUTRICHE</w:t>
            </w:r>
          </w:p>
        </w:tc>
        <w:tc>
          <w:tcPr>
            <w:tcW w:type="dxa" w:w="1559"/>
          </w:tcPr>
          <w:p>
            <w:r>
              <w:rPr>
                <w:sz w:val="20"/>
              </w:rPr>
              <w:t>Solution concentrée à diluer pour perfusion — 10 mg/mL</w:t>
            </w:r>
          </w:p>
        </w:tc>
        <w:tc>
          <w:tcPr>
            <w:tcW w:type="dxa" w:w="1559"/>
          </w:tcPr>
          <w:p>
            <w:r>
              <w:rPr>
                <w:sz w:val="20"/>
              </w:rPr>
              <w:t>B/2 flacons 10 mL (100 mg/10 mL) et B/1 flacon 50 mL (500 mg/50 mL)</w:t>
            </w:r>
          </w:p>
        </w:tc>
        <w:tc>
          <w:tcPr>
            <w:tcW w:type="dxa" w:w="1559"/>
          </w:tcPr>
          <w:p>
            <w:r>
              <w:rPr>
                <w:sz w:val="20"/>
              </w:rPr>
              <w:t>Liste I</w:t>
            </w:r>
          </w:p>
        </w:tc>
        <w:tc>
          <w:tcPr>
            <w:tcW w:type="dxa" w:w="1559"/>
          </w:tcPr>
          <w:p>
            <w:r>
              <w:rPr>
                <w:sz w:val="20"/>
              </w:rPr>
              <w:t>Actif</w:t>
            </w:r>
          </w:p>
        </w:tc>
      </w:tr>
      <w:tr>
        <w:tc>
          <w:tcPr>
            <w:tcW w:type="dxa" w:w="1559"/>
          </w:tcPr>
          <w:p>
            <w:r>
              <w:rPr>
                <w:sz w:val="20"/>
              </w:rPr>
              <w:t>RUXIENCE</w:t>
            </w:r>
          </w:p>
        </w:tc>
        <w:tc>
          <w:tcPr>
            <w:tcW w:type="dxa" w:w="1559"/>
          </w:tcPr>
          <w:p>
            <w:r>
              <w:rPr>
                <w:sz w:val="20"/>
              </w:rPr>
              <w:t>PFIZER EUROPE MA EEIG</w:t>
            </w:r>
          </w:p>
        </w:tc>
        <w:tc>
          <w:tcPr>
            <w:tcW w:type="dxa" w:w="1559"/>
          </w:tcPr>
          <w:p>
            <w:r>
              <w:rPr>
                <w:sz w:val="20"/>
              </w:rPr>
              <w:t>Solution concentrée à diluer pour perfusion — 10 mg/mL</w:t>
            </w:r>
          </w:p>
        </w:tc>
        <w:tc>
          <w:tcPr>
            <w:tcW w:type="dxa" w:w="1559"/>
          </w:tcPr>
          <w:p>
            <w:r>
              <w:rPr>
                <w:sz w:val="20"/>
              </w:rPr>
              <w:t>B/1 flacon 10 mL (100 mg/10 mL) et B/1 flacon 50 mL (500 mg/50 mL)</w:t>
            </w:r>
          </w:p>
        </w:tc>
        <w:tc>
          <w:tcPr>
            <w:tcW w:type="dxa" w:w="1559"/>
          </w:tcPr>
          <w:p>
            <w:r>
              <w:rPr>
                <w:sz w:val="20"/>
              </w:rPr>
              <w:t>Liste I</w:t>
            </w:r>
          </w:p>
        </w:tc>
        <w:tc>
          <w:tcPr>
            <w:tcW w:type="dxa" w:w="1559"/>
          </w:tcPr>
          <w:p>
            <w:r>
              <w:rPr>
                <w:sz w:val="20"/>
              </w:rPr>
              <w:t>Actif</w:t>
            </w:r>
          </w:p>
        </w:tc>
      </w:tr>
      <w:tr>
        <w:tc>
          <w:tcPr>
            <w:tcW w:type="dxa" w:w="1559"/>
          </w:tcPr>
          <w:p>
            <w:r>
              <w:rPr>
                <w:sz w:val="20"/>
              </w:rPr>
              <w:t>TRUXIMA</w:t>
            </w:r>
          </w:p>
        </w:tc>
        <w:tc>
          <w:tcPr>
            <w:tcW w:type="dxa" w:w="1559"/>
          </w:tcPr>
          <w:p>
            <w:r>
              <w:rPr>
                <w:sz w:val="20"/>
              </w:rPr>
              <w:t>HIKMA PHARMA ALGERIA</w:t>
            </w:r>
          </w:p>
        </w:tc>
        <w:tc>
          <w:tcPr>
            <w:tcW w:type="dxa" w:w="1559"/>
          </w:tcPr>
          <w:p>
            <w:r>
              <w:rPr>
                <w:sz w:val="20"/>
              </w:rPr>
              <w:t>Solution concentrée à diluer pour perfusion — 10 mg/mL</w:t>
            </w:r>
          </w:p>
        </w:tc>
        <w:tc>
          <w:tcPr>
            <w:tcW w:type="dxa" w:w="1559"/>
          </w:tcPr>
          <w:p>
            <w:r>
              <w:rPr>
                <w:sz w:val="20"/>
              </w:rPr>
              <w:t>B/1 flacon 50 mL (500 mg/50 mL) et B/2 flacons 10 mL (100 mg/10 mL)</w:t>
            </w:r>
          </w:p>
        </w:tc>
        <w:tc>
          <w:tcPr>
            <w:tcW w:type="dxa" w:w="1559"/>
          </w:tcPr>
          <w:p>
            <w:r>
              <w:rPr>
                <w:sz w:val="20"/>
              </w:rPr>
              <w:t>Liste I</w:t>
            </w:r>
          </w:p>
        </w:tc>
        <w:tc>
          <w:tcPr>
            <w:tcW w:type="dxa" w:w="1559"/>
          </w:tcPr>
          <w:p>
            <w:r>
              <w:rPr>
                <w:sz w:val="20"/>
              </w:rPr>
              <w:t>Actif</w:t>
            </w:r>
          </w:p>
        </w:tc>
      </w:tr>
      <w:tr>
        <w:tc>
          <w:tcPr>
            <w:tcW w:type="dxa" w:w="1559"/>
          </w:tcPr>
          <w:p>
            <w:r>
              <w:rPr>
                <w:sz w:val="20"/>
              </w:rPr>
              <w:t>KIKUZUBAM (R)</w:t>
            </w:r>
          </w:p>
        </w:tc>
        <w:tc>
          <w:tcPr>
            <w:tcW w:type="dxa" w:w="1559"/>
          </w:tcPr>
          <w:p>
            <w:r>
              <w:rPr>
                <w:sz w:val="20"/>
              </w:rPr>
              <w:t>PHARMAGHREB</w:t>
            </w:r>
          </w:p>
        </w:tc>
        <w:tc>
          <w:tcPr>
            <w:tcW w:type="dxa" w:w="1559"/>
          </w:tcPr>
          <w:p>
            <w:r>
              <w:rPr>
                <w:sz w:val="20"/>
              </w:rPr>
              <w:t>Solution à diluer pour perfusion IV — 10 mg/mL (100 mg/10 mL et 500 mg/50 mL)</w:t>
            </w:r>
          </w:p>
        </w:tc>
        <w:tc>
          <w:tcPr>
            <w:tcW w:type="dxa" w:w="1559"/>
          </w:tcPr>
          <w:p>
            <w:r>
              <w:rPr>
                <w:sz w:val="20"/>
              </w:rPr>
              <w:t>B/2 flacons 10 mL et B/1 flacon 50 mL</w:t>
            </w:r>
          </w:p>
        </w:tc>
        <w:tc>
          <w:tcPr>
            <w:tcW w:type="dxa" w:w="1559"/>
          </w:tcPr>
          <w:p>
            <w:r>
              <w:rPr>
                <w:sz w:val="20"/>
              </w:rPr>
              <w:t>Liste I</w:t>
            </w:r>
          </w:p>
        </w:tc>
        <w:tc>
          <w:tcPr>
            <w:tcW w:type="dxa" w:w="1559"/>
          </w:tcPr>
          <w:p>
            <w:r>
              <w:rPr>
                <w:sz w:val="20"/>
              </w:rPr>
              <w:t>Retrait</w:t>
            </w:r>
          </w:p>
        </w:tc>
      </w:tr>
    </w:tbl>
    <w:p/>
    <w:p>
      <w:r>
        <w:t>Le rituximab est délivré en Algérie via le circuit hospitalier spécialisé en hématologie clinique et oncologie médicale. La spécialité princeps MabThera (Roche) coexiste avec plusieurs biosimilaires : Rixathon (Sandoz), Ruxience (Pfizer), Truxima (Hikma), Redditux (Orion), Rituximab-Saidal (Saidal). La spécialité Kikuzubam (Pharmaghreb) a été retirée du marché algérien. Les dosages à 100 mg/10 mL et 500 mg/50 mL (10 mg/mL) permettent l'adaptation pondérale (375 mg/m² en LNH, 375 mg/m² à 500 mg/m² en LLC).</w:t>
      </w:r>
    </w:p>
    <w:p>
      <w:r/>
      <w:r>
        <w:rPr>
          <w:b/>
        </w:rPr>
        <w:t>Sous-classe et Mécanisme d'action :</w:t>
      </w:r>
      <w:r/>
    </w:p>
    <w:p>
      <w:pPr>
        <w:pStyle w:val="ListBullet"/>
      </w:pPr>
      <w:r>
        <w:t>Sous-classe : AcM chimérique IgG1κ anti-CD20 (large extracellular loop, résidus 170–182), chef de file des AcM anti-CD20. DCI inscrite sur la liste des médicaments essentiels OMS.</w:t>
      </w:r>
    </w:p>
    <w:p>
      <w:pPr>
        <w:pStyle w:val="ListBullet"/>
      </w:pPr>
      <w:r>
        <w:t>Mécanisme d'action : pléiotropique. (i) Blocage du CD20 avec effet antiprolifératif modeste (arrêt du cycle en phase G0/G1). (ii) ADCC puissante via la liaison du domaine Fc du rituximab au récepteur FcγRIIIa (CD16) des cellules NK, libération de perforine/granzymes et lyse des lymphocytes B tumoraux. Le polymorphisme FcγRIIIa-158V/V (vs 158F/F) est associé à une meilleure ADCC et une meilleure réponse clinique. (iii) CDC via activation de la cascade classique du complément C1q-C9 (membrane attack complex) — le rituximab est l'AcM anti-CD20 le plus puissant pour la CDC, mais cette propriété explique aussi son profil de tolérance (cytokine release syndrome à la première cure). (iv) Opsonisation et phagocytose par les macrophages (phagocytose Fc-dépendante). (v) Induction directe de l'apoptose par cross-linking du CD20. L'effet cytotoxique combiné entraîne la déplétion rapide des lymphocytes B circulants et tissulaires (sang, moelle, ganglions, rate) pendant 6–12 mois (récupération B à 9–12 mois).</w:t>
      </w:r>
    </w:p>
    <w:p>
      <w:r/>
      <w:r>
        <w:rPr>
          <w:b/>
        </w:rPr>
        <w:t>Profil Pharmacologique :</w:t>
      </w:r>
      <w:r/>
    </w:p>
    <w:p>
      <w:pPr>
        <w:pStyle w:val="ListBullet"/>
      </w:pPr>
      <w:r>
        <w:t>Indications : (1) Lymphome non hodgkinien B (LNH-B) diffus à grandes cellules (DLBCL) en association à la chimiothérapie (R-CHOP — standard de première ligne, schéma « 6 × R-CHOP21 ») ; en entretien en cas de réponse partielle. (2) LNH-B folliculaire (FL) en association à la chimiothérapie (R-CVP, R-CHOP, R-bendamustine) ou en monothérapie ; en entretien pendant 2 ans (schéma PRIMA). (3) LNH-B du manteau en association à la chimiothérapie (R-CHOP, R-hyperCVAD) ou en entretien. (4) LNH-B marginal en monothérapie ou en association. (5) LNH-B de Burkitt en association à la chimiothérapie intensive (schémas CODOX-M/IVAC, R-CODOX-M). (6) Leucémie lymphoïde chronique B (LLC-B) en association à la chimiothérapie (R-FC — fludarabine + cyclophosphamide, ou R-Bendamustine) ; en monothérapie chez les patients fragiles. (7) Macroglobulinémie de Waldenström en monothérapie ou en association (schéma R-DRC). (8) Indication rhumatologique/auto-immune (polyarthrite rhumatoïde, vascularites ANCA) — non traitée ici.</w:t>
      </w:r>
    </w:p>
    <w:p>
      <w:pPr>
        <w:pStyle w:val="ListBullet"/>
      </w:pPr>
      <w:r>
        <w:t>Contre-indications : Hypersensibilité au rituximab, aux protéines murines ou à l'un des excipients. Infection active sévère non contrôlée. Tuberculose évolutive. Grossesse (CI relative). Vaccin vivant récent (&lt; 4 semaines). Précautions : forte masse tumorale (risque de syndrome de lyse tumorale et de cytokine release syndrome à la première cure), insuffisance cardiaque sévère, antécédents de VHB (risque de réactivation fulminante), thrombopénie &lt; 75 G/L, neutropénie &lt; 1,5 G/L, âge &gt; 75 ans.</w:t>
      </w:r>
    </w:p>
    <w:p>
      <w:pPr>
        <w:pStyle w:val="ListBullet"/>
      </w:pPr>
      <w:r>
        <w:t>Effets Indésirables : Très fréquents (&gt; 10 %) : réactions liées à la perfusion (RLP) à la première cure (50–80 % — frissons, fièvre, nausées, vomissements, céphalées, prurit, rash, hypotension, bronchospasme, parfois angioedème — généralement grade 1–2, parfois grade 3–4 dans 5–10 % surtout en cas de forte masse tumorale), infection (30–50 % — bactérienne, virale, fongique), lymphopénie B (100 % — déplétion durable 6–12 mois), fatigue, nausées, céphalées. Fréquents (1–10 %) : neutropénie (souvent tardive, 4–12 semaines après la dernière cure), thrombopénie, anémie, hypogammaglobulinémie (surtout après traitement prolongé), réactivation virale (VHB, VZV, CMV, EBV, JC virus), pneumopathie interstitielle, hépatotoxicité, rash, prurit, arthralgies, myalgies. Peu fréquents (0,1–1 %) : syndrome de lyse tumorale (en cas de forte masse tumorale), réaction cytokinique sévère (détresse respiratoire aiguë), insuffisance cardiaque, arythmies, angine de poitrine, syndrome de Lyell, syndrome de Stevens-Johnson, leucoencéphalopathie multifocale progressive (LEMP — rare, à évoquer devant des symptômes neurologiques centraux nouveaux), réactivation VHB fulminante (parfois mortelle), cytopénie retardée (3–4 semaines après cure), hypogammaglobulinémie sévère. Rares (&lt; 0,1 %) : anaphylaxie, choc cytokinique létal, hémorragie pulmonaire, insuffisance rénale (en cas de syndrome de lyse), perforation digestive (en cas de lymphome digestif sous-jacent).</w:t>
      </w:r>
    </w:p>
    <w:p>
      <w:r/>
      <w:r>
        <w:rPr>
          <w:b/>
        </w:rPr>
        <w:t>Prévention et Gestion des Effets Indésirables :</w:t>
      </w:r>
      <w:r/>
    </w:p>
    <w:p>
      <w:pPr>
        <w:pStyle w:val="ListBullet"/>
      </w:pPr>
      <w:r>
        <w:t>Mesures Préventives : Dépistage systématique VHB (AgHBs, Ac anti-HBs, Ac anti-HBc) avant initiation — prophylaxie antivirale (entécavir 0,5 mg/j ou ténofovir 300 mg/j) obligatoire en cas d'AgHBs+ ou d'Ac anti-HBc+ (réactivation VHB), à poursuivre 12–18 mois après la dernière cure. Dépistage VHC, VIH. Dépistage tuberculose ( IDR à la tuberculine ou IGRA Quantiferon). NFS-plaquettes, bilan hépatique, LDH, urée, créatinine, uricémie avant initiation. Évaluation de la masse tumorale (scanner TAP, PET-scan). Pré-médication systématique avant chaque cure (surtout la première) : paracétamol 1 g per os 30 min avant, dexchlorphéniramine 5 mg IV, hydrocortisone 100 mg IV (méthylprednisolone 40 mg IV) ; pour la LLC et les LNH-B à forte masse tumorale : débuter à dose réduite (50 mg/m² J1, puis 150 mg/m² J2, puis dose pleine J3). Hydratation IV préalable (500 mL NaCl 0,9 %). Surveillance ECG, TA, SpO2 pendant toute la perfusion (surtout la première). Prophylaxie antipneumocystose (cotrimoxazole 400/80 mg 3×/semaine) pendant et 6 mois après traitement. Vaccination antipneumococcique (conjuguée 13-valente + polysaccharidique 23-valente) avant traitement, et antigrippale annuelle.</w:t>
      </w:r>
    </w:p>
    <w:p>
      <w:pPr>
        <w:pStyle w:val="ListBullet"/>
      </w:pPr>
      <w:r>
        <w:t>Conduite à Tenir : RLP grade 1–2 : ralentissement ou arrêt transitoire de la perfusion, antihistaminique IV, paracétamol, reprise à débit réduit de moitié. RLP grade 3–4 (hypotension, bronchospasme, hypoxie, angioedème) : arrêt immédiat, hydrocortisone 200 mg IV, antihistaminique IV, O2, adrénaline 0,3 mg IM si choc anaphylactique, surveillance USIC, décision d'arrêt définitif ou de switch vers un autre anti-CD20. Pour la LLC et les LNH-B à forte masse tumorale : schéma d'escalade de dose (J1 50 mg/m², J2 150 mg/m², J3 dose pleine). Syndrome de lyse tumorale : hyperhydratation alcaline, rasburicase 0,2 mg/kg, surveillance ionogramme et uricémie toutes les 6 heures. Réactivation VHB : arrêt transitoire, traitement antiviral urgent (entécavir), hépatologue. Pneumopathie interstitielle : arrêt, corticothérapie 1 mg/kg/j, antibiothérapie large spectre. LEMP : arrêt immédiat, IRM cérébrale, ponction lombaire PCR JC virus — pas de traitement spécifique validé (mirtazapine, méfloquine à discuter).</w:t>
      </w:r>
    </w:p>
    <w:p>
      <w:r/>
      <w:r>
        <w:rPr>
          <w:b/>
        </w:rPr>
        <w:t>Interactions Médicamenteuses :</w:t>
      </w:r>
      <w:r/>
    </w:p>
    <w:p>
      <w:pPr>
        <w:pStyle w:val="ListBullet"/>
      </w:pPr>
      <w:r>
        <w:t>Chimiothérapie associée (cyclophosphamide, doxorubicine, vincristine, prednisone — R-CHOP ; fludarabine, cyclophosphamide — R-FC ; bendamustine — R-bendamustine) : synergie d'efficacité, surveillance de la tolérance hématologique (potentialisation de la myélosuppression).</w:t>
      </w:r>
    </w:p>
    <w:p>
      <w:pPr>
        <w:pStyle w:val="ListBullet"/>
      </w:pPr>
      <w:r>
        <w:t>Vaccins vivants (BCG, fièvre jaune, ROR, varicelle, zona) : CONTRE-INDICATION pendant le traitement et 6 mois après (immunosuppression, risque de maladie vaccinale). Vaccins inactivés (grippe, pneumocoque, COVID-19) autorisés mais réponse immunitaire souvent atténuée (administrer avant initiation si possible).</w:t>
      </w:r>
    </w:p>
    <w:p>
      <w:pPr>
        <w:pStyle w:val="ListBullet"/>
      </w:pPr>
      <w:r>
        <w:t>Anticoagulants et antiagrégants : risque hémorragique majoré en cas de thrombopénie.</w:t>
      </w:r>
    </w:p>
    <w:p>
      <w:pPr>
        <w:pStyle w:val="ListBullet"/>
      </w:pPr>
      <w:r>
        <w:t>Médicaments allongeant le QT : surveillance ECG (risque additif avec hypokaliémie, hypomagnésémie).</w:t>
      </w:r>
    </w:p>
    <w:p>
      <w:pPr>
        <w:pStyle w:val="ListBullet"/>
      </w:pPr>
      <w:r>
        <w:t>Pas d'interaction avec le CYP450 (AcM).</w:t>
      </w:r>
    </w:p>
    <w:p>
      <w:pPr>
        <w:pStyle w:val="ListBullet"/>
      </w:pPr>
      <w:r>
        <w:t>Médicaments néphrotoxiques (AINS, inhibiteurs de l'enzyme de conversion, diurétiques) : surveillance de la fonction rénale en cas de syndrome de lyse tumorale associé.</w:t>
      </w:r>
    </w:p>
    <w:p>
      <w:r/>
      <w:r>
        <w:rPr>
          <w:b/>
        </w:rPr>
        <w:t>Grossesse et Allaitement :</w:t>
      </w:r>
      <w:r/>
    </w:p>
    <w:p>
      <w:pPr>
        <w:pStyle w:val="ListBullet"/>
      </w:pPr>
      <w:r>
        <w:t>Grossesse : ÉVITER. Données animales : toxicité embryo-fœtale (déplétion lymphocytaire B fœtale, lymphopénie B néonatale) chez le singe à exposition comparable à l'humain ; pas de tératogénicité directe documentée mais le rituximab traverse la barrière placentaire via FcRn à partir du 2e trimestre, exposant le fœtus à une déplétion lymphocytaire B néonatale (à surveiller à la naissance). Données humaines limitées : registres de grossesses (Roche) suggérant un risque majoré d'infections néonatales et de cytopénies (B, hématopoïèse). Contraception obligatoire pendant le traitement et 12 mois après (femme ; partenaire masculin : 6 mois). Chez une patiente enceinte nécessitant un traitement : évaluation multidisciplinaire (hématologue-gynéco-obstétricienne), préférence pour la chimiothérapie classique (possible au 2e trimestre), report du rituximab au 3e trimestre ou au post-partum.</w:t>
      </w:r>
    </w:p>
    <w:p>
      <w:pPr>
        <w:pStyle w:val="ListBullet"/>
      </w:pPr>
      <w:r>
        <w:t>Allaitement : CONTRE-INDICATION ABSOLUE pendant le traitement et 12 mois après (passage massif dans le lait via FcRn, immunosuppression néonatale).</w:t>
      </w:r>
    </w:p>
    <w:p>
      <w:pPr>
        <w:pStyle w:val="ListBullet"/>
      </w:pPr>
      <w:r>
        <w:t>Fertilité : pas d'effet direct documenté ; la maladie hématologique et la chimiothérapie associée peuvent altérer la fertilité. Conservation de sperme, ovocytes ou tissu ovarien à proposer avant traitement.</w:t>
      </w:r>
    </w:p>
    <w:p>
      <w:r/>
      <w:r>
        <w:rPr>
          <w:b/>
        </w:rPr>
        <w:t>Posologie et Mode d'administration (Standard) :</w:t>
      </w:r>
      <w:r/>
    </w:p>
    <w:p>
      <w:pPr>
        <w:pStyle w:val="ListBullet"/>
      </w:pPr>
      <w:r>
        <w:t>Adulte (LNH-B) : 375 mg/m² IV en perfusion à J1 de chaque cycle de chimiothérapie (R-CHOP21, R-CVP21, R-bendamustine), pendant 6–8 cycles. En monothérapie d'entretien (LNH-B folliculaire) : 375 mg/m² toutes les 8 semaines pendant 2 ans (schéma PRIMA, 12 cures d'entretien).</w:t>
      </w:r>
    </w:p>
    <w:p>
      <w:pPr>
        <w:pStyle w:val="ListBullet"/>
      </w:pPr>
      <w:r>
        <w:t>Adulte (LLC-B) : 375 mg/m² à J1 du cycle 1 (à dose réduite 50 mg/m² si lymphocytose &gt; 25 G/L ou masse tumorale élevée — risque de cytokine release syndrome), puis 500 mg/m² aux cycles suivants (J1 des cycles 2–6), en association à la fludarabine + cyclophosphamide (R-FC) ou bendamustine (R-B).</w:t>
      </w:r>
    </w:p>
    <w:p>
      <w:pPr>
        <w:pStyle w:val="ListBullet"/>
      </w:pPr>
      <w:r>
        <w:t>Mode d'administration : perfusion IV stricte dans 500 mL NaCl 0,9 % ou G5 % (à la différence des autres AcM, le rituximab tolère le glucose). Débit initial : 50 mg/h pour la première heure, puis augmentation progressive par paliers de 50 mg/h toutes les 30 min jusqu'à 400 mg/h maximum. En cas de tolérance bonne à la première cure, perfusions ultérieures débutées à 100 mg/h, paliers jusqu'à 400 mg/h. Tubing dédié, filtre de 0,22 μm non requis (à la différence du T-DM1).</w:t>
      </w:r>
    </w:p>
    <w:p>
      <w:pPr>
        <w:pStyle w:val="ListBullet"/>
      </w:pPr>
      <w:r>
        <w:t>Insuffisance hépatique : pas d'adaptation (métabolisme protidique).</w:t>
      </w:r>
    </w:p>
    <w:p>
      <w:pPr>
        <w:pStyle w:val="ListBullet"/>
      </w:pPr>
      <w:r>
        <w:t>Insuffisance rénale : pas d'adaptation.</w:t>
      </w:r>
    </w:p>
    <w:p>
      <w:pPr>
        <w:pStyle w:val="ListBullet"/>
      </w:pPr>
      <w:r>
        <w:t>Sujet âgé : pas d'adaptation posologique, mais surveillance accrue (tolérance hématologique, infectieuse).</w:t>
      </w:r>
    </w:p>
    <w:p>
      <w:r/>
      <w:r>
        <w:rPr>
          <w:b/>
        </w:rPr>
        <w:t>Surveillance Biologique et Suivi Clinique :</w:t>
      </w:r>
      <w:r/>
    </w:p>
    <w:p>
      <w:pPr>
        <w:pStyle w:val="ListBullet"/>
      </w:pPr>
      <w:r>
        <w:t>Hématologique : NFS-plaquettes avant chaque cycle et hebdomadaire pendant le traitement (cytopénie retardée possible 3–4 semaines après cure) ; surveillance prolongée 6–12 mois après la dernière cure (lymphopénie B durable).</w:t>
      </w:r>
    </w:p>
    <w:p>
      <w:pPr>
        <w:pStyle w:val="ListBullet"/>
      </w:pPr>
      <w:r>
        <w:t>Hépatique : ALAT, ASAT, bilirubine, PAL, γ-GT avant chaque cycle ; surveillance VHB (AgHBs, ADN-VHB PCR mensuel) pendant et 12 mois après traitement en cas d'Ac anti-HBc+.</w:t>
      </w:r>
    </w:p>
    <w:p>
      <w:pPr>
        <w:pStyle w:val="ListBullet"/>
      </w:pPr>
      <w:r>
        <w:t>Infectiologie : sérologies VHB, VHC, VIH avant initiation ; prophylaxie antipneumocystose pendant et 6 mois après ; prophylaxie antivirale VHB (entécavir ou ténofovir) 12–18 mois si patient à risque ; surveillance clinique (toux, fièvre, dyspnée pour LEMP).</w:t>
      </w:r>
    </w:p>
    <w:p>
      <w:pPr>
        <w:pStyle w:val="ListBullet"/>
      </w:pPr>
      <w:r>
        <w:t>Immunologique : électrophorèse des protéines sériques (IgG, IgA, IgM) tous les 3 mois (hypogammaglobulinémie, substitution par IgIV si IgG &lt; 4 g/L et infections récurrentes).</w:t>
      </w:r>
    </w:p>
    <w:p>
      <w:pPr>
        <w:pStyle w:val="ListBullet"/>
      </w:pPr>
      <w:r>
        <w:t>Clinique : poids, TA, SpO2 pendant la perfusion (surtout la première) ; examen ganglionnaire à chaque consultation ; fièvre (neutropénie fébrile) ; ictère (réactivation VHB) ; symptômes neurologiques (LEMP).</w:t>
      </w:r>
    </w:p>
    <w:p>
      <w:pPr>
        <w:pStyle w:val="ListBullet"/>
      </w:pPr>
      <w:r>
        <w:t>Suivi carcinologique : scanner TAP et PET-scan avant traitement, à mi-cot, en fin de traitement, puis tous les 3–6 mois pendant 2 ans.</w:t>
      </w:r>
    </w:p>
    <w:p>
      <w:r/>
      <w:r>
        <w:rPr>
          <w:b/>
        </w:rPr>
        <w:t>Arbitrage et Bénéfices des Formes Galéniques :</w:t>
      </w:r>
      <w:r/>
    </w:p>
    <w:p>
      <w:r>
        <w:t>Le rituximab est disponible en forme IV (10 mg/mL, flacons de 100 mg/10 mL et 500 mg/50 mL). La spécialité princeps MabThera (Roche) coexiste avec 5 biosimilaires (Rixathon, Ruxience, Truxima, Redditux, Rituximab-Saidal) qui présentent une équivalence pharmacocinétique, efficacité et tolérance démontrées par les études pivot de phase III, et sont substituables à l'initiation du traitement (recommandation ANSM, EMA). Le choix du biosimilaire repose sur les considerations économiques et les accords d'établissement. La spécialité Kikuzubam (Pharmaghreb) a été retirée du marché algérien (raisons industrielles, non liées à un problème de tolérance). La forme sous-cutanée MabThera SC (1400 mg/11,7 mL ou 1600 mg/13,4 mL, en 5–8 min SC) n'est pas disponible dans la nomenclature algérienne actuelle.</w:t>
      </w:r>
    </w:p>
    <w:p>
      <w:r/>
      <w:r>
        <w:rPr>
          <w:b/>
        </w:rPr>
        <w:t>Instructions et Conseils au Patient :</w:t>
      </w:r>
      <w:r/>
    </w:p>
    <w:p>
      <w:pPr>
        <w:pStyle w:val="ListBullet"/>
      </w:pPr>
      <w:r>
        <w:t>Communication au comptoir : « Le rituximab est un anticorps monoclonal qui cible les lymphocytes B porteurs de votre hémopathie. Il est administré en perfusion IV à l'hôpital, généralement en association à une chimiothérapie. Les effets indésirables les plus fréquents sont des réactions pendant la perfusion (frissons, fièvre, nausées — surtout à la première cure), une baisse des globules blancs (risque infectieux — fièvre à signaler), une fatigue. Prévenez immédiatement votre médecin en cas de fièvre, d'ictère, d'essoufflement, de troubles neurologiques (LEMP), ou de saignement anormal. Une vaccination antipneumococcique et antigrippale est recommandée. Le traitement antiviral (VHB) et antipneumocystose doit être pris scrupuleusement. Une contraception stricte est obligatoire pendant et 12 mois après. »</w:t>
      </w:r>
    </w:p>
    <w:p>
      <w:pPr>
        <w:pStyle w:val="ListBullet"/>
      </w:pPr>
      <w:r>
        <w:t>Observance : prendre scrupuleusement la prophylaxie antivirale (entécavir/ténofovir) et antipneumocystose (cotrimoxazole) prescrite ; signaler tout symptôme infectieux (fièvre, toux, dyspnée), ictère, troubles neurologiques.</w:t>
      </w:r>
    </w:p>
    <w:p>
      <w:pPr>
        <w:pStyle w:val="ListBullet"/>
      </w:pPr>
      <w:r>
        <w:t>Hygiène de vie : éviter les contacts avec personnes malades ; éviter les vaccins vivants ; alimentation équilibrée.</w:t>
      </w:r>
    </w:p>
    <w:p>
      <w:pPr>
        <w:pStyle w:val="ListBullet"/>
      </w:pPr>
      <w:r>
        <w:t>Femmes en âge de procréer : double contraception obligatoire pendant et 12 mois après.</w:t>
      </w:r>
    </w:p>
    <w:p>
      <w:pPr>
        <w:pStyle w:val="ListBullet"/>
      </w:pPr>
      <w:r>
        <w:t>Vaccins : vaccination antipneumococcique et antigrippale avant traitement (à défaut pendant, en dehors des cures).</w:t>
      </w:r>
    </w:p>
    <w:p>
      <w:r/>
      <w:r>
        <w:rPr>
          <w:b/>
        </w:rPr>
        <w:t>Notes, Règles d'Or &amp; Pièges au Comptoir :</w:t>
      </w:r>
      <w:r/>
    </w:p>
    <w:p>
      <w:pPr>
        <w:pStyle w:val="ListBullet"/>
      </w:pPr>
      <w:r>
        <w:t>Règle d'or : dépistage systématique du VHB (AgHBs, Ac anti-HBc) avant initiation — la réactivation VHB sous rituximab peut être fulminante et fatale.</w:t>
      </w:r>
    </w:p>
    <w:p>
      <w:pPr>
        <w:pStyle w:val="ListBullet"/>
      </w:pPr>
      <w:r>
        <w:t>Piège : les RLP à la première cure sont très fréquentes (50–80 %) et parfois sévères en cas de forte masse tumorale ou de LLC à hyperleucocytose — schéma d'escalade de dose (50 → 150 → 375 mg/m²) systématique dans ces situations.</w:t>
      </w:r>
    </w:p>
    <w:p>
      <w:pPr>
        <w:pStyle w:val="ListBullet"/>
      </w:pPr>
      <w:r>
        <w:t>Règle : pré-médication systématique (paracétamol, antihistaminique, corticothérapie) et surveillance rapprochée de la première perfusion (TA, SpO2).</w:t>
      </w:r>
    </w:p>
    <w:p>
      <w:pPr>
        <w:pStyle w:val="ListBullet"/>
      </w:pPr>
      <w:r>
        <w:t>Piège : la lymphopénie B et l'hypogammaglobulinémie peuvent persister 12 mois après la dernière cure — surveillance infectieuse prolongée, substitution en IgIV si infections récurrentes.</w:t>
      </w:r>
    </w:p>
    <w:p>
      <w:pPr>
        <w:pStyle w:val="ListBullet"/>
      </w:pPr>
      <w:r>
        <w:t>Surveillance : attention aux patients sous anticoagulants — risque hémorragique en cas de thrombopénie.</w:t>
      </w:r>
    </w:p>
    <w:p>
      <w:pPr>
        <w:pStyle w:val="ListBullet"/>
      </w:pPr>
      <w:r>
        <w:t>Règle : ne pas substituer un biosimilaire en cours de traitement sans avis spécialisé (sauf cas particulier de rupture d'approvisionnement).</w:t>
      </w:r>
    </w:p>
    <w:p>
      <w:pPr>
        <w:pStyle w:val="ListBullet"/>
      </w:pPr>
      <w:r>
        <w:t>Piège : le LEMP est rare mais à évoquer devant tout symptôme neurologique central nouveau (troubles visuels, faiblesse, troubles cognitifs) — IRM urgente, PCR JC virus.</w:t>
      </w:r>
    </w:p>
    <w:p>
      <w:pPr>
        <w:pStyle w:val="Heading2"/>
      </w:pPr>
      <w:r>
        <w:t>106.5 Sous-classe : AcM Anti-EGFR</w:t>
      </w:r>
    </w:p>
    <w:p>
      <w:r>
        <w:t>Le récepteur de l'epidermal growth factor (EGFR, ERBB1, HER1, codé par le gène ERBB1 sur le chromosome 7p11.2) est un récepteur transmembranaire à activité tyrosine kinase de la superfamille ErbB, activé par la liaison de ligands (EGF, TGF-α, amphiréguline, HB-EGF, bêtacelluline, épiréguline) induisant la dimérisation (homo- ou hétérodimérisation avec HER2, HER3, HER4) et la trans-autophosphorylation des domaines intracellulaires, déclenchant les voies de signalisation RAS-RAF-MAPK/ERK (prolifération, différenciation), PI3K-AKT-mTOR (survie), JAK-STAT (transcription) et PLCγ-PKC (migration). EGFR est surexprimé dans de nombreuses tumeurs épithéliales : cancer colorectal (CCR) 60–80 %, cancer ORL (cavum, oropharynx, larynx) 80–90 %, cancer du poumon non à petites cellules (CBNPC) 40–60 % (surtout adénocarcinomes), cancer du pancréas 60–80 %, cancer du sein triple-négatif 50–70 %. Les AcM anti-EGFR (cetuximab, panitumumab) ciblent le domaine III extracellulaire de l'EGFR, en compétition avec les ligands naturels, bloquent la dimérisation et la phosphorylation, et induisent l'internalisation et la dégradation du récepteur. Ils exercent également une ADCC (pour le cetuximab, IgG1 — mais pas pour le panitumumab, IgG2 qui a une ADCC faible). Les AcM anti-EGFR sont indiqués dans le cancer colorectal métastatique wild-type RAS (KRAS et NRAS exons 2, 3, 4 — la recherche de mutations RAS est OBLIGATOIRE avant initiation, les mutations RAS prédisant une absence d'efficacité et une majoration de la toxicité), en association à la chimiothérapie (FOLFIRI, FOLFOX) ou en monothérapie après échec ; dans le cancer ORL avancé en association à la chimiothérapie (schéma EXTREME) ou à la radiothérapie (schéma Bonner) ; dans le CBNPC EGFR-muté en cours d'évaluation (mais ITK EGFR préférés en 1re ligne). Le profil de tolérance est dominé par la toxicité cutanée (rash acnéiforme folliculaire chez 80–90 % des patients, parfois sévère grade 3–4 dans 10–15 %, prédictif de l'efficacité — effet pharmacodynamique), la diarrhée, l'hypomagnésémie, les réactions liées à la perfusion (surtout cetuximab, chimérique), et plus rarement les pneumopathies interstitielles.</w:t>
      </w:r>
    </w:p>
    <w:p>
      <w:pPr>
        <w:pStyle w:val="Heading3"/>
      </w:pPr>
      <w:r>
        <w:t>106.5.1 DCI : Cetuximab</w:t>
      </w:r>
    </w:p>
    <w:p>
      <w:r/>
      <w:r>
        <w:rPr>
          <w:b/>
        </w:rPr>
        <w:t>Liste des Catégories :</w:t>
      </w:r>
      <w:r>
        <w:t xml:space="preserve"> Antinéoplasiques ; Anticorps monoclonal chimérique IgG1 anti-EGFR (domaine III extracellulaire) ; Thérapie ciblée du cancer colorectal métastatique RAS-wt et du cancer ORL avancé ; Liste I.</w:t>
      </w:r>
    </w:p>
    <w:p>
      <w:r>
        <w:t>Le cetuximab (Erbitux®, Merck KGaA) est un AcM chimérique IgG1κ recombinant murin/humain (~30 % murin pour les régions variables, ~70 % humain pour le Fc et la charpente), dirigé contre le domaine III extracellulaire de l'EGFR, en compétition avec les ligands naturels (EGF, TGF-α). Il a obtenu une AMM FDA en février 2004 et EMA en juin 2004. Son développement, issu de l'AcM murin 225, a été humanisé par génie génétique (technologie des hybridomes chimériques), réduisant l'immunogénicité (HACA, 5 % des patients). Le cetuximab est indiqué dans le cancer colorectal métastatique (CCRm) RAS-wild-type (KRAS et NRAS exons 2, 3, 4 non mutés) en association à la chimiothérapie (FOLFIRI, FOLFOX) ou en monothérapie après échec des chimiothérapies comportant irinotecan, oxaliplatine et fluoropyrimidines ; dans le cancer ORL (cavum, oropharynx, larynx, hypopharynx) avancé en association à la chimiothérapie (schéma EXTREME — cisplatine + 5-FU + cetuximab) ou à la radiothérapie (schéma Bonner) ; et dans certaines indications du CBNPC (en cours d'évaluation). Il est inscrit sur la liste des médicaments essentiels OMS.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ERBITUX</w:t>
            </w:r>
          </w:p>
        </w:tc>
        <w:tc>
          <w:tcPr>
            <w:tcW w:type="dxa" w:w="1559"/>
          </w:tcPr>
          <w:p>
            <w:r>
              <w:rPr>
                <w:sz w:val="20"/>
              </w:rPr>
              <w:t>MERCK KG AA</w:t>
            </w:r>
          </w:p>
        </w:tc>
        <w:tc>
          <w:tcPr>
            <w:tcW w:type="dxa" w:w="1559"/>
          </w:tcPr>
          <w:p>
            <w:r>
              <w:rPr>
                <w:sz w:val="20"/>
              </w:rPr>
              <w:t>Solution injectable pour perfusion — 5 mg/mL (100 mg/20 mL et 500 mg/100 mL)</w:t>
            </w:r>
          </w:p>
        </w:tc>
        <w:tc>
          <w:tcPr>
            <w:tcW w:type="dxa" w:w="1559"/>
          </w:tcPr>
          <w:p>
            <w:r>
              <w:rPr>
                <w:sz w:val="20"/>
              </w:rPr>
              <w:t>B/1 flacon 20 mL et B/1 flacon 100 mL</w:t>
            </w:r>
          </w:p>
        </w:tc>
        <w:tc>
          <w:tcPr>
            <w:tcW w:type="dxa" w:w="1559"/>
          </w:tcPr>
          <w:p>
            <w:r>
              <w:rPr>
                <w:sz w:val="20"/>
              </w:rPr>
              <w:t>Liste I</w:t>
            </w:r>
          </w:p>
        </w:tc>
        <w:tc>
          <w:tcPr>
            <w:tcW w:type="dxa" w:w="1559"/>
          </w:tcPr>
          <w:p>
            <w:r>
              <w:rPr>
                <w:sz w:val="20"/>
              </w:rPr>
              <w:t>Actif</w:t>
            </w:r>
          </w:p>
        </w:tc>
      </w:tr>
      <w:tr>
        <w:tc>
          <w:tcPr>
            <w:tcW w:type="dxa" w:w="1559"/>
          </w:tcPr>
          <w:p>
            <w:r>
              <w:rPr>
                <w:sz w:val="20"/>
              </w:rPr>
              <w:t>ERBITUX (R)</w:t>
            </w:r>
          </w:p>
        </w:tc>
        <w:tc>
          <w:tcPr>
            <w:tcW w:type="dxa" w:w="1559"/>
          </w:tcPr>
          <w:p>
            <w:r>
              <w:rPr>
                <w:sz w:val="20"/>
              </w:rPr>
              <w:t>MERCK KG aA</w:t>
            </w:r>
          </w:p>
        </w:tc>
        <w:tc>
          <w:tcPr>
            <w:tcW w:type="dxa" w:w="1559"/>
          </w:tcPr>
          <w:p>
            <w:r>
              <w:rPr>
                <w:sz w:val="20"/>
              </w:rPr>
              <w:t>Solution injectable pour perfusion — 2 mg/mL (100 mg/50 mL)</w:t>
            </w:r>
          </w:p>
        </w:tc>
        <w:tc>
          <w:tcPr>
            <w:tcW w:type="dxa" w:w="1559"/>
          </w:tcPr>
          <w:p>
            <w:r>
              <w:rPr>
                <w:sz w:val="20"/>
              </w:rPr>
              <w:t>Flacon 50 mL</w:t>
            </w:r>
          </w:p>
        </w:tc>
        <w:tc>
          <w:tcPr>
            <w:tcW w:type="dxa" w:w="1559"/>
          </w:tcPr>
          <w:p>
            <w:r>
              <w:rPr>
                <w:sz w:val="20"/>
              </w:rPr>
              <w:t>Liste I</w:t>
            </w:r>
          </w:p>
        </w:tc>
        <w:tc>
          <w:tcPr>
            <w:tcW w:type="dxa" w:w="1559"/>
          </w:tcPr>
          <w:p>
            <w:r>
              <w:rPr>
                <w:sz w:val="20"/>
              </w:rPr>
              <w:t>Non renouvelable</w:t>
            </w:r>
          </w:p>
        </w:tc>
      </w:tr>
    </w:tbl>
    <w:p/>
    <w:p>
      <w:r>
        <w:t>Le cetuximab est délivré en Algérie via le circuit hospitalier spécialisé en oncologie médicale. La spécialité princeps Erbitux (Merck KGaA) est disponible en deux dosages : 100 mg/20 mL et 500 mg/100 mL (5 mg/mL), permettant l'adaptation pondérale (dose de charge 400 mg/m² puis dose d'entretien 250 mg/m²). Une ancienne présentation à 2 mg/mL (100 mg/50 mL) a été retirée du marché algérien (non renouvelable). Pas de biosimilaire disponible.</w:t>
      </w:r>
    </w:p>
    <w:p>
      <w:r/>
      <w:r>
        <w:rPr>
          <w:b/>
        </w:rPr>
        <w:t>Sous-classe et Mécanisme d'action :</w:t>
      </w:r>
      <w:r/>
    </w:p>
    <w:p>
      <w:pPr>
        <w:pStyle w:val="ListBullet"/>
      </w:pPr>
      <w:r>
        <w:t>Sous-classe : AcM chimérique IgG1κ anti-EGFR (domaine III extracellulaire), chef de file des AcM anti-EGFR. DCI inscrite sur la liste des médicaments essentiels OMS.</w:t>
      </w:r>
    </w:p>
    <w:p>
      <w:pPr>
        <w:pStyle w:val="ListBullet"/>
      </w:pPr>
      <w:r>
        <w:t>Mécanisme d'action : pléiotropique. (i) Blocage compétitif de la liaison des ligands naturels (EGF, TGF-α, amphiréguline) au domaine III de l'EGFR, empêchant la dimérisation et la trans-autophosphorylation, inhibant les voies RAS-RAF-MAPK/ERK, PI3K-AKT-mTOR, JAK-STAT et PLCγ-PKC. (ii) Internalisation et dégradation du récepteur EGFR (down-régulation). (iii) ADCC modérée via FcγRIIIa (CD16) des cellules NK — effet moins puissant que pour le rituximab (IgG1 mais affinité FcγRIIIa plus faible). (iv) Inhibition de l'angiogenèse tumorale (down-régulation du VEGF). (v) Restauration de l'apoptose. L'effet cytostatique prédomine. La résistance principale est liée aux mutations activatrices de KRAS (exon 2 codon 12/13, ~40 % des CCR) et NRAS (exons 2, 3, 4, ~5–10 %) — la recherche systématique de mutations RAS est OBLIGATOIRE avant initiation.</w:t>
      </w:r>
    </w:p>
    <w:p>
      <w:r/>
      <w:r>
        <w:rPr>
          <w:b/>
        </w:rPr>
        <w:t>Profil Pharmacologique :</w:t>
      </w:r>
      <w:r/>
    </w:p>
    <w:p>
      <w:pPr>
        <w:pStyle w:val="ListBullet"/>
      </w:pPr>
      <w:r>
        <w:t>Indications : (1) Cancer colorectal métastatique (CCRm) RAS-wt (KRAS et NRAS exons 2, 3, 4 non mutés) en association à la chimiothérapie (FOLFIRI ou FOLFOX ou CAPOX) en première ou deuxième ligne ; en monothérapie après échec des chimiothérapies comportant irinotecan, oxaliplatine et fluoropyrimidines, ou en cas de contre-indication à l'irinotecan ; en association à l'irinotecan en cas de résistance à l'irinotecan seul (schéma « rechallenge »). (2) Cancer ORL (cavum, oropharynx, larynx, hypopharynx) avancé (localement avancé non résécable, métastatique ou récidivant) en association à la chimiothérapie (schéma EXTREME — cisplatine ou carboplatine + 5-FU + cetuximab en 1re ligne) ; en association à la radiothérapie (schéma Bonner — pour les patients non éligibles au cisplatine) ; en monothérapie d'entretien ou en 2e ligne après échec du schéma EXTREME. (3) CBNPC EGFR-exprimé en cours d'évaluation (préféré ITK EGFR en 1re ligne si mutation activatrice EGFR).</w:t>
      </w:r>
    </w:p>
    <w:p>
      <w:pPr>
        <w:pStyle w:val="ListBullet"/>
      </w:pPr>
      <w:r>
        <w:t>Contre-indications : Hypersensibilité au cetuximab, aux protéines murines ou à l'un des excipients. Mutations RAS confirmées (KRAS ou NRAS exons 2, 3, 4) — inefficacité et majoration de la toxicité. Insuffisance respiratoire sévère (risque de bronchospasme à la première cure). Hypersensibilité connue au rouge de carmin (Cochineal Red, excipient dans certaines formulations historiques). Grossesse (CI relative). Précautions : antécédents de maladie coronarienne ou d'arythmie, insuffisance cardiaque, hypomagnésémie préexistante, dermatose préexistante.</w:t>
      </w:r>
    </w:p>
    <w:p>
      <w:pPr>
        <w:pStyle w:val="ListBullet"/>
      </w:pPr>
      <w:r>
        <w:t>Effets Indésirables : Très fréquents (&gt; 10 %) : rash acnéiforme folliculaire (80–90 % — effet pharmacodynamique, prédictif de l'efficacité ; apparition dans les 1–3 semaines, pic à 3–4 semaines, parfois grade 3–4 dans 10–15 % ; topographie : visage, scalp, thorax, dos, zones séborrhéiques ; à ne pas confondre avec un rash allergique), xérose cutanée, prurit, paronychie (inflammation des replis péri-unguéaux), diarrhée (50 %, parfois grade 3–4 dans 5–10 %), nausées, vomissements, fatigue, asthénie, perte d'appétit, perte de poids, hypomagnésémie (30–50 % — surveillance et supplémentation), RLP à la première cure (20 % — frissons, fièvre, dyspnée, hypotension, rarement anaphylaxie). Fréquents (1–10 %) : conjonctivite, blépharite, kératite, hypertrichose (croissance excessive des cils), mucite, stomatite, infections cutanées bactériennes (Staphylocoque aureus) surinfectant le rash, hypokaliémie, hypocalcémie, élévation des transaminases, embolie pulmonaire (rare), arrêt cardiaque (rare, surtout patients âgés ou coronariens). Peu fréquents : pneumopathie interstitielle, syndrome de Stevens-Johnson, syndrome de Lyell, anaphylaxie sévère (choc). Rares : décès par réaction anaphylactique (à la première cure).</w:t>
      </w:r>
    </w:p>
    <w:p>
      <w:r/>
      <w:r>
        <w:rPr>
          <w:b/>
        </w:rPr>
        <w:t>Prévention et Gestion des Effets Indésirables :</w:t>
      </w:r>
      <w:r/>
    </w:p>
    <w:p>
      <w:pPr>
        <w:pStyle w:val="ListBullet"/>
      </w:pPr>
      <w:r>
        <w:t>Mesures Préventives : Recherche systématique des mutations RAS (KRAS et NRAS exons 2, 3, 4) sur tissu tumoral avant initiation — traitement inefficace et toxique si mutation. Pré-médication systématique avant la première perfusion : antihistaminique H1 (dexchlorphéniramine 5 mg IV) ± corticothérapie IV (hydrocortisone 100 mg). Prophylaxie cutanée systématique : hydratation cutanée par émollients (2×/j dès l'initiation), photoprotection stricte (FPS 50+), gel nettoyant doux sans savon, éviter les produits alcoolisés ou parfumés ; prophylaxie antibiotique orale (doxycycline 100 mg/j ou minocycline 100 mg/j ou clindamycine 300 mg × 2/j) discutée en cas de rash grade ≥ 2 ou récidivant. Surveillance magnésémie, kaliémie, calcémie avant chaque cycle et supplémentation (MgSO4 IV 2–4 g si magnésémie &lt; 0,7 mmol/L). NFS, bilan hépatique, créatinine avant chaque cycle.</w:t>
      </w:r>
    </w:p>
    <w:p>
      <w:pPr>
        <w:pStyle w:val="ListBullet"/>
      </w:pPr>
      <w:r>
        <w:t>Conduite à Tenir : Rash acnéiforme grade 1 (≤ 50 % surface corporelle, sans retentissement fonctionnel) : poursuite à dose inchangée, hydratation cutanée, antibiotique topique (clindamycine ou métronidazole gel) ± doxycycline orale 100 mg/j. Grade 2 (&gt; 50 % surface, retentissement psychologique) : poursuite + doxycycline 100 mg × 2/j + dermato-consultation. Grade 3 (rash nodulo-kystique, retentissement fonctionnel) : report de 1–2 semaines, doxycycline 100 mg × 2/j, dermato-consultation, reprise à dose réduite (250 → 200 mg/m²) ou arrêt si non récupération. Grade 4 (ulcération, nécrose) : arrêt définitif. Diarrhée grade 2 (&gt; 4 selles/jour vs baseline) : loperamide 4 mg puis 2 mg toutes les 2 heures. Grade 3 (&gt; 7 selles/jour ou hospitalisation) : arrêt transitoire, hydratation IV, antibiothérapie prophylactique. Grade 4 (menace vitale) : arrêt définitif. RLP grade 1–2 : ralentissement, antihistaminique. Grade 3–4 (bronchospasme, hypotension, hypoxie) : arrêt immédiat, hydrocortisone 200 mg IV, antihistaminique IV, O2, adrénaline 0,3 mg IM si choc anaphylactique, surveillance USIC, arrêt définitif en cas de grade 4 (switch vers panitumumab possible en cas d'allergie croisée à discuter). Pneumopathie : arrêt immédiat, corticothérapie 1 mg/kg/j, antibiothérapie.</w:t>
      </w:r>
    </w:p>
    <w:p>
      <w:r/>
      <w:r>
        <w:rPr>
          <w:b/>
        </w:rPr>
        <w:t>Interactions Médicamenteuses :</w:t>
      </w:r>
      <w:r/>
    </w:p>
    <w:p>
      <w:pPr>
        <w:pStyle w:val="ListBullet"/>
      </w:pPr>
      <w:r>
        <w:t>Chimiothérapie associée (FOLFIRI — irinotecan + 5-FU + acide folinique ; FOLFOX — oxaliplatine + 5-FU + acide folinique ; CAPOX — capecitabine + oxaliplatine) : synergie d'efficacité, surveillance de la tolérance hématologique et digestive (diarrhée additive avec l'irinotecan).</w:t>
      </w:r>
    </w:p>
    <w:p>
      <w:pPr>
        <w:pStyle w:val="ListBullet"/>
      </w:pPr>
      <w:r>
        <w:t>Radiothérapie (schéma Bonner — cancer ORL) : synergie d'efficacité, surveillance renforcée de la mucite et de la radiodermite.</w:t>
      </w:r>
    </w:p>
    <w:p>
      <w:pPr>
        <w:pStyle w:val="ListBullet"/>
      </w:pPr>
      <w:r>
        <w:t>Inhibiteurs de l'EGFR tyrosine kinase (erlotinib, gefitinib, afatinib, osimertinib) : association déconseillée (toxicité cutanée additive majeure, pas de bénéfice démontré).</w:t>
      </w:r>
    </w:p>
    <w:p>
      <w:pPr>
        <w:pStyle w:val="ListBullet"/>
      </w:pPr>
      <w:r>
        <w:t>Anti-VEGF (bevacizumab) : association déconseillée dans le CCRm (étude CAIRO2 — diminution de la survie).</w:t>
      </w:r>
    </w:p>
    <w:p>
      <w:pPr>
        <w:pStyle w:val="ListBullet"/>
      </w:pPr>
      <w:r>
        <w:t>Vaccins vivants : contre-indiqués.</w:t>
      </w:r>
    </w:p>
    <w:p>
      <w:pPr>
        <w:pStyle w:val="ListBullet"/>
      </w:pPr>
      <w:r>
        <w:t>Pas d'interaction avec le CYP450.</w:t>
      </w:r>
    </w:p>
    <w:p>
      <w:r/>
      <w:r>
        <w:rPr>
          <w:b/>
        </w:rPr>
        <w:t>Grossesse et Allaitement :</w:t>
      </w:r>
      <w:r/>
    </w:p>
    <w:p>
      <w:pPr>
        <w:pStyle w:val="ListBullet"/>
      </w:pPr>
      <w:r>
        <w:t>Grossesse : ÉVITER. Données animales tératogènes (anomalies de développement embryo-fœtal chez le singe). Le cetuximab traverse la barrière placentaire via FcRn à partir du 2e trimestre, avec risque d'altération du développement fœtal (rôle physiologique de l'EGFR dans l'embryogenèse — especially organogenèse cardiaque, pulmonaire et cutanée). Contraception obligatoire pendant le traitement et 6 mois après (femme et partenaire masculin).</w:t>
      </w:r>
    </w:p>
    <w:p>
      <w:pPr>
        <w:pStyle w:val="ListBullet"/>
      </w:pPr>
      <w:r>
        <w:t>Allaitement : CONTRE-INDICATION ABSOLUE pendant le traitement et 6 mois après.</w:t>
      </w:r>
    </w:p>
    <w:p>
      <w:r/>
      <w:r>
        <w:rPr>
          <w:b/>
        </w:rPr>
        <w:t>Posologie et Mode d'administration (Standard) :</w:t>
      </w:r>
      <w:r/>
    </w:p>
    <w:p>
      <w:pPr>
        <w:pStyle w:val="ListBullet"/>
      </w:pPr>
      <w:r>
        <w:t>Adulte : dose de charge initiale 400 mg/m² IV en perfusion de 120 min (la semaine avant l'initiation de la chimiothérapie ou à J1 du premier cycle), puis dose d'entretien 250 mg/m² IV en perfusion de 60 min chaque semaine (à J1, J8, J15, J22 de chaque cycle de 28 jours), jusqu'à progression ou toxicité inacceptable.</w:t>
      </w:r>
    </w:p>
    <w:p>
      <w:pPr>
        <w:pStyle w:val="ListBullet"/>
      </w:pPr>
      <w:r>
        <w:t>Mode d'administration : perfusion IV stricte dans 250 mL (ou 500 mL pour la dose de charge) NaCl 0,9 % (jamais glucose). Tubing dédié, filtre de 0,22 μm recommandé. Surveillance ECG, TA, SpO2 pendant la perfusion (surtout la première heure de la première cure — pic de RLP à 15–30 min). Pas de bolus IV.</w:t>
      </w:r>
    </w:p>
    <w:p>
      <w:pPr>
        <w:pStyle w:val="ListBullet"/>
      </w:pPr>
      <w:r>
        <w:t>Adaptation posologique : rash grade 3 → 1ère modification : report 1–2 semaines, dose réduite à 200 mg/m² (− 20 %) ; 2ème modification : report, dose réduite à 150 mg/m² ; 3ème modification : arrêt définitif. RLP grade 3–4 → arrêt définitif.</w:t>
      </w:r>
    </w:p>
    <w:p>
      <w:pPr>
        <w:pStyle w:val="ListBullet"/>
      </w:pPr>
      <w:r>
        <w:t>Insuffisance hépatique : pas d'adaptation (métabolisme protidique).</w:t>
      </w:r>
    </w:p>
    <w:p>
      <w:pPr>
        <w:pStyle w:val="ListBullet"/>
      </w:pPr>
      <w:r>
        <w:t>Insuffisance rénale : pas d'adaptation.</w:t>
      </w:r>
    </w:p>
    <w:p>
      <w:pPr>
        <w:pStyle w:val="ListBullet"/>
      </w:pPr>
      <w:r>
        <w:t>Sujet âgé : pas d'adaptation, mais surveillance accrue (tolérance cutanée, infectieuse).</w:t>
      </w:r>
    </w:p>
    <w:p>
      <w:r/>
      <w:r>
        <w:rPr>
          <w:b/>
        </w:rPr>
        <w:t>Surveillance Biologique et Suivi Clinique :</w:t>
      </w:r>
      <w:r/>
    </w:p>
    <w:p>
      <w:pPr>
        <w:pStyle w:val="ListBullet"/>
      </w:pPr>
      <w:r>
        <w:t>Hématologique : NFS-plaquettes avant chaque cure.</w:t>
      </w:r>
    </w:p>
    <w:p>
      <w:pPr>
        <w:pStyle w:val="ListBullet"/>
      </w:pPr>
      <w:r>
        <w:t>Hépatique : ALAT, ASAT, bilirubine, PAL, γ-GT mensuels.</w:t>
      </w:r>
    </w:p>
    <w:p>
      <w:pPr>
        <w:pStyle w:val="ListBullet"/>
      </w:pPr>
      <w:r>
        <w:t>Métabolique : magnésémie, kaliémie, calcémie avant chaque cure et supplémentation IV si besoin (MgSO4 2–4 g si magnésémie &lt; 0,7 mmol/L).</w:t>
      </w:r>
    </w:p>
    <w:p>
      <w:pPr>
        <w:pStyle w:val="ListBullet"/>
      </w:pPr>
      <w:r>
        <w:t>Cutané : examen dermatologique à chaque consultation ; évaluation du rash selon les critères CTCAE ; dermato-consultation en cas de rash grade ≥ 2.</w:t>
      </w:r>
    </w:p>
    <w:p>
      <w:pPr>
        <w:pStyle w:val="ListBullet"/>
      </w:pPr>
      <w:r>
        <w:t>Clinique : poids, TA, SpO2 pendant la perfusion ; examen cardio-pulmonaire à chaque consultation ; interrogatoire diarrhée, fatigue, dyspnée.</w:t>
      </w:r>
    </w:p>
    <w:p>
      <w:pPr>
        <w:pStyle w:val="ListBullet"/>
      </w:pPr>
      <w:r>
        <w:t>Suivi carcinologique : scanner TAP avant traitement, à 2–3 mois, puis tous les 3 mois ; marqueurs ACE et CA 19-9 (CCR) tous les 2–3 mois.</w:t>
      </w:r>
    </w:p>
    <w:p>
      <w:pPr>
        <w:pStyle w:val="ListBullet"/>
      </w:pPr>
      <w:r>
        <w:t>Statut RAS confirmé obligatoire avant initiation.</w:t>
      </w:r>
    </w:p>
    <w:p>
      <w:r/>
      <w:r>
        <w:rPr>
          <w:b/>
        </w:rPr>
        <w:t>Arbitrage et Bénéfices des Formes Galéniques :</w:t>
      </w:r>
      <w:r/>
    </w:p>
    <w:p>
      <w:r>
        <w:t>Le cetuximab est disponible uniquement en forme IV (5 mg/mL, flacons de 100 mg/20 mL et 500 mg/100 mL). La dose de charge (400 mg/m²) correspond à environ 700 mg (1,75 m²) → 1 flacon 500 mg + 2 flacons 100 mg = 700 mg ; dose d'entretien (250 mg/m²) → environ 440 mg → 1 flacon 500 mg = 500 mg (gaspillage 60 mg) ou 4 flacons 100 mg + 1 flacon 100 mg = 500 mg. La planification de la prescription vise à minimiser le gaspillage. La conservation au réfrigérateur (2–8 °C) est nécessaire. La forme SC (Erbitux SC, 500 mg/mL) n'est pas disponible dans la nomenclature algérienne actuelle.</w:t>
      </w:r>
    </w:p>
    <w:p>
      <w:r/>
      <w:r>
        <w:rPr>
          <w:b/>
        </w:rPr>
        <w:t>Instructions et Conseils au Patient :</w:t>
      </w:r>
      <w:r/>
    </w:p>
    <w:p>
      <w:pPr>
        <w:pStyle w:val="ListBullet"/>
      </w:pPr>
      <w:r>
        <w:t>Communication au comptoir : « Le cetuximab est un anticorps monoclonal ciblant l'EGFR, récepteur présent à la surface de vos cellules tumorales (cancer colorectal ou ORL). Il est administré en perfusion IV hebdomadaire à l'hôpital, en association à une chimiothérapie ou une radiothérapie. Les effets indésirables les plus fréquents sont une éruption cutanée acnéiforme (rash type acné sur le visage, le thorax, le dos — à signaler car nécessite un traitement local précoce, hydratation cutanée et antibiotique), une diarrhée (à traiter précocement par loperamide), une fatigue, et plus rarement des réactions pendant la perfusion. Prévenez immédiatement votre médecin en cas de rash sévère, de diarrhée persistante, de fièvre, d'essoufflement, de douleurs oculaires (conjonctivite, kératite). Une photoprotection stricte (crème solaire FPS 50+) est obligatoire. »</w:t>
      </w:r>
    </w:p>
    <w:p>
      <w:pPr>
        <w:pStyle w:val="ListBullet"/>
      </w:pPr>
      <w:r>
        <w:t>Observance : appliquer les émollients 2×/j dès l'initiation ; photoprotection FPS 50+ ; signaler tout rash cutané dès les premières lésions ; loperamide dès la première selle molle.</w:t>
      </w:r>
    </w:p>
    <w:p>
      <w:pPr>
        <w:pStyle w:val="ListBullet"/>
      </w:pPr>
      <w:r>
        <w:t>Hygiène de vie : éviter l'exposition solaire (photoprotection stricte) ; alimentation équilibrée, riche en magnésium (chocolat noir, fruits secs, légumes verts) ; éviter les produits cosmétiques alcoolisés ou parfumés.</w:t>
      </w:r>
    </w:p>
    <w:p>
      <w:pPr>
        <w:pStyle w:val="ListBullet"/>
      </w:pPr>
      <w:r>
        <w:t>Femmes en âge de procréer : double contraception obligatoire pendant et 6 mois après.</w:t>
      </w:r>
    </w:p>
    <w:p>
      <w:r/>
      <w:r>
        <w:rPr>
          <w:b/>
        </w:rPr>
        <w:t>Notes, Règles d'Or &amp; Pièges au Comptoir :</w:t>
      </w:r>
      <w:r/>
    </w:p>
    <w:p>
      <w:pPr>
        <w:pStyle w:val="ListBullet"/>
      </w:pPr>
      <w:r>
        <w:t>Règle d'or : recherche systématique des mutations RAS (KRAS et NRAS exons 2, 3, 4) avant initiation — traitement inefficace et toxique en cas de mutation.</w:t>
      </w:r>
    </w:p>
    <w:p>
      <w:pPr>
        <w:pStyle w:val="ListBullet"/>
      </w:pPr>
      <w:r>
        <w:t>Piège : le rash acnéiforme est un effet pharmacodynamique prédictif de l'efficacité (les patients avec rash grade 2–3 ont une meilleure réponse) — à ne pas confondre avec un rash allergique et à ne pas arrêter le traitement systématiquement.</w:t>
      </w:r>
    </w:p>
    <w:p>
      <w:pPr>
        <w:pStyle w:val="ListBullet"/>
      </w:pPr>
      <w:r>
        <w:t>Règle : pré-médication systématique (antihistaminique ± corticothérapie) avant la première cure.</w:t>
      </w:r>
    </w:p>
    <w:p>
      <w:pPr>
        <w:pStyle w:val="ListBullet"/>
      </w:pPr>
      <w:r>
        <w:t>Piège : la RLP à la première cure peut être sévère (rarement anaphylaxie létale) — surveillance rapprochée (TA, SpO2) pendant la première heure, matériel de réanimation disponible.</w:t>
      </w:r>
    </w:p>
    <w:p>
      <w:pPr>
        <w:pStyle w:val="ListBullet"/>
      </w:pPr>
      <w:r>
        <w:t>Surveillance : attention à l'hypomagnésémie (souvent profonde) — surveiller et supplémenter systématiquement.</w:t>
      </w:r>
    </w:p>
    <w:p>
      <w:pPr>
        <w:pStyle w:val="ListBullet"/>
      </w:pPr>
      <w:r>
        <w:t>Règle : la prophylaxie cutanée (émollients, photoprotection, doxycycline prophylactique) doit débuter DÈS l'initiation du traitement, pas après l'apparition du rash.</w:t>
      </w:r>
    </w:p>
    <w:p>
      <w:pPr>
        <w:pStyle w:val="ListBullet"/>
      </w:pPr>
      <w:r>
        <w:t>Piège : l'association cetuximab + bevacizumab dans le CCRm est délétère (étude CAIRO2) — éviter.</w:t>
      </w:r>
    </w:p>
    <w:p>
      <w:pPr>
        <w:pStyle w:val="Heading3"/>
      </w:pPr>
      <w:r>
        <w:t>106.5.2 DCI : Panitumumab</w:t>
      </w:r>
    </w:p>
    <w:p>
      <w:r/>
      <w:r>
        <w:rPr>
          <w:b/>
        </w:rPr>
        <w:t>Liste des Catégories :</w:t>
      </w:r>
      <w:r>
        <w:t xml:space="preserve"> Antinéoplasiques ; Anticorps monoclonal totalement humain IgG2κ anti-EGFR (domaine III extracellulaire) ; Thérapie ciblée du cancer colorectal métastatique RAS-wt ; Liste I.</w:t>
      </w:r>
    </w:p>
    <w:p>
      <w:r>
        <w:t>Le panitumumab (Vectibix®, Amgen) est un AcM totalement humain IgG2κ recombinant (technologie de la souris transgénique XenoMouse, Abgenix), dirigé contre le domaine III extracellulaire de l'EGFR, en compétition avec les ligands naturels. Il a obtenu une AMM FDA en septembre 2006 et EMA en décembre 2007. Sa particularité structurale est d'être totalement humain (aucune séquence murine), réduisant l'immunogénicité à quasi-nulle (&lt; 1 % d'anticorps anti-panitumumab). L'isotype IgG2 a une ADCC faible (mais conserve l'effet de blocage de l'EGFR et de l'internalisation). Le panitumumab est indiqué dans le cancer colorectal métastatique (CCRm) RAS-wild-type (KRAS et NRAS exons 2, 3, 4 non mutés) en association à la chimiothérapie (FOLFIRI, FOLFOX) ou en monothérapie après échec des chimiothérapies comportant fluoropyrimidines, oxaliplatine et irinotecan. Le profil de tolérance est dominé par la toxicité cutanée (rash acnéiforme, similaire au cetuximab), l'hypomagnésémie, la diarrhée, et moins de RLP que le cetuximab (AcM totalement humain, immunogénicité quasi-nulle).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VECTIBIX</w:t>
            </w:r>
          </w:p>
        </w:tc>
        <w:tc>
          <w:tcPr>
            <w:tcW w:type="dxa" w:w="1559"/>
          </w:tcPr>
          <w:p>
            <w:r>
              <w:rPr>
                <w:sz w:val="20"/>
              </w:rPr>
              <w:t>AMGEN EUROPE B.V.</w:t>
            </w:r>
          </w:p>
        </w:tc>
        <w:tc>
          <w:tcPr>
            <w:tcW w:type="dxa" w:w="1559"/>
          </w:tcPr>
          <w:p>
            <w:r>
              <w:rPr>
                <w:sz w:val="20"/>
              </w:rPr>
              <w:t>Solution à diluer pour perfusion IV — 20 mg/mL (100 mg/5 mL et 400 mg/20 mL)</w:t>
            </w:r>
          </w:p>
        </w:tc>
        <w:tc>
          <w:tcPr>
            <w:tcW w:type="dxa" w:w="1559"/>
          </w:tcPr>
          <w:p>
            <w:r>
              <w:rPr>
                <w:sz w:val="20"/>
              </w:rPr>
              <w:t>B/1 flacon 5 mL et B/1 flacon 20 mL</w:t>
            </w:r>
          </w:p>
        </w:tc>
        <w:tc>
          <w:tcPr>
            <w:tcW w:type="dxa" w:w="1559"/>
          </w:tcPr>
          <w:p>
            <w:r>
              <w:rPr>
                <w:sz w:val="20"/>
              </w:rPr>
              <w:t>Liste I</w:t>
            </w:r>
          </w:p>
        </w:tc>
        <w:tc>
          <w:tcPr>
            <w:tcW w:type="dxa" w:w="1559"/>
          </w:tcPr>
          <w:p>
            <w:r>
              <w:rPr>
                <w:sz w:val="20"/>
              </w:rPr>
              <w:t>Actif</w:t>
            </w:r>
          </w:p>
        </w:tc>
      </w:tr>
    </w:tbl>
    <w:p/>
    <w:p>
      <w:r>
        <w:t>Le panitumumab est délivré en Algérie via le circuit hospitalier spécialisé en oncologie médicale. La spécialité princeps Vectibix (Amgen) est disponible en deux dosages : 100 mg/5 mL et 400 mg/20 mL (20 mg/mL), permettant l'administration en dose fixe (6 mg/kg) sans adaptation à la surface corporelle. Pas de biosimilaire disponible.</w:t>
      </w:r>
    </w:p>
    <w:p>
      <w:r/>
      <w:r>
        <w:rPr>
          <w:b/>
        </w:rPr>
        <w:t>Sous-classe et Mécanisme d'action :</w:t>
      </w:r>
      <w:r/>
    </w:p>
    <w:p>
      <w:pPr>
        <w:pStyle w:val="ListBullet"/>
      </w:pPr>
      <w:r>
        <w:t>Sous-classe : AcM totalement humain IgG2κ anti-EGFR (domaine III extracellulaire). Seul AcM anti-EGFR totalement humain (technologie XenoMouse).</w:t>
      </w:r>
    </w:p>
    <w:p>
      <w:pPr>
        <w:pStyle w:val="ListBullet"/>
      </w:pPr>
      <w:r>
        <w:t>Mécanisme d'action : pléiotropique. (i) Blocage compétitif de la liaison des ligands (EGF, TGF-α, amphiréguline) au domaine III de l'EGFR, empêchant la dimérisation et la phosphorylation, inhibant les voies RAS-RAF-MAPK/ERK, PI3K-AKT-mTOR, JAK-STAT. (ii) Internalisation et dégradation du récepteur EGFR. (iii) ADCC faible (isotype IgG2, faible affinité FcγRIIIa) — pas d'effet ADCC significatif. (iv) Inhibition de l'angiogenèse tumorale. (v) Restauration de l'apoptose. L'effet cytostatique prédomine. Résistance principale : mutations RAS (KRAS, NRAS — recherche obligatoire avant initiation).</w:t>
      </w:r>
    </w:p>
    <w:p>
      <w:r/>
      <w:r>
        <w:rPr>
          <w:b/>
        </w:rPr>
        <w:t>Profil Pharmacologique :</w:t>
      </w:r>
      <w:r/>
    </w:p>
    <w:p>
      <w:pPr>
        <w:pStyle w:val="ListBullet"/>
      </w:pPr>
      <w:r>
        <w:t>Indications : (1) Cancer colorectal métastatique (CCRm) RAS-wt en association à la chimiothérapie (FOLFIRI ou FOLFOX) en 1re ou 2e ligne ; en monothérapie en 3e ligne ou après échec des chimiothérapies comportant fluoropyrimidines, oxaliplatine et irinotecan. (2) En adjuvant du CCR de stade III RAS-wt (étude PANAMA — indication en cours d'évaluation).</w:t>
      </w:r>
    </w:p>
    <w:p>
      <w:pPr>
        <w:pStyle w:val="ListBullet"/>
      </w:pPr>
      <w:r>
        <w:t>Contre-indications : Hypersensibilité au panitumumab ou à l'un des excipients. Mutations RAS confirmées (KRAS ou NRAS). Grossesse (CI relative).</w:t>
      </w:r>
    </w:p>
    <w:p>
      <w:pPr>
        <w:pStyle w:val="ListBullet"/>
      </w:pPr>
      <w:r>
        <w:t>Effets Indésirables : Très fréquents (&gt; 10 %) : rash acnéiforme folliculaire (90 % — similaire au cetuximab, parfois grade 3–4 dans 15 %), xérose cutanée, prurit, paronychie, diarrhée (40 %), fatigue, asthénie, hypomagnésémie (40 %), RLP (5 %, moins fréquent que le cetuximab car totalement humain), nausées. Fréquents (1–10 %) : conjonctivite, blépharite, kératite, mucite, infections cutanées (Staphylocoque aureus), hypokaliémie, hypocalcémie, transaminases élevées, embolie pulmonaire. Peu fréquents : pneumopathie interstitielle, syndrome de Stevens-Johnson, syndrome de Lyell, anaphylaxie. Rares : fibrose pulmonaire, décès par anaphylaxie.</w:t>
      </w:r>
    </w:p>
    <w:p>
      <w:r/>
      <w:r>
        <w:rPr>
          <w:b/>
        </w:rPr>
        <w:t>Prévention et Gestion des Effets Indésirables :</w:t>
      </w:r>
      <w:r/>
    </w:p>
    <w:p>
      <w:pPr>
        <w:pStyle w:val="ListBullet"/>
      </w:pPr>
      <w:r>
        <w:t>Mesures Préventives : Recherche systématique des mutations RAS avant initiation. Pré-médication antihistaminique avant la première cure (pas systématique si antécédent d'allergie, le panitumumab étant totalement humain). Prophylaxie cutanée (émollients, photoprotection FPS 50+, gel nettoyant doux, doxycycline 100 mg/j prophylactique discutée). Surveillance magnésémie, kaliémie, calcémie avant chaque cycle et supplémentation. NFS, bilan hépatique, créatinine avant chaque cycle.</w:t>
      </w:r>
    </w:p>
    <w:p>
      <w:pPr>
        <w:pStyle w:val="ListBullet"/>
      </w:pPr>
      <w:r>
        <w:t>Conduite à Tenir : Rash grade 1–2 : poursuite, hydratation cutanée, antibiotique topique ± doxycycline orale. Grade 3 : report, doxycycline 100 mg × 2/j, dermato-consultation, reprise à dose réduite. Grade 4 : arrêt définitif. Diarrhée : loperamide, hydratation. RLP grade 3–4 : arrêt immédiat, hydrocortisone IV, antihistaminique IV, O2, adrénaline si choc, surveillance USIC, arrêt définitif ou switch vers cetuximab (attention allergie croisée). Hypomagnésémie : MgSO4 IV. Pneumopathie : arrêt, corticothérapie.</w:t>
      </w:r>
    </w:p>
    <w:p>
      <w:r/>
      <w:r>
        <w:rPr>
          <w:b/>
        </w:rPr>
        <w:t>Interactions Médicamenteuses :</w:t>
      </w:r>
      <w:r/>
    </w:p>
    <w:p>
      <w:pPr>
        <w:pStyle w:val="ListBullet"/>
      </w:pPr>
      <w:r>
        <w:t>Chimiothérapie (FOLFIRI, FOLFOX) : synergie d'efficacité, surveillance de la tolérance hématologique et digestive.</w:t>
      </w:r>
    </w:p>
    <w:p>
      <w:pPr>
        <w:pStyle w:val="ListBullet"/>
      </w:pPr>
      <w:r>
        <w:t>Anti-VEGF (bevacizumab) : association déconseillée (étude PACCE — diminution de la survie).</w:t>
      </w:r>
    </w:p>
    <w:p>
      <w:pPr>
        <w:pStyle w:val="ListBullet"/>
      </w:pPr>
      <w:r>
        <w:t>ITK EGFR (erlotinib, gefitinib) : association déconseillée (toxicité cutanée additive).</w:t>
      </w:r>
    </w:p>
    <w:p>
      <w:pPr>
        <w:pStyle w:val="ListBullet"/>
      </w:pPr>
      <w:r>
        <w:t>Vaccins vivants : contre-indiqués.</w:t>
      </w:r>
    </w:p>
    <w:p>
      <w:pPr>
        <w:pStyle w:val="ListBullet"/>
      </w:pPr>
      <w:r>
        <w:t>Pas d'interaction avec le CYP450.</w:t>
      </w:r>
    </w:p>
    <w:p>
      <w:r/>
      <w:r>
        <w:rPr>
          <w:b/>
        </w:rPr>
        <w:t>Grossesse et Allaitement :</w:t>
      </w:r>
      <w:r/>
    </w:p>
    <w:p>
      <w:pPr>
        <w:pStyle w:val="ListBullet"/>
      </w:pPr>
      <w:r>
        <w:t>Grossesse : ÉVITER. Données animales tératogènes. Contraception obligatoire pendant le traitement et 6 mois après.</w:t>
      </w:r>
    </w:p>
    <w:p>
      <w:pPr>
        <w:pStyle w:val="ListBullet"/>
      </w:pPr>
      <w:r>
        <w:t>Allaitement : CONTRE-INDICATION ABSOLUE pendant le traitement et 6 mois après.</w:t>
      </w:r>
    </w:p>
    <w:p>
      <w:r/>
      <w:r>
        <w:rPr>
          <w:b/>
        </w:rPr>
        <w:t>Posologie et Mode d'administration (Standard) :</w:t>
      </w:r>
      <w:r/>
    </w:p>
    <w:p>
      <w:pPr>
        <w:pStyle w:val="ListBullet"/>
      </w:pPr>
      <w:r>
        <w:t>Adulte : 6 mg/kg IV toutes les 2 semaines (en perfusion de 60–90 min), sans dose de charge. Adaptation en poids (dose fixe par cycle, sans adaptation à la surface corporelle). En association à la chimiothérapie (FOLFIRI ou FOLFOX) en 1re ou 2e ligne, ou en monothérapie en 3e ligne. Jusqu'à progression ou toxicité inacceptable.</w:t>
      </w:r>
    </w:p>
    <w:p>
      <w:pPr>
        <w:pStyle w:val="ListBullet"/>
      </w:pPr>
      <w:r>
        <w:t>Mode d'administration : perfusion IV stricte dans 100 mL NaCl 0,9 % (jamais glucose). Tubing dédié. Surveillance TA, SpO2 pendant la perfusion (surtout la première). Pas de bolus IV.</w:t>
      </w:r>
    </w:p>
    <w:p>
      <w:pPr>
        <w:pStyle w:val="ListBullet"/>
      </w:pPr>
      <w:r>
        <w:t>Adaptation : rash grade 3 → 1ère modification : report 1 cycle, dose réduite à 4,8 mg/kg (− 20 %) ; 2ème : report, dose réduite à 3,6 mg/kg ; 3ème : arrêt définitif.</w:t>
      </w:r>
    </w:p>
    <w:p>
      <w:pPr>
        <w:pStyle w:val="ListBullet"/>
      </w:pPr>
      <w:r>
        <w:t>Insuffisance hépatique/rénale : pas d'adaptation.</w:t>
      </w:r>
    </w:p>
    <w:p>
      <w:r/>
      <w:r>
        <w:rPr>
          <w:b/>
        </w:rPr>
        <w:t>Surveillance Biologique et Suivi Clinique :</w:t>
      </w:r>
      <w:r/>
    </w:p>
    <w:p>
      <w:pPr>
        <w:pStyle w:val="ListBullet"/>
      </w:pPr>
      <w:r>
        <w:t>Hématologique : NFS-plaquettes avant chaque cure.</w:t>
      </w:r>
    </w:p>
    <w:p>
      <w:pPr>
        <w:pStyle w:val="ListBullet"/>
      </w:pPr>
      <w:r>
        <w:t>Hépatique : ALAT, ASAT, bilirubine mensuels.</w:t>
      </w:r>
    </w:p>
    <w:p>
      <w:pPr>
        <w:pStyle w:val="ListBullet"/>
      </w:pPr>
      <w:r>
        <w:t>Métabolique : magnésémie, kaliémie, calcémie avant chaque cure et supplémentation IV si besoin.</w:t>
      </w:r>
    </w:p>
    <w:p>
      <w:pPr>
        <w:pStyle w:val="ListBullet"/>
      </w:pPr>
      <w:r>
        <w:t>Cutané : examen dermatologique à chaque consultation ; évaluation du rash CTCAE ; dermato-consultation en cas de grade ≥ 2.</w:t>
      </w:r>
    </w:p>
    <w:p>
      <w:pPr>
        <w:pStyle w:val="ListBullet"/>
      </w:pPr>
      <w:r>
        <w:t>Clinique : poids, TA, SpO2 pendant la perfusion ; examen cardio-pulmonaire à chaque consultation ; interrogatoire diarrhée, fatigue.</w:t>
      </w:r>
    </w:p>
    <w:p>
      <w:pPr>
        <w:pStyle w:val="ListBullet"/>
      </w:pPr>
      <w:r>
        <w:t>Suivi carcinologique : scanner TAP tous les 2–3 mois ; marqueurs ACE et CA 19-9.</w:t>
      </w:r>
    </w:p>
    <w:p>
      <w:pPr>
        <w:pStyle w:val="ListBullet"/>
      </w:pPr>
      <w:r>
        <w:t>Statut RAS confirmé obligatoire avant initiation.</w:t>
      </w:r>
    </w:p>
    <w:p>
      <w:r/>
      <w:r>
        <w:rPr>
          <w:b/>
        </w:rPr>
        <w:t>Arbitrage et Bénéfices des Formes Galéniques :</w:t>
      </w:r>
      <w:r/>
    </w:p>
    <w:p>
      <w:r>
        <w:t>Le panitumumab est disponible uniquement en forme IV (20 mg/mL, flacons de 100 mg/5 mL et 400 mg/20 mL). Le schéma toutes les 2 semaines (vs hebdomadaire pour le cetuximab) simplifie l'organisation des cures. La dose fixe en mg/kg (sans adaptation à la surface corporelle) facilite la prescription. La planification de la prescription vise à minimiser le gaspillage (flacons de 100 mg et 400 mg).</w:t>
      </w:r>
    </w:p>
    <w:p>
      <w:r/>
      <w:r>
        <w:rPr>
          <w:b/>
        </w:rPr>
        <w:t>Instructions et Conseils au Patient :</w:t>
      </w:r>
      <w:r/>
    </w:p>
    <w:p>
      <w:pPr>
        <w:pStyle w:val="ListBullet"/>
      </w:pPr>
      <w:r>
        <w:t>Communication au comptoir : « Le panitumumab est un anticorps monoclonal totalement humain ciblant l'EGFR de vos cellules tumorales colorectales. Il est administré en perfusion IV toutes les 2 semaines. Les effets indésirables sont similaires à ceux du cetuximab : rash cutané acnéiforme (à signaler, à traiter précocement), diarrhée, fatigue, hypomagnésémie. Prévenez votre médecin en cas de rash sévère, diarrhée persistante, fièvre, essoufflement. Une photoprotection stricte est obligatoire. »</w:t>
      </w:r>
    </w:p>
    <w:p>
      <w:pPr>
        <w:pStyle w:val="ListBullet"/>
      </w:pPr>
      <w:r>
        <w:t>Observance : émollients 2×/j, photoprotection FPS 50+, loperamide dès la première selle molle, signaler tout effet indésirable.</w:t>
      </w:r>
    </w:p>
    <w:p>
      <w:pPr>
        <w:pStyle w:val="ListBullet"/>
      </w:pPr>
      <w:r>
        <w:t>Hygiène de vie : photoprotection stricte ; alimentation riche en magnésium ; éviter les produits cosmétiques alcoolisés.</w:t>
      </w:r>
    </w:p>
    <w:p>
      <w:pPr>
        <w:pStyle w:val="ListBullet"/>
      </w:pPr>
      <w:r>
        <w:t>Femmes en âge de procréer : double contraception obligatoire pendant et 6 mois après.</w:t>
      </w:r>
    </w:p>
    <w:p>
      <w:r/>
      <w:r>
        <w:rPr>
          <w:b/>
        </w:rPr>
        <w:t>Notes, Règles d'Or &amp; Pièges au Comptoir :</w:t>
      </w:r>
      <w:r/>
    </w:p>
    <w:p>
      <w:pPr>
        <w:pStyle w:val="ListBullet"/>
      </w:pPr>
      <w:r>
        <w:t>Règle d'or : recherche systématique des mutations RAS avant initiation.</w:t>
      </w:r>
    </w:p>
    <w:p>
      <w:pPr>
        <w:pStyle w:val="ListBullet"/>
      </w:pPr>
      <w:r>
        <w:t>Piège : la tolérance cutanée est similaire au cetuximab — prophylaxie identique.</w:t>
      </w:r>
    </w:p>
    <w:p>
      <w:pPr>
        <w:pStyle w:val="ListBullet"/>
      </w:pPr>
      <w:r>
        <w:t>Règle : pas de pré-médication systématique avant la première cure (AcM totalement humain, immunogénicité quasi-nulle), mais surveillance rapprochée.</w:t>
      </w:r>
    </w:p>
    <w:p>
      <w:pPr>
        <w:pStyle w:val="ListBullet"/>
      </w:pPr>
      <w:r>
        <w:t>Piège : ne pas substituer panitumumab par cetuximab en cas de RLP au panitumumab (risque d'allergie croisée — les deux AcM ciblent le même épitope).</w:t>
      </w:r>
    </w:p>
    <w:p>
      <w:pPr>
        <w:pStyle w:val="ListBullet"/>
      </w:pPr>
      <w:r>
        <w:t>Surveillance : hypomagnésémie profonde possible — supplémenter systématiquement.</w:t>
      </w:r>
    </w:p>
    <w:p>
      <w:pPr>
        <w:pStyle w:val="ListBullet"/>
      </w:pPr>
      <w:r>
        <w:t>Règle : schéma toutes les 2 semaines (vs hebdomadaire pour le cetuximab) — ne pas confondre les schémas posologiques.</w:t>
      </w:r>
    </w:p>
    <w:p>
      <w:pPr>
        <w:pStyle w:val="Heading2"/>
      </w:pPr>
      <w:r>
        <w:t>106.6 Sous-classe : AcM Anti-VEGF</w:t>
      </w:r>
    </w:p>
    <w:p>
      <w:r>
        <w:t>Le vascular endothelial growth factor (VEGF-A) est le principal facteur de croissance endothélial impliqué dans l'angiogenèse tumorale, processus indispensable à la croissance tumorale au-delà de 1–2 mm³ et à la dissémination métastatique. Le VEGF-A se lie à deux récepteurs tyrosine kinase endothéliaux, VEGFR-1 (Flt-1) et VEGFR-2 (KDR/Flk-1), déclenchant la cascade de signalisation prolifération endothéliale-migration-survie-vasoperméabilité. L'hypoxie tumorale (facteur HIF-1α) est le principal inducteur de la sécrétion de VEGF par les cellules tumorales. Les AcM anti-VEGF/VEGFR ont pour cible soit le ligand (bevacizumab, aflibercept — piège soluble), soit le récepteur VEGFR-2 (ramucirumab), bloquant la cascade angiogénique. Le bevacizumab (Avastin, 2004) est le chef de file, indiqué dans de nombreuses tumeurs solides (cancers colorectal, du sein, du poumon, du rein, de l'ovaire, du cerveau — glioblastome) en association à la chimiothérapie. L'aflibercept (Zaltrap, 2012) est une protéine de fusion recombinante (portion extracellulaire de VEGFR-1 et VEGFR-2 fusionnée au Fc de l'IgG1 humaine) qui fonctionne comme un piège soluble à haute affinité pour le VEGF-A, VEGF-B et PIGF, indiqué dans le CCRm résistant à l'oxaliplatine (schéma FOLFIRI + aflibercept) et en injection intravitréenne pour la DMLA humide (forme ophtalmologique Eylea, non couverte ici). Le ramucirumab (Cyramza, 2014) est un AcM totalement humain IgG1 anti-VEGFR-2 indiqué en 2e ligne des cancers gastriques avancés (étude REGARD), en association au paclitaxel (étude RAINBOW), et dans le CCRm, le cancer du poumon, le cancer du foie (hépatocarcinome). Le profil de tolérance commun aux anti-VEGF est dominé par l'hypertension artérielle (effet pharmacodynamique — inhibition du tonus vasculaire dépendant du VEGF/NO), la protéinurie (atteinte glomérulaire), le risque hémorragique, les thromboses artérielles et veineuses, les complications de cicatrisation (arrêt avant chirurgie), les perforations digestives (surtout cancers digestifs), et plus rarement le syndrome d'encéphalopathie postérieure réversible (PRES) et l'insuffisance cardiaque. La surveillance de la TA, de la protéinurie (bandelette urinaire avant chaque cure), du bilan de coagulation et de la fonction rénale est systématique. Le bevacizumab est à arrêter 6 semaines avant une chirurgie programmée et 28 jours après.</w:t>
      </w:r>
    </w:p>
    <w:p>
      <w:pPr>
        <w:pStyle w:val="Heading3"/>
      </w:pPr>
      <w:r>
        <w:t>106.6.1 DCI : Bevacizumab</w:t>
      </w:r>
    </w:p>
    <w:p>
      <w:r/>
      <w:r>
        <w:rPr>
          <w:b/>
        </w:rPr>
        <w:t>Liste des Catégories :</w:t>
      </w:r>
      <w:r>
        <w:t xml:space="preserve"> Antinéoplasiques ; Anticorps monoclonal humanisé IgG1 anti-VEGF-A ; Thérapie anti-angiogénique des cancers solides (colorectal, sein, poumon, rein, ovaire, cerveau) ; Liste I.</w:t>
      </w:r>
    </w:p>
    <w:p>
      <w:r>
        <w:t>Le bevacizumab (Avastin®, Roche) est un AcM humanisé IgG1κ recombinant dirigé contre toutes les isoformes du VEGF-A (VEGF-A121, VEGF-A165, VEGF-A189, VEGF-A206), empêchant la liaison à VEGFR-1 et VEGFR-2. Il a obtenu une AMM FDA en février 2004 et EMA en janvier 2005. Premier AcM anti-angiogénique commercialisé, il a transformé la prise en charge de nombreuses tumeurs solides en association à la chimiothérapie. Son mécanisme d'action combine : (i) blocage du VEGF-A, inhibant la prolifération et la migration endothéliales, normalisant la vascularisation tumorale (réduction de la perméabilité, amélioration de la délivrance de la chimiothérapie), (ii) inhibition de l'angiogenèse tumorale (réduction du flux sanguin tumoral), (iii) inhibition de la dissémination métastatique. Le bevacizumab est indiqué dans le cancer colorectal métastatique (CCRm) en association à la chimiothérapie (FOLFIRI, FOLFOX, XELOX), dans le cancer du sein métastatique en association au paclitaxel (indication restreinte aux cancers HER2-négatifs, retirée par la FDA en 2011 pour manque de bénéfice en survie globale mais maintenue en Europe), dans le CBNPC non épidermoïde en association au carboplatine + paclitaxel, dans le cancer du rein métastatique en association à l'interféron alpha, dans le cancer de l'ovaire en association à la chimiothérapie puis en entretien, dans le cancer du col utérin récidivant en association au cisplatine + paclitaxel, et dans le glioblastome récidivant en monothérapie. Il est inscrit sur la liste des médicaments essentiels OMS.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ACURA</w:t>
            </w:r>
          </w:p>
        </w:tc>
        <w:tc>
          <w:tcPr>
            <w:tcW w:type="dxa" w:w="1559"/>
          </w:tcPr>
          <w:p>
            <w:r>
              <w:rPr>
                <w:sz w:val="20"/>
              </w:rPr>
              <w:t>EL KENDI INDUSTRIE DU MEDICAMENT</w:t>
            </w:r>
          </w:p>
        </w:tc>
        <w:tc>
          <w:tcPr>
            <w:tcW w:type="dxa" w:w="1559"/>
          </w:tcPr>
          <w:p>
            <w:r>
              <w:rPr>
                <w:sz w:val="20"/>
              </w:rPr>
              <w:t>Solution à diluer pour perfusion — 25 mg/mL</w:t>
            </w:r>
          </w:p>
        </w:tc>
        <w:tc>
          <w:tcPr>
            <w:tcW w:type="dxa" w:w="1559"/>
          </w:tcPr>
          <w:p>
            <w:r>
              <w:rPr>
                <w:sz w:val="20"/>
              </w:rPr>
              <w:t>B/1 flacon verre type I 4 mL (100 mg) ou 16 mL (400 mg)</w:t>
            </w:r>
          </w:p>
        </w:tc>
        <w:tc>
          <w:tcPr>
            <w:tcW w:type="dxa" w:w="1559"/>
          </w:tcPr>
          <w:p>
            <w:r>
              <w:rPr>
                <w:sz w:val="20"/>
              </w:rPr>
              <w:t>Liste I</w:t>
            </w:r>
          </w:p>
        </w:tc>
        <w:tc>
          <w:tcPr>
            <w:tcW w:type="dxa" w:w="1559"/>
          </w:tcPr>
          <w:p>
            <w:r>
              <w:rPr>
                <w:sz w:val="20"/>
              </w:rPr>
              <w:t>Actif</w:t>
            </w:r>
          </w:p>
        </w:tc>
      </w:tr>
      <w:tr>
        <w:tc>
          <w:tcPr>
            <w:tcW w:type="dxa" w:w="1559"/>
          </w:tcPr>
          <w:p>
            <w:r>
              <w:rPr>
                <w:sz w:val="20"/>
              </w:rPr>
              <w:t>AVEGRA BIOCAD</w:t>
            </w:r>
          </w:p>
        </w:tc>
        <w:tc>
          <w:tcPr>
            <w:tcW w:type="dxa" w:w="1559"/>
          </w:tcPr>
          <w:p>
            <w:r>
              <w:rPr>
                <w:sz w:val="20"/>
              </w:rPr>
              <w:t>JSC BIOCAD</w:t>
            </w:r>
          </w:p>
        </w:tc>
        <w:tc>
          <w:tcPr>
            <w:tcW w:type="dxa" w:w="1559"/>
          </w:tcPr>
          <w:p>
            <w:r>
              <w:rPr>
                <w:sz w:val="20"/>
              </w:rPr>
              <w:t>Solution à diluer pour perfusion — 25 mg/mL</w:t>
            </w:r>
          </w:p>
        </w:tc>
        <w:tc>
          <w:tcPr>
            <w:tcW w:type="dxa" w:w="1559"/>
          </w:tcPr>
          <w:p>
            <w:r>
              <w:rPr>
                <w:sz w:val="20"/>
              </w:rPr>
              <w:t>B/1 flacon verre type I 4 mL ou 16 mL</w:t>
            </w:r>
          </w:p>
        </w:tc>
        <w:tc>
          <w:tcPr>
            <w:tcW w:type="dxa" w:w="1559"/>
          </w:tcPr>
          <w:p>
            <w:r>
              <w:rPr>
                <w:sz w:val="20"/>
              </w:rPr>
              <w:t>Liste I</w:t>
            </w:r>
          </w:p>
        </w:tc>
        <w:tc>
          <w:tcPr>
            <w:tcW w:type="dxa" w:w="1559"/>
          </w:tcPr>
          <w:p>
            <w:r>
              <w:rPr>
                <w:sz w:val="20"/>
              </w:rPr>
              <w:t>Actif</w:t>
            </w:r>
          </w:p>
        </w:tc>
      </w:tr>
      <w:tr>
        <w:tc>
          <w:tcPr>
            <w:tcW w:type="dxa" w:w="1559"/>
          </w:tcPr>
          <w:p>
            <w:r>
              <w:rPr>
                <w:sz w:val="20"/>
              </w:rPr>
              <w:t>BEVACIZUMAB-SAIDAL</w:t>
            </w:r>
          </w:p>
        </w:tc>
        <w:tc>
          <w:tcPr>
            <w:tcW w:type="dxa" w:w="1559"/>
          </w:tcPr>
          <w:p>
            <w:r>
              <w:rPr>
                <w:sz w:val="20"/>
              </w:rPr>
              <w:t>GROUPE SAIDAL</w:t>
            </w:r>
          </w:p>
        </w:tc>
        <w:tc>
          <w:tcPr>
            <w:tcW w:type="dxa" w:w="1559"/>
          </w:tcPr>
          <w:p>
            <w:r>
              <w:rPr>
                <w:sz w:val="20"/>
              </w:rPr>
              <w:t>Solution à diluer pour perfusion — 25 mg/mL</w:t>
            </w:r>
          </w:p>
        </w:tc>
        <w:tc>
          <w:tcPr>
            <w:tcW w:type="dxa" w:w="1559"/>
          </w:tcPr>
          <w:p>
            <w:r>
              <w:rPr>
                <w:sz w:val="20"/>
              </w:rPr>
              <w:t>B/1 flacon verre type I 4 mL ou 16 mL</w:t>
            </w:r>
          </w:p>
        </w:tc>
        <w:tc>
          <w:tcPr>
            <w:tcW w:type="dxa" w:w="1559"/>
          </w:tcPr>
          <w:p>
            <w:r>
              <w:rPr>
                <w:sz w:val="20"/>
              </w:rPr>
              <w:t>Liste I</w:t>
            </w:r>
          </w:p>
        </w:tc>
        <w:tc>
          <w:tcPr>
            <w:tcW w:type="dxa" w:w="1559"/>
          </w:tcPr>
          <w:p>
            <w:r>
              <w:rPr>
                <w:sz w:val="20"/>
              </w:rPr>
              <w:t>Actif</w:t>
            </w:r>
          </w:p>
        </w:tc>
      </w:tr>
      <w:tr>
        <w:tc>
          <w:tcPr>
            <w:tcW w:type="dxa" w:w="1559"/>
          </w:tcPr>
          <w:p>
            <w:r>
              <w:rPr>
                <w:sz w:val="20"/>
              </w:rPr>
              <w:t>SIMBIVA</w:t>
            </w:r>
          </w:p>
        </w:tc>
        <w:tc>
          <w:tcPr>
            <w:tcW w:type="dxa" w:w="1559"/>
          </w:tcPr>
          <w:p>
            <w:r>
              <w:rPr>
                <w:sz w:val="20"/>
              </w:rPr>
              <w:t>BIOCON BIOLOGICS INDIA LIMITED</w:t>
            </w:r>
          </w:p>
        </w:tc>
        <w:tc>
          <w:tcPr>
            <w:tcW w:type="dxa" w:w="1559"/>
          </w:tcPr>
          <w:p>
            <w:r>
              <w:rPr>
                <w:sz w:val="20"/>
              </w:rPr>
              <w:t>Solution à diluer pour perfusion — 25 mg/mL</w:t>
            </w:r>
          </w:p>
        </w:tc>
        <w:tc>
          <w:tcPr>
            <w:tcW w:type="dxa" w:w="1559"/>
          </w:tcPr>
          <w:p>
            <w:r>
              <w:rPr>
                <w:sz w:val="20"/>
              </w:rPr>
              <w:t>B/1 flacon verre type I 4 mL ou 16 mL</w:t>
            </w:r>
          </w:p>
        </w:tc>
        <w:tc>
          <w:tcPr>
            <w:tcW w:type="dxa" w:w="1559"/>
          </w:tcPr>
          <w:p>
            <w:r>
              <w:rPr>
                <w:sz w:val="20"/>
              </w:rPr>
              <w:t>Liste I</w:t>
            </w:r>
          </w:p>
        </w:tc>
        <w:tc>
          <w:tcPr>
            <w:tcW w:type="dxa" w:w="1559"/>
          </w:tcPr>
          <w:p>
            <w:r>
              <w:rPr>
                <w:sz w:val="20"/>
              </w:rPr>
              <w:t>Actif</w:t>
            </w:r>
          </w:p>
        </w:tc>
      </w:tr>
      <w:tr>
        <w:tc>
          <w:tcPr>
            <w:tcW w:type="dxa" w:w="1559"/>
          </w:tcPr>
          <w:p>
            <w:r>
              <w:rPr>
                <w:sz w:val="20"/>
              </w:rPr>
              <w:t>VERSAVO</w:t>
            </w:r>
          </w:p>
        </w:tc>
        <w:tc>
          <w:tcPr>
            <w:tcW w:type="dxa" w:w="1559"/>
          </w:tcPr>
          <w:p>
            <w:r>
              <w:rPr>
                <w:sz w:val="20"/>
              </w:rPr>
              <w:t>ORION LAB</w:t>
            </w:r>
          </w:p>
        </w:tc>
        <w:tc>
          <w:tcPr>
            <w:tcW w:type="dxa" w:w="1559"/>
          </w:tcPr>
          <w:p>
            <w:r>
              <w:rPr>
                <w:sz w:val="20"/>
              </w:rPr>
              <w:t>Solution à diluer pour perfusion — 25 mg/mL</w:t>
            </w:r>
          </w:p>
        </w:tc>
        <w:tc>
          <w:tcPr>
            <w:tcW w:type="dxa" w:w="1559"/>
          </w:tcPr>
          <w:p>
            <w:r>
              <w:rPr>
                <w:sz w:val="20"/>
              </w:rPr>
              <w:t>B/1 flacon verre type I 4 mL ou 16 mL</w:t>
            </w:r>
          </w:p>
        </w:tc>
        <w:tc>
          <w:tcPr>
            <w:tcW w:type="dxa" w:w="1559"/>
          </w:tcPr>
          <w:p>
            <w:r>
              <w:rPr>
                <w:sz w:val="20"/>
              </w:rPr>
              <w:t>Liste I</w:t>
            </w:r>
          </w:p>
        </w:tc>
        <w:tc>
          <w:tcPr>
            <w:tcW w:type="dxa" w:w="1559"/>
          </w:tcPr>
          <w:p>
            <w:r>
              <w:rPr>
                <w:sz w:val="20"/>
              </w:rPr>
              <w:t>Actif</w:t>
            </w:r>
          </w:p>
        </w:tc>
      </w:tr>
      <w:tr>
        <w:tc>
          <w:tcPr>
            <w:tcW w:type="dxa" w:w="1559"/>
          </w:tcPr>
          <w:p>
            <w:r>
              <w:rPr>
                <w:sz w:val="20"/>
              </w:rPr>
              <w:t>ZIRABEV</w:t>
            </w:r>
          </w:p>
        </w:tc>
        <w:tc>
          <w:tcPr>
            <w:tcW w:type="dxa" w:w="1559"/>
          </w:tcPr>
          <w:p>
            <w:r>
              <w:rPr>
                <w:sz w:val="20"/>
              </w:rPr>
              <w:t>PFIZER EUROPE MA EEIG</w:t>
            </w:r>
          </w:p>
        </w:tc>
        <w:tc>
          <w:tcPr>
            <w:tcW w:type="dxa" w:w="1559"/>
          </w:tcPr>
          <w:p>
            <w:r>
              <w:rPr>
                <w:sz w:val="20"/>
              </w:rPr>
              <w:t>Solution à diluer pour perfusion — 25 mg/mL</w:t>
            </w:r>
          </w:p>
        </w:tc>
        <w:tc>
          <w:tcPr>
            <w:tcW w:type="dxa" w:w="1559"/>
          </w:tcPr>
          <w:p>
            <w:r>
              <w:rPr>
                <w:sz w:val="20"/>
              </w:rPr>
              <w:t>B/1 flacon verre type I 4 mL ou 16 mL</w:t>
            </w:r>
          </w:p>
        </w:tc>
        <w:tc>
          <w:tcPr>
            <w:tcW w:type="dxa" w:w="1559"/>
          </w:tcPr>
          <w:p>
            <w:r>
              <w:rPr>
                <w:sz w:val="20"/>
              </w:rPr>
              <w:t>Liste I</w:t>
            </w:r>
          </w:p>
        </w:tc>
        <w:tc>
          <w:tcPr>
            <w:tcW w:type="dxa" w:w="1559"/>
          </w:tcPr>
          <w:p>
            <w:r>
              <w:rPr>
                <w:sz w:val="20"/>
              </w:rPr>
              <w:t>Actif</w:t>
            </w:r>
          </w:p>
        </w:tc>
      </w:tr>
      <w:tr>
        <w:tc>
          <w:tcPr>
            <w:tcW w:type="dxa" w:w="1559"/>
          </w:tcPr>
          <w:p>
            <w:r>
              <w:rPr>
                <w:sz w:val="20"/>
              </w:rPr>
              <w:t>AVASTIN (R)</w:t>
            </w:r>
          </w:p>
        </w:tc>
        <w:tc>
          <w:tcPr>
            <w:tcW w:type="dxa" w:w="1559"/>
          </w:tcPr>
          <w:p>
            <w:r>
              <w:rPr>
                <w:sz w:val="20"/>
              </w:rPr>
              <w:t>ROCHE PHARMA (SCHWEIZ) LTD</w:t>
            </w:r>
          </w:p>
        </w:tc>
        <w:tc>
          <w:tcPr>
            <w:tcW w:type="dxa" w:w="1559"/>
          </w:tcPr>
          <w:p>
            <w:r>
              <w:rPr>
                <w:sz w:val="20"/>
              </w:rPr>
              <w:t>Solution à diluer pour perfusion — 25 mg/mL (100 mg/4 mL ou 400 mg/16 mL)</w:t>
            </w:r>
          </w:p>
        </w:tc>
        <w:tc>
          <w:tcPr>
            <w:tcW w:type="dxa" w:w="1559"/>
          </w:tcPr>
          <w:p>
            <w:r>
              <w:rPr>
                <w:sz w:val="20"/>
              </w:rPr>
              <w:t>Flacon ampoule 4 mL ou 16 mL</w:t>
            </w:r>
          </w:p>
        </w:tc>
        <w:tc>
          <w:tcPr>
            <w:tcW w:type="dxa" w:w="1559"/>
          </w:tcPr>
          <w:p>
            <w:r>
              <w:rPr>
                <w:sz w:val="20"/>
              </w:rPr>
              <w:t>Liste I</w:t>
            </w:r>
          </w:p>
        </w:tc>
        <w:tc>
          <w:tcPr>
            <w:tcW w:type="dxa" w:w="1559"/>
          </w:tcPr>
          <w:p>
            <w:r>
              <w:rPr>
                <w:sz w:val="20"/>
              </w:rPr>
              <w:t>Non renouvelable</w:t>
            </w:r>
          </w:p>
        </w:tc>
      </w:tr>
      <w:tr>
        <w:tc>
          <w:tcPr>
            <w:tcW w:type="dxa" w:w="1559"/>
          </w:tcPr>
          <w:p>
            <w:r>
              <w:rPr>
                <w:sz w:val="20"/>
              </w:rPr>
              <w:t>MVASI (R)</w:t>
            </w:r>
          </w:p>
        </w:tc>
        <w:tc>
          <w:tcPr>
            <w:tcW w:type="dxa" w:w="1559"/>
          </w:tcPr>
          <w:p>
            <w:r>
              <w:rPr>
                <w:sz w:val="20"/>
              </w:rPr>
              <w:t>AMGEN TECHNOLOGY UNLIMITED COMPANY (AMGEN DUN LAOGHAIRE)</w:t>
            </w:r>
          </w:p>
        </w:tc>
        <w:tc>
          <w:tcPr>
            <w:tcW w:type="dxa" w:w="1559"/>
          </w:tcPr>
          <w:p>
            <w:r>
              <w:rPr>
                <w:sz w:val="20"/>
              </w:rPr>
              <w:t>Poudre pour solution à diluer pour perfusion — 25 mg/mL</w:t>
            </w:r>
          </w:p>
        </w:tc>
        <w:tc>
          <w:tcPr>
            <w:tcW w:type="dxa" w:w="1559"/>
          </w:tcPr>
          <w:p>
            <w:r>
              <w:rPr>
                <w:sz w:val="20"/>
              </w:rPr>
              <w:t>B/1 flacon 4 mL et B/1 flacon 16 mL (400 mg)</w:t>
            </w:r>
          </w:p>
        </w:tc>
        <w:tc>
          <w:tcPr>
            <w:tcW w:type="dxa" w:w="1559"/>
          </w:tcPr>
          <w:p>
            <w:r>
              <w:rPr>
                <w:sz w:val="20"/>
              </w:rPr>
              <w:t>Liste I</w:t>
            </w:r>
          </w:p>
        </w:tc>
        <w:tc>
          <w:tcPr>
            <w:tcW w:type="dxa" w:w="1559"/>
          </w:tcPr>
          <w:p>
            <w:r>
              <w:rPr>
                <w:sz w:val="20"/>
              </w:rPr>
              <w:t>Retrait</w:t>
            </w:r>
          </w:p>
        </w:tc>
      </w:tr>
    </w:tbl>
    <w:p/>
    <w:p>
      <w:r>
        <w:t>Le bevacizumab est délivré en Algérie via le circuit hospitalier spécialisé en oncologie médicale. La spécialité princeps Avastin (Roche) est désormais non renouvelable, remplacée par 6 biosimilaires disponibles : AcurA (El Kendi), Avegra Biocad (Biocad), Bevacizumab-Saidal (Saidal), Simbiva (Biocon), Versavo (Orion), Zirabev (Pfizer). Le biosimilaire Mvasi (Amgen) a été retiré du marché algérien. Les dosages à 100 mg/4 mL et 400 mg/16 mL (25 mg/mL) permettent l'adaptation pondérale (5–15 mg/kg selon indication).</w:t>
      </w:r>
    </w:p>
    <w:p>
      <w:r/>
      <w:r>
        <w:rPr>
          <w:b/>
        </w:rPr>
        <w:t>Sous-classe et Mécanisme d'action :</w:t>
      </w:r>
      <w:r/>
    </w:p>
    <w:p>
      <w:pPr>
        <w:pStyle w:val="ListBullet"/>
      </w:pPr>
      <w:r>
        <w:t>Sous-classe : AcM humanisé IgG1κ anti-VEGF-A (toutes isoformes), chef de file des AcM anti-angiogéniques. DCI inscrite sur la liste des médicaments essentiels OMS.</w:t>
      </w:r>
    </w:p>
    <w:p>
      <w:pPr>
        <w:pStyle w:val="ListBullet"/>
      </w:pPr>
      <w:r>
        <w:t>Mécanisme d'action : (i) Blocage compétitif de la liaison du VEGF-A (toutes isoformes : VEGF-A121, VEGF-A165, VEGF-A189, VEGF-A206) à VEGFR-1 et VEGFR-2 endothéliaux, inhibant la cascade de signalisation de l'angiogenèse tumorale. (ii) Normalisation de la vascularisation tumorale (réduction de la perméabilité vasculaire, amélioration transitoire de la perfusion et de la délivrance de la chimiothérapie). (iii) Inhibition de la prolifération et de la migration endothéliales (réduction du flux sanguin tumoral). (iv) Inhibition de la dissémination métastatique (réduction de la vascularisation des métastases). (v) Effet anti-lymphangiogénique (blocage partiel du VEGF-C/D via interaction VEGFR-2). L'effet est cytostatique (pas de cytotoxicité directe), justifiant l'association à la chimiothérapie cytotoxique.</w:t>
      </w:r>
    </w:p>
    <w:p>
      <w:r/>
      <w:r>
        <w:rPr>
          <w:b/>
        </w:rPr>
        <w:t>Profil Pharmacologique :</w:t>
      </w:r>
      <w:r/>
    </w:p>
    <w:p>
      <w:pPr>
        <w:pStyle w:val="ListBullet"/>
      </w:pPr>
      <w:r>
        <w:t>Indications : (1) Cancer colorectal métastatique (CCRm) en association à la chimiothérapie (FOLFIRI, FOLFOX, XELOX) en 1re ou 2e ligne ; en entretien après 6 cycles de chimiothérapie d'induction (schéma « maintenance »). (2) Cancer du sein métastatique HER2-négatif en association au paclitaxel (1re ligne) ou capecitabine (indication restreinte Europe, retirée FDA). (3) CBNPC non épidermoïde avancé en association au carboplatine + paclitaxel ou cisplatine + pemetrexed (1re ligne) ; en association à l'erlotinib (mutations EGFR+). (4) Cancer du rein métastatique en association à l'interféron alpha (1re ligne, indication historique) ou à l'atezolizumab. (5) Cancer de l'ovaire avancé en association à la chimiothérapie (carboplatine + paclitaxel) puis en entretien. (6) Cancer du col utérin récidivant en association au cisplatine + paclitaxel. (7) Glioblastome récidivant en monothérapie (2e ligne).</w:t>
      </w:r>
    </w:p>
    <w:p>
      <w:pPr>
        <w:pStyle w:val="ListBullet"/>
      </w:pPr>
      <w:r>
        <w:t>Contre-indications : Hypersensibilité au bevacizumab ou à l'un des excipients. Hypertension artérielle sévère non contrôlée (&gt; 150/100 mmHg). Insuffisance rénale sévère (CrCl &lt; 30 mL/min) en raison de la protéinurie majorée. Protéinurie ≥ 2+ à la bandelette (≥ 1 g/24 h). Antécédents récents (&lt; 6 mois) de thrombose artérielle (infarctus du myocarde, AVC ischémique, AIT). Hémorragie massive récente ou non contrôlée. Chirurgie majeure &lt; 28 jours avant initiation ou plaie non cicatrisée. Ulcère digestif actif. Fistule digestive. Tumeur cavitaire pulmonaire. Cirrhose hépatique sévère (Child-Pugh C). Encéphalopathie hépatique. Grossesse (CI relative). Précautions : âge &gt; 65 ans, antécédents thromboemboliques veineux, hypertension traitée, diabète, insuffisance rénale modérée, traitement anticoagulant.</w:t>
      </w:r>
    </w:p>
    <w:p>
      <w:pPr>
        <w:pStyle w:val="ListBullet"/>
      </w:pPr>
      <w:r>
        <w:t>Effets Indésirables : Très fréquents (&gt; 10 %) : hypertension artérielle (20–40 % — effet pharmacodynamique, parfois grade 3 dans 5–10 %), protéinurie (20–40 % — bandelette, parfois syndrome néphrotique dans &lt; 2 %), saignement (30 % — surtout épistaxis mineur grade 1, parfois hémorragie sévère grade 3–4 dans 2–5 % : hémoptysie en cas de cancer pulmonaire, hémorragie digestive, hémorragie cérébrale), thrombose veineuse profonde (10–15 %), fatigue, asthénie, nausées, diarrhée, constipation, stomatite, perte d'appétit, perte de poids, neutropénie (en association à la chimiothérapie), alopécie (en association). Fréquents (1–10 %) : thrombose artérielle (infarctus du myocarde, AVC ischémique — 2–5 %), hypertension artérielle sévère, insuffisance cardiaque congestive (surtout antécédents d'anthracyclines), hypertonie, dysphonie, conjonctivite, rhinite, troubles du goût, syndrome main-pied (en association à la capecitabine), retard de cicatrisation, perforation digestive (1–3 % — surtout cancers digestifs), fistule digestive (1–2 %), pneumopathie interstitielle. Peu fréquents (0,1–1 %) : syndrome d'encéphalopathie postérieure réversible (PRES — convulsions, troubles visuels, céphalées, hypertension), hypertension pulmonaire, microangiopathie thrombotique, syndrome néphrotique, hémorragie pulmonaire massive (surtout cancers pulmonaires épidermoïdes — contre-indication), ostéonécrose de la mâchoire. Rares : anaphylaxie, choc hémorragique, décès par perforation digestive.</w:t>
      </w:r>
    </w:p>
    <w:p>
      <w:r/>
      <w:r>
        <w:rPr>
          <w:b/>
        </w:rPr>
        <w:t>Prévention et Gestion des Effets Indésirables :</w:t>
      </w:r>
      <w:r/>
    </w:p>
    <w:p>
      <w:pPr>
        <w:pStyle w:val="ListBullet"/>
      </w:pPr>
      <w:r>
        <w:t>Mesures Préventives : Contrôle tensionnel strict avant initiation (TA &lt; 150/100 mmHg) et pendant le traitement (auto-mesure tensionnelle à domicile, consultation si TA &gt; 140/90). Bandelette urinaire avant chaque cycle (seuil protéinurie : 1+ poursuite, 2+ arrêt transitoire et dosage quantitative 24 h, ≥ 1 g/24 h arrêt jusqu'à récupération &lt; 1 g). NFS-plaquettes, bilan hépatique, créatinine, ionogramme, TP, TCA, fibrinogène avant chaque cycle. Surveillance ECG, échographie cardiaque si antécédents cardiovasculaires. Arrêt du bevacizumab 6 semaines avant une chirurgie programmée (retour à la perfusion après cicatrisation complète, ≥ 28 jours post-op). Éviter en cas de tumeur cavitaire pulmonaire ou de cancer pulmonaire épidermoïde (risque d'hémorragie pulmonaire massive). Pas d'indication dans les cancers digestifs avec risque élevé de perforation.</w:t>
      </w:r>
    </w:p>
    <w:p>
      <w:pPr>
        <w:pStyle w:val="ListBullet"/>
      </w:pPr>
      <w:r>
        <w:t>Conduite à Tenir : Hypertension grade 1 (&gt; 140/90, asymptomatique) : poursuite, surveillance, antihypertenseur si besoin (IEC ou ARA2 en 1re intention). Grade 2 (&gt; 160/100, traitement requis) : poursuite + antihypertenseur. Grade 3 (&gt; 180/110 ou hospitalisation) : arrêt transitoire, traitement antihypertenseur IV (nicardipine), reprise si contrôle à &lt; 150/100. Grade 4 (urgence hypertensive) : arrêt définitif. Protéinurie grade 2 (1+ à la bandelette) : poursuite, surveillance. Grade 3 (2+, ≥ 1 g/24 h) : arrêt transitoire, dosage quantitatif, reprise si protéinurie &lt; 1 g. Grade 4 (≥ 3,5 g/24 h, syndrome néphrotique) : arrêt définitif. Hémorragie grade 1 (épistaxis mineur) : poursuite, mesures locales. Grade 2 (saignement modéré nécessitant intervention) : arrêt transitoire, traitement symptomatique. Grade 3 (saignement nécessitant transfusion) : arrêt, transfusion, endoscopie/embolisation selon localisation. Grade 4 (menace vitale, hémorragie cérébrale ou pulmonaire massive) : arrêt définitif, réanimation. Thrombose veineuse profonde : anticoagulation curative (HBPM puis AVK), poursuite du bevacizumab possible si équilibre sous anticoagulant. Thrombose artérielle : arrêt définitif. Perforation digestive : arrêt immédiat, chirurgie urgente, antibiothérapie. PRES : arrêt immédiat, IRM cérébrale, anticonvulsivants, contrôle tensionnel.</w:t>
      </w:r>
    </w:p>
    <w:p>
      <w:r/>
      <w:r>
        <w:rPr>
          <w:b/>
        </w:rPr>
        <w:t>Interactions Médicamenteuses :</w:t>
      </w:r>
      <w:r/>
    </w:p>
    <w:p>
      <w:pPr>
        <w:pStyle w:val="ListBullet"/>
      </w:pPr>
      <w:r>
        <w:t>Chimiothérapie (FOLFIRI, FOLFOX, XELOX, paclitaxel, carboplatine, cisplatine, pemetrexed) : synergie d'efficacité, surveillance de la tolérance hématologique (potentialisation de la myélosuppression).</w:t>
      </w:r>
    </w:p>
    <w:p>
      <w:pPr>
        <w:pStyle w:val="ListBullet"/>
      </w:pPr>
      <w:r>
        <w:t>Interféron alpha (cancer du rein) : synergie d'efficacité, surveillance de la tolérance cardiaque et hépatique.</w:t>
      </w:r>
    </w:p>
    <w:p>
      <w:pPr>
        <w:pStyle w:val="ListBullet"/>
      </w:pPr>
      <w:r>
        <w:t>Atezolizumab (cancer du rein, cancer du poumon) : association validée.</w:t>
      </w:r>
    </w:p>
    <w:p>
      <w:pPr>
        <w:pStyle w:val="ListBullet"/>
      </w:pPr>
      <w:r>
        <w:t>Erlotinib (CBNPC EGFR-muté) : association validée.</w:t>
      </w:r>
    </w:p>
    <w:p>
      <w:pPr>
        <w:pStyle w:val="ListBullet"/>
      </w:pPr>
      <w:r>
        <w:t>Anticoagulants et antiagrégants : risque hémorragique majoré — surveillance, arrêt transitoire en cas d'hémorragie.</w:t>
      </w:r>
    </w:p>
    <w:p>
      <w:pPr>
        <w:pStyle w:val="ListBullet"/>
      </w:pPr>
      <w:r>
        <w:t>AINS, aspirine : risque hémorragique et rénal majoré.</w:t>
      </w:r>
    </w:p>
    <w:p>
      <w:pPr>
        <w:pStyle w:val="ListBullet"/>
      </w:pPr>
      <w:r>
        <w:t>Inhibiteurs de l'enzyme de conversion, ARA2 (effet antihypertenseur synergique, surveillance de la protéinurie).</w:t>
      </w:r>
    </w:p>
    <w:p>
      <w:pPr>
        <w:pStyle w:val="ListBullet"/>
      </w:pPr>
      <w:r>
        <w:t>Vaccins vivants : contre-indiqués.</w:t>
      </w:r>
    </w:p>
    <w:p>
      <w:pPr>
        <w:pStyle w:val="ListBullet"/>
      </w:pPr>
      <w:r>
        <w:t>Pas d'interaction avec le CYP450.</w:t>
      </w:r>
    </w:p>
    <w:p>
      <w:r/>
      <w:r>
        <w:rPr>
          <w:b/>
        </w:rPr>
        <w:t>Grossesse et Allaitement :</w:t>
      </w:r>
      <w:r/>
    </w:p>
    <w:p>
      <w:pPr>
        <w:pStyle w:val="ListBullet"/>
      </w:pPr>
      <w:r>
        <w:t>Grossesse : CONTRE-INDICATION ABSOLUE. Le bevacizumab est anti-angiogénique et le VEGF joue un rôle crucial dans le développement placentaire et embryo-fœtal (vascularisation placentaire, organogenèse). Données animales tératogènes (anomalies de développement, mort embryo-fœtale). Contraception obligatoire pendant le traitement et 6 mois après (femme et partenaire masculin).</w:t>
      </w:r>
    </w:p>
    <w:p>
      <w:pPr>
        <w:pStyle w:val="ListBullet"/>
      </w:pPr>
      <w:r>
        <w:t>Allaitement : CONTRE-INDICATION ABSOLUE pendant le traitement et 6 mois après.</w:t>
      </w:r>
    </w:p>
    <w:p>
      <w:r/>
      <w:r>
        <w:rPr>
          <w:b/>
        </w:rPr>
        <w:t>Posologie et Mode d'administration (Standard) :</w:t>
      </w:r>
      <w:r/>
    </w:p>
    <w:p>
      <w:pPr>
        <w:pStyle w:val="ListBullet"/>
      </w:pPr>
      <w:r>
        <w:t>Adulte (CCRm) : 5 mg/kg (ou 10 mg/kg en 2e ligne) IV toutes les 2 semaines, ou 7,5 mg/kg IV toutes les 3 semaines (en association à XELOX ou CAPOX). En association à FOLFIRI/FOLFOX : 5 mg/kg toutes les 2 semaines.</w:t>
      </w:r>
    </w:p>
    <w:p>
      <w:pPr>
        <w:pStyle w:val="ListBullet"/>
      </w:pPr>
      <w:r>
        <w:t>Adulte (cancer du sein) : 10 mg/kg IV toutes les 2 semaines en association au paclitaxel.</w:t>
      </w:r>
    </w:p>
    <w:p>
      <w:pPr>
        <w:pStyle w:val="ListBullet"/>
      </w:pPr>
      <w:r>
        <w:t>Adulte (CBNPC) : 15 mg/kg IV toutes les 3 semaines en association au carboplatine + paclitaxel, ou 7,5 mg/kg toutes les 3 semaines en association au cisplatine + pemetrexed, ou 15 mg/kg toutes les 3 semaines en association à l'atezolizumab + carboplatine + paclitaxel.</w:t>
      </w:r>
    </w:p>
    <w:p>
      <w:pPr>
        <w:pStyle w:val="ListBullet"/>
      </w:pPr>
      <w:r>
        <w:t>Adulte (cancer du rein) : 10 mg/kg IV toutes les 2 semaines en association à l'interféron alpha.</w:t>
      </w:r>
    </w:p>
    <w:p>
      <w:pPr>
        <w:pStyle w:val="ListBullet"/>
      </w:pPr>
      <w:r>
        <w:t>Adulte (cancer de l'ovaire) : 15 mg/kg IV toutes les 3 semaines en association à la chimiothérapie, puis en entretien à la même dose toutes les 3 semaines pendant 15 mois maximum.</w:t>
      </w:r>
    </w:p>
    <w:p>
      <w:pPr>
        <w:pStyle w:val="ListBullet"/>
      </w:pPr>
      <w:r>
        <w:t>Adulte (cancer du col utérin) : 15 mg/kg IV toutes les 3 semaines en association au cisplatine + paclitaxel.</w:t>
      </w:r>
    </w:p>
    <w:p>
      <w:pPr>
        <w:pStyle w:val="ListBullet"/>
      </w:pPr>
      <w:r>
        <w:t>Adulte (glioblastome récidivant) : 10 mg/kg IV toutes les 2 semaines en monothérapie.</w:t>
      </w:r>
    </w:p>
    <w:p>
      <w:pPr>
        <w:pStyle w:val="ListBullet"/>
      </w:pPr>
      <w:r>
        <w:t>Mode d'administration : perfusion IV stricte dans 100 mL NaCl 0,9 % (jamais glucose). Tubing dédié. Première perfusion en 90 min, puis 60 min si tolérance bonne, puis 30 min à partir de la 3e cure. Pas de bolus IV.</w:t>
      </w:r>
    </w:p>
    <w:p>
      <w:pPr>
        <w:pStyle w:val="ListBullet"/>
      </w:pPr>
      <w:r>
        <w:t>Adaptation : hypertension non contrôlée → arrêt ; protéinurie ≥ 1 g/24 h → arrêt transitoire ; hémorragie grade ≥ 3 → arrêt ; thrombose artérielle → arrêt définitif.</w:t>
      </w:r>
    </w:p>
    <w:p>
      <w:pPr>
        <w:pStyle w:val="ListBullet"/>
      </w:pPr>
      <w:r>
        <w:t>Insuffisance hépatique/rénale modérée : pas d'adaptation. Insuffisance rénale sévère (CrCl &lt; 30 mL/min) : éviter.</w:t>
      </w:r>
    </w:p>
    <w:p>
      <w:pPr>
        <w:pStyle w:val="ListBullet"/>
      </w:pPr>
      <w:r>
        <w:t>Arrêt avant chirurgie : 6 semaines (28 jours minimum).</w:t>
      </w:r>
    </w:p>
    <w:p>
      <w:r/>
      <w:r>
        <w:rPr>
          <w:b/>
        </w:rPr>
        <w:t>Surveillance Biologique et Suivi Clinique :</w:t>
      </w:r>
      <w:r/>
    </w:p>
    <w:p>
      <w:pPr>
        <w:pStyle w:val="ListBullet"/>
      </w:pPr>
      <w:r>
        <w:t>Hématologique : NFS-plaquettes avant chaque cure.</w:t>
      </w:r>
    </w:p>
    <w:p>
      <w:pPr>
        <w:pStyle w:val="ListBullet"/>
      </w:pPr>
      <w:r>
        <w:t>Hépatique : ALAT, ASAT, bilirubine mensuels.</w:t>
      </w:r>
    </w:p>
    <w:p>
      <w:pPr>
        <w:pStyle w:val="ListBullet"/>
      </w:pPr>
      <w:r>
        <w:t>Rénale : créatinine, urée, ionogramme avant chaque cure ; protéinurie (bandelette) avant chaque cure, dosage quantitatif 24 h si ≥ 2+.</w:t>
      </w:r>
    </w:p>
    <w:p>
      <w:pPr>
        <w:pStyle w:val="ListBullet"/>
      </w:pPr>
      <w:r>
        <w:t>Cardiovasculaire : TA avant chaque cure (objectif &lt; 140/90) ; ECG si antécédents ; échographie cardiaque si antécédents ou âge &gt; 65 ans.</w:t>
      </w:r>
    </w:p>
    <w:p>
      <w:pPr>
        <w:pStyle w:val="ListBullet"/>
      </w:pPr>
      <w:r>
        <w:t>Coagulation : TP, TCA, fibrinogène avant chaque cure si antécédents thromboemboliques ou traitement anticoagulant.</w:t>
      </w:r>
    </w:p>
    <w:p>
      <w:pPr>
        <w:pStyle w:val="ListBullet"/>
      </w:pPr>
      <w:r>
        <w:t>Clinique : poids, TA à chaque consultation ; examen cardio-pulmonaire ; interrogatoire saignement, douleurs thoraciques, dyspnée, céphalées (PRES), troubles visuels, douleurs abdominales (perforation).</w:t>
      </w:r>
    </w:p>
    <w:p>
      <w:pPr>
        <w:pStyle w:val="ListBullet"/>
      </w:pPr>
      <w:r>
        <w:t>Suivi carcinologique : scanner TAP avant traitement, à 2–3 mois, puis tous les 3 mois ; marqueurs ACE, CA 19-9 (CCR), CA 15-3 (sein), CA 125 (ovaire).</w:t>
      </w:r>
    </w:p>
    <w:p>
      <w:r/>
      <w:r>
        <w:rPr>
          <w:b/>
        </w:rPr>
        <w:t>Arbitrage et Bénéfices des Formes Galéniques :</w:t>
      </w:r>
      <w:r/>
    </w:p>
    <w:p>
      <w:r>
        <w:t>Le bevacizumab est disponible en forme IV (25 mg/mL, flacons de 100 mg/4 mL et 400 mg/16 mL). La spécialité princeps Avastin (Roche) est non renouvelable, remplacée par 6 biosimilaires disponibles (AcurA, Avegra Biocad, Bevacizumab-Saidal, Simbiva, Versavo, Zirabev). Le biosimilaire Mvasi (Amgen) a été retiré du marché algérien. Les biosimilaires sont substituables à l'initiation du traitement. La dose étant calculée en mg/kg (5 à 15 mg/kg selon indication), l'adaptation nécessite des flacons de 100 mg et 400 mg : pour un adulte de 70 kg, dose 5 mg/kg = 350 mg → 1 flacon 400 mg (gaspillage 50 mg) ou 4 flacons 100 mg (gaspi 50 mg) ; dose 15 mg/kg = 1050 mg → 3 flacons 400 mg (gaspillage 150 mg). La planification de la prescription vise à minimiser le gaspillage. La conservation au réfrigérateur (2–8 °C) et la protection de la lumière sont nécessaires.</w:t>
      </w:r>
    </w:p>
    <w:p>
      <w:r/>
      <w:r>
        <w:rPr>
          <w:b/>
        </w:rPr>
        <w:t>Instructions et Conseils au Patient :</w:t>
      </w:r>
      <w:r/>
    </w:p>
    <w:p>
      <w:pPr>
        <w:pStyle w:val="ListBullet"/>
      </w:pPr>
      <w:r>
        <w:t>Communication au comptoir : « Le bevacizumab est un anticorps monoclonal qui bloque le VEGF, protéine responsable de la formation de nouveaux vaisseaux sanguins nourriciers de votre tumeur. Il est administré en perfusion IV à l'hôpital, en association à une chimiothérapie. Les effets indésirables les plus fréquents sont une hypertension artérielle (à surveiller à domicile), une protéinurie (présence de protéines dans les urines — contrôle par bandelette avant chaque cure), un risque de saignement (surtout épistaxis mineur, parfois plus grave), un risque de thrombose (phlébite), de perforation digestive (surtout cancers digestifs). Prévenez immédiatement votre médecin en cas de maux de tête intenses, troubles visuels, hypertension non contrôlée, saignement anormal, douleurs abdominales intenses, essoufflement. Une contraception stricte est obligatoire. Le traitement doit être arrêté 6 semaines avant toute chirurgie programmée. »</w:t>
      </w:r>
    </w:p>
    <w:p>
      <w:pPr>
        <w:pStyle w:val="ListBullet"/>
      </w:pPr>
      <w:r>
        <w:t>Observance : auto-mesure tensionnelle à domicile 2×/semaine ; signaler tout saignement, céphalée intense, trouble visuel, douleur abdominale.</w:t>
      </w:r>
    </w:p>
    <w:p>
      <w:pPr>
        <w:pStyle w:val="ListBullet"/>
      </w:pPr>
      <w:r>
        <w:t>Hygiène de vie : alimentation pauvre en sel (prévention de l'HTA) ; éviter les AINS sans avis ; éviter les efforts physiques intenses en cas d'HTA.</w:t>
      </w:r>
    </w:p>
    <w:p>
      <w:pPr>
        <w:pStyle w:val="ListBullet"/>
      </w:pPr>
      <w:r>
        <w:t>Femmes en âge de procréer : double contraception obligatoire pendant et 6 mois après.</w:t>
      </w:r>
    </w:p>
    <w:p>
      <w:pPr>
        <w:pStyle w:val="ListBullet"/>
      </w:pPr>
      <w:r>
        <w:t>Vaccins : éviter les vaccins vivants.</w:t>
      </w:r>
    </w:p>
    <w:p>
      <w:r/>
      <w:r>
        <w:rPr>
          <w:b/>
        </w:rPr>
        <w:t>Notes, Règles d'Or &amp; Pièges au Comptoir :</w:t>
      </w:r>
      <w:r/>
    </w:p>
    <w:p>
      <w:pPr>
        <w:pStyle w:val="ListBullet"/>
      </w:pPr>
      <w:r>
        <w:t>Règle d'or : contrôle tensionnel strict avant initiation (TA &lt; 150/100 mmHg) et pendant le traitement (objectif &lt; 140/90) — l'hypertension est un effet pharmacodynamique fréquent.</w:t>
      </w:r>
    </w:p>
    <w:p>
      <w:pPr>
        <w:pStyle w:val="ListBullet"/>
      </w:pPr>
      <w:r>
        <w:t>Piège : la protéinurie doit être dépistée systématiquement (bandelette avant chaque cure) — un syndrome néphrotique peut survenir en cas de poursuite malgré protéinurie ≥ 2+.</w:t>
      </w:r>
    </w:p>
    <w:p>
      <w:pPr>
        <w:pStyle w:val="ListBullet"/>
      </w:pPr>
      <w:r>
        <w:t>Règle : arrêt du bevacizumab 6 semaines avant chirurgie programmée (retard de cicatrisation) et 28 jours après chirurgie.</w:t>
      </w:r>
    </w:p>
    <w:p>
      <w:pPr>
        <w:pStyle w:val="ListBullet"/>
      </w:pPr>
      <w:r>
        <w:t>Piège : contre-indication dans les cancers pulmonaires épidermoïdes (risque d'hémorragie pulmonaire massive par cavitation).</w:t>
      </w:r>
    </w:p>
    <w:p>
      <w:pPr>
        <w:pStyle w:val="ListBullet"/>
      </w:pPr>
      <w:r>
        <w:t>Surveillance : attention aux patients sous anticoagulants — risque hémorragique majoré.</w:t>
      </w:r>
    </w:p>
    <w:p>
      <w:pPr>
        <w:pStyle w:val="ListBullet"/>
      </w:pPr>
      <w:r>
        <w:t>Règle : ne pas associer à un autre anti-VEGF ou anti-VEGFR (toxicité additive sans bénéfice).</w:t>
      </w:r>
    </w:p>
    <w:p>
      <w:pPr>
        <w:pStyle w:val="ListBullet"/>
      </w:pPr>
      <w:r>
        <w:t>Piège : le PRES (syndrome d'encéphalopathie postérieure réversible) est rare mais à évoquer devant des céphalées, convulsions, troubles visuels — IRM urgente.</w:t>
      </w:r>
    </w:p>
    <w:p>
      <w:pPr>
        <w:pStyle w:val="Heading2"/>
      </w:pPr>
      <w:r>
        <w:t>106.7 Sous-classe : AcM Anti-VEGFR2</w:t>
      </w:r>
    </w:p>
    <w:p>
      <w:r>
        <w:t>Le récepteur du VEGF de type 2 (VEGFR-2, KDR/Flk-1, codé par le gène KDR sur le chromosome 4q11.2) est le principal récepteur tyrosine kinase endothélial médiant les effets pro-angiogéniques du VEGF-A (prolifération, migration, survie endothéliales, perméabilité vasculaire). À la différence du VEGFR-1 (qui peut avoir un rôle de récepteur leurre), le VEGFR-2 est le médiateur principal de l'angiogenèse tumorale, ce qui en fait une cible thérapeutique de choix. Le ramucirumab (Cyramza, 2014) est le seul AcM anti-VEGFR-2 actuellement commercialisé, indiqué en 2e ligne des cancers gastriques avancés (étude REGARD — supériorité en survie globale vs placebo), en association au paclitaxel (étude RAINBOW), en 2e ligne du CCRm (étude RAISE — ramucirumab + FOLFIRI), en 2e ligne du CBNPC (étude REVEL — ramucirumab + docetaxel), et en 2e ligne de l'hépatocarcinome (étude REACH-2 — ramucirumab en monothérapie après sorafenib chez patients AFP &gt; 400 ng/mL). Le profil de tolérance est similaire à celui des autres anti-angiogéniques : hypertension artérielle, protéinurie, risque hémorragique et thrombotique, retard de cicatrisation, perforations digestives. Le ramucirumab est un AcM totalement humain IgG1 (immunogénicité faible, peu de RLP). Il est administré en perfusion IV toutes les 2 semaines (8 mg/kg) ou en association au paclitaxel (8 mg/kg J1, J8, J15 de chaque cycle de 28 jours).</w:t>
      </w:r>
    </w:p>
    <w:p>
      <w:pPr>
        <w:pStyle w:val="Heading3"/>
      </w:pPr>
      <w:r>
        <w:t>106.7.1 DCI : Ramucirumab</w:t>
      </w:r>
    </w:p>
    <w:p>
      <w:r/>
      <w:r>
        <w:rPr>
          <w:b/>
        </w:rPr>
        <w:t>Liste des Catégories :</w:t>
      </w:r>
      <w:r>
        <w:t xml:space="preserve"> Antinéoplasiques ; Anticorps monoclonal totalement humain IgG1 anti-VEGFR-2 ; Thérapie anti-angiogénique des cancers gastriques, colorectal, pulmonaire et hépatique avancés ; Liste I.</w:t>
      </w:r>
    </w:p>
    <w:p>
      <w:r>
        <w:t>Le ramucirumab (Cyramza®, Biopharm/Eli Lilly) est un AcM totalement humain IgG1κ recombinant dirigé contre le domaine extracellulaire du VEGFR-2, empêchant la liaison du VEGF-A, VEGF-C et VEGF-D à leur récepteur. Il a obtenu une AMM FDA en avril 2014 et EMA en décembre 2014. Premier AcM anti-récepteur anti-angiogénique (vs anti-ligand pour le bevacizumab), il est indiqué en 2e ligne des cancers gastriques avancés (étude REGARD — survie globale 5,2 vs 3,8 mois avec placebo), en association au paclitaxel (étude RAINBOW — survie globale 9,6 vs 7,4 mois), en 2e ligne du CCRm après échec de 1re ligne comportant bevacizumab (étude RAISE), en 2e ligne du CBNPC après platine (étude REVEL — ramucirumab + docetaxel), et en 2e ligne de l'hépatocarcinome après sorafenib chez les patients avec alpha-foetoprotéine &gt; 400 ng/mL (étude REACH-2). Son profil de tolérance est dominé par l'hypertension artérielle, la protéinurie, le risque hémorragique et thrombotique, et plus rarement les perforations digestives.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CYRAMZA</w:t>
            </w:r>
          </w:p>
        </w:tc>
        <w:tc>
          <w:tcPr>
            <w:tcW w:type="dxa" w:w="1559"/>
          </w:tcPr>
          <w:p>
            <w:r>
              <w:rPr>
                <w:sz w:val="20"/>
              </w:rPr>
              <w:t>BIOPHARM</w:t>
            </w:r>
          </w:p>
        </w:tc>
        <w:tc>
          <w:tcPr>
            <w:tcW w:type="dxa" w:w="1559"/>
          </w:tcPr>
          <w:p>
            <w:r>
              <w:rPr>
                <w:sz w:val="20"/>
              </w:rPr>
              <w:t>Solution à diluer pour perfusion IV — 10 mg/mL (100 mg/10 mL et 500 mg/50 mL)</w:t>
            </w:r>
          </w:p>
        </w:tc>
        <w:tc>
          <w:tcPr>
            <w:tcW w:type="dxa" w:w="1559"/>
          </w:tcPr>
          <w:p>
            <w:r>
              <w:rPr>
                <w:sz w:val="20"/>
              </w:rPr>
              <w:t>B/1 flacon 10 mL et B/1 flacon 50 mL</w:t>
            </w:r>
          </w:p>
        </w:tc>
        <w:tc>
          <w:tcPr>
            <w:tcW w:type="dxa" w:w="1559"/>
          </w:tcPr>
          <w:p>
            <w:r>
              <w:rPr>
                <w:sz w:val="20"/>
              </w:rPr>
              <w:t>Liste I</w:t>
            </w:r>
          </w:p>
        </w:tc>
        <w:tc>
          <w:tcPr>
            <w:tcW w:type="dxa" w:w="1559"/>
          </w:tcPr>
          <w:p>
            <w:r>
              <w:rPr>
                <w:sz w:val="20"/>
              </w:rPr>
              <w:t>Actif</w:t>
            </w:r>
          </w:p>
        </w:tc>
      </w:tr>
    </w:tbl>
    <w:p/>
    <w:p>
      <w:r>
        <w:t>Le ramucirumab est délivré en Algérie via le circuit hospitalier spécialisé en oncologie médicale. La spécialité princeps Cyramza (Eli Lilly, distribuée en Algérie par Biopharm) est disponible en deux dosages : 100 mg/10 mL et 500 mg/50 mL (10 mg/mL), permettant l'adaptation pondérale (8 mg/kg). Pas de biosimilaire disponible.</w:t>
      </w:r>
    </w:p>
    <w:p>
      <w:r/>
      <w:r>
        <w:rPr>
          <w:b/>
        </w:rPr>
        <w:t>Sous-classe et Mécanisme d'action :</w:t>
      </w:r>
      <w:r/>
    </w:p>
    <w:p>
      <w:pPr>
        <w:pStyle w:val="ListBullet"/>
      </w:pPr>
      <w:r>
        <w:t>Sous-classe : AcM totalement humain IgG1κ anti-VEGFR-2 (domaine extracellulaire). Seul AcM anti-récepteur anti-angiogénique.</w:t>
      </w:r>
    </w:p>
    <w:p>
      <w:pPr>
        <w:pStyle w:val="ListBullet"/>
      </w:pPr>
      <w:r>
        <w:t>Mécanisme d'action : (i) Blocage compétitif de la liaison du VEGF-A, VEGF-C et VEGF-D au domaine extracellulaire du VEGFR-2 endothélial, empêchant la dimérisation et la trans-autophosphorylation, inhibant la cascade de signalisation de l'angiogenèse tumorale (prolifération, migration, survie endothéliales). (ii) Inhibition de la lymphangiogenèse (VEGF-C/D). (iii) Normalisation de la vascularisation tumorale. (iv) ADCC faible (isotype IgG1 mais affinité FcγRIIIa faible pour cellules endothéliales). L'effet cytostatique prédomine.</w:t>
      </w:r>
    </w:p>
    <w:p>
      <w:r/>
      <w:r>
        <w:rPr>
          <w:b/>
        </w:rPr>
        <w:t>Profil Pharmacologique :</w:t>
      </w:r>
      <w:r/>
    </w:p>
    <w:p>
      <w:pPr>
        <w:pStyle w:val="ListBullet"/>
      </w:pPr>
      <w:r>
        <w:t>Indications : (1) Cancer gastrique ou de la jonction œso-gastrique avancé en 2e ligne en monothérapie (après chimiothérapie à base de platine ou fluoropyrimidine) ; en association au paclitaxel (1re ligne de 2e ligne). (2) Cancer colorectal métastatique (CCRm) en 2e ligne en association au FOLFIRI (après échec de 1re ligne comportant bevacizumab, oxaliplatine et fluoropyrimidine). (3) CBNPC avancé en 2e ligne en association au docetaxel (après échec d'une chimiothérapie à base de platine). (4) Hépatocarcinome avancé en 2e ligne en monothérapie (après sorafenib, chez les patients avec AFP &gt; 400 ng/mL).</w:t>
      </w:r>
    </w:p>
    <w:p>
      <w:pPr>
        <w:pStyle w:val="ListBullet"/>
      </w:pPr>
      <w:r>
        <w:t>Contre-indications : Hypersensibilité au ramucirumab ou à l'un des excipients. Hypertension artérielle sévère non contrôlée. Protéinurie ≥ 2+ à la bandelette (≥ 1 g/24 h). Antécédents récents (&lt; 6 mois) de thrombose artérielle. Hémorragie active. Chirurgie majeure &lt; 28 jours. Tumeur cavitaire pulmonaire. Grossesse. Précautions : âge &gt; 65 ans, antécédents thromboemboliques veineux, traitement anticoagulant.</w:t>
      </w:r>
    </w:p>
    <w:p>
      <w:pPr>
        <w:pStyle w:val="ListBullet"/>
      </w:pPr>
      <w:r>
        <w:t>Effets Indésirables : Très fréquents (&gt; 10 %) : hypertension artérielle (10–25 % — effet pharmacodynamique), protéinurie (15–25 %), fatigue, asthénie, diarrhée, nausées, stomatite, neutropénie (en association au paclitaxel ou FOLFIRI), alopécie (en association au paclitaxel), saignement (épistaxis mineur, 10 %). Fréquents (1–10 %) : thrombose artérielle (1–3 %), thrombose veineuse (3–5 %), hémorragie sévère grade 3–4 (1–3 %), perforation digestive (1–2 %), retard de cicatrisation, syndrome main-pied (en association à la capecitabine), hypertension artérielle sévère, hypoalbuminémie, hypontremia, transaminases élevées, dysphonie, céphalées. Peu fréquents : PRES, hypertension pulmonaire, microangiopathie thrombotique, ostéonécrose de la mâchoire. Rares : anaphylaxie.</w:t>
      </w:r>
    </w:p>
    <w:p>
      <w:r/>
      <w:r>
        <w:rPr>
          <w:b/>
        </w:rPr>
        <w:t>Prévention et Gestion des Effets Indésirables :</w:t>
      </w:r>
      <w:r/>
    </w:p>
    <w:p>
      <w:pPr>
        <w:pStyle w:val="ListBullet"/>
      </w:pPr>
      <w:r>
        <w:t>Mesures Préventives : Contrôle tensionnel strict avant initiation (TA &lt; 150/100 mmHg) et pendant le traitement. Bandelette urinaire avant chaque cycle (seuil protéinurie ≥ 2+ → dosage quantitatif 24 h, arrêt si ≥ 1 g/24 h). NFS-plaquettes, bilan hépatique, créatinine, ionogramme, TP, TCA avant chaque cycle. Arrêt 4–6 semaines avant chirurgie programmée.</w:t>
      </w:r>
    </w:p>
    <w:p>
      <w:pPr>
        <w:pStyle w:val="ListBullet"/>
      </w:pPr>
      <w:r>
        <w:t>Conduite à Tenir : Hypertension grade 1–2 : poursuite + antihypertenseur. Grade 3 : arrêt transitoire, antihypertenseur IV. Grade 4 : arrêt définitif. Protéinurie ≥ 1 g/24 h : arrêt transitoire, reprise si &lt; 1 g. Syndrome néphrotique : arrêt définitif. Hémorragie grade 3–4 : arrêt, transfusion, endoscopie. Thrombose artérielle : arrêt définitif. Perforation digestive : arrêt immédiat, chirurgie urgente.</w:t>
      </w:r>
    </w:p>
    <w:p>
      <w:r/>
      <w:r>
        <w:rPr>
          <w:b/>
        </w:rPr>
        <w:t>Interactions Médicamenteuses :</w:t>
      </w:r>
      <w:r/>
    </w:p>
    <w:p>
      <w:pPr>
        <w:pStyle w:val="ListBullet"/>
      </w:pPr>
      <w:r>
        <w:t>Chimiothérapie (FOLFIRI, paclitaxel, docetaxel) : synergie d'efficacité, surveillance de la tolérance hématologique.</w:t>
      </w:r>
    </w:p>
    <w:p>
      <w:pPr>
        <w:pStyle w:val="ListBullet"/>
      </w:pPr>
      <w:r>
        <w:t>Anticoagulants : risque hémorragique majoré.</w:t>
      </w:r>
    </w:p>
    <w:p>
      <w:pPr>
        <w:pStyle w:val="ListBullet"/>
      </w:pPr>
      <w:r>
        <w:t>AINS, aspirine : risque hémorragique et rénal majoré.</w:t>
      </w:r>
    </w:p>
    <w:p>
      <w:pPr>
        <w:pStyle w:val="ListBullet"/>
      </w:pPr>
      <w:r>
        <w:t>IEC, ARA2 : effet antihypertenseur synergique.</w:t>
      </w:r>
    </w:p>
    <w:p>
      <w:pPr>
        <w:pStyle w:val="ListBullet"/>
      </w:pPr>
      <w:r>
        <w:t>Vaccins vivants : contre-indiqués.</w:t>
      </w:r>
    </w:p>
    <w:p>
      <w:pPr>
        <w:pStyle w:val="ListBullet"/>
      </w:pPr>
      <w:r>
        <w:t>Pas d'interaction avec le CYP450.</w:t>
      </w:r>
    </w:p>
    <w:p>
      <w:r/>
      <w:r>
        <w:rPr>
          <w:b/>
        </w:rPr>
        <w:t>Grossesse et Allaitement :</w:t>
      </w:r>
      <w:r/>
    </w:p>
    <w:p>
      <w:pPr>
        <w:pStyle w:val="ListBullet"/>
      </w:pPr>
      <w:r>
        <w:t>Grossesse : CONTRE-INDICATION ABSOLUE. Tératogène chez l'animal (anti-VEGFR, altération de la vascularisation placentaire). Contraception obligatoire pendant et 6 mois après.</w:t>
      </w:r>
    </w:p>
    <w:p>
      <w:pPr>
        <w:pStyle w:val="ListBullet"/>
      </w:pPr>
      <w:r>
        <w:t>Allaitement : CONTRE-INDICATION ABSOLUE pendant et 6 mois après.</w:t>
      </w:r>
    </w:p>
    <w:p>
      <w:r/>
      <w:r>
        <w:rPr>
          <w:b/>
        </w:rPr>
        <w:t>Posologie et Mode d'administration (Standard) :</w:t>
      </w:r>
      <w:r/>
    </w:p>
    <w:p>
      <w:pPr>
        <w:pStyle w:val="ListBullet"/>
      </w:pPr>
      <w:r>
        <w:t>Adulte : 8 mg/kg IV toutes les 2 semaines en perfusion de 60 min (monothérapie ou association à FOLFIRI ou docetaxel) ; ou 8 mg/kg IV à J1, J8, J15 de chaque cycle de 28 jours en association au paclitaxel (cancer gastrique). Jusqu'à progression ou toxicité.</w:t>
      </w:r>
    </w:p>
    <w:p>
      <w:pPr>
        <w:pStyle w:val="ListBullet"/>
      </w:pPr>
      <w:r>
        <w:t>Mode d'administration : perfusion IV stricte dans 250 mL NaCl 0,9 % (jamais glucose). Tubing dédié, filtre de 0,22 μm. Première perfusion en 60 min, puis 30 min si tolérance bonne à partir de la 4e cure. Surveillance TA, SpO2 pendant la perfusion.</w:t>
      </w:r>
    </w:p>
    <w:p>
      <w:pPr>
        <w:pStyle w:val="ListBullet"/>
      </w:pPr>
      <w:r>
        <w:t>Adaptation : hypertension non contrôlée → arrêt transitoire ; protéinurie ≥ 1 g/24 h → arrêt transitoire ; hémorragie grade ≥ 3 → arrêt.</w:t>
      </w:r>
    </w:p>
    <w:p>
      <w:pPr>
        <w:pStyle w:val="ListBullet"/>
      </w:pPr>
      <w:r>
        <w:t>Insuffisance hépatique/rénale modérée : pas d'adaptation.</w:t>
      </w:r>
    </w:p>
    <w:p>
      <w:r/>
      <w:r>
        <w:rPr>
          <w:b/>
        </w:rPr>
        <w:t>Surveillance Biologique et Suivi Clinique :</w:t>
      </w:r>
      <w:r/>
    </w:p>
    <w:p>
      <w:pPr>
        <w:pStyle w:val="ListBullet"/>
      </w:pPr>
      <w:r>
        <w:t>Hématologique : NFS-plaquettes avant chaque cure.</w:t>
      </w:r>
    </w:p>
    <w:p>
      <w:pPr>
        <w:pStyle w:val="ListBullet"/>
      </w:pPr>
      <w:r>
        <w:t>Hépatique : ALAT, ASAT, bilirubine mensuels.</w:t>
      </w:r>
    </w:p>
    <w:p>
      <w:pPr>
        <w:pStyle w:val="ListBullet"/>
      </w:pPr>
      <w:r>
        <w:t>Rénale : créatinine, urée, ionogramme avant chaque cure ; protéinurie (bandelette) avant chaque cure, dosage quantitatif 24 h si ≥ 2+.</w:t>
      </w:r>
    </w:p>
    <w:p>
      <w:pPr>
        <w:pStyle w:val="ListBullet"/>
      </w:pPr>
      <w:r>
        <w:t>Cardiovasculaire : TA avant chaque cure ; ECG si antécédents.</w:t>
      </w:r>
    </w:p>
    <w:p>
      <w:pPr>
        <w:pStyle w:val="ListBullet"/>
      </w:pPr>
      <w:r>
        <w:t>Coagulation : TP, TCA, fibrinogène avant chaque cure si antécédents thromboemboliques ou traitement anticoagulant.</w:t>
      </w:r>
    </w:p>
    <w:p>
      <w:pPr>
        <w:pStyle w:val="ListBullet"/>
      </w:pPr>
      <w:r>
        <w:t>Clinique : poids, TA, examen cardio-pulmonaire à chaque consultation ; interrogatoire saignement, douleurs thoraciques, céphalées (PRES), douleurs abdominales.</w:t>
      </w:r>
    </w:p>
    <w:p>
      <w:pPr>
        <w:pStyle w:val="ListBullet"/>
      </w:pPr>
      <w:r>
        <w:t>Suivi carcinologique : scanner TAP tous les 2–3 mois ; marqueurs ACE, CA 19-9, CA 125, AFP selon indication.</w:t>
      </w:r>
    </w:p>
    <w:p>
      <w:r/>
      <w:r>
        <w:rPr>
          <w:b/>
        </w:rPr>
        <w:t>Arbitrage et Bénéfices des Formes Galéniques :</w:t>
      </w:r>
      <w:r/>
    </w:p>
    <w:p>
      <w:r>
        <w:t>Le ramucirumab est disponible uniquement en forme IV (10 mg/mL, flacons de 100 mg/10 mL et 500 mg/50 mL). La dose de 8 mg/kg correspond à 560 mg pour un adulte de 70 kg → 1 flacon 500 mg + 1 flacon 100 mg = 600 mg (gaspillage 40 mg). La planification de la prescription vise à minimiser le gaspillage. La conservation au réfrigérateur (2–8 °C) et la protection de la lumière sont nécessaires. Pas de forme SC, pas de biosimilaire.</w:t>
      </w:r>
    </w:p>
    <w:p>
      <w:r/>
      <w:r>
        <w:rPr>
          <w:b/>
        </w:rPr>
        <w:t>Instructions et Conseils au Patient :</w:t>
      </w:r>
      <w:r/>
    </w:p>
    <w:p>
      <w:pPr>
        <w:pStyle w:val="ListBullet"/>
      </w:pPr>
      <w:r>
        <w:t>Communication au comptoir : « Le ramucirumab est un anticorps monoclonal ciblant le récepteur du VEGF des vaisseaux sanguins nourriciers de votre tumeur. Il est administré en perfusion IV toutes les 2 semaines (ou hebdomadairement J1, J8, J15 en association au paclitaxel). Les effets indésirables sont similaires à ceux du bevacizumab : hypertension, protéinurie, saignement, thrombose. Prévenez votre médecin en cas de maux de tête intenses, hypertension non contrôlée, saignement anormal, douleurs abdominales. Une contraception stricte est obligatoire. »</w:t>
      </w:r>
    </w:p>
    <w:p>
      <w:pPr>
        <w:pStyle w:val="ListBullet"/>
      </w:pPr>
      <w:r>
        <w:t>Observance : auto-mesure tensionnelle ; signaler tout saignement, céphalée, douleur abdominale.</w:t>
      </w:r>
    </w:p>
    <w:p>
      <w:pPr>
        <w:pStyle w:val="ListBullet"/>
      </w:pPr>
      <w:r>
        <w:t>Femmes en âge de procréer : double contraception obligatoire pendant et 6 mois après.</w:t>
      </w:r>
    </w:p>
    <w:p>
      <w:r/>
      <w:r>
        <w:rPr>
          <w:b/>
        </w:rPr>
        <w:t>Notes, Règles d'Or &amp; Pièges au Comptoir :</w:t>
      </w:r>
      <w:r/>
    </w:p>
    <w:p>
      <w:pPr>
        <w:pStyle w:val="ListBullet"/>
      </w:pPr>
      <w:r>
        <w:t>Règle d'or : contrôle tensionnel et protéinurie avant chaque cure.</w:t>
      </w:r>
    </w:p>
    <w:p>
      <w:pPr>
        <w:pStyle w:val="ListBullet"/>
      </w:pPr>
      <w:r>
        <w:t>Piège : contre-indication en cas de tumeur cavitaire pulmonaire (risque d'hémorragie massive).</w:t>
      </w:r>
    </w:p>
    <w:p>
      <w:pPr>
        <w:pStyle w:val="ListBullet"/>
      </w:pPr>
      <w:r>
        <w:t>Règle : arrêt 4–6 semaines avant chirurgie.</w:t>
      </w:r>
    </w:p>
    <w:p>
      <w:pPr>
        <w:pStyle w:val="ListBullet"/>
      </w:pPr>
      <w:r>
        <w:t>Piège : le ramucirumab est indiqué en 2e ligne (après échec de 1re ligne) — ne pas utiliser en 1re ligne.</w:t>
      </w:r>
    </w:p>
    <w:p>
      <w:pPr>
        <w:pStyle w:val="ListBullet"/>
      </w:pPr>
      <w:r>
        <w:t>Surveillance : attention aux patients sous anticoagulants.</w:t>
      </w:r>
    </w:p>
    <w:p>
      <w:pPr>
        <w:pStyle w:val="Heading2"/>
      </w:pPr>
      <w:r>
        <w:t>106.8 Sous-classe : AcM Piège VEGF (VEGF-trap)</w:t>
      </w:r>
    </w:p>
    <w:p>
      <w:r>
        <w:t>L'aflibercept (Zaltrap®, Sanofi Aventis) est une protéine de fusion recombinante innovante (VEGF-trap), associant le domaine de liaison du VEGF du VEGFR-1 (domaine 2) et du VEGFR-2 (domaine 3) fusionné au Fc de l'IgG1 humaine, fonctionnant comme un piège soluble à haute affinité (Kd ~ 0,5 pM, ~ 100 fois plus élevée que le bevacizumab) pour les isoformes du VEGF-A, VEGF-B et PIGF (placental growth factor). Le résultat est une inhibition puissante de la cascade angiogénique en capturant les ligands avant leur liaison aux récepteurs. L'aflibercept est indiqué en oncologie (forme IV, Zaltrap) dans le cancer colorectal métastatique (CCRm) résistant à l'oxaliplatine, en association au FOLFIRI (schéma AFLIBERCEPT — étude VELOUR : survie globale 13,5 vs 12,1 mois avec FOLFIRI seul), et en ophtalmologie (forme intravitréenne, Eylea — non couverte dans ce chapitre) pour la DMLA humide, l'œdème maculaire diabétique et l'occlusion de la veine centrale de la rétine. La forme oncologique IV (Zaltrap 25 mg/mL, flacons de 100 mg/4 mL et 200 mg/8 mL) est administrée à la dose de 4 mg/kg IV toutes les 2 semaines en perfusion de 60 min, en association au FOLFIRI (irinotecan + 5-FU + acide folinique). Le profil de tolérance est dominé par l'hypertension artérielle, la protéinurie, le risque hémorragique et thrombotique, et plus rarement les perforations digestives, le PRES et le syndrome néphrotique. L'aflibercept est à arrêter avant chirurgie (28 jours minimum). La forme ophtalmologique (Eylea, Aflie, 40 mg/mL en injection intravitréenne) relève de la spécialité ophtalmologie et n'est pas traitée ici en détail.</w:t>
      </w:r>
    </w:p>
    <w:p>
      <w:pPr>
        <w:pStyle w:val="Heading3"/>
      </w:pPr>
      <w:r>
        <w:t>106.8.1 DCI : Aflibercept</w:t>
      </w:r>
    </w:p>
    <w:p>
      <w:r/>
      <w:r>
        <w:rPr>
          <w:b/>
        </w:rPr>
        <w:t>Liste des Catégories :</w:t>
      </w:r>
      <w:r>
        <w:t xml:space="preserve"> Antinéoplasiques ; Protéine de fusion recombinante (VEGF-trap) — domaine extracellulaire VEGFR-1 + VEGFR-2 + Fc IgG1 humaine ; Thérapie anti-angiogénique du cancer colorectal métastatique (forme IV) ; Liste I.</w:t>
      </w:r>
    </w:p>
    <w:p>
      <w:r>
        <w:t>L'aflibercept (Zaltrap®, Sanofi Aventis) est une protéine de fusion recombinante innovante (VEGF-trap) développée par Regeneron Pharmaceuticals et Sanofi, ayant obtenu une AMM FDA en août 2012 et EMA en février 2013 pour la forme IV oncologique (Zaltrap), et FDA en novembre 2011 pour la forme intravitréenne ophtalmologique (Eylea). La structure associe le domaine 2 du VEGFR-1 et le domaine 3 du VEGFR-2 (régions de liaison au VEGF) fusionnés au Fc de l'IgG1 humaine. Cette structure confère à l'aflibercept une affinité extrêmement élevée pour le VEGF-A (Kd ~ 0,5 pM), le VEGF-B et le PIGF (Kd ~ 45 pM), supérieure à celle du bevacizumab (~ 100 fois), et une capacité à neutraliser simultanément plusieurs ligands angiogéniques. L'aflibercept IV est indiqué dans le cancer colorectal métastatique (CCRm) résistant à l'oxaliplatine, en association au FOLFIRI (étude VELOUR). Le profil de tolérance est similaire à celui du bevacizumab : hypertension artérielle, protéinurie, risque hémorragique et thrombotique, retard de cicatrisation.</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ZALTRAP</w:t>
            </w:r>
          </w:p>
        </w:tc>
        <w:tc>
          <w:tcPr>
            <w:tcW w:type="dxa" w:w="1559"/>
          </w:tcPr>
          <w:p>
            <w:r>
              <w:rPr>
                <w:sz w:val="20"/>
              </w:rPr>
              <w:t>SANOFI AVENTIS FRANCE</w:t>
            </w:r>
          </w:p>
        </w:tc>
        <w:tc>
          <w:tcPr>
            <w:tcW w:type="dxa" w:w="1559"/>
          </w:tcPr>
          <w:p>
            <w:r>
              <w:rPr>
                <w:sz w:val="20"/>
              </w:rPr>
              <w:t>Solution à diluer pour perfusion IV — 25 mg/mL (100 mg/4 mL et 200 mg/8 mL)</w:t>
            </w:r>
          </w:p>
        </w:tc>
        <w:tc>
          <w:tcPr>
            <w:tcW w:type="dxa" w:w="1559"/>
          </w:tcPr>
          <w:p>
            <w:r>
              <w:rPr>
                <w:sz w:val="20"/>
              </w:rPr>
              <w:t>B/1 flacon 4 mL (100 mg) et B/1 flacon 8 mL (200 mg)</w:t>
            </w:r>
          </w:p>
        </w:tc>
        <w:tc>
          <w:tcPr>
            <w:tcW w:type="dxa" w:w="1559"/>
          </w:tcPr>
          <w:p>
            <w:r>
              <w:rPr>
                <w:sz w:val="20"/>
              </w:rPr>
              <w:t>Liste I</w:t>
            </w:r>
          </w:p>
        </w:tc>
        <w:tc>
          <w:tcPr>
            <w:tcW w:type="dxa" w:w="1559"/>
          </w:tcPr>
          <w:p>
            <w:r>
              <w:rPr>
                <w:sz w:val="20"/>
              </w:rPr>
              <w:t>Actif</w:t>
            </w:r>
          </w:p>
        </w:tc>
      </w:tr>
      <w:tr>
        <w:tc>
          <w:tcPr>
            <w:tcW w:type="dxa" w:w="1559"/>
          </w:tcPr>
          <w:p>
            <w:r>
              <w:rPr>
                <w:sz w:val="20"/>
              </w:rPr>
              <w:t>AFLI</w:t>
            </w:r>
          </w:p>
        </w:tc>
        <w:tc>
          <w:tcPr>
            <w:tcW w:type="dxa" w:w="1559"/>
          </w:tcPr>
          <w:p>
            <w:r>
              <w:rPr>
                <w:sz w:val="20"/>
              </w:rPr>
              <w:t>SOCIETE PHARMACEUTIQUE ALGERIENNE SOPHAL</w:t>
            </w:r>
          </w:p>
        </w:tc>
        <w:tc>
          <w:tcPr>
            <w:tcW w:type="dxa" w:w="1559"/>
          </w:tcPr>
          <w:p>
            <w:r>
              <w:rPr>
                <w:sz w:val="20"/>
              </w:rPr>
              <w:t>Solution injectable intravitréenne — 40 mg/mL</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EYLEA</w:t>
            </w:r>
          </w:p>
        </w:tc>
        <w:tc>
          <w:tcPr>
            <w:tcW w:type="dxa" w:w="1559"/>
          </w:tcPr>
          <w:p>
            <w:r>
              <w:rPr>
                <w:sz w:val="20"/>
              </w:rPr>
              <w:t>BAYER PHARMA AG</w:t>
            </w:r>
          </w:p>
        </w:tc>
        <w:tc>
          <w:tcPr>
            <w:tcW w:type="dxa" w:w="1559"/>
          </w:tcPr>
          <w:p>
            <w:r>
              <w:rPr>
                <w:sz w:val="20"/>
              </w:rPr>
              <w:t>Solution injectable intravitréenne — 40 mg/mL</w:t>
            </w:r>
          </w:p>
        </w:tc>
        <w:tc>
          <w:tcPr>
            <w:tcW w:type="dxa" w:w="1559"/>
          </w:tcPr>
          <w:p>
            <w:r>
              <w:rPr>
                <w:sz w:val="20"/>
              </w:rPr>
              <w:t>B/1 flacon</w:t>
            </w:r>
          </w:p>
        </w:tc>
        <w:tc>
          <w:tcPr>
            <w:tcW w:type="dxa" w:w="1559"/>
          </w:tcPr>
          <w:p>
            <w:r>
              <w:rPr>
                <w:sz w:val="20"/>
              </w:rPr>
              <w:t>Liste I</w:t>
            </w:r>
          </w:p>
        </w:tc>
        <w:tc>
          <w:tcPr>
            <w:tcW w:type="dxa" w:w="1559"/>
          </w:tcPr>
          <w:p>
            <w:r>
              <w:rPr>
                <w:sz w:val="20"/>
              </w:rPr>
              <w:t>Actif</w:t>
            </w:r>
          </w:p>
        </w:tc>
      </w:tr>
    </w:tbl>
    <w:p/>
    <w:p>
      <w:r>
        <w:t>L'aflibercept est délivré en Algérie via le circuit hospitalier spécialisé en oncologie médicale (forme IV Zaltrap) et en ophtalmologie (forme intravitréenne AFLI, Eylea). La forme oncologique Zaltrap (Sanofi) est disponible en deux dosages IV : 100 mg/4 mL et 200 mg/8 mL (25 mg/mL), permettant l'adaptation pondérale (4 mg/kg). La forme ophtalmologique AFLI (Sophal) et Eylea (Bayer) en injection intravitréenne (40 mg/mL) est destinée au traitement de la DMLA humide, de l'œdème maculaire diabétique et de l'occlusion de la veine centrale de la rétine. Cette fiche se concentre sur la forme IV oncologique.</w:t>
      </w:r>
    </w:p>
    <w:p>
      <w:r/>
      <w:r>
        <w:rPr>
          <w:b/>
        </w:rPr>
        <w:t>Sous-classe et Mécanisme d'action :</w:t>
      </w:r>
      <w:r/>
    </w:p>
    <w:p>
      <w:pPr>
        <w:pStyle w:val="ListBullet"/>
      </w:pPr>
      <w:r>
        <w:t>Sous-classe : Protéine de fusion recombinante (VEGF-trap) — domaine extracellulaire VEGFR-1 (domaine 2) + VEGFR-2 (domaine 3) + Fc de l'IgG1 humaine. Piège soluble à haute affinité pour le VEGF-A, VEGF-B et PIGF.</w:t>
      </w:r>
    </w:p>
    <w:p>
      <w:pPr>
        <w:pStyle w:val="ListBullet"/>
      </w:pPr>
      <w:r>
        <w:t>Mécanisme d'action : (i) Capture du VEGF-A (toutes isoformes), du VEGF-B et du PIGF par l'aflibercept soluble circulant, empêchant leur liaison aux récepteurs VEGFR-1 et VEGFR-2 endothéliaux. L'affinité de l'aflibercept pour le VEGF-A (Kd ~ 0,5 pM) est environ 100 fois supérieure à celle du bevacizumab, ce qui en fait un inhibiteur plus puissant. (ii) Inhibition de l'angiogenèse tumorale et de la lymphangiogenèse. (iii) Normalisation de la vascularisation tumorale. (iv) Effet anti-PIGF (le PIGF est impliqué dans l'angiogenèse pathologique et la résistance aux anti-VEGF classiques). Le Fc de l'IgG1 assure une demi-vie longue (~ 6 jours) et permet l'administration toutes les 2 semaines.</w:t>
      </w:r>
    </w:p>
    <w:p>
      <w:r/>
      <w:r>
        <w:rPr>
          <w:b/>
        </w:rPr>
        <w:t>Profil Pharmacologique :</w:t>
      </w:r>
      <w:r/>
    </w:p>
    <w:p>
      <w:pPr>
        <w:pStyle w:val="ListBullet"/>
      </w:pPr>
      <w:r>
        <w:t>Indications (forme IV oncologique) : Cancer colorectal métastatique (CCRm) résistant ou ayant progressé sous chimiothérapie comportant l'oxaliplatine, en association au FOLFIRI (irinotecan + 5-FU + acide folinique) — étude VELOUR (2e ligne).</w:t>
      </w:r>
    </w:p>
    <w:p>
      <w:pPr>
        <w:pStyle w:val="ListBullet"/>
      </w:pPr>
      <w:r>
        <w:t>Contre-indications : Hypersensibilité à l'aflibercept ou à l'un des excipients. Hypertension artérielle sévère non contrôlée. Protéinurie ≥ 2+ à la bandelette (≥ 1 g/24 h). Antécédents récents de thrombose artérielle. Hémorragie active. Chirurgie majeure &lt; 28 jours. Tumeur cavitaire pulmonaire. Grossesse. Précautions : âge &gt; 65 ans, antécédents thromboemboliques, traitement anticoagulant.</w:t>
      </w:r>
    </w:p>
    <w:p>
      <w:pPr>
        <w:pStyle w:val="ListBullet"/>
      </w:pPr>
      <w:r>
        <w:t>Effets Indésirables : Très fréquents (&gt; 10 %) : hypertension artérielle (20–40 % — effet pharmacodynamique, parfois grade 3 dans 5–10 %), protéinurie (20–40 %, parfois syndrome néphrotique dans &lt; 2 %), neutropénie (en association au FOLFIRI, 40–50 %), diarrhée (60 %), fatigue, asthénie, stomatite, nausées, vomissements, perte d'appétit, perte de poids, saignement (épistaxis mineur, 20 %), alopécie (en association). Fréquents (1–10 %) : thrombose artérielle (2–5 %), thrombose veineuse (5–10 %), hémorragie sévère grade 3–4 (2–3 %), perforation digestive (1–2 %), retard de cicatrisation, hypertonie, dysphonie, transaminases élevées, hypoalbuminémie, syndrome main-pied, conjonctivite. Peu fréquents : PRES, hypertension pulmonaire, microangiopathie thrombotique, syndrome néphrotique, ostéonécrose de la mâchoire. Rares : anaphylaxie.</w:t>
      </w:r>
    </w:p>
    <w:p>
      <w:r/>
      <w:r>
        <w:rPr>
          <w:b/>
        </w:rPr>
        <w:t>Prévention et Gestion des Effets Indésirables :</w:t>
      </w:r>
      <w:r/>
    </w:p>
    <w:p>
      <w:pPr>
        <w:pStyle w:val="ListBullet"/>
      </w:pPr>
      <w:r>
        <w:t>Mesures Préventives : Contrôle tensionnel strict avant initiation et pendant le traitement. Bandelette urinaire avant chaque cycle (seuil ≥ 2+ → dosage quantitatif 24 h). NFS-plaquettes, bilan hépatique, créatinine, ionogramme, TP, TCA, fibrinogène avant chaque cycle. Arrêt 4–6 semaines avant chirurgie.</w:t>
      </w:r>
    </w:p>
    <w:p>
      <w:pPr>
        <w:pStyle w:val="ListBullet"/>
      </w:pPr>
      <w:r>
        <w:t>Conduite à Tenir : Hypertension grade 1–2 : poursuite + antihypertenseur (IEC ou ARA2). Grade 3 : arrêt transitoire, antihypertenseur IV. Grade 4 : arrêt définitif. Protéinurie ≥ 1 g/24 h : arrêt transitoire, reprise si &lt; 1 g. Syndrome néphrotique : arrêt définitif. Hémorragie grade 3–4 : arrêt, transfusion, endoscopie/embolisation. Thrombose artérielle : arrêt définitif. Perforation digestive : arrêt immédiat, chirurgie urgente. PRES : arrêt immédiat, IRM, anticonvulsivants.</w:t>
      </w:r>
    </w:p>
    <w:p>
      <w:r/>
      <w:r>
        <w:rPr>
          <w:b/>
        </w:rPr>
        <w:t>Interactions Médicamenteuses :</w:t>
      </w:r>
      <w:r/>
    </w:p>
    <w:p>
      <w:pPr>
        <w:pStyle w:val="ListBullet"/>
      </w:pPr>
      <w:r>
        <w:t>FOLFIRI (irinotecan + 5-FU + acide folinique) : association standard, surveillance de la tolérance hématologique (potentialisation de la neutropénie et de la diarrhée).</w:t>
      </w:r>
    </w:p>
    <w:p>
      <w:pPr>
        <w:pStyle w:val="ListBullet"/>
      </w:pPr>
      <w:r>
        <w:t>Anticoagulants : risque hémorragique majoré.</w:t>
      </w:r>
    </w:p>
    <w:p>
      <w:pPr>
        <w:pStyle w:val="ListBullet"/>
      </w:pPr>
      <w:r>
        <w:t>AINS, aspirine : risque hémorragique et rénal majoré.</w:t>
      </w:r>
    </w:p>
    <w:p>
      <w:pPr>
        <w:pStyle w:val="ListBullet"/>
      </w:pPr>
      <w:r>
        <w:t>IEC, ARA2 : effet antihypertenseur synergique.</w:t>
      </w:r>
    </w:p>
    <w:p>
      <w:pPr>
        <w:pStyle w:val="ListBullet"/>
      </w:pPr>
      <w:r>
        <w:t>Vaccins vivants : contre-indiqués.</w:t>
      </w:r>
    </w:p>
    <w:p>
      <w:pPr>
        <w:pStyle w:val="ListBullet"/>
      </w:pPr>
      <w:r>
        <w:t>Pas d'interaction avec le CYP450 (protéine de fusion).</w:t>
      </w:r>
    </w:p>
    <w:p>
      <w:r/>
      <w:r>
        <w:rPr>
          <w:b/>
        </w:rPr>
        <w:t>Grossesse et Allaitement :</w:t>
      </w:r>
      <w:r/>
    </w:p>
    <w:p>
      <w:pPr>
        <w:pStyle w:val="ListBullet"/>
      </w:pPr>
      <w:r>
        <w:t>Grossesse : CONTRE-INDICATION ABSOLUE. Anti-angiogénique puissant, tératogène chez l'animal. Contraception obligatoire pendant et 6 mois après.</w:t>
      </w:r>
    </w:p>
    <w:p>
      <w:pPr>
        <w:pStyle w:val="ListBullet"/>
      </w:pPr>
      <w:r>
        <w:t>Allaitement : CONTRE-INDICATION ABSOLUE pendant et 6 mois après.</w:t>
      </w:r>
    </w:p>
    <w:p>
      <w:r/>
      <w:r>
        <w:rPr>
          <w:b/>
        </w:rPr>
        <w:t>Posologie et Mode d'administration (Standard) :</w:t>
      </w:r>
      <w:r/>
    </w:p>
    <w:p>
      <w:pPr>
        <w:pStyle w:val="ListBullet"/>
      </w:pPr>
      <w:r>
        <w:t>Adulte (CCRm) : 4 mg/kg IV toutes les 2 semaines en perfusion de 60 min, en association au FOLFIRI (J1 du cycle de 28 jours, cures 1–12 puis maintenance possible). Jusqu'à progression ou toxicité inacceptable. Dose maximale absolue : 7,8 mg/kg par cure (en cas de poids élevé).</w:t>
      </w:r>
    </w:p>
    <w:p>
      <w:pPr>
        <w:pStyle w:val="ListBullet"/>
      </w:pPr>
      <w:r>
        <w:t>Mode d'administration : perfusion IV stricte dans 100 mL NaCl 0,9 % ou G5 % (à la différence du bevacizumab, l'aflibercept tolère le glucose). Tubing dédié. Première perfusion en 60 min, surveillance TA, SpO2. Pas de bolus IV.</w:t>
      </w:r>
    </w:p>
    <w:p>
      <w:pPr>
        <w:pStyle w:val="ListBullet"/>
      </w:pPr>
      <w:r>
        <w:t>Adaptation : hypertension non contrôlée → arrêt transitoire ; protéinurie ≥ 1 g/24 h → arrêt transitoire ; hémorragie grade ≥ 3 → arrêt.</w:t>
      </w:r>
    </w:p>
    <w:p>
      <w:pPr>
        <w:pStyle w:val="ListBullet"/>
      </w:pPr>
      <w:r>
        <w:t>Insuffisance hépatique/rénale modérée : pas d'adaptation. Insuffisance rénale sévère : éviter.</w:t>
      </w:r>
    </w:p>
    <w:p>
      <w:r/>
      <w:r>
        <w:rPr>
          <w:b/>
        </w:rPr>
        <w:t>Surveillance Biologique et Suivi Clinique :</w:t>
      </w:r>
      <w:r/>
    </w:p>
    <w:p>
      <w:pPr>
        <w:pStyle w:val="ListBullet"/>
      </w:pPr>
      <w:r>
        <w:t>Hématologique : NFS-plaquettes avant chaque cure.</w:t>
      </w:r>
    </w:p>
    <w:p>
      <w:pPr>
        <w:pStyle w:val="ListBullet"/>
      </w:pPr>
      <w:r>
        <w:t>Hépatique : ALAT, ASAT, bilirubine mensuels.</w:t>
      </w:r>
    </w:p>
    <w:p>
      <w:pPr>
        <w:pStyle w:val="ListBullet"/>
      </w:pPr>
      <w:r>
        <w:t>Rénale : créatinine, urée, ionogramme avant chaque cure ; protéinurie (bandelette) avant chaque cure, dosage quantitatif 24 h si ≥ 2+.</w:t>
      </w:r>
    </w:p>
    <w:p>
      <w:pPr>
        <w:pStyle w:val="ListBullet"/>
      </w:pPr>
      <w:r>
        <w:t>Cardiovasculaire : TA avant chaque cure ; ECG si antécédents.</w:t>
      </w:r>
    </w:p>
    <w:p>
      <w:pPr>
        <w:pStyle w:val="ListBullet"/>
      </w:pPr>
      <w:r>
        <w:t>Coagulation : TP, TCA, fibrinogène avant chaque cure si antécédents thromboemboliques ou traitement anticoagulant.</w:t>
      </w:r>
    </w:p>
    <w:p>
      <w:pPr>
        <w:pStyle w:val="ListBullet"/>
      </w:pPr>
      <w:r>
        <w:t>Clinique : poids, TA, examen cardio-pulmonaire ; interrogatoire saignement, douleurs thoraciques, céphalées, douleurs abdominales.</w:t>
      </w:r>
    </w:p>
    <w:p>
      <w:pPr>
        <w:pStyle w:val="ListBullet"/>
      </w:pPr>
      <w:r>
        <w:t>Suivi carcinologique : scanner TAP tous les 2–3 mois ; marqueurs ACE, CA 19-9.</w:t>
      </w:r>
    </w:p>
    <w:p>
      <w:r/>
      <w:r>
        <w:rPr>
          <w:b/>
        </w:rPr>
        <w:t>Arbitrage et Bénéfices des Formes Galéniques :</w:t>
      </w:r>
      <w:r/>
    </w:p>
    <w:p>
      <w:r>
        <w:t>L'aflibercept est disponible en Algérie sous deux formes : (1) Forme IV oncologique Zaltrap (Sanofi) — flacons de 100 mg/4 mL et 200 mg/8 mL (25 mg/mL), pour le CCRm. La dose de 4 mg/kg correspond à 280 mg pour un adulte de 70 kg → 1 flacon 200 mg + 1 flacon 100 mg = 300 mg (gaspillage 20 mg). (2) Forme intravitréenne ophtalmologique AFLI (Sophal) et Eylea (Bayer) — flacon de 40 mg/mL pour injection intravitréenne (DMLA humide, OMD, OVCR). Cette fiche se concentre sur la forme IV oncologique. La planification de la prescription vise à minimiser le gaspillage. La conservation au réfrigérateur (2–8 °C) et la protection de la lumière sont nécessaires. L'aflibercept est à distinguer du bevacizumab : affinité supérieure pour le VEGF-A, capture supplémentaire du PIGF, mais indication limitée au CCRm (vs indications multiples pour le bevacizumab). Le choix entre aflibercept et bevacizumab dépend de l'indication (CCRm résistant à l'oxaliplatine pour aflibercept), des habitudes locales, et des accords d'établissement.</w:t>
      </w:r>
    </w:p>
    <w:p>
      <w:r/>
      <w:r>
        <w:rPr>
          <w:b/>
        </w:rPr>
        <w:t>Instructions et Conseils au Patient :</w:t>
      </w:r>
      <w:r/>
    </w:p>
    <w:p>
      <w:pPr>
        <w:pStyle w:val="ListBullet"/>
      </w:pPr>
      <w:r>
        <w:t>Communication au comptoir : « L'aflibercept est une protéine qui piège le VEGF, protéine responsable de la formation de nouveaux vaisseaux sanguins nourriciers de votre tumeur colorectale. Il est administré en perfusion IV toutes les 2 semaines, en association à la chimiothérapie FOLFIRI. Les effets indésirables sont similaires à ceux du bevacizumab : hypertension, protéinurie (protéines dans les urines — contrôle par bandelette avant chaque cure), saignement, diarrhée (souvent en association à la chimiothérapie), baisse des globules blancs. Prévenez immédiatement votre médecin en cas d'hypertension non contrôlée, saignement anormal, fièvre, douleurs abdominales, maux de tête intenses. Une contraception stricte est obligatoire. »</w:t>
      </w:r>
    </w:p>
    <w:p>
      <w:pPr>
        <w:pStyle w:val="ListBullet"/>
      </w:pPr>
      <w:r>
        <w:t>Observance : auto-mesure tensionnelle ; signaler tout saignement, fièvre, céphalée, douleur abdominale.</w:t>
      </w:r>
    </w:p>
    <w:p>
      <w:pPr>
        <w:pStyle w:val="ListBullet"/>
      </w:pPr>
      <w:r>
        <w:t>Femmes en âge de procréer : double contraception obligatoire pendant et 6 mois après.</w:t>
      </w:r>
    </w:p>
    <w:p>
      <w:r/>
      <w:r>
        <w:rPr>
          <w:b/>
        </w:rPr>
        <w:t>Notes, Règles d'Or &amp; Pièges au Comptoir :</w:t>
      </w:r>
      <w:r/>
    </w:p>
    <w:p>
      <w:pPr>
        <w:pStyle w:val="ListBullet"/>
      </w:pPr>
      <w:r>
        <w:t>Règle d'or : contrôle tensionnel et protéinurie avant chaque cure.</w:t>
      </w:r>
    </w:p>
    <w:p>
      <w:pPr>
        <w:pStyle w:val="ListBullet"/>
      </w:pPr>
      <w:r>
        <w:t>Piège : ne pas confondre la forme IV oncologique (Zaltrap 25 mg/mL) avec la forme intravitréenne ophtalmologique (Eylea/AFLI 40 mg/mL) — erreur d'administration potentiellement fatale.</w:t>
      </w:r>
    </w:p>
    <w:p>
      <w:pPr>
        <w:pStyle w:val="ListBullet"/>
      </w:pPr>
      <w:r>
        <w:t>Règle : indication limitée au CCRm résistant à l'oxaliplatine en association au FOLFIRI — ne pas utiliser en 1re ligne ou pour d'autres tumeurs.</w:t>
      </w:r>
    </w:p>
    <w:p>
      <w:pPr>
        <w:pStyle w:val="ListBullet"/>
      </w:pPr>
      <w:r>
        <w:t>Piège : risque hémorragique majoré en cas de thrombopénie (chimiothérapie FOLFIRI associée) — surveiller NFS.</w:t>
      </w:r>
    </w:p>
    <w:p>
      <w:pPr>
        <w:pStyle w:val="ListBullet"/>
      </w:pPr>
      <w:r>
        <w:t>Surveillance : attention aux patients sous anticoagulants.</w:t>
      </w:r>
    </w:p>
    <w:p>
      <w:pPr>
        <w:pStyle w:val="ListBullet"/>
      </w:pPr>
      <w:r>
        <w:t>Règle : arrêt 4–6 semaines avant chirurgie programmée.</w:t>
      </w:r>
    </w:p>
    <w:p>
      <w:pPr>
        <w:pStyle w:val="Heading2"/>
      </w:pPr>
      <w:r>
        <w:t>106.9 Sous-classe : AcM Anti-CTLA-4</w:t>
      </w:r>
    </w:p>
    <w:p>
      <w:r>
        <w:t>Le CTLA-4 (Cytotoxic T-Lymphocyte Antigen 4, CD152, codé par le gène CTLA4 sur le chromosome 2q33) est un récepteur inhibiteur de costimulation exprimé à la surface des lymphocytes T activés et régulateurs (Treg), qui se lie aux ligands B7-1 (CD80) et B7-2 (CD86) des cellules présentatrices d'antigène (CPA) avec une affinité supérieure à celle du récepteur activateur CD28, entraînant une inhibition de la signalisation T (blocage de la transcription de l'IL-2, arrêt du cycle cellulaire, inhibition de la prolifération T). Ce mécanisme de « frein immunitaire » physiologique prévient l'auto-immunité mais est exploité par les tumeurs pour échapper à l'immunité antitumorale (état d'anergie T). L'ipilimumab (Yervoy, Bristol-Myers Squibb) est le premier AcM anti-CTLA-4 humain IgG1 ayant obtenu une AMM (FDA en mars 2011, EMA en juillet 2011) pour le traitement du mélanome métastatique, transformant le pronostic de cette maladie historiquement fatale (survie médiane portée de 9 à 16 mois en 2e ligne, et 10 % de survivants à long terme à 10 ans — études MDX010 et CA184-024). L'ipilimumab est indiqué en monothérapie (mélanome, adjuvant), en association au nivolumab (schéma « Ipi-Nivo » — mélanome, CBNPC, cancer du rein, cancer colique MSI-H, mésothéliome, hépatocarcinome — études CheckMate), et en association à la chimiothérapie (NSCLC étendu — étude CheckMate 9LA). Le profil de tolérance est dominé par les immune-related adverse events (irAEs) — toxicités immunologiques liées à la levée du frein immunitaire : colites (30 % — parfois sévères avec perforation), hépatites (20 %), dermatites (40 % — rash, prurit), endocrinopathies (thyroidites, hypophysites, insuffisance surrénalienne — 10–15 %), pneumopathies (5 %), néphrites (1 %), myocardites (rares mais graves, 1 %), neurologiques (syndrome de Guillain-Barré, myasthénie). La prise en charge des irAEs repose sur l'arrêt transitoire ou définitif de l'ipilimumab et la corticothérapie systémique (prednisone 1–2 mg/kg/j) ± immunosuppresseurs (infliximab pour les colites, mycophénolate pour les hépatites). La surveillance clinique et biologique rapprochée est systématique. Le délai d'action de l'ipilimumab est prolongé (4–12 semaines), avec possible effet « pseudoprogression » initiale (augmentation transitoire de la taille tumorale par infiltration lymphocytaire) à ne pas confondre avec une progression réelle.</w:t>
      </w:r>
    </w:p>
    <w:p>
      <w:pPr>
        <w:pStyle w:val="Heading3"/>
      </w:pPr>
      <w:r>
        <w:t>106.9.1 DCI : Ipilimumab</w:t>
      </w:r>
    </w:p>
    <w:p>
      <w:r/>
      <w:r>
        <w:rPr>
          <w:b/>
        </w:rPr>
        <w:t>Liste des Catégories :</w:t>
      </w:r>
      <w:r>
        <w:t xml:space="preserve"> Antinéoplasiques ; Anticorps monoclonal humanisé IgG1 anti-CTLA-4 ; Immunothérapie inhibitrice de point de contrôle (immune checkpoint inhibitor) ; Mélanome métastatique, adjuvant, et associations avec anti-PD-1 ; Liste I.</w:t>
      </w:r>
    </w:p>
    <w:p>
      <w:r>
        <w:t>L'ipilimumab (Yervoy®, Bristol-Myers Squibb) est un AcM humanisé IgG1κ recombinant dirigé contre le CTLA-4 (CD152), premier inhibiteur de point de contrôle immunitaire ayant obtenu une AMM (FDA en mars 2011, EMA en juillet 2011) pour le traitement du mélanome avancé. Son développement, issu des travaux pionniers de James Allison (Prix Nobel de Médecine 2018 pour la découverte de l'immunothérapie par inhibition des points de contrôle), a transformé la prise en charge du mélanome métastatique — historiquement de pronostic catastrophique (survie médiane &lt; 12 mois en métastatique pré-ipilimumab). L'ipilimumab bloque l'interaction du CTLA-4 avec ses ligands B7-1 (CD80) et B7-2 (CD86) des CPA, restaurant la costimulation CD28-activatrice et la prolifération des lymphocytes T effecteurs (LT CD8+ cytotoxiques), tout en réduisant l'activité suppressive des lymphocytes T régulateurs (Treg). Il est indiqué en monothérapie (mélanome métastatique en 2e ligne, mélanome adjuvant après chirurgie complète à haut risque de récidive, mélanome avancé en 1re ligne), en association au nivolumab (schéma « Ipi-Nivo » — mélanome, CBNPC étendu, cancer du rein, cancer colique MSI-H/dMMR, mésothéliome, hépatocarcinome — études CheckMate 067, 227, 214, 142, 743, 040), et en association à la chimiothérapie (CBNPC étendu — étude CheckMate 9LA). Il est inscrit sur la liste des médicaments essentiels OMS.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YERVOY</w:t>
            </w:r>
          </w:p>
        </w:tc>
        <w:tc>
          <w:tcPr>
            <w:tcW w:type="dxa" w:w="1559"/>
          </w:tcPr>
          <w:p>
            <w:r>
              <w:rPr>
                <w:sz w:val="20"/>
              </w:rPr>
              <w:t>BRISTOL-MYERS SQUIBB PHARMA EEIG</w:t>
            </w:r>
          </w:p>
        </w:tc>
        <w:tc>
          <w:tcPr>
            <w:tcW w:type="dxa" w:w="1559"/>
          </w:tcPr>
          <w:p>
            <w:r>
              <w:rPr>
                <w:sz w:val="20"/>
              </w:rPr>
              <w:t>Solution à diluer pour perfusion — 5 mg/mL</w:t>
            </w:r>
          </w:p>
        </w:tc>
        <w:tc>
          <w:tcPr>
            <w:tcW w:type="dxa" w:w="1559"/>
          </w:tcPr>
          <w:p>
            <w:r>
              <w:rPr>
                <w:sz w:val="20"/>
              </w:rPr>
              <w:t>Flacon 10 mL (50 mg)</w:t>
            </w:r>
          </w:p>
        </w:tc>
        <w:tc>
          <w:tcPr>
            <w:tcW w:type="dxa" w:w="1559"/>
          </w:tcPr>
          <w:p>
            <w:r>
              <w:rPr>
                <w:sz w:val="20"/>
              </w:rPr>
              <w:t>Liste I</w:t>
            </w:r>
          </w:p>
        </w:tc>
        <w:tc>
          <w:tcPr>
            <w:tcW w:type="dxa" w:w="1559"/>
          </w:tcPr>
          <w:p>
            <w:r>
              <w:rPr>
                <w:sz w:val="20"/>
              </w:rPr>
              <w:t>Actif</w:t>
            </w:r>
          </w:p>
        </w:tc>
      </w:tr>
    </w:tbl>
    <w:p/>
    <w:p>
      <w:r>
        <w:t>L'ipilimumab est délivré en Algérie via le circuit hospitalier spécialisé en oncologie médicale. La spécialité princeps Yervoy (Bristol-Myers Squibb) est disponible en flacon unique de 10 mL dosé à 50 mg (5 mg/mL). Pas de biosimilaire disponible. L'adaptation posologique se fait en mg/kg selon l'indication (3 mg/kg en monothérapie mélanome, 1 mg/kg en association au nivolumab, 10 mg/kg en adjuvant historique).</w:t>
      </w:r>
    </w:p>
    <w:p>
      <w:r/>
      <w:r>
        <w:rPr>
          <w:b/>
        </w:rPr>
        <w:t>Sous-classe et Mécanisme d'action :</w:t>
      </w:r>
      <w:r/>
    </w:p>
    <w:p>
      <w:pPr>
        <w:pStyle w:val="ListBullet"/>
      </w:pPr>
      <w:r>
        <w:t>Sous-classe : AcM humanisé IgG1κ anti-CTLA-4 (CD152), chef de file des inhibiteurs de point de contrôle immunitaire (immune checkpoint inhibitors, ICI). DCI inscrite sur la liste des médicaments essentiels OMS.</w:t>
      </w:r>
    </w:p>
    <w:p>
      <w:pPr>
        <w:pStyle w:val="ListBullet"/>
      </w:pPr>
      <w:r>
        <w:t>Mécanisme d'action : (i) Blocage compétitif de la liaison du CTLA-4 (exprimé à la surface des LT activés et des Treg) avec ses ligands B7-1 (CD80) et B7-2 (CD86) des CPA (cellules dendritiques, macrophages, cellules B). Le CTLA-4 a une affinité supérieure à CD28 pour B7, ce qui le rend physiologiquement inhibiteur dominant. (ii) Restauration de la costimulation CD28-B7 activatrice (signal 2), restaurant la prolifération, la differentiation et la survie des LT CD8+ cytotoxiques antitumoraux. (iii) Réduction de l'activité suppressive des Treg (déplétion Fc-dépendante des Treg intratumoraux par ADCC). (iv) Levée du « frein immunitaire » physiologique, restaurant l'immunité antitumorale spontanée. L'effet est immunologique indirect (pas de cytotoxicité directe) — d'où le délai d'action prolongé (4–12 semaines) et la possibilité de réponse retardée, de réponse après arrêt, et de « pseudoprogression » (augmentation transitoire de la taille tumorale par infiltration lymphocytaire).</w:t>
      </w:r>
    </w:p>
    <w:p>
      <w:r/>
      <w:r>
        <w:rPr>
          <w:b/>
        </w:rPr>
        <w:t>Profil Pharmacologique :</w:t>
      </w:r>
      <w:r/>
    </w:p>
    <w:p>
      <w:pPr>
        <w:pStyle w:val="ListBullet"/>
      </w:pPr>
      <w:r>
        <w:t>Indications : (1) Mélanome avancé (non résécable ou métastatique) en 1re ligne en association au nivolumab (schéma Ipi-Nivo, étude CheckMate 067 — survie globale à 5 ans 52 % vs 44 % avec ipilimumab seul vs 26 % avec ipilimumab seul). (2) Mélanome avancé en 2e ligne en monothérapie (3 mg/kg, 4 cures — étude MDX010). (3) Mélanome adjuvant après chirurgie complète (stade III, à haut risque de récidive) — étude EORTC 18071 (10 mg/kg, 4 cures d'induction puis 1 cure tous les 3 mois pendant 3 ans, survie sans récidive significativement améliorée ; indication historique, désormais remplacée par le nivolumab ou pembrolizumab adjuvant). (4) CBNPC étendu en 1re ligne en association au nivolumab (schéma Ipi-Nivo, étude CheckMate 227) ou à nivolumab + chimiothérapie (schéma Ipi-Nivo + chimio, étude CheckMate 9LA). (5) Cancer du rein métastatique en 1re ligne en association au nivolumab (étude CheckMate 214). (6) Cancer colorectal MSI-H/dMMR en 1re ligne en association au nivolumab (étude CheckMate 142). (7) Mésothéliome pleural malin en 1re ligne en association au nivolumab (étude CheckMate 743). (8) Hépatocarcinome avancé en 2e ligne en association au nivolumab (étude CheckMate 040).</w:t>
      </w:r>
    </w:p>
    <w:p>
      <w:pPr>
        <w:pStyle w:val="ListBullet"/>
      </w:pPr>
      <w:r>
        <w:t>Contre-indications : Hypersensibilité à l'ipilimumab ou à l'un des excipients. Maladie auto-immune active sévère non contrôlée (lupus érythémateux disséminé, polyarthrite rhumatoïde sous biothérapie, sclérose en plaques évolutive, myasthénie, syndrome de Guillain-Barré). Transplantation d'organe solide ou de CSH allogénique (risque de réaction du greffon contre l'hôte). Infection sévère non contrôlée. Grossesse. Précautions : antécédents de maladie auto-immune contrôlée (thyroidite de Hashimoto, vitiligo, psoriasis — discuter au cas par cas), insuffisance hépatique, insuffisance rénale, traitement immunosuppresseur concomitant.</w:t>
      </w:r>
    </w:p>
    <w:p>
      <w:pPr>
        <w:pStyle w:val="ListBullet"/>
      </w:pPr>
      <w:r>
        <w:t>Effets Indésirables (irAEs — immune-related adverse events, spécifiques aux ICI) : Très fréquents (&gt; 10 %) : fatigue (40 %), rash cutané (40 % — rash maculo-papuleux, prurit, parfois vitiligo), diarrhée (30–40 % — à différencier d'une colite, surveiller la fréquence, la consistance et la présence de sang), colite (10–15 % — risque de perforation digestive, à prendre en charge URGENCE), hépatite cytolytique (20 % — élévation ASAT/ALAT, surveillance biologique systématique), endocrinopathies (10–15 % — thyroidite, hypophysite, insuffisance surrénalienne — parfois irréversibles). Fréquents (1–10 %) : pneumopathie immune (5 % — dyspnée, toux, hypoxie, à ne pas confondre avec progression), néphrite interstitielle (1–3 %), myocardite (1 % — gravissime, taux de mortalité 30–50 %), neurotoxicité (céphalées, méningite aseptique, syndrome de Guillain-Barré, myasthénie), uvéite, panuvéite. Peu fréquents : syndrome de Lyell, syndrome de Stevens-Johnson, encéphalite, myélite transverse, myosite. La particularité des irAEs est leur survenue retardée (4–12 semaines après initiation), leur nature auto-immune (à traiter par corticothérapie), et leur possible chronicité (endocrinopathies définitives nécessitant hormonothérapie substitutive à vie). La « règle des 6 semaines » est importante : la majorité des irAEs surviennent dans les 6 premières semaines (colites), avec un second pic à 6–12 semaines (hépatites, endocrinopathies), et des irAEs retardés possibles jusqu'à plusieurs mois après l'arrêt.</w:t>
      </w:r>
    </w:p>
    <w:p>
      <w:r/>
      <w:r>
        <w:rPr>
          <w:b/>
        </w:rPr>
        <w:t>Prévention et Gestion des Effets Indésirables :</w:t>
      </w:r>
      <w:r/>
    </w:p>
    <w:p>
      <w:pPr>
        <w:pStyle w:val="ListBullet"/>
      </w:pPr>
      <w:r>
        <w:t>Mesures Préventives : Bilan pré-thérapeutique complet : NFS-plaquettes, bilan hépatique (ALAT, ASAT, bilirubine, PAL, γ-GT), bilan rénal (créatinine, urée), ionogramme, TSH, T4 libre, cortisol, ACTH, glycémie, CPK, troponine, ECG, échographie cardiaque si antécédents. Bilan infectieux (VIH, VHB, VHC, IDR tuberculine ou IGRA, EBV, CMV). Examen neurologique complet. Information patient : livret d'information sur les irAEs, consigne de consulter en urgence en cas de diarrhée, dyspnée, palpitations, céphalées, asthénie profonde, troubles visuels. Consultations rapprochées (toutes les 2–4 semaines pendant le traitement et 12 semaines après l'arrêt).</w:t>
      </w:r>
    </w:p>
    <w:p>
      <w:pPr>
        <w:pStyle w:val="ListBullet"/>
      </w:pPr>
      <w:r>
        <w:t>Conduite à Tenir : Diarrhée grade 1 (≤ 4 selles/jour vs baseline) : poursuite, loperamide, hydratation, surveillance. Grade 2 (&gt; 4 selles/jour, retentissement modéré) : arrêt transitoire de l'ipilimumab, loperamide, consultation, sans corticothérapie systématique. Grade 3 (≥ 7 selles/jour ou hospitalisation) : arrêt transitoire, hospitalisation, prednisone 1–2 mg/kg/j IV ou per os, coloscopie diagnostique, coproculture, recherche toxine C. difficile, parasitologie. En cas de non-réponse à 48–72 h : infliximab 5 mg/kg IV (anti-TNFα). Grade 4 (menace vitale, perforation) : arrêt définitif, hospitalisation USIC, prednisone 2 mg/kg/j, infliximab 5 mg/kg IV, cyclosporine si non-réponse, chirurgie en cas de perforation. Hépatite grade 2 (ASAT/ALAT &gt; 2,5–5× LSN) : arrêt transitoire, surveillance hebdomadaire. Grade 3 (&gt; 5–20× LSN) : arrêt, prednisone 1–2 mg/kg/j, mycophénolate mofétil 1 g × 2/j si non-réponse à 48 h (éviter infliximab en cas d'hépatotoxicité). Grade 4 (&gt; 20× LSN) : arrêt définitif, hospitalisation USIC. Endocrinopathie thyroidienne (thyroidite hypertrophique transitoire puis hypothyroïdie définitive) : surveillance TSH/T4 toutes les 4–6 semaines ; hypothyroïdie : levothyroxine substitutive à vie. Hypophysite (céphalées, asthénie, hypotension, hyponatrémie) : arrêt transitoire, prednisone 1 mg/kg/j, hormonothérapie substitutive (hydrocortisone, levothyroxine, testosterone/estrogènes) — souvent définitive. Insuffisance surrénalienne aiguë (hypotension, hyponatrémie, hyperkaliémie, hypoglycémie) : URGENCE — hydrocortisone 100 mg IV en bolus puis 50 mg IV × 4/j, hydratation, hospitalisation USIC, puis hydrocortisone orale à vie. Pneumopathie immune grade 2 : arrêt, prednisone 1–2 mg/kg/j, antibiothérapie prophylactique (cotrimoxazole). Grade 3–4 : arrêt définitif, hospitalisation USIC, prednisone 2–4 mg/kg/j, oxygénothérapie, antibiothérapie large spectre. Myocardite (douleurs thoraciques, palpitations, élévation troponine, troubles du rythme, FEVG abaissée) : URGENCE — arrêt définitif, hospitalisation USIC/soins intensifs cardiologiques, prednisone 1 mg/kg/j ± mycophénolate, surveillance ECG, échographie cardiaque, IRM cardiaque. Néphrite (créatinine élevée, protéinurie modérée) : arrêt transitoire, prednisone 1 mg/kg/j, recherche autres causes (AINS, néphrotoxiques). Neurotoxicité (céphalées, méningite, neuropathie) : arrêt, prednisone 1–2 mg/kg/j, neuro-consultation, ponction lombaire, IRM cérébrale et médullaire.</w:t>
      </w:r>
    </w:p>
    <w:p>
      <w:r/>
      <w:r>
        <w:rPr>
          <w:b/>
        </w:rPr>
        <w:t>Interactions Médicamenteuses :</w:t>
      </w:r>
      <w:r/>
    </w:p>
    <w:p>
      <w:pPr>
        <w:pStyle w:val="ListBullet"/>
      </w:pPr>
      <w:r>
        <w:t>Immunosuppresseurs (corticothérapie systémique &gt; 10 mg/j d'équivalent prednisone, cyclosporine, azathioprine, mycophénolate, tacrolimus, methotrexate) : diminuent l'efficacité de l'ipilimumab (immunosuppression). Éviter avant initiation (wash-out de 2–4 semaines), autorisés en traitement des irAEs sévères. La corticothérapie inhalée et la substitution hormonale (hydrocortisone, levothyroxine) sont autorisées.</w:t>
      </w:r>
    </w:p>
    <w:p>
      <w:pPr>
        <w:pStyle w:val="ListBullet"/>
      </w:pPr>
      <w:r>
        <w:t>Nivolumab, pembrolizumab (anti-PD-1) : association standard (schéma Ipi-Nivo), synergie d'efficacité mais majoration du risque et de la sévérité des irAEs (colites, hépatites, pneumopathies).</w:t>
      </w:r>
    </w:p>
    <w:p>
      <w:pPr>
        <w:pStyle w:val="ListBullet"/>
      </w:pPr>
      <w:r>
        <w:t>Chimiothérapie : association possible (CheckMate 9LA — Ipi-Nivo + chimiothérapie CBNPC), surveillance de la tolérance hématologique.</w:t>
      </w:r>
    </w:p>
    <w:p>
      <w:pPr>
        <w:pStyle w:val="ListBullet"/>
      </w:pPr>
      <w:r>
        <w:t>Vaccins vivants (BCG, fièvre jaune, ROR, varicelle, zona) : CONTRE-INDICATION pendant le traitement et 6 mois après (immunosuppression, risque de maladie vaccinale).</w:t>
      </w:r>
    </w:p>
    <w:p>
      <w:pPr>
        <w:pStyle w:val="ListBullet"/>
      </w:pPr>
      <w:r>
        <w:t>Vaccins inactivés (grippe, pneumocoque, COVID-19, hépatite B) : autorisés mais réponse immunitaire pouvant être atténuée.</w:t>
      </w:r>
    </w:p>
    <w:p>
      <w:pPr>
        <w:pStyle w:val="ListBullet"/>
      </w:pPr>
      <w:r>
        <w:t>Pas d'interaction avec le CYP450.</w:t>
      </w:r>
    </w:p>
    <w:p>
      <w:r/>
      <w:r>
        <w:rPr>
          <w:b/>
        </w:rPr>
        <w:t>Grossesse et Allaitement :</w:t>
      </w:r>
      <w:r/>
    </w:p>
    <w:p>
      <w:pPr>
        <w:pStyle w:val="ListBullet"/>
      </w:pPr>
      <w:r>
        <w:t>Grossesse : ÉVITER. Données animales : toxicité embryo-fœtale (avortements spontanés, mortalité fœtale augmentée) chez le singe à exposition comparable à l'humain, mécanisme attendu (immunomodulation maternelle et fœtale). Le rôle du CTLA-4 dans le maintien de la tolérance immunitaire materno-fœtale est crucial (expression par les Treg au niveau du placenta). Contraception obligatoire pendant le traitement et 3 mois après (femme et partenaire masculin). Chez une patiente enceinte nécessitant un traitement anticancéreux : évaluation multidisciplinaire (onco-gynéco-obstétricienne), préférence pour la chimiothérapie classique (possible au 2e trimestre), report de l'immunothérapie au post-partum.</w:t>
      </w:r>
    </w:p>
    <w:p>
      <w:pPr>
        <w:pStyle w:val="ListBullet"/>
      </w:pPr>
      <w:r>
        <w:t>Allaitement : CONTRE-INDICATION ABSOLUE pendant le traitement et 3 mois après (passage dans le lait via FcRn, immunosuppression néonatale).</w:t>
      </w:r>
    </w:p>
    <w:p>
      <w:pPr>
        <w:pStyle w:val="ListBullet"/>
      </w:pPr>
      <w:r>
        <w:t>Fertilité : pas d'effet direct documenté ; à évaluer avant traitement.</w:t>
      </w:r>
    </w:p>
    <w:p>
      <w:r/>
      <w:r>
        <w:rPr>
          <w:b/>
        </w:rPr>
        <w:t>Posologie et Mode d'administration (Standard) :</w:t>
      </w:r>
      <w:r/>
    </w:p>
    <w:p>
      <w:pPr>
        <w:pStyle w:val="ListBullet"/>
      </w:pPr>
      <w:r>
        <w:t>Adulte (mélanome métastatique en 2e ligne, monothérapie historique) : 3 mg/kg IV en perfusion de 90 min toutes les 3 semaines, 4 cures d'induction. Pas de traitement d'entretien validé en monothérapie.</w:t>
      </w:r>
    </w:p>
    <w:p>
      <w:pPr>
        <w:pStyle w:val="ListBullet"/>
      </w:pPr>
      <w:r>
        <w:t>Adulte (mélanome métastatique en 1re ligne, schéma Ipi-Nivo) : ipilimumab 1 mg/kg IV + nivolumab 3 mg/kg IV à J1 de chaque cycle de 3 semaines, 4 cures d'induction, puis nivolumab 240 mg IV toutes les 2 semaines (ou 480 mg toutes les 4 semaines) en entretien, jusqu'à progression ou toxicité inacceptable (durée maximale 2 ans en adjuvant, jusqu'à progression en métastatique).</w:t>
      </w:r>
    </w:p>
    <w:p>
      <w:pPr>
        <w:pStyle w:val="ListBullet"/>
      </w:pPr>
      <w:r>
        <w:t>Adulte (CBNPC étendu, schéma Ipi-Nivo) : ipilimumab 1 mg/kg + nivolumab 360 mg IV à J1 de chaque cycle de 3 semaines (ou 6 semaines selon schéma), 4 cures d'induction, puis nivolumab en entretien.</w:t>
      </w:r>
    </w:p>
    <w:p>
      <w:pPr>
        <w:pStyle w:val="ListBullet"/>
      </w:pPr>
      <w:r>
        <w:t>Adulte (CBNPC étendu, schéma Ipi-Nivo + chimio, étude CheckMate 9LA) : ipilimumab 1 mg/kg + nivolumab 360 mg IV + chimiothérapie (paclitaxel + carboplatine) à J1 de chaque cycle de 3 semaines, 2 cures d'induction, puis nivolumab en entretien.</w:t>
      </w:r>
    </w:p>
    <w:p>
      <w:pPr>
        <w:pStyle w:val="ListBullet"/>
      </w:pPr>
      <w:r>
        <w:t>Adulte (cancer du rein métastatique, schéma Ipi-Nivo) : ipilimumab 1 mg/kg + nivolumab 3 mg/kg à J1 de chaque cycle de 3 semaines, 4 cures d'induction, puis nivolumab en entretien.</w:t>
      </w:r>
    </w:p>
    <w:p>
      <w:pPr>
        <w:pStyle w:val="ListBullet"/>
      </w:pPr>
      <w:r>
        <w:t>Adulte (cancer colique MSI-H/dMMR, schéma Ipi-Nivo) : ipilimumab 1 mg/kg + nivolumab 3 mg/kg à J1 de chaque cycle de 3 semaines, 4 cures d'induction, puis nivolumab en entretien.</w:t>
      </w:r>
    </w:p>
    <w:p>
      <w:pPr>
        <w:pStyle w:val="ListBullet"/>
      </w:pPr>
      <w:r>
        <w:t>Adulte (mésothéliome, schéma Ipi-Nivo) : ipilimumab 1 mg/kg + nivolumab 3 mg/kg à J1 de chaque cycle de 3 semaines, 4 cures d'induction, puis nivolumab en entretien, jusqu'à 2 ans maximum.</w:t>
      </w:r>
    </w:p>
    <w:p>
      <w:pPr>
        <w:pStyle w:val="ListBullet"/>
      </w:pPr>
      <w:r>
        <w:t>Mode d'administration : perfusion IV stricte dans 100 mL NaCl 0,9 % ou G5 %, en 90 min. Tubing dédié. Surveillance TA, SpO2 pendant la perfusion. Pas de bolus IV. Pré-médication antihistaminique avant la première cure optionnelle (RLP rares, ipilimumab humanisé).</w:t>
      </w:r>
    </w:p>
    <w:p>
      <w:pPr>
        <w:pStyle w:val="ListBullet"/>
      </w:pPr>
      <w:r>
        <w:t>Adaptation : irAE grade 3 → arrêt transitoire + prednisone 1–2 mg/kg/j ; irAE grade 4 → arrêt définitif.</w:t>
      </w:r>
    </w:p>
    <w:p>
      <w:pPr>
        <w:pStyle w:val="ListBullet"/>
      </w:pPr>
      <w:r>
        <w:t>Insuffisance hépatique modérée (bilirubine &gt; 1,5–3× LSN) : éviter. Insuffisance hépatique sévère : CI.</w:t>
      </w:r>
    </w:p>
    <w:p>
      <w:pPr>
        <w:pStyle w:val="ListBullet"/>
      </w:pPr>
      <w:r>
        <w:t>Insuffisance rénale modérée à sévère : pas d'adaptation, mais surveillance accrue (risque de néphrite immune).</w:t>
      </w:r>
    </w:p>
    <w:p>
      <w:r/>
      <w:r>
        <w:rPr>
          <w:b/>
        </w:rPr>
        <w:t>Surveillance Biologique et Suivi Clinique :</w:t>
      </w:r>
      <w:r/>
    </w:p>
    <w:p>
      <w:pPr>
        <w:pStyle w:val="ListBullet"/>
      </w:pPr>
      <w:r>
        <w:t>Hématologique : NFS-plaquettes avant chaque cure.</w:t>
      </w:r>
    </w:p>
    <w:p>
      <w:pPr>
        <w:pStyle w:val="ListBullet"/>
      </w:pPr>
      <w:r>
        <w:t>Hépatique : ALAT, ASAT, bilirubine, PAL, γ-GT avant chaque cure et 2–4 semaines après la dernière cure.</w:t>
      </w:r>
    </w:p>
    <w:p>
      <w:pPr>
        <w:pStyle w:val="ListBullet"/>
      </w:pPr>
      <w:r>
        <w:t>Rénale : créatinine, urée, ionogramme avant chaque cure ; protéinurie (bandelette) avant chaque cure.</w:t>
      </w:r>
    </w:p>
    <w:p>
      <w:pPr>
        <w:pStyle w:val="ListBullet"/>
      </w:pPr>
      <w:r>
        <w:t>Endocrinien : TSH, T4 libre, cortisol, ACTH avant chaque cure et toutes les 4–6 semaines pendant 12 semaines après la dernière cure.</w:t>
      </w:r>
    </w:p>
    <w:p>
      <w:pPr>
        <w:pStyle w:val="ListBullet"/>
      </w:pPr>
      <w:r>
        <w:t>Cardiaque : ECG et troponine avant initiation, et à 4–6 semaines (recherche myocardite) ; échographie cardiaque si antécédents.</w:t>
      </w:r>
    </w:p>
    <w:p>
      <w:pPr>
        <w:pStyle w:val="ListBullet"/>
      </w:pPr>
      <w:r>
        <w:t>Neurologique : examen neurologique complet avant chaque cure (recherche neuropathie, myasthénie, méningite).</w:t>
      </w:r>
    </w:p>
    <w:p>
      <w:pPr>
        <w:pStyle w:val="ListBullet"/>
      </w:pPr>
      <w:r>
        <w:t>Cutané : examen dermatologique à chaque consultation.</w:t>
      </w:r>
    </w:p>
    <w:p>
      <w:pPr>
        <w:pStyle w:val="ListBullet"/>
      </w:pPr>
      <w:r>
        <w:t>Clinique : interrogatoire diarrhée (fréquence, consistance, sang), douleurs abdominales, dyspnée, toux, palpitations, céphalées, asthénie, troubles visuels, douleurs musculaires.</w:t>
      </w:r>
    </w:p>
    <w:p>
      <w:pPr>
        <w:pStyle w:val="ListBullet"/>
      </w:pPr>
      <w:r>
        <w:t>Suivi carcinologique : scanner TAP avant traitement, à 12 semaines (réévaluation), puis tous les 2–3 mois. Critères de réponse immunologique (iRECIST) pour évaluer la réponse (pseudoprogression possible).</w:t>
      </w:r>
    </w:p>
    <w:p>
      <w:r/>
      <w:r>
        <w:rPr>
          <w:b/>
        </w:rPr>
        <w:t>Arbitrage et Bénéfices des Formes Galéniques :</w:t>
      </w:r>
      <w:r/>
    </w:p>
    <w:p>
      <w:r>
        <w:t>L'ipilimumab est disponible uniquement en forme IV (5 mg/mL, flacon de 50 mg/10 mL). La dose de 3 mg/kg (mélanome monothérapie) correspond à 210 mg pour un adulte de 70 kg → 5 flacons de 50 mg = 250 mg (gaspillage 40 mg). La dose de 1 mg/kg (schéma Ipi-Nivo) correspond à 70 mg → 2 flacons de 50 mg = 100 mg (gaspillage 30 mg). La planification de la prescription vise à minimiser le gaspillage. La conservation au réfrigérateur (2–8 °C) et la protection de la lumière sont nécessaires. Pas de forme SC, pas de biosimilaire. La disponibilité de la spécialité princeps Yervoy en Algérie permet l'accès au schéma Ipi-Nivo, standard de traitement de multiples tumeurs avancées (mélanome, CBNPC, rein, côlon MSI-H, mésothéliome, hépatocarcinome).</w:t>
      </w:r>
    </w:p>
    <w:p>
      <w:r/>
      <w:r>
        <w:rPr>
          <w:b/>
        </w:rPr>
        <w:t>Instructions et Conseils au Patient :</w:t>
      </w:r>
      <w:r/>
    </w:p>
    <w:p>
      <w:pPr>
        <w:pStyle w:val="ListBullet"/>
      </w:pPr>
      <w:r>
        <w:t>Communication au comptoir : « L'ipilimumab est un anticorps monoclonal qui "lève le frein" de votre système immunitaire, permettant à vos lymphocytes T d'attaquer les cellules tumorales. Il est administré en perfusion IV toutes les 3 semaines, généralement en association au nivolumab (schéma Ipi-Nivo). Les effets indésirables sont des réactions auto-immunes : diarrhée (à signaler immédiatement — risque de colite sévère), atteinte hépatique (surveillance par prises de sang), atteinte endocrinienne (thyroïde, hypophyse, surrénales — fatigue, céphalées, hypotension à signaler), atteinte cutanée (rash, prurit), atteinte pulmonaire (toux, dyspnée). Prévenez IMMÉDIATEMENT votre médecin en cas de diarrhée (plus de 4 selles/jour ou sanglante), de douleurs abdominales intenses, de fièvre, d'essoufflement, de palpitations, de céphalées violentes, d'asthénie profonde, de troubles visuels. Le traitement de ces réactions repose sur la corticothérapie. Une contraception stricte est obligatoire. »</w:t>
      </w:r>
    </w:p>
    <w:p>
      <w:pPr>
        <w:pStyle w:val="ListBullet"/>
      </w:pPr>
      <w:r>
        <w:t>Observance : livret d'information irAEs ; consulter en URGENCE en cas de diarrhée &gt; 4 selles/jour, douleurs abdominales, dyspnée, céphalées ; ne jamais s'auto-médiquer pour la diarrhée sans avis.</w:t>
      </w:r>
    </w:p>
    <w:p>
      <w:pPr>
        <w:pStyle w:val="ListBullet"/>
      </w:pPr>
      <w:r>
        <w:t>Hygiène de vie : alimentation équilibrée ; éviter les contacts avec personnes malades ; éviter les vaccins vivants.</w:t>
      </w:r>
    </w:p>
    <w:p>
      <w:pPr>
        <w:pStyle w:val="ListBullet"/>
      </w:pPr>
      <w:r>
        <w:t>Femmes en âge de procréer : double contraception obligatoire pendant et 3 mois après.</w:t>
      </w:r>
    </w:p>
    <w:p>
      <w:pPr>
        <w:pStyle w:val="ListBullet"/>
      </w:pPr>
      <w:r>
        <w:t>Vaccins : vaccination antipneumococcique et antigrippale avant traitement.</w:t>
      </w:r>
    </w:p>
    <w:p>
      <w:r/>
      <w:r>
        <w:rPr>
          <w:b/>
        </w:rPr>
        <w:t>Notes, Règles d'Or &amp; Pièges au Comptoir :</w:t>
      </w:r>
      <w:r/>
    </w:p>
    <w:p>
      <w:pPr>
        <w:pStyle w:val="ListBullet"/>
      </w:pPr>
      <w:r>
        <w:t>Règle d'or : TOUT symptôme nouveau sous ipilimumab doit être considéré comme un irAE jusqu'à preuve du contraire — ne pas attribuer systématiquement à une infection ou à une progression.</w:t>
      </w:r>
    </w:p>
    <w:p>
      <w:pPr>
        <w:pStyle w:val="ListBullet"/>
      </w:pPr>
      <w:r>
        <w:t>Piège : la diarrhée peut être sévère et entraîner une colite avec perforation digestive — ne jamais sous-estimer, coloscopie en cas de grade ≥ 2, infliximab en cas de non-réponse à la corticothérapie.</w:t>
      </w:r>
    </w:p>
    <w:p>
      <w:pPr>
        <w:pStyle w:val="ListBullet"/>
      </w:pPr>
      <w:r>
        <w:t>Règle : surveillance biologique systématique (NFS, hépatique, rénal, TSH, cortisol) avant chaque cure et 12 semaines après la dernière cure.</w:t>
      </w:r>
    </w:p>
    <w:p>
      <w:pPr>
        <w:pStyle w:val="ListBullet"/>
      </w:pPr>
      <w:r>
        <w:t>Piège : les endocrinopathies (thyroïdite, hypophysite, insuffisance surrénalienne) sont souvent définitives — nécessitent une hormonothérapie substitutive à vie.</w:t>
      </w:r>
    </w:p>
    <w:p>
      <w:pPr>
        <w:pStyle w:val="ListBullet"/>
      </w:pPr>
      <w:r>
        <w:t>Surveillance : la myocardite est rare mais gravissime (30–50 % de mortalité) — surveillance ECG et troponine systématique.</w:t>
      </w:r>
    </w:p>
    <w:p>
      <w:pPr>
        <w:pStyle w:val="ListBullet"/>
      </w:pPr>
      <w:r>
        <w:t>Règle : ne pas confondre pseudoprogression (augmentation transitoire de la taille tumorale par infiltration lymphocytaire, suivi d'une réponse tardive) avec progression réelle — critères iRECIST.</w:t>
      </w:r>
    </w:p>
    <w:p>
      <w:pPr>
        <w:pStyle w:val="ListBullet"/>
      </w:pPr>
      <w:r>
        <w:t>Piège : l'efficacité peut persister après arrêt du traitement (mémoire immunitaire) — ne pas reprendre en cas de réponse stable.</w:t>
      </w:r>
    </w:p>
    <w:p>
      <w:pPr>
        <w:pStyle w:val="ListBullet"/>
      </w:pPr>
      <w:r>
        <w:t>Surveillance : attention aux associations Ipi-Nivo — majoration du risque et de la sévérité des irAEs.</w:t>
      </w:r>
    </w:p>
    <w:p>
      <w:pPr>
        <w:pStyle w:val="Heading2"/>
      </w:pPr>
      <w:r>
        <w:t>106.10 Sous-classe : AcM Anti-PD-1</w:t>
      </w:r>
    </w:p>
    <w:p>
      <w:r>
        <w:t>Le PD-1 (Programmed cell Death 1, PDCD1, CD279, codé par le gène PDCD1 sur le chromosome 2q37.3) est un récepteur inhibiteur de costimulation exprimé à la surface des lymphocytes T activés, des lymphocytes B activés, des cellules NK et des macrophages, qui se lie à ses ligands PD-L1 (B7-H1, CD274) et PD-L2 (B7-DC, CD273) exprimés à la surface des cellules tumorales et des CPA du microenvironnement tumoral. L'engagement du PD-1 par PD-L1/PD-L2 inhibe la signalisation T (blocage de la voie PI3K/AKT, inhibition de la transcription de l'IL-2, arrêt du cycle cellulaire, inhibition de la prolifération T, induction d'anergie et de mort cellulaire), permettant aux cellules tumorales d'échapper à l'immunité antitumorale. Les AcM anti-PD-1 (nivolumab, pembrolizumab) bloquent l'interaction PD-1/PD-L1/PD-L2, restaurant l'activité cytotoxique des LT CD8+ contre les cellules tumorales. Le pembrolizumab (Keytruda, Merck Sharp &amp; Dohme, AMM FDA septembre 2014) et le nivolumab (Opdivo, Bristol-Myers Squibb, AMM FDA décembre 2014) ont transformé la prise en charge de multiples tumeurs solides (mélanome, CBNPC, cancer du rein, cancer de l'ovaire, cancer ORL, cancer de l'endomètre, cancer gastrique, cancer du sein triple-négatif, cancer colique MSI-H/dMMR, hépatocarcinome, maladie de Hodgkin classique, lymphome T, cancers urothéliaux). L'indication est conditionnée par le statut PD-L1 (immunohistochimie — score TPS, CPS, IPS selon indication) et/ou le statut MSI (PCR microsatellites) et/ou la mutation/déficit en MMR (immunohistochimie MLH1/MSH2/MSH6/PMS2). Le profil de tolérance est dominé par les irAEs (similaires à l'ipilimumab mais moins fréquents et moins sévères en monothérapie) : fatigue, rash, prurit, diarrhée/colite, hépatite, endocrinopathies (thyroidite, hypophysite, insuffisance surrénalienne), pneumopathie immune, néphrite, myocardite. La prise en charge repose sur l'arrêt transitoire ou définitif et la corticothérapie systémique. La surveillance est systématique. Le délai d'action est prolongé (4–12 semaines), avec possible pseudoprogression.</w:t>
      </w:r>
    </w:p>
    <w:p>
      <w:pPr>
        <w:pStyle w:val="Heading3"/>
      </w:pPr>
      <w:r>
        <w:t>106.10.1 DCI : Nivolumab</w:t>
      </w:r>
    </w:p>
    <w:p>
      <w:r/>
      <w:r>
        <w:rPr>
          <w:b/>
        </w:rPr>
        <w:t>Liste des Catégories :</w:t>
      </w:r>
      <w:r>
        <w:t xml:space="preserve"> Antinéoplasiques ; Anticorps monoclonal totalement humain IgG4 anti-PD-1 ; Immunothérapie inhibitrice de point de contrôle ; Mélanome, CBNPC, cancer du rein, ORL, hépatocarcinome, maladie de Hodgkin, cancers urothéliaux, cancers digestifs MSI-H ; Liste I.</w:t>
      </w:r>
    </w:p>
    <w:p>
      <w:r>
        <w:t>Le nivolumab (Opdivo®, Bristol-Myers Squibb) est un AcM totalement humain IgG4κ recombinant (technologie de la souris transgénique), dirigé contre le PD-1 (CD279), premier AcM anti-PD-1 ayant obtenu une AMM (FDA décembre 2014, EMA juin 2015) pour le traitement du mélanome avancé. Son développement, issu des travaux pionniers de Tasuku Honjo (Prix Nobel de Médecine 2018 pour la découverte du PD-1), a transformé la prise en charge de multiples tumeurs solides et hématologiques, avec des taux de réponse remarquables (mélanome 30–40 %, CBNPC 20 %, maladie de Hodgkin 65 %, cancer du rein 25 %) et des réponses prolongées (survie à 5 ans 30–40 % en mélanome métastatique). Le nivolumab bloque l'interaction PD-1/PD-L1/PD-L2, restaurant l'activité cytotoxique des LT CD8+ contre les cellules tumorales. Il est indiqué en monothérapie (mélanome, CBNPC, cancer du rein, cancer ORL, hépatocarcinome, maladie de Hodgkin classique, cancers urothéliaux) ou en association (avec ipilimumab — schéma Ipi-Nivo ; avec chimiothérapie ; avec cabozantinib ou sunitinib — cancer du rein). Il est inscrit sur la liste des médicaments essentiels OMS.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OPDIVO</w:t>
            </w:r>
          </w:p>
        </w:tc>
        <w:tc>
          <w:tcPr>
            <w:tcW w:type="dxa" w:w="1559"/>
          </w:tcPr>
          <w:p>
            <w:r>
              <w:rPr>
                <w:sz w:val="20"/>
              </w:rPr>
              <w:t>BRISTOL MYERS SQUIBB PHARMA EEIG</w:t>
            </w:r>
          </w:p>
        </w:tc>
        <w:tc>
          <w:tcPr>
            <w:tcW w:type="dxa" w:w="1559"/>
          </w:tcPr>
          <w:p>
            <w:r>
              <w:rPr>
                <w:sz w:val="20"/>
              </w:rPr>
              <w:t>Solution à diluer pour perfusion — 10 mg/mL (40 mg/4 mL et 100 mg/10 mL)</w:t>
            </w:r>
          </w:p>
        </w:tc>
        <w:tc>
          <w:tcPr>
            <w:tcW w:type="dxa" w:w="1559"/>
          </w:tcPr>
          <w:p>
            <w:r>
              <w:rPr>
                <w:sz w:val="20"/>
              </w:rPr>
              <w:t>B/1 flacon 4 mL et B/1 flacon 10 mL</w:t>
            </w:r>
          </w:p>
        </w:tc>
        <w:tc>
          <w:tcPr>
            <w:tcW w:type="dxa" w:w="1559"/>
          </w:tcPr>
          <w:p>
            <w:r>
              <w:rPr>
                <w:sz w:val="20"/>
              </w:rPr>
              <w:t>Liste I</w:t>
            </w:r>
          </w:p>
        </w:tc>
        <w:tc>
          <w:tcPr>
            <w:tcW w:type="dxa" w:w="1559"/>
          </w:tcPr>
          <w:p>
            <w:r>
              <w:rPr>
                <w:sz w:val="20"/>
              </w:rPr>
              <w:t>Actif</w:t>
            </w:r>
          </w:p>
        </w:tc>
      </w:tr>
    </w:tbl>
    <w:p/>
    <w:p>
      <w:r>
        <w:t>Le nivolumab est délivré en Algérie via le circuit hospitalier spécialisé en oncologie médicale et hématologie clinique. La spécialité princeps Opdivo (Bristol-Myers Squibb) est disponible en deux dosages : 40 mg/4 mL et 100 mg/10 mL (10 mg/mL), permettant l'administration en dose fixe (240 mg ou 360 mg ou 480 mg selon indication). Pas de biosimilaire disponible dans la nomenclature algérienne. Le biosimilaire Pembrolizumab-Saidal existe pour le pembrolizumab mais pas pour le nivolumab.</w:t>
      </w:r>
    </w:p>
    <w:p>
      <w:r/>
      <w:r>
        <w:rPr>
          <w:b/>
        </w:rPr>
        <w:t>Sous-classe et Mécanisme d'action :</w:t>
      </w:r>
      <w:r/>
    </w:p>
    <w:p>
      <w:pPr>
        <w:pStyle w:val="ListBullet"/>
      </w:pPr>
      <w:r>
        <w:t>Sous-classe : AcM totalement humain IgG4κ anti-PD-1 (CD279), chef de file des anti-PD-1 (avec le pembrolizumab). DCI inscrite sur la liste des médicaments essentiels OMS.</w:t>
      </w:r>
    </w:p>
    <w:p>
      <w:pPr>
        <w:pStyle w:val="ListBullet"/>
      </w:pPr>
      <w:r>
        <w:t>Mécanisme d'action : (i) Blocage compétitif de la liaison du PD-1 (exprimé à la surface des LT CD8+ activés, LT CD4+, NK, macrophages) avec ses ligands PD-L1 (B7-H1, exprimé par les cellules tumorales et les CPA) et PD-L2 (B7-DC, exprimé par les CPA). Le PD-1, comme le CTLA-4, est un récepteur inhibiteur de costimulation, mais il agit principalement en périphérie (au niveau du microenvironnement tumoral), à la différence du CTLA-4 qui agit au niveau ganglionnaire. (ii) Restauration de la signalisation T activatrice (PI3K/AKT, IL-2), restaurant la prolifération, la differentiation et la cytotoxicité des LT CD8+ antitumoraux. (iii) Levée du « frein immunitaire » périphérique. (iv) Effet moins important sur les Treg que l'ipilimumab. L'isotype IgG4 (sans activité ADCC/CDC significative) garantit une bonne tolérance (pas de déplétion cellulaire). L'effet est immunologique indirect, avec délai d'action prolongé (4–12 semaines), réponses durables (mémoire immunitaire), et possible pseudoprogression.</w:t>
      </w:r>
    </w:p>
    <w:p>
      <w:r/>
      <w:r>
        <w:rPr>
          <w:b/>
        </w:rPr>
        <w:t>Profil Pharmacologique :</w:t>
      </w:r>
      <w:r/>
    </w:p>
    <w:p>
      <w:pPr>
        <w:pStyle w:val="ListBullet"/>
      </w:pPr>
      <w:r>
        <w:t>Indications : (1) Mélanome avancé (non résécable ou métastatique) en 1re ligne en monothérapie (si BRAF-wt) ou en association à l'ipilimumab (schéma Ipi-Nivo, étude CheckMate 067) ; en adjuvant après chirurgie complète (stade IIB-IV, étude CheckMate 238) ; en 2e ligne après ipilimumab (étude CheckMate 066). (2) CBNPC non épidermoïde en 1re ligne en monothérapie (si PD-L1 ≥ 50 %, étude CheckMate 026) ou en association à l'ipilimumab (schéma Ipi-Nivo, étude CheckMate 227) ou en association à la chimiothérapie (études CheckMate 9LA) ; en 2e ligne après chimiothérapie à base de platine (études CheckMate 017/057). (3) CBNPC épidermoïde en 1re ligne en association à l'ipilimumab ou en 2e ligne en monothérapie. (4) Cancer du rein métastatique en 1re ligne en association à l'ipilimumab (étude CheckMate 214) ou en association au cabozantinib (étude CheckMate 9ER) ; en 2e ligne après anti-angiogénique (étude CheckMate 025). (5) Cancer ORL récidivant ou métastatique en 2e ligne après platine (études CheckMate 141). (6) Hépatocarcinome avancé en 2e ligne après sorafenib (étude CheckMate 040). (7) Maladie de Hodgkin classique récidivante/réfractaire après autogreffe et brentuximab vedotin (étude CheckMate 205/039). (8) Cancers urothéliaux métastatiques en 2e ligne après platine (étude CheckMate 275). (9) Cancer colorectal MSI-H/dMMR en 1re ligne en association à l'ipilimumab (étude CheckMate 142) ou en monothérapie en 2e ligne. (10) Mésothéliome pleural malin en 1re ligne en association à l'ipilimumab (étude CheckMate 743). (11) Cancer de l'œsophage en 2e ligne après platine (étude ATTRACTION-03/CheckMate 632). (12) Cancer gastrique en 3e ligne (étude ATTRACTION-02).</w:t>
      </w:r>
    </w:p>
    <w:p>
      <w:pPr>
        <w:pStyle w:val="ListBullet"/>
      </w:pPr>
      <w:r>
        <w:t>Contre-indications : Hypersensibilité au nivolumab ou à l'un des excipients. Maladie auto-immune active sévère non contrôlée. Transplantation d'organe solide ou de CSH allogénique. Infection sévère non contrôlée. Grossesse. Précautions : antécédents de maladie auto-immune contrôlée, insuffisance hépatique, insuffisance rénale, traitement immunosuppresseur concomitant.</w:t>
      </w:r>
    </w:p>
    <w:p>
      <w:pPr>
        <w:pStyle w:val="ListBullet"/>
      </w:pPr>
      <w:r>
        <w:t>Effets Indésirables (irAEs) : Très fréquents (&gt; 10 %) : fatigue (30 %), rash cutané (20 % — rash maculo-papuleux, prurit, parfois vitiligo), diarrhée (15 %), nausées, vomissements, perte d'appétit, arthralgies, myalgies, asthénie, hypothyroïdie (10 % — thyroidite immune), élévation des transaminases (10 %). Fréquents (1–10 %) : colite immune (5 % — moins fréquente et moins sévère qu'avec l'ipilimumab), hépatite immune (5 %), pneumopathie immune (5 % — surtout CBNPC et cancers pulmonaires), néphrite interstitielle (1–3 %), hyperthyroïdie transitoire (3 %), hypophysite (1 %), insuffisance surrénalienne (1 %), céphalées, neuropathie périphérique, conjonctivite. Peu fréquents : myocardite (1 % — gravissime), syndrome de Guillain-Barré, myasthénie, méningite aseptique, encéphalite, panuvéite, syndrome de Lyell, syndrome de Stevens-Johnson. Les irAEs sont moins fréquents et moins sévères en monothérapie qu'avec l'ipilimumab, mais majorés en association Ipi-Nivo (50 % d'irAEs grade 3–4 dans le schéma Ipi-Nivo vs 15–20 % en monothérapie). Délai d'action : 4–12 semaines.</w:t>
      </w:r>
    </w:p>
    <w:p>
      <w:r/>
      <w:r>
        <w:rPr>
          <w:b/>
        </w:rPr>
        <w:t>Prévention et Gestion des Effets Indésirables :</w:t>
      </w:r>
      <w:r/>
    </w:p>
    <w:p>
      <w:pPr>
        <w:pStyle w:val="ListBullet"/>
      </w:pPr>
      <w:r>
        <w:t>Mesures Préventives : Bilan pré-thérapeutique complet : NFS-plaquettes, bilan hépatique, bilan rénal, ionogramme, TSH, T4 libre, cortisol, ACTH, glycémie, CPK, troponine, ECG. Bilan infectieux (VIH, VHB, VHC, tuberculose). Examen neurologique complet. Information patient sur les irAEs. Consultations rapprochées (toutes les 2–4 semaines pendant le traitement et 12 semaines après l'arrêt).</w:t>
      </w:r>
    </w:p>
    <w:p>
      <w:pPr>
        <w:pStyle w:val="ListBullet"/>
      </w:pPr>
      <w:r>
        <w:t>Conduite à Tenir : Diarrhée grade 1 (≤ 4 selles/jour) : poursuite, loperamide, hydratation. Grade 2 (&gt; 4 selles/jour) : arrêt transitoire, loperamide, surveillance, sans corticothérapie systématique. Grade 3 (≥ 7 selles/jour ou hospitalisation) : arrêt transitoire, prednisone 1–2 mg/kg/j, coloscopie, infliximab 5 mg/kg IV si non-réponse à 48 h. Grade 4 : arrêt définitif, hospitalisation USIC, prednisone 2 mg/kg/j, infliximab. Hépatite grade 2 (ASAT/ALAT &gt; 2,5–5× LSN) : arrêt transitoire, surveillance. Grade 3 (&gt; 5–20× LSN) : arrêt, prednisone 1–2 mg/kg/j, mycophénolate mofétil si non-réponse. Grade 4 : arrêt définitif. Pneumopathie grade 2 : arrêt, prednisone 1–2 mg/kg/j. Grade 3–4 : arrêt définitif, hospitalisation, prednisone 2–4 mg/kg/j, oxygénothérapie. Endocrinopathie thyroidienne : surveillance TSH/T4 toutes les 4–6 semaines ; hypothyroïdie : levothyroxine à vie. Hypophysite : arrêt transitoire, prednisone 1 mg/kg/j, hormonothérapie substitutive (souvent définitive). Insuffisance surrénalienne aiguë : URGENCE — hydrocortisone 100 mg IV en bolus, hydratation, hospitalisation USIC. Myocardite : URGENCE — arrêt définitif, hospitalisation USIC, prednisone 1 mg/kg/j ± mycophénolate, surveillance ECG/échographie cardiaque/IRM cardiaque. Néphrite : arrêt transitoire, prednisone 1 mg/kg/j. Neurotoxicité : arrêt, prednisone 1–2 mg/kg/j, neuro-consultation, ponction lombaire, IRM cérébrale/médullaire.</w:t>
      </w:r>
    </w:p>
    <w:p>
      <w:r/>
      <w:r>
        <w:rPr>
          <w:b/>
        </w:rPr>
        <w:t>Interactions Médicamenteuses :</w:t>
      </w:r>
      <w:r/>
    </w:p>
    <w:p>
      <w:pPr>
        <w:pStyle w:val="ListBullet"/>
      </w:pPr>
      <w:r>
        <w:t>Immunosuppresseurs : diminuent l'efficacité (éviter avant initiation, wash-out 2–4 semaines ; autorisés en traitement des irAEs sévères).</w:t>
      </w:r>
    </w:p>
    <w:p>
      <w:pPr>
        <w:pStyle w:val="ListBullet"/>
      </w:pPr>
      <w:r>
        <w:t>Ipilimumab (anti-CTLA-4) : association standard (schéma Ipi-Nivo), synergie d'efficacité mais majoration des irAEs.</w:t>
      </w:r>
    </w:p>
    <w:p>
      <w:pPr>
        <w:pStyle w:val="ListBullet"/>
      </w:pPr>
      <w:r>
        <w:t>Cabozantinib, sunitinib (ITK anti-angiogéniques) : association validée (cancer du rein, études CheckMate 9ER).</w:t>
      </w:r>
    </w:p>
    <w:p>
      <w:pPr>
        <w:pStyle w:val="ListBullet"/>
      </w:pPr>
      <w:r>
        <w:t>Chimiothérapie : association possible (CBNPC étendu, étude CheckMate 9LA).</w:t>
      </w:r>
    </w:p>
    <w:p>
      <w:pPr>
        <w:pStyle w:val="ListBullet"/>
      </w:pPr>
      <w:r>
        <w:t>Vaccins vivants : contre-indiqués pendant et 6 mois après.</w:t>
      </w:r>
    </w:p>
    <w:p>
      <w:pPr>
        <w:pStyle w:val="ListBullet"/>
      </w:pPr>
      <w:r>
        <w:t>Pas d'interaction avec le CYP450.</w:t>
      </w:r>
    </w:p>
    <w:p>
      <w:r/>
      <w:r>
        <w:rPr>
          <w:b/>
        </w:rPr>
        <w:t>Grossesse et Allaitement :</w:t>
      </w:r>
      <w:r/>
    </w:p>
    <w:p>
      <w:pPr>
        <w:pStyle w:val="ListBullet"/>
      </w:pPr>
      <w:r>
        <w:t>Grossesse : ÉVITER. Données animales : toxicité embryo-fœtale (avortements, mortalité fœtale augmentée). Le rôle du PD-1 dans le maintien de la tolérance immunitaire materno-fœtale est crucial. Contraception obligatoire pendant et 5 mois après.</w:t>
      </w:r>
    </w:p>
    <w:p>
      <w:pPr>
        <w:pStyle w:val="ListBullet"/>
      </w:pPr>
      <w:r>
        <w:t>Allaitement : CONTRE-INDICATION ABSOLUE pendant et 5 mois après.</w:t>
      </w:r>
    </w:p>
    <w:p>
      <w:r/>
      <w:r>
        <w:rPr>
          <w:b/>
        </w:rPr>
        <w:t>Posologie et Mode d'administration (Standard) :</w:t>
      </w:r>
      <w:r/>
    </w:p>
    <w:p>
      <w:pPr>
        <w:pStyle w:val="ListBullet"/>
      </w:pPr>
      <w:r>
        <w:t>Adulte (monothérapie) : 240 mg IV toutes les 2 semaines (ou 480 mg toutes les 4 semaines) en perfusion de 30 min (ou 60 min pour les perfusions 480 mg). Jusqu'à progression ou toxicité inacceptable (durée maximale 24 mois en adjuvant, jusqu'à progression en métastatique).</w:t>
      </w:r>
    </w:p>
    <w:p>
      <w:pPr>
        <w:pStyle w:val="ListBullet"/>
      </w:pPr>
      <w:r>
        <w:t>Adulte (schéma Ipi-Nivo, mélanome/cancer du rein/cancer colique MSI-H/mésothéliome) : nivolumab 360 mg (ou 1 mg/kg dans certains schémas) + ipilimumab 1 mg/kg (ou 3 mg/kg) à J1 de chaque cycle de 3 semaines (ou 6 semaines), 4 cures d'induction, puis nivolumab en entretien.</w:t>
      </w:r>
    </w:p>
    <w:p>
      <w:pPr>
        <w:pStyle w:val="ListBullet"/>
      </w:pPr>
      <w:r>
        <w:t>Adulte (CBNPC, schéma Ipi-Nivo) : nivolumab 360 mg + ipilimumab 1 mg/kg à J1 de chaque cycle de 3 semaines, 4 cures, puis nivolumab 480 mg toutes les 4 semaines.</w:t>
      </w:r>
    </w:p>
    <w:p>
      <w:pPr>
        <w:pStyle w:val="ListBullet"/>
      </w:pPr>
      <w:r>
        <w:t>Mode d'administration : perfusion IV stricte dans 100 mL NaCl 0,9 % ou G5 %, en 30 min. Tubing dédié. Surveillance TA, SpO2. Pas de bolus IV. Pré-médication antihistaminique optionnelle.</w:t>
      </w:r>
    </w:p>
    <w:p>
      <w:pPr>
        <w:pStyle w:val="ListBullet"/>
      </w:pPr>
      <w:r>
        <w:t>Adaptation : irAE grade 3 → arrêt transitoire + prednisone 1–2 mg/kg/j ; irAE grade 4 → arrêt définitif.</w:t>
      </w:r>
    </w:p>
    <w:p>
      <w:pPr>
        <w:pStyle w:val="ListBullet"/>
      </w:pPr>
      <w:r>
        <w:t>Insuffisance hépatique modérée : pas d'adaptation. Insuffisance hépatique sévère : éviter.</w:t>
      </w:r>
    </w:p>
    <w:p>
      <w:pPr>
        <w:pStyle w:val="ListBullet"/>
      </w:pPr>
      <w:r>
        <w:t>Insuffisance rénale modérée à sévère : pas d'adaptation.</w:t>
      </w:r>
    </w:p>
    <w:p>
      <w:pPr>
        <w:pStyle w:val="ListBullet"/>
      </w:pPr>
      <w:r>
        <w:t>Sujet âgé (&gt; 75 ans) : pas d'adaptation, mais surveillance accrue.</w:t>
      </w:r>
    </w:p>
    <w:p>
      <w:r/>
      <w:r>
        <w:rPr>
          <w:b/>
        </w:rPr>
        <w:t>Surveillance Biologique et Suivi Clinique :</w:t>
      </w:r>
      <w:r/>
    </w:p>
    <w:p>
      <w:pPr>
        <w:pStyle w:val="ListBullet"/>
      </w:pPr>
      <w:r>
        <w:t>Hématologique : NFS-plaquettes avant chaque cure.</w:t>
      </w:r>
    </w:p>
    <w:p>
      <w:pPr>
        <w:pStyle w:val="ListBullet"/>
      </w:pPr>
      <w:r>
        <w:t>Hépatique : ALAT, ASAT, bilirubine avant chaque cure et 12 semaines après la dernière cure.</w:t>
      </w:r>
    </w:p>
    <w:p>
      <w:pPr>
        <w:pStyle w:val="ListBullet"/>
      </w:pPr>
      <w:r>
        <w:t>Rénale : créatinine, urée, ionogramme avant chaque cure ; protéinurie (bandelette) avant chaque cure.</w:t>
      </w:r>
    </w:p>
    <w:p>
      <w:pPr>
        <w:pStyle w:val="ListBullet"/>
      </w:pPr>
      <w:r>
        <w:t>Endocrinien : TSH, T4 libre, cortisol, ACTH avant chaque cure et toutes les 4–6 semaines pendant 12 semaines après la dernière cure.</w:t>
      </w:r>
    </w:p>
    <w:p>
      <w:pPr>
        <w:pStyle w:val="ListBullet"/>
      </w:pPr>
      <w:r>
        <w:t>Cardiaque : ECG et troponine avant initiation, à 4–6 semaines (recherche myocardite).</w:t>
      </w:r>
    </w:p>
    <w:p>
      <w:pPr>
        <w:pStyle w:val="ListBullet"/>
      </w:pPr>
      <w:r>
        <w:t>Neurologique : examen neurologique complet avant chaque cure.</w:t>
      </w:r>
    </w:p>
    <w:p>
      <w:pPr>
        <w:pStyle w:val="ListBullet"/>
      </w:pPr>
      <w:r>
        <w:t>Cutané : examen dermatologique à chaque consultation.</w:t>
      </w:r>
    </w:p>
    <w:p>
      <w:pPr>
        <w:pStyle w:val="ListBullet"/>
      </w:pPr>
      <w:r>
        <w:t>Clinique : interrogatoire diarrhée, douleurs abdominales, dyspnée, toux, palpitations, céphalées, asthénie, troubles visuels.</w:t>
      </w:r>
    </w:p>
    <w:p>
      <w:pPr>
        <w:pStyle w:val="ListBullet"/>
      </w:pPr>
      <w:r>
        <w:t>Suivi carcinologique : scanner TAP avant traitement, à 12 semaines (réévaluation, critères iRECIST), puis tous les 2–3 mois.</w:t>
      </w:r>
    </w:p>
    <w:p>
      <w:r/>
      <w:r>
        <w:rPr>
          <w:b/>
        </w:rPr>
        <w:t>Arbitrage et Bénéfices des Formes Galéniques :</w:t>
      </w:r>
      <w:r/>
    </w:p>
    <w:p>
      <w:r>
        <w:t>Le nivolumab est disponible uniquement en forme IV (10 mg/mL, flacons de 40 mg/4 mL et 100 mg/10 mL). Le schéma en dose fixe (240 mg ou 360 mg ou 480 mg selon indication) facilite la prescription. La dose de 240 mg correspond à 1 flacon 100 mg + 4 flacons 40 mg = 260 mg (gaspillage 20 mg) ou 6 flacons 40 mg = 240 mg (sans gaspillage) — la planification vise à minimiser le gaspillage. La conservation au réfrigérateur (2–8 °C) et la protection de la lumière sont nécessaires. Pas de forme SC, pas de biosimilaire. La disponibilité de la spécialité princeps Opdivo en Algérie permet l'accès aux schémas standards de multiples indications (mélanome, CBNPC, rein, ORL, hépatocarcinome, maladie de Hodgkin, mésothéliome, cancers urothéliaux, cancers digestifs MSI-H). Le biosimilaire Pembrolizumab-Saidal n'existe pas pour le nivolumab.</w:t>
      </w:r>
    </w:p>
    <w:p>
      <w:r/>
      <w:r>
        <w:rPr>
          <w:b/>
        </w:rPr>
        <w:t>Instructions et Conseils au Patient :</w:t>
      </w:r>
      <w:r/>
    </w:p>
    <w:p>
      <w:pPr>
        <w:pStyle w:val="ListBullet"/>
      </w:pPr>
      <w:r>
        <w:t>Communication au comptoir : « Le nivolumab est un anticorps monoclonal qui "lève le frein" de votre système immunitaire, permettant à vos lymphocytes T d'attaquer les cellules tumorales. Il est administré en perfusion IV toutes les 2 ou 4 semaines. Les effets indésirables sont des réactions auto-immunes (moins fréquentes et moins sévères qu'avec l'ipilimumab) : fatigue, rash cutané, diarrhée (à signaler), atteinte endocrinienne (thyroïde, hypophyse, surrénales — fatigue, céphalées à signaler), atteinte pulmonaire (toux, dyspnée). Prévenez IMMÉDIATEMENT votre médecin en cas de diarrhée persistante, de douleurs abdominales, d'essoufflement, de palpitations, de céphalées violentes, d'asthénie profonde. Une contraception stricte est obligatoire. »</w:t>
      </w:r>
    </w:p>
    <w:p>
      <w:pPr>
        <w:pStyle w:val="ListBullet"/>
      </w:pPr>
      <w:r>
        <w:t>Observance : livret d'information irAEs ; consulter en URGENCE en cas de diarrhée, dyspnée, céphalées.</w:t>
      </w:r>
    </w:p>
    <w:p>
      <w:pPr>
        <w:pStyle w:val="ListBullet"/>
      </w:pPr>
      <w:r>
        <w:t>Hygiène de vie : éviter les contacts avec personnes malades ; éviter les vaccins vivants.</w:t>
      </w:r>
    </w:p>
    <w:p>
      <w:pPr>
        <w:pStyle w:val="ListBullet"/>
      </w:pPr>
      <w:r>
        <w:t>Femmes en âge de procréer : double contraception obligatoire pendant et 5 mois après.</w:t>
      </w:r>
    </w:p>
    <w:p>
      <w:r/>
      <w:r>
        <w:rPr>
          <w:b/>
        </w:rPr>
        <w:t>Notes, Règles d'Or &amp; Pièges au Comptoir :</w:t>
      </w:r>
      <w:r/>
    </w:p>
    <w:p>
      <w:pPr>
        <w:pStyle w:val="ListBullet"/>
      </w:pPr>
      <w:r>
        <w:t>Règle d'or : TOUT symptôme nouveau sous nivolumab doit être considéré comme un irAE jusqu'à preuve du contraire.</w:t>
      </w:r>
    </w:p>
    <w:p>
      <w:pPr>
        <w:pStyle w:val="ListBullet"/>
      </w:pPr>
      <w:r>
        <w:t>Piège : la pneumopathie immune est plus fréquente dans le CBNPC (atteinte pulmonaire sous-jacente) — surveillance rapprochée.</w:t>
      </w:r>
    </w:p>
    <w:p>
      <w:pPr>
        <w:pStyle w:val="ListBullet"/>
      </w:pPr>
      <w:r>
        <w:t>Règle : surveillance biologique systématique (NFS, hépatique, rénal, TSH, cortisol) avant chaque cure et 12 semaines après la dernière cure.</w:t>
      </w:r>
    </w:p>
    <w:p>
      <w:pPr>
        <w:pStyle w:val="ListBullet"/>
      </w:pPr>
      <w:r>
        <w:t>Piège : les endocrinopathies sont souvent définitives — hormonothérapie substitutive à vie.</w:t>
      </w:r>
    </w:p>
    <w:p>
      <w:pPr>
        <w:pStyle w:val="ListBullet"/>
      </w:pPr>
      <w:r>
        <w:t>Surveillance : la myocardite est rare mais gravissime — surveillance ECG et troponine.</w:t>
      </w:r>
    </w:p>
    <w:p>
      <w:pPr>
        <w:pStyle w:val="ListBullet"/>
      </w:pPr>
      <w:r>
        <w:t>Règle : ne pas confondre pseudoprogression (critères iRECIST) avec progression réelle.</w:t>
      </w:r>
    </w:p>
    <w:p>
      <w:pPr>
        <w:pStyle w:val="ListBullet"/>
      </w:pPr>
      <w:r>
        <w:t>Piège : l'efficacité peut persister après arrêt (mémoire immunitaire) — ne pas reprendre en cas de réponse stable.</w:t>
      </w:r>
    </w:p>
    <w:p>
      <w:pPr>
        <w:pStyle w:val="Heading3"/>
      </w:pPr>
      <w:r>
        <w:t>106.10.2 DCI : Pembrolizumab</w:t>
      </w:r>
    </w:p>
    <w:p>
      <w:r/>
      <w:r>
        <w:rPr>
          <w:b/>
        </w:rPr>
        <w:t>Liste des Catégories :</w:t>
      </w:r>
      <w:r>
        <w:t xml:space="preserve"> Antinéoplasiques ; Anticorps monoclonal humanisé IgG4 anti-PD-1 ; Immunothérapie inhibitrice de point de contrôle ; Mélanome, CBNPC, ORL, cancers MSI-H/dMMR, cancers PD-L1+, cancer du sein TN, cancer du col, maladie de Hodgkin ; Liste I.</w:t>
      </w:r>
    </w:p>
    <w:p>
      <w:r>
        <w:t>Le pembrolizumab (Keytruda®, Merck Sharp &amp; Dohme) est un AcM humanisé IgG4κ recombinant (technologie de phage display), dirigé contre le PD-1 (CD279), ayant obtenu une AMM FDA en septembre 2014 et EMA en juillet 2015 pour le traitement du mélanome avancé. Son développement, parallèle à celui du nivolumab, a étendu les indications de l'immunothérapie anti-PD-1 à de nombreuses tumeurs solides et hématologiques. Il est indiqué en monothérapie ou en association à la chimiothérapie, conditionné par le statut PD-L1 (score TPS pour CBNPC/ORL, CPS pour cancer gastrique/cancer ORL/cancer du col/cancer de l'endomètre/cancer du sein TN/cancers urothéliaux, IPS pour maladie de Hodgkin), le statut MSI-H/dMMR (cancers coliques et toutes tumeurs MSI-H), et la présence de mutations spécifiques (TMB élevé pour CBNPC). Il a transformé la prise en charge du CBNPC PD-L1 ≥ 50 % en 1re ligne (étude KEYNOTE-024), du mélanome (KEYNOTE-006), du cancer du sein triple-négatif PD-L1+ (KEYNOTE-355), du cancer gastrique PD-L1+ (KEYNOTE-059/062), du cancer du col PD-L1+ (KEYNOTE-826), de la maladie de Hodgkin classique (KEYNOTE-087/204), des cancers MSI-H/dMMR (KEYNOTE-158/164/177/199), et en adjuvant du mélanome (KEYNOTE-716), du CBNPC réséqué (KEYNOTE-671/091), du cancer du rein (KEYNOTE-564), du cancer de l'endomètre (KEYNOTE-775). Il est inscrit sur la liste des médicaments essentiels OMS.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KEYTRUDA</w:t>
            </w:r>
          </w:p>
        </w:tc>
        <w:tc>
          <w:tcPr>
            <w:tcW w:type="dxa" w:w="1559"/>
          </w:tcPr>
          <w:p>
            <w:r>
              <w:rPr>
                <w:sz w:val="20"/>
              </w:rPr>
              <w:t>MERCK SHARP &amp; DOHME LIMITED</w:t>
            </w:r>
          </w:p>
        </w:tc>
        <w:tc>
          <w:tcPr>
            <w:tcW w:type="dxa" w:w="1559"/>
          </w:tcPr>
          <w:p>
            <w:r>
              <w:rPr>
                <w:sz w:val="20"/>
              </w:rPr>
              <w:t>Solution à diluer pour perfusion — 25 mg/mL (100 mg/4 mL)</w:t>
            </w:r>
          </w:p>
        </w:tc>
        <w:tc>
          <w:tcPr>
            <w:tcW w:type="dxa" w:w="1559"/>
          </w:tcPr>
          <w:p>
            <w:r>
              <w:rPr>
                <w:sz w:val="20"/>
              </w:rPr>
              <w:t>B/1 flacon 4 mL (100 mg)</w:t>
            </w:r>
          </w:p>
        </w:tc>
        <w:tc>
          <w:tcPr>
            <w:tcW w:type="dxa" w:w="1559"/>
          </w:tcPr>
          <w:p>
            <w:r>
              <w:rPr>
                <w:sz w:val="20"/>
              </w:rPr>
              <w:t>Liste I</w:t>
            </w:r>
          </w:p>
        </w:tc>
        <w:tc>
          <w:tcPr>
            <w:tcW w:type="dxa" w:w="1559"/>
          </w:tcPr>
          <w:p>
            <w:r>
              <w:rPr>
                <w:sz w:val="20"/>
              </w:rPr>
              <w:t>Actif</w:t>
            </w:r>
          </w:p>
        </w:tc>
      </w:tr>
      <w:tr>
        <w:tc>
          <w:tcPr>
            <w:tcW w:type="dxa" w:w="1559"/>
          </w:tcPr>
          <w:p>
            <w:r>
              <w:rPr>
                <w:sz w:val="20"/>
              </w:rPr>
              <w:t>PEMBROLIZUMAB-SAIDAL</w:t>
            </w:r>
          </w:p>
        </w:tc>
        <w:tc>
          <w:tcPr>
            <w:tcW w:type="dxa" w:w="1559"/>
          </w:tcPr>
          <w:p>
            <w:r>
              <w:rPr>
                <w:sz w:val="20"/>
              </w:rPr>
              <w:t>GROUPE SAIDAL</w:t>
            </w:r>
          </w:p>
        </w:tc>
        <w:tc>
          <w:tcPr>
            <w:tcW w:type="dxa" w:w="1559"/>
          </w:tcPr>
          <w:p>
            <w:r>
              <w:rPr>
                <w:sz w:val="20"/>
              </w:rPr>
              <w:t>Solution à diluer pour perfusion — 25 mg/mL (100 mg/4 mL)</w:t>
            </w:r>
          </w:p>
        </w:tc>
        <w:tc>
          <w:tcPr>
            <w:tcW w:type="dxa" w:w="1559"/>
          </w:tcPr>
          <w:p>
            <w:r>
              <w:rPr>
                <w:sz w:val="20"/>
              </w:rPr>
              <w:t>B/1 flacon 4 mL (100 mg)</w:t>
            </w:r>
          </w:p>
        </w:tc>
        <w:tc>
          <w:tcPr>
            <w:tcW w:type="dxa" w:w="1559"/>
          </w:tcPr>
          <w:p>
            <w:r>
              <w:rPr>
                <w:sz w:val="20"/>
              </w:rPr>
              <w:t>Liste I</w:t>
            </w:r>
          </w:p>
        </w:tc>
        <w:tc>
          <w:tcPr>
            <w:tcW w:type="dxa" w:w="1559"/>
          </w:tcPr>
          <w:p>
            <w:r>
              <w:rPr>
                <w:sz w:val="20"/>
              </w:rPr>
              <w:t>Actif</w:t>
            </w:r>
          </w:p>
        </w:tc>
      </w:tr>
    </w:tbl>
    <w:p/>
    <w:p>
      <w:r>
        <w:t>Le pembrolizumab est délivré en Algérie via le circuit hospitalier spécialisé en oncologie médicale et hématologie clinique. La spécialité princeps Keytruda (Merck Sharp &amp; Dohme) coexiste avec un biosimilaire Pembrolizumab-Saidal (Groupe Saidal), tous deux disponibles en flacon de 4 mL dosé à 100 mg (25 mg/mL). L'administration se fait en dose fixe (200 mg ou 400 mg selon indication), sans adaptation à la surface corporelle.</w:t>
      </w:r>
    </w:p>
    <w:p>
      <w:r/>
      <w:r>
        <w:rPr>
          <w:b/>
        </w:rPr>
        <w:t>Sous-classe et Mécanisme d'action :</w:t>
      </w:r>
      <w:r/>
    </w:p>
    <w:p>
      <w:pPr>
        <w:pStyle w:val="ListBullet"/>
      </w:pPr>
      <w:r>
        <w:t>Sous-classe : AcM humanisé IgG4κ anti-PD-1 (CD279), chef de file des anti-PD-1 (avec le nivolumab). DCI inscrite sur la liste des médicaments essentiels OMS.</w:t>
      </w:r>
    </w:p>
    <w:p>
      <w:pPr>
        <w:pStyle w:val="ListBullet"/>
      </w:pPr>
      <w:r>
        <w:t>Mécanisme d'action : (i) Blocage compétitif de la liaison du PD-1 (exprimé à la surface des LT CD8+ activés, LT CD4+, NK, macrophages) avec ses ligands PD-L1 et PD-L2, restaurant la signalisation T activatrice (PI3K/AKT, IL-2) et la cytotoxicité des LT CD8+ antitumoraux. (ii) Levée du « frein immunitaire » périphérique au niveau du microenvironnement tumoral. L'isotype IgG4 (sans activité ADCC/CDC significative) garantit une bonne tolérance. L'effet est immunologique indirect, avec délai d'action prolongé (4–12 semaines), réponses durables (mémoire immunitaire), et possible pseudoprogression.</w:t>
      </w:r>
    </w:p>
    <w:p>
      <w:r/>
      <w:r>
        <w:rPr>
          <w:b/>
        </w:rPr>
        <w:t>Profil Pharmacologique :</w:t>
      </w:r>
      <w:r/>
    </w:p>
    <w:p>
      <w:pPr>
        <w:pStyle w:val="ListBullet"/>
      </w:pPr>
      <w:r>
        <w:t>Indications : (1) Mélanome avancé en 1re ligne en monothérapie (étude KEYNOTE-006) ; en adjuvant après chirurgie complète (stade IIB-IV, étude KEYNOTE-716). (2) CBNPC non épidermoïde en 1re ligne en monothérapie si PD-L1 TPS ≥ 50 % (étude KEYNOTE-024), ou en association à la chimiothérapie (pembrolizumab + carboplatine + pemetrexed, étude KEYNOTE-189) ; CBNPC épidermoïde en 1re ligne en association à la chimiothérapie (pembrolizumab + carboplatine + paclitaxel/nab-paclitaxel, étude KEYNOTE-407) ; en 2e ligne après platine si PD-L1 TPS ≥ 1 % (étude KEYNOTE-010). (3) Cancer ORL récidivant ou métastatique en 1re ligne en monothérapie si PD-L1 CPS ≥ 1 (étude KEYNOTE-048) ; en 2e ligne après platine si PD-L1 CPS ≥ 1 (étude KEYNOTE-012). (4) Cancer du sein triple-négatif (TNBC) en 1re ligne métastatique en association à la chimiothérapie si PD-L1 CPS ≥ 10 (étude KEYNOTE-355). (5) Cancer gastrique avancé en 1re ligne en association à la chimiothérapie (cisplatine + 5-FU ou capecitabine) si PD-L1 CPS ≥ 1 (étude KEYNOTE-062) ; en 3e ligne en monothérapie si PD-L1 CPS ≥ 1 (étude KEYNOTE-059). (6) Cancer du col utérin avancé en 1re ligne en association à la chimiothérapie (paclitaxel + cisplatine ou carboplatine ± bevacizumab) si PD-L1 CPS ≥ 1 (étude KEYNOTE-826). (7) Cancer de l'endomètre avancé en association au lenvatinib (étude KEYNOTE-775) indépendamment du PD-L1 ; en monothérapie si MSI-H/dMMR. (8) Cancer colorectal MSI-H/dMMR en 1re ligne métastatique en monothérapie (étude KEYNOTE-177) ; en 2e ligne (étude KEYNOTE-164). (9) Toutes tumeurs solides MSI-H/dMMR après traitement standard (étude KEYNOTE-158) — indication histologie-agnostique. (10) Maladie de Hodgkin classique récidivante/réfractaire (étude KEYNOTE-204). (11) Lymphome T périphérique en cours d'évaluation. (12) CBNPC réséqué en adjuvant (études KEYNOTE-671/091). (13) Cancer du rein métastatique en adjuvant (étude KEYNOTE-564). (14) Carcinome urothélial en 2e ligne (étude KEYNOTE-045) et en 1re ligne non éligible au cisplatine si PD-L1 CPS ≥ 10 (étude KEYNOTE-052). (15) Hépatocarcinome en 2e ligne (étude KEYNOTE-240). (16) Cancer de l'œsophage en 2e ligne si PD-L1 CPS ≥ 10 (étude KEYNOTE-181). (17) Tumeurs solides TMB ≥ 10 mut/Mb en 2e ligne (étude KEYNOTE-158) — indication histologie-agnostique. (18) Mélanome de l'œil (uvéal) en cours d'évaluation.</w:t>
      </w:r>
    </w:p>
    <w:p>
      <w:pPr>
        <w:pStyle w:val="ListBullet"/>
      </w:pPr>
      <w:r>
        <w:t>Contre-indications : Hypersensibilité au pembrolizumab ou à l'un des excipients. Maladie auto-immune active sévère non contrôlée. Transplantation d'organe solide ou de CSH allogénique. Infection sévère non contrôlée. Grossesse. Précautions : antécédents de maladie auto-immune contrôlée, insuffisance hépatique, insuffisance rénale, traitement immunosuppresseur concomitant.</w:t>
      </w:r>
    </w:p>
    <w:p>
      <w:pPr>
        <w:pStyle w:val="ListBullet"/>
      </w:pPr>
      <w:r>
        <w:t>Effets Indésirables (irAEs) : Très fréquents (&gt; 10 %) : fatigue (30 %), rash cutané (20 %), prurit (15 %), diarrhée (15 %), nausées, vomissements, perte d'appétit, arthralgies, myalgies, hypothyroïdie (10 %), élévation des transaminases (10 %). Fréquents (1–10 %) : colite immune (5 %), hépatite immune (5 %), pneumopathie immune (5 % — surtout CBNPC), néphrite interstitielle (1–3 %), hyperthyroïdie transitoire (3 %), hypophysite (1 %), insuffisance surrénalienne (1 %), céphalées, neuropathie périphérique, conjonctivite. Peu fréquents : myocardite (1 % — gravissime), syndrome de Guillain-Barré, myasthénie, méningite aseptique, encéphalite, panuvéite, syndrome de Lyell, syndrome de Stevens-Johnson. Les irAEs sont similaires au nivolumab, légèrement plus fréquents en association à la chimiothérapie.</w:t>
      </w:r>
    </w:p>
    <w:p>
      <w:r/>
      <w:r>
        <w:rPr>
          <w:b/>
        </w:rPr>
        <w:t>Prévention et Gestion des Effets Indésirables :</w:t>
      </w:r>
      <w:r/>
    </w:p>
    <w:p>
      <w:pPr>
        <w:pStyle w:val="ListBullet"/>
      </w:pPr>
      <w:r>
        <w:t>Mesures Préventives : Bilan pré-thérapeutique complet : NFS-plaquettes, bilan hépatique, bilan rénal, ionogramme, TSH, T4 libre, cortisol, ACTH, glycémie, CPK, troponine, ECG. Bilan infectieux. Examen neurologique complet. Information patient sur les irAEs. Consultations rapprochées.</w:t>
      </w:r>
    </w:p>
    <w:p>
      <w:pPr>
        <w:pStyle w:val="ListBullet"/>
      </w:pPr>
      <w:r>
        <w:t>Conduite à Tenir : Diarrhée grade 1 : poursuite, loperamide. Grade 2 : arrêt transitoire, loperamide, surveillance. Grade 3 : arrêt transitoire, prednisone 1–2 mg/kg/j, coloscopie, infliximab si non-réponse. Grade 4 : arrêt définitif, hospitalisation USIC, prednisone 2 mg/kg/j, infliximab. Hépatite grade 3 : arrêt, prednisone 1–2 mg/kg/j, mycophénolate si non-réponse. Grade 4 : arrêt définitif. Pneumopathie grade 2 : arrêt, prednisone 1–2 mg/kg/j. Grade 3–4 : arrêt définitif, hospitalisation, prednisone 2–4 mg/kg/j, oxygénothérapie. Endocrinopathie thyroidienne : surveillance TSH/T4 toutes les 4–6 semaines ; levothyroxine à vie pour hypothyroïdie. Hypophysite : arrêt transitoire, prednisone 1 mg/kg/j, hormonothérapie substitutive (souvent définitive). Insuffisance surrénalienne aiguë : URGENCE — hydrocortisone 100 mg IV, hydratation, USIC. Myocardite : URGENCE — arrêt définitif, hospitalisation USIC, prednisone 1 mg/kg/j ± mycophénolate, surveillance.</w:t>
      </w:r>
    </w:p>
    <w:p>
      <w:r/>
      <w:r>
        <w:rPr>
          <w:b/>
        </w:rPr>
        <w:t>Interactions Médicamenteuses :</w:t>
      </w:r>
      <w:r/>
    </w:p>
    <w:p>
      <w:pPr>
        <w:pStyle w:val="ListBullet"/>
      </w:pPr>
      <w:r>
        <w:t>Immunosuppresseurs : diminuent l'efficacité (éviter avant initiation, wash-out 2–4 semaines ; autorisés en traitement des irAEs sévères).</w:t>
      </w:r>
    </w:p>
    <w:p>
      <w:pPr>
        <w:pStyle w:val="ListBullet"/>
      </w:pPr>
      <w:r>
        <w:t>Chimiothérapie (carboplatine + pemetrexed, carboplatine + paclitaxel, cisplatine + 5-FU, paclitaxel + carboplatine) : association standard, surveillance de la tolérance hématologique.</w:t>
      </w:r>
    </w:p>
    <w:p>
      <w:pPr>
        <w:pStyle w:val="ListBullet"/>
      </w:pPr>
      <w:r>
        <w:t>Lenvatinib (ITK anti-angiogénique) : association validée (cancer de l'endomètre, étude KEYNOTE-775).</w:t>
      </w:r>
    </w:p>
    <w:p>
      <w:pPr>
        <w:pStyle w:val="ListBullet"/>
      </w:pPr>
      <w:r>
        <w:t>Bevacizumab : association validée (cancer du col, étude KEYNOTE-826).</w:t>
      </w:r>
    </w:p>
    <w:p>
      <w:pPr>
        <w:pStyle w:val="ListBullet"/>
      </w:pPr>
      <w:r>
        <w:t>Vaccins vivants : contre-indiqués pendant et 6 mois après.</w:t>
      </w:r>
    </w:p>
    <w:p>
      <w:pPr>
        <w:pStyle w:val="ListBullet"/>
      </w:pPr>
      <w:r>
        <w:t>Pas d'interaction avec le CYP450.</w:t>
      </w:r>
    </w:p>
    <w:p>
      <w:r/>
      <w:r>
        <w:rPr>
          <w:b/>
        </w:rPr>
        <w:t>Grossesse et Allaitement :</w:t>
      </w:r>
      <w:r/>
    </w:p>
    <w:p>
      <w:pPr>
        <w:pStyle w:val="ListBullet"/>
      </w:pPr>
      <w:r>
        <w:t>Grossesse : ÉVITER. Données animales : toxicité embryo-fœtale. Contraception obligatoire pendant et 4 mois après.</w:t>
      </w:r>
    </w:p>
    <w:p>
      <w:pPr>
        <w:pStyle w:val="ListBullet"/>
      </w:pPr>
      <w:r>
        <w:t>Allaitement : CONTRE-INDICATION ABSOLUE pendant et 4 mois après.</w:t>
      </w:r>
    </w:p>
    <w:p>
      <w:r/>
      <w:r>
        <w:rPr>
          <w:b/>
        </w:rPr>
        <w:t>Posologie et Mode d'administration (Standard) :</w:t>
      </w:r>
      <w:r/>
    </w:p>
    <w:p>
      <w:pPr>
        <w:pStyle w:val="ListBullet"/>
      </w:pPr>
      <w:r>
        <w:t>Adulte (monothérapie ou association à la chimiothérapie) : 200 mg IV toutes les 3 semaines (ou 400 mg toutes les 6 semaines) en perfusion de 30 min. Jusqu'à progression ou toxicité inacceptable (durée maximale 24 mois en adjuvant, jusqu'à progression en métastatique, jusqu'à 2 ans maximum pour certaines indications comme la maladie de Hodgkin).</w:t>
      </w:r>
    </w:p>
    <w:p>
      <w:pPr>
        <w:pStyle w:val="ListBullet"/>
      </w:pPr>
      <w:r>
        <w:t>Adulte (cancer du sein TN, cancer gastrique, cancer du col, cancer de l'endomètre) : 200 mg IV toutes les 3 semaines en association à la chimiothérapie (6–9 cures d'induction), puis 200 mg IV en monothérapie d'entretien pendant ≤ 24 mois.</w:t>
      </w:r>
    </w:p>
    <w:p>
      <w:pPr>
        <w:pStyle w:val="ListBullet"/>
      </w:pPr>
      <w:r>
        <w:t>Mode d'administration : perfusion IV stricte dans 100 mL NaCl 0,9 % ou G5 %, en 30 min. Tubing dédié. Surveillance TA, SpO2. Pas de bolus IV. Pré-médication antihistaminique optionnelle.</w:t>
      </w:r>
    </w:p>
    <w:p>
      <w:pPr>
        <w:pStyle w:val="ListBullet"/>
      </w:pPr>
      <w:r>
        <w:t>Adaptation : irAE grade 3 → arrêt transitoire + prednisone 1–2 mg/kg/j ; irAE grade 4 → arrêt définitif.</w:t>
      </w:r>
    </w:p>
    <w:p>
      <w:pPr>
        <w:pStyle w:val="ListBullet"/>
      </w:pPr>
      <w:r>
        <w:t>Insuffisance hépatique modérée : pas d'adaptation. Insuffisance hépatique sévère : éviter.</w:t>
      </w:r>
    </w:p>
    <w:p>
      <w:pPr>
        <w:pStyle w:val="ListBullet"/>
      </w:pPr>
      <w:r>
        <w:t>Insuffisance rénale modérée à sévère : pas d'adaptation.</w:t>
      </w:r>
    </w:p>
    <w:p>
      <w:r/>
      <w:r>
        <w:rPr>
          <w:b/>
        </w:rPr>
        <w:t>Surveillance Biologique et Suivi Clinique :</w:t>
      </w:r>
      <w:r/>
    </w:p>
    <w:p>
      <w:pPr>
        <w:pStyle w:val="ListBullet"/>
      </w:pPr>
      <w:r>
        <w:t>Hématologique : NFS-plaquettes avant chaque cure.</w:t>
      </w:r>
    </w:p>
    <w:p>
      <w:pPr>
        <w:pStyle w:val="ListBullet"/>
      </w:pPr>
      <w:r>
        <w:t>Hépatique : ALAT, ASAT, bilirubine avant chaque cure et 12 semaines après la dernière cure.</w:t>
      </w:r>
    </w:p>
    <w:p>
      <w:pPr>
        <w:pStyle w:val="ListBullet"/>
      </w:pPr>
      <w:r>
        <w:t>Rénale : créatinine, urée, ionogramme avant chaque cure ; protéinurie (bandelette) avant chaque cure.</w:t>
      </w:r>
    </w:p>
    <w:p>
      <w:pPr>
        <w:pStyle w:val="ListBullet"/>
      </w:pPr>
      <w:r>
        <w:t>Endocrinien : TSH, T4 libre, cortisol, ACTH avant chaque cure et toutes les 4–6 semaines pendant 12 semaines après la dernière cure.</w:t>
      </w:r>
    </w:p>
    <w:p>
      <w:pPr>
        <w:pStyle w:val="ListBullet"/>
      </w:pPr>
      <w:r>
        <w:t>Cardiaque : ECG et troponine avant initiation, à 4–6 semaines (recherche myocardite).</w:t>
      </w:r>
    </w:p>
    <w:p>
      <w:pPr>
        <w:pStyle w:val="ListBullet"/>
      </w:pPr>
      <w:r>
        <w:t>Neurologique : examen neurologique complet avant chaque cure.</w:t>
      </w:r>
    </w:p>
    <w:p>
      <w:pPr>
        <w:pStyle w:val="ListBullet"/>
      </w:pPr>
      <w:r>
        <w:t>Cutané : examen dermatologique à chaque consultation.</w:t>
      </w:r>
    </w:p>
    <w:p>
      <w:pPr>
        <w:pStyle w:val="ListBullet"/>
      </w:pPr>
      <w:r>
        <w:t>Statut PD-L1 / MSI / TMB : obligatoire avant initiation selon indication (TPS, CPS, IPS, PCR MSI, IHC MMR, TMB NGS).</w:t>
      </w:r>
    </w:p>
    <w:p>
      <w:pPr>
        <w:pStyle w:val="ListBullet"/>
      </w:pPr>
      <w:r>
        <w:t>Suivi carcinologique : scanner TAP avant traitement, à 12 semaines (réévaluation, critères iRECIST), puis tous les 2–3 mois.</w:t>
      </w:r>
    </w:p>
    <w:p>
      <w:r/>
      <w:r>
        <w:rPr>
          <w:b/>
        </w:rPr>
        <w:t>Arbitrage et Bénéfices des Formes Galéniques :</w:t>
      </w:r>
      <w:r/>
    </w:p>
    <w:p>
      <w:r>
        <w:t>Le pembrolizumab est disponible en forme IV (25 mg/mL, flacon de 100 mg/4 mL). Le schéma en dose fixe (200 mg toutes les 3 semaines ou 400 mg toutes les 6 semaines) facilite la prescription : 200 mg = 2 flacons de 100 mg ; 400 mg = 4 flacons de 100 mg. La spécialité princeps Keytruda (Merck Sharp &amp; Dohme) coexiste avec le biosimilaire Pembrolizumab-Saidal (Saidal) qui présente une équivalence pharmacocinétique, efficacité et tolérance et est substituable à l'initiation du traitement. La planification de la prescription vise à minimiser le gaspillage. La conservation au réfrigérateur (2–8 °C) et la protection de la lumière sont nécessaires. Pas de forme SC.</w:t>
      </w:r>
    </w:p>
    <w:p>
      <w:r/>
      <w:r>
        <w:rPr>
          <w:b/>
        </w:rPr>
        <w:t>Instructions et Conseils au Patient :</w:t>
      </w:r>
      <w:r/>
    </w:p>
    <w:p>
      <w:pPr>
        <w:pStyle w:val="ListBullet"/>
      </w:pPr>
      <w:r>
        <w:t>Communication au comptoir : « Le pembrolizumab est un anticorps monoclonal qui "lève le frein" de votre système immunitaire, permettant à vos lymphocytes T d'attaquer les cellules tumorales. Il est administré en perfusion IV toutes les 3 ou 6 semaines, en monothérapie ou en association à une chimiothérapie. Les effets indésirables sont des réactions auto-immunes : fatigue, rash cutané, diarrhée (à signaler), atteinte endocrinienne (thyroïde, hypophyse, surrénales — fatigue, céphalées), atteinte pulmonaire (toux, dyspnée). Prévenez IMMÉDIATEMENT votre médecin en cas de diarrhée persistante, d'essoufflement, de palpitations, de céphalées violentes, d'asthénie profonde. Une contraception stricte est obligatoire. »</w:t>
      </w:r>
    </w:p>
    <w:p>
      <w:pPr>
        <w:pStyle w:val="ListBullet"/>
      </w:pPr>
      <w:r>
        <w:t>Observance : livret d'information irAEs ; consulter en URGENCE en cas de diarrhée, dyspnée, céphalées.</w:t>
      </w:r>
    </w:p>
    <w:p>
      <w:pPr>
        <w:pStyle w:val="ListBullet"/>
      </w:pPr>
      <w:r>
        <w:t>Hygiène de vie : éviter les contacts avec personnes malades ; éviter les vaccins vivants.</w:t>
      </w:r>
    </w:p>
    <w:p>
      <w:pPr>
        <w:pStyle w:val="ListBullet"/>
      </w:pPr>
      <w:r>
        <w:t>Femmes en âge de procréer : double contraception obligatoire pendant et 4 mois après.</w:t>
      </w:r>
    </w:p>
    <w:p>
      <w:r/>
      <w:r>
        <w:rPr>
          <w:b/>
        </w:rPr>
        <w:t>Notes, Règles d'Or &amp; Pièges au Comptoir :</w:t>
      </w:r>
      <w:r/>
    </w:p>
    <w:p>
      <w:pPr>
        <w:pStyle w:val="ListBullet"/>
      </w:pPr>
      <w:r>
        <w:t>Règle d'or : vérification du statut biomoléculaire (PD-L1, MSI, TMB) avant initiation selon l'indication.</w:t>
      </w:r>
    </w:p>
    <w:p>
      <w:pPr>
        <w:pStyle w:val="ListBullet"/>
      </w:pPr>
      <w:r>
        <w:t>Piège : la pneumopathie immune est plus fréquente dans le CBNPC et les cancers pulmonaires.</w:t>
      </w:r>
    </w:p>
    <w:p>
      <w:pPr>
        <w:pStyle w:val="ListBullet"/>
      </w:pPr>
      <w:r>
        <w:t>Règle : surveillance biologique systématique (NFS, hépatique, rénal, TSH, cortisol) avant chaque cure et 12 semaines après la dernière cure.</w:t>
      </w:r>
    </w:p>
    <w:p>
      <w:pPr>
        <w:pStyle w:val="ListBullet"/>
      </w:pPr>
      <w:r>
        <w:t>Piège : les endocrinopathies sont souvent définitives — hormonothérapie substitutive à vie.</w:t>
      </w:r>
    </w:p>
    <w:p>
      <w:pPr>
        <w:pStyle w:val="ListBullet"/>
      </w:pPr>
      <w:r>
        <w:t>Surveillance : la myocardite est rare mais gravissime — surveillance ECG et troponine.</w:t>
      </w:r>
    </w:p>
    <w:p>
      <w:pPr>
        <w:pStyle w:val="ListBullet"/>
      </w:pPr>
      <w:r>
        <w:t>Règle : ne pas confondre pseudoprogression (critères iRECIST) avec progression réelle.</w:t>
      </w:r>
    </w:p>
    <w:p>
      <w:pPr>
        <w:pStyle w:val="ListBullet"/>
      </w:pPr>
      <w:r>
        <w:t>Piège : l'efficacité peut persister après arrêt (mémoire immunitaire) — ne pas reprendre en cas de réponse stable.</w:t>
      </w:r>
    </w:p>
    <w:p>
      <w:pPr>
        <w:pStyle w:val="Heading2"/>
      </w:pPr>
      <w:r>
        <w:t>106.11 Sous-classe : AcM Anti-PD-L1</w:t>
      </w:r>
    </w:p>
    <w:p>
      <w:r>
        <w:t>Le PD-L1 (Programmed cell Death Ligand 1, B7-H1, CD274, codé par le gène CD274 sur le chromosome 9p24.1) est le ligand principal du PD-1, exprimé à la surface des cellules tumorales, des CPA, des cellules endothéliales et épithéliales, et de certains lymphocytes T activés. Son expression tumorale est induite par les cytokines inflammatoires (IFN-γ) du microenvironnement tumoral et constitue un mécanisme majeur d'évasion immunitaire. Les AcM anti-PD-L1 (atezolizumab, avelumab, durvalumab) bloquent la liaison du PD-L1 au PD-1 et au CD80 (B7-1), restaurant l'activité cytotoxique des LT CD8+ anti-tumoraux, tout en épargnant l'axe PD-L2/PD-1 (qui reste fonctionnel au niveau périphérique, avec un effet régulateur physiologique préservé). Cette particularité pourrait expliquer un profil de tolérance légèrement différent (moins de pneumopathies immunes, mais similaire globalement). L'atezolizumab (Tecentriq, Roche, AMM FDA mai 2016, EMA septembre 2016) est indiqué dans le CBNPC, le cancer du sein TN, le cancer urothélial, le cancer du rein, le cancer de l'endomètre, le cancer du col. L'avelumab (Bavencio, Merck KGaA/Pfizer, AMM FDA mars 2017, EMA septembre 2017) est indiqué dans le cancer de Merkel (indication histologie-agnostique rare — carcinome de Merkel, tumeur neuroendocrine cutanée agressive) en 1re ligne métastatique, et en traitement d'entretien du cancer urothélial après réponse à la chimiothérapie de 1re ligne à base de platine (études JAVELIN). Le durvalumab (Imfinzi, AstraZeneca, AMM FDA mai 2017, EMA septembre 2017) n'est pas disponible dans la nomenclature algérienne actuelle. Le profil de tolérance des anti-PD-L1 est similaire à celui des anti-PD-1 : fatigue, rash, prurit, diarrhée, hépatite immune, endocrinopathies, pneumopathie immune, néphrite, myocardite. Les irAEs sont légèrement moins fréquents que ceux de l'ipilimumab mais comparables à ceux des anti-PD-1.</w:t>
      </w:r>
    </w:p>
    <w:p>
      <w:pPr>
        <w:pStyle w:val="Heading3"/>
      </w:pPr>
      <w:r>
        <w:t>106.11.1 DCI : Atezolizumab</w:t>
      </w:r>
    </w:p>
    <w:p>
      <w:r/>
      <w:r>
        <w:rPr>
          <w:b/>
        </w:rPr>
        <w:t>Liste des Catégories :</w:t>
      </w:r>
      <w:r>
        <w:t xml:space="preserve"> Antinéoplasiques ; Anticorps monoclonal humanisé IgG1 anti-PD-L1 ; Immunothérapie inhibitrice de point de contrôle ; CBNPC, cancer du sein TN, cancer urothélial, cancer du rein, cancer de l'endomètre, cancer du col ; Liste I.</w:t>
      </w:r>
    </w:p>
    <w:p>
      <w:r>
        <w:t>L'atezolizumab (Tecentriq®, Roche) est un AcM humanisé IgG1κ recombinant dirigé contre le PD-L1 (CD274), ayant obtenu une AMM FDA en mai 2016 et EMA en septembre 2016. Son développement par Roche/Genentech a étendu les indications de l'immunothérapie anti-PD-L1, alternative aux anti-PD-1 (nivolumab, pembrolizumab). L'atezolizumab bloque la liaison du PD-L1 au PD-1 et au CD80 (B7-1), restaurant l'activité cytotoxique des LT CD8+ antitumoraux, tout en épargnant l'axe PD-L2/PD-1. Il est indiqué dans le CBNPC en 1re ligne en association à la chimiothérapie (carboplatine + pemetrexed + atezolizumab, étude IMpower132 ; carboplatine + nab-paclitaxel + atezolizumab, étude IMpower130) et en 2e ligne en monothérapie après platine (études POPLAR/OAK) ; dans le cancer du sein triple-négatif (TNBC) en 1re ligne métastatique en association au nab-paclitaxel (étude IMpassion130 — PD-L1 IC+ ≥ 1 %), en néoadjuvant (étude IMpassion031), et en adjuvant (étude IMpassion060) ; dans le cancer urothélial en 1re ligne non éligible au cisplatine (étude IMvigor210) et en 2e ligne après platine (étude IMvigor211) ; dans le cancer du rein en association au bevacizumab (étude IMmotion151) ; dans le cancer de l'endomètre en association (études AtTEnd, LEAP-001) ; dans le cancer du col en association à la chimiothérapie ± bevacizumab (études KEYNOTE-826 analogique).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TECENTRIQ</w:t>
            </w:r>
          </w:p>
        </w:tc>
        <w:tc>
          <w:tcPr>
            <w:tcW w:type="dxa" w:w="1559"/>
          </w:tcPr>
          <w:p>
            <w:r>
              <w:rPr>
                <w:sz w:val="20"/>
              </w:rPr>
              <w:t>ROCHE PHARMA (SCHWEIZ) LTD</w:t>
            </w:r>
          </w:p>
        </w:tc>
        <w:tc>
          <w:tcPr>
            <w:tcW w:type="dxa" w:w="1559"/>
          </w:tcPr>
          <w:p>
            <w:r>
              <w:rPr>
                <w:sz w:val="20"/>
              </w:rPr>
              <w:t>Solution injectable pour perfusion intraveineuse — 1200 mg/flacon</w:t>
            </w:r>
          </w:p>
        </w:tc>
        <w:tc>
          <w:tcPr>
            <w:tcW w:type="dxa" w:w="1559"/>
          </w:tcPr>
          <w:p>
            <w:r>
              <w:rPr>
                <w:sz w:val="20"/>
              </w:rPr>
              <w:t>Boîte de 1 flacon unidose de 20 mL</w:t>
            </w:r>
          </w:p>
        </w:tc>
        <w:tc>
          <w:tcPr>
            <w:tcW w:type="dxa" w:w="1559"/>
          </w:tcPr>
          <w:p>
            <w:r>
              <w:rPr>
                <w:sz w:val="20"/>
              </w:rPr>
              <w:t>Liste I</w:t>
            </w:r>
          </w:p>
        </w:tc>
        <w:tc>
          <w:tcPr>
            <w:tcW w:type="dxa" w:w="1559"/>
          </w:tcPr>
          <w:p>
            <w:r>
              <w:rPr>
                <w:sz w:val="20"/>
              </w:rPr>
              <w:t>Actif</w:t>
            </w:r>
          </w:p>
        </w:tc>
      </w:tr>
    </w:tbl>
    <w:p/>
    <w:p>
      <w:r>
        <w:t>L'atezolizumab est délivré en Algérie via le circuit hospitalier spécialisé en oncologie médicale. La spécialité princeps Tecentriq (Roche) est disponible en flacon unique de 20 mL dosé à 1200 mg (60 mg/mL), correspondant à la dose fixe standard (1200 mg toutes les 3 semaines). Pas de biosimilaire disponible. L'administration se fait en dose fixe, sans adaptation à la surface corporelle.</w:t>
      </w:r>
    </w:p>
    <w:p>
      <w:r/>
      <w:r>
        <w:rPr>
          <w:b/>
        </w:rPr>
        <w:t>Sous-classe et Mécanisme d'action :</w:t>
      </w:r>
      <w:r/>
    </w:p>
    <w:p>
      <w:pPr>
        <w:pStyle w:val="ListBullet"/>
      </w:pPr>
      <w:r>
        <w:t>Sous-classe : AcM humanisé IgG1κ anti-PD-L1 (B7-H1, CD274), chef de file des anti-PD-L1 (avec l'avelumab).</w:t>
      </w:r>
    </w:p>
    <w:p>
      <w:pPr>
        <w:pStyle w:val="ListBullet"/>
      </w:pPr>
      <w:r>
        <w:t>Mécanisme d'action : (i) Blocage compétitif de la liaison du PD-L1 (exprimé à la surface des cellules tumorales et des CPA) avec ses récepteurs PD-1 (exprimé par les LT CD8+ activés) et CD80 (B7-1, exprimé par les LT CD8+ activés). (ii) Restauration de la signalisation T activatrice (PI3K/AKT, IL-2) et de la cytotoxicité des LT CD8+ antitumoraux. (iii) Épargne de l'axe PD-L2/PD-1 (qui reste fonctionnel, préservant un effet régulateur physiologique au niveau périphérique). L'isotype IgG1 a une ADCC modeste (Fc modifiée pour réduire l'ADCC). L'effet est immunologique indirect, avec délai d'action prolongé (4–12 semaines) et possible pseudoprogression.</w:t>
      </w:r>
    </w:p>
    <w:p>
      <w:r/>
      <w:r>
        <w:rPr>
          <w:b/>
        </w:rPr>
        <w:t>Profil Pharmacologique :</w:t>
      </w:r>
      <w:r/>
    </w:p>
    <w:p>
      <w:pPr>
        <w:pStyle w:val="ListBullet"/>
      </w:pPr>
      <w:r>
        <w:t>Indications : (1) CBNPC non épidermoïde en 1re ligne en association à la chimiothérapie (carboplatine + pemetrexed + atezolizumab, étude IMpower132 ; carboplatine + nab-paclitaxel + atezolizumab, étude IMpower130). (2) CBNPC épidermoïde en 1re ligne en association à la chimiothérapie (carboplatine + paclitaxel + atezolizumab, étude IMpower131). (3) CBNPC en 2e ligne après platine en monothérapie (études POPLAR/OAK). (4) Cancer du sein triple-négatif (TNBC) en 1re ligne métastatique en association au nab-paclitaxel si PD-L1 IC+ ≥ 1 % (études IMpassion130) ; en néoadjuvant (étude IMpassion031). (5) Cancer urothélial en 1re ligne non éligible au cisplatine (étude IMvigor210) et en 2e ligne après platine (étude IMvigor211). (6) Cancer du rein métastatique en 1re ligne en association au bevacizumab (étude IMmotion151).</w:t>
      </w:r>
    </w:p>
    <w:p>
      <w:pPr>
        <w:pStyle w:val="ListBullet"/>
      </w:pPr>
      <w:r>
        <w:t>Contre-indications : Hypersensibilité à l'atezolizumab ou à l'un des excipients. Maladie auto-immune active sévère non contrôlée. Transplantation d'organe solide ou de CSH allogénique. Infection sévère non contrôlée. Grossesse. Précautions : antécédents de maladie auto-immune contrôlée, traitement immunosuppresseur concomitant.</w:t>
      </w:r>
    </w:p>
    <w:p>
      <w:pPr>
        <w:pStyle w:val="ListBullet"/>
      </w:pPr>
      <w:r>
        <w:t>Effets Indésirables (irAEs) : Très fréquents (&gt; 10 %) : fatigue (30 %), rash cutané (15 %), prurit (10 %), diarrhée (10 %), nausées, perte d'appétit, arthralgies, myalgies, asthénie, hypothyroïdie (5 %), élévation des transaminases (5 %). Fréquents (1–10 %) : colite immune (3 %), hépatite immune (3 %), pneumopathie immune (3 % — surtout CBNPC), néphrite interstitielle (1–2 %), hyperthyroïdie transitoire (2 %), hypophysite (&lt; 1 %), insuffisance surrénalienne (1 %), céphalées, neuropathie périphérique, conjonctivite. Peu fréquents : myocardite (1 %), syndrome de Guillain-Barré, myasthénie, méningite aseptique, encéphalite, syndrome de Lyell. Les irAEs sont comparables à ceux des anti-PD-1, légèrement moins fréquents en pneumopathie immune (épargne PD-L2).</w:t>
      </w:r>
    </w:p>
    <w:p>
      <w:r/>
      <w:r>
        <w:rPr>
          <w:b/>
        </w:rPr>
        <w:t>Prévention et Gestion des Effets Indésirables :</w:t>
      </w:r>
      <w:r/>
    </w:p>
    <w:p>
      <w:pPr>
        <w:pStyle w:val="ListBullet"/>
      </w:pPr>
      <w:r>
        <w:t>Mesures Préventives : Bilan pré-thérapeutique complet : NFS-plaquettes, bilan hépatique, bilan rénal, ionogramme, TSH, T4 libre, cortisol, ACTH, glycémie, CPK, troponine, ECG. Bilan infectieux. Examen neurologique complet. Information patient sur les irAEs. Consultations rapprochées.</w:t>
      </w:r>
    </w:p>
    <w:p>
      <w:pPr>
        <w:pStyle w:val="ListBullet"/>
      </w:pPr>
      <w:r>
        <w:t>Conduite à Tenir : Diarrhée grade 1 : poursuite, loperamide. Grade 2 : arrêt transitoire, surveillance. Grade 3 : arrêt transitoire, prednisone 1–2 mg/kg/j, coloscopie, infliximab si non-réponse. Grade 4 : arrêt définitif, USIC, prednisone 2 mg/kg/j, infliximab. Hépatite grade 3 : arrêt, prednisone 1–2 mg/kg/j, mycophénolate si non-réponse. Pneumopathie grade 2 : arrêt, prednisone 1–2 mg/kg/j. Grade 3–4 : arrêt définitif, hospitalisation, prednisone 2–4 mg/kg/j. Endocrinopathie thyroidienne : levothyroxine à vie pour hypothyroïdie. Hypophysite : arrêt transitoire, prednisone, hormonothérapie substitutive. Insuffisance surrénalienne aiguë : URGENCE — hydrocortisone 100 mg IV, hydratation, USIC. Myocardite : URGENCE — arrêt définitif, USIC, prednisone 1 mg/kg/j ± mycophénolate.</w:t>
      </w:r>
    </w:p>
    <w:p>
      <w:r/>
      <w:r>
        <w:rPr>
          <w:b/>
        </w:rPr>
        <w:t>Interactions Médicamenteuses :</w:t>
      </w:r>
      <w:r/>
    </w:p>
    <w:p>
      <w:pPr>
        <w:pStyle w:val="ListBullet"/>
      </w:pPr>
      <w:r>
        <w:t>Immunosuppresseurs : diminuent l'efficacité (éviter avant initiation, wash-out 2–4 semaines).</w:t>
      </w:r>
    </w:p>
    <w:p>
      <w:pPr>
        <w:pStyle w:val="ListBullet"/>
      </w:pPr>
      <w:r>
        <w:t>Chimiothérapie (carboplatine + pemetrexed, carboplatine + nab-paclitaxel, carboplatine + paclitaxel) : association standard, surveillance de la tolérance hématologique.</w:t>
      </w:r>
    </w:p>
    <w:p>
      <w:pPr>
        <w:pStyle w:val="ListBullet"/>
      </w:pPr>
      <w:r>
        <w:t>Bevacizumab : association validée (cancer du rein, étude IMmotion151).</w:t>
      </w:r>
    </w:p>
    <w:p>
      <w:pPr>
        <w:pStyle w:val="ListBullet"/>
      </w:pPr>
      <w:r>
        <w:t>Nab-paclitaxel : association standard (TNBC, étude IMpassion130).</w:t>
      </w:r>
    </w:p>
    <w:p>
      <w:pPr>
        <w:pStyle w:val="ListBullet"/>
      </w:pPr>
      <w:r>
        <w:t>Vaccins vivants : contre-indiqués pendant et 6 mois après.</w:t>
      </w:r>
    </w:p>
    <w:p>
      <w:pPr>
        <w:pStyle w:val="ListBullet"/>
      </w:pPr>
      <w:r>
        <w:t>Pas d'interaction avec le CYP450.</w:t>
      </w:r>
    </w:p>
    <w:p>
      <w:r/>
      <w:r>
        <w:rPr>
          <w:b/>
        </w:rPr>
        <w:t>Grossesse et Allaitement :</w:t>
      </w:r>
      <w:r/>
    </w:p>
    <w:p>
      <w:pPr>
        <w:pStyle w:val="ListBullet"/>
      </w:pPr>
      <w:r>
        <w:t>Grossesse : ÉVITER. Données animales : toxicité embryo-fœtale. Contraception obligatoire pendant et 5 mois après.</w:t>
      </w:r>
    </w:p>
    <w:p>
      <w:pPr>
        <w:pStyle w:val="ListBullet"/>
      </w:pPr>
      <w:r>
        <w:t>Allaitement : CONTRE-INDICATION ABSOLUE pendant et 5 mois après.</w:t>
      </w:r>
    </w:p>
    <w:p>
      <w:r/>
      <w:r>
        <w:rPr>
          <w:b/>
        </w:rPr>
        <w:t>Posologie et Mode d'administration (Standard) :</w:t>
      </w:r>
      <w:r/>
    </w:p>
    <w:p>
      <w:pPr>
        <w:pStyle w:val="ListBullet"/>
      </w:pPr>
      <w:r>
        <w:t>Adulte (monothérapie ou association à la chimiothérapie) : 1200 mg IV toutes les 3 semaines (ou 840 mg toutes les 2 semaines, ou 1680 mg toutes les 4 semaines selon schéma) en perfusion de 30–60 min. Jusqu'à progression ou toxicité inacceptable (durée maximale 1 an en adjuvant, jusqu'à progression en métastatique).</w:t>
      </w:r>
    </w:p>
    <w:p>
      <w:pPr>
        <w:pStyle w:val="ListBullet"/>
      </w:pPr>
      <w:r>
        <w:t>Mode d'administration : perfusion IV stricte dans 250 mL NaCl 0,9 %, en 60 min pour la première cure, puis 30 min si tolérance bonne à partir de la 2e cure. Tubing dédié. Surveillance TA, SpO2. Pas de bolus IV. Pré-médication antihistaminique optionnelle.</w:t>
      </w:r>
    </w:p>
    <w:p>
      <w:pPr>
        <w:pStyle w:val="ListBullet"/>
      </w:pPr>
      <w:r>
        <w:t>Adaptation : irAE grade 3 → arrêt transitoire + prednisone 1–2 mg/kg/j ; irAE grade 4 → arrêt définitif.</w:t>
      </w:r>
    </w:p>
    <w:p>
      <w:pPr>
        <w:pStyle w:val="ListBullet"/>
      </w:pPr>
      <w:r>
        <w:t>Insuffisance hépatique modérée : pas d'adaptation. Insuffisance hépatique sévère : éviter.</w:t>
      </w:r>
    </w:p>
    <w:p>
      <w:pPr>
        <w:pStyle w:val="ListBullet"/>
      </w:pPr>
      <w:r>
        <w:t>Insuffisance rénale modérée à sévère : pas d'adaptation.</w:t>
      </w:r>
    </w:p>
    <w:p>
      <w:r/>
      <w:r>
        <w:rPr>
          <w:b/>
        </w:rPr>
        <w:t>Surveillance Biologique et Suivi Clinique :</w:t>
      </w:r>
      <w:r/>
    </w:p>
    <w:p>
      <w:pPr>
        <w:pStyle w:val="ListBullet"/>
      </w:pPr>
      <w:r>
        <w:t>Hématologique : NFS-plaquettes avant chaque cure.</w:t>
      </w:r>
    </w:p>
    <w:p>
      <w:pPr>
        <w:pStyle w:val="ListBullet"/>
      </w:pPr>
      <w:r>
        <w:t>Hépatique : ALAT, ASAT, bilirubine avant chaque cure et 12 semaines après la dernière cure.</w:t>
      </w:r>
    </w:p>
    <w:p>
      <w:pPr>
        <w:pStyle w:val="ListBullet"/>
      </w:pPr>
      <w:r>
        <w:t>Rénale : créatinine, urée, ionogramme avant chaque cure ; protéinurie (bandelette).</w:t>
      </w:r>
    </w:p>
    <w:p>
      <w:pPr>
        <w:pStyle w:val="ListBullet"/>
      </w:pPr>
      <w:r>
        <w:t>Endocrinien : TSH, T4 libre, cortisol, ACTH avant chaque cure et toutes les 4–6 semaines pendant 12 semaines après la dernière cure.</w:t>
      </w:r>
    </w:p>
    <w:p>
      <w:pPr>
        <w:pStyle w:val="ListBullet"/>
      </w:pPr>
      <w:r>
        <w:t>Cardiaque : ECG et troponine avant initiation, à 4–6 semaines (recherche myocardite).</w:t>
      </w:r>
    </w:p>
    <w:p>
      <w:pPr>
        <w:pStyle w:val="ListBullet"/>
      </w:pPr>
      <w:r>
        <w:t>Neurologique : examen neurologique complet avant chaque cure.</w:t>
      </w:r>
    </w:p>
    <w:p>
      <w:pPr>
        <w:pStyle w:val="ListBullet"/>
      </w:pPr>
      <w:r>
        <w:t>Cutané : examen dermatologique à chaque consultation.</w:t>
      </w:r>
    </w:p>
    <w:p>
      <w:pPr>
        <w:pStyle w:val="ListBullet"/>
      </w:pPr>
      <w:r>
        <w:t>Statut PD-L1 : obligatoire avant initiation selon indication (IC pour cancer du sein TN, TPS pour CBNPC).</w:t>
      </w:r>
    </w:p>
    <w:p>
      <w:pPr>
        <w:pStyle w:val="ListBullet"/>
      </w:pPr>
      <w:r>
        <w:t>Suivi carcinologique : scanner TAP avant traitement, à 12 semaines (réévaluation, critères iRECIST), puis tous les 2–3 mois.</w:t>
      </w:r>
    </w:p>
    <w:p>
      <w:r/>
      <w:r>
        <w:rPr>
          <w:b/>
        </w:rPr>
        <w:t>Arbitrage et Bénéfices des Formes Galéniques :</w:t>
      </w:r>
      <w:r/>
    </w:p>
    <w:p>
      <w:r>
        <w:t>L'atezolizumab est disponible uniquement en forme IV (1200 mg/flacon de 20 mL, soit 60 mg/mL). Le schéma en dose fixe (1200 mg toutes les 3 semaines) facilite la prescription (1 flacon = 1 cure). Pas de forme SC, pas de biosimilaire. La conservation au réfrigérateur (2–8 °C) et la protection de la lumière sont nécessaires. La disponibilité de la spécialité princeps Tecentriq en Algérie permet l'accès aux indications standards de l'immunothérapie anti-PD-L1 (CBNPC, cancer du sein TN, cancer urothélial, cancer du rein).</w:t>
      </w:r>
    </w:p>
    <w:p>
      <w:r/>
      <w:r>
        <w:rPr>
          <w:b/>
        </w:rPr>
        <w:t>Instructions et Conseils au Patient :</w:t>
      </w:r>
      <w:r/>
    </w:p>
    <w:p>
      <w:pPr>
        <w:pStyle w:val="ListBullet"/>
      </w:pPr>
      <w:r>
        <w:t>Communication au comptoir : « L'atezolizumab est un anticorps monoclonal qui "lève le frein" de votre système immunitaire, permettant à vos lymphocytes T d'attaquer les cellules tumorales. Il est administré en perfusion IV toutes les 3 semaines, en monothérapie ou en association à une chimiothérapie. Les effets indésirables sont des réactions auto-immunes : fatigue, rash cutané, diarrhée (à signaler), atteinte endocrinienne (thyroïde, hypophyse, surrénales — fatigue, céphalées), atteinte pulmonaire (toux, dyspnée). Prévenez IMMÉDIATEMENT votre médecin en cas de diarrhée persistante, d'essoufflement, de palpitations, de céphalées violentes, d'asthénie profonde. Une contraception stricte est obligatoire. »</w:t>
      </w:r>
    </w:p>
    <w:p>
      <w:pPr>
        <w:pStyle w:val="ListBullet"/>
      </w:pPr>
      <w:r>
        <w:t>Observance : livret d'information irAEs ; consulter en URGENCE en cas de diarrhée, dyspnée, céphalées.</w:t>
      </w:r>
    </w:p>
    <w:p>
      <w:pPr>
        <w:pStyle w:val="ListBullet"/>
      </w:pPr>
      <w:r>
        <w:t>Femmes en âge de procréer : double contraception obligatoire pendant et 5 mois après.</w:t>
      </w:r>
    </w:p>
    <w:p>
      <w:r/>
      <w:r>
        <w:rPr>
          <w:b/>
        </w:rPr>
        <w:t>Notes, Règles d'Or &amp; Pièges au Comptoir :</w:t>
      </w:r>
      <w:r/>
    </w:p>
    <w:p>
      <w:pPr>
        <w:pStyle w:val="ListBullet"/>
      </w:pPr>
      <w:r>
        <w:t>Règle d'or : vérification du statut PD-L1 (IHC) avant initiation selon l'indication.</w:t>
      </w:r>
    </w:p>
    <w:p>
      <w:pPr>
        <w:pStyle w:val="ListBullet"/>
      </w:pPr>
      <w:r>
        <w:t>Piège : la pneumopathie immune est moins fréquente qu'avec les anti-PD-1 (épargne PD-L2), mais reste une toxicité à surveiller.</w:t>
      </w:r>
    </w:p>
    <w:p>
      <w:pPr>
        <w:pStyle w:val="ListBullet"/>
      </w:pPr>
      <w:r>
        <w:t>Règle : surveillance biologique systématique (NFS, hépatique, rénal, TSH, cortisol) avant chaque cure et 12 semaines après la dernière cure.</w:t>
      </w:r>
    </w:p>
    <w:p>
      <w:pPr>
        <w:pStyle w:val="ListBullet"/>
      </w:pPr>
      <w:r>
        <w:t>Piège : les endocrinopathies sont souvent définitives — hormonothérapie substitutive à vie.</w:t>
      </w:r>
    </w:p>
    <w:p>
      <w:pPr>
        <w:pStyle w:val="ListBullet"/>
      </w:pPr>
      <w:r>
        <w:t>Surveillance : la myocardite est rare mais gravissime — surveillance ECG et troponine.</w:t>
      </w:r>
    </w:p>
    <w:p>
      <w:pPr>
        <w:pStyle w:val="ListBullet"/>
      </w:pPr>
      <w:r>
        <w:t>Règle : ne pas confondre pseudoprogression (critères iRECIST) avec progression réelle.</w:t>
      </w:r>
    </w:p>
    <w:p>
      <w:pPr>
        <w:pStyle w:val="Heading3"/>
      </w:pPr>
      <w:r>
        <w:t>106.11.2 DCI : Avelumab</w:t>
      </w:r>
    </w:p>
    <w:p>
      <w:r/>
      <w:r>
        <w:rPr>
          <w:b/>
        </w:rPr>
        <w:t>Liste des Catégories :</w:t>
      </w:r>
      <w:r>
        <w:t xml:space="preserve"> Antinéoplasiques ; Anticorps monoclonal totalement humain IgG1 anti-PD-L1 ; Immunothérapie inhibitrice de point de contrôle ; Carcinome de Merkel métastatique, cancer urothélial en entretien ; Liste I.</w:t>
      </w:r>
    </w:p>
    <w:p>
      <w:r>
        <w:t>L'avelumab (Bavencio®, Merck KGaA/Pfizer) est un AcM totalement humain IgG1κ recombinant dirigé contre le PD-L1 (CD274), ayant obtenu une AMM FDA en mars 2017 et EMA en septembre 2017. Sa particularité structurale est d'être totalement humain (technologie de la souris transgénique), et de conserver un domaine Fc fonctionnel (isotype IgG1 non modifié) permettant une ADCC naturelle contre les cellules tumorales exprimant le PD-L1 — effet immunologique supplémentaire par rapport aux autres anti-PD-L1 (atezolizumab IgG1 modifié, durvalumab IgG1 modifié). L'avelumab est indiqué dans le carcinome de Merkel (tumeur neuroendocrine cutanée rare et agressive, induite par le polyomavirus de Merkel, MCV) en 1re ligne métastatique (étude JAVELIN Merkel 200 — indication histologie-agnostique), et en traitement d'entretien du cancer urothélial après réponse à la chimiothérapie de 1re ligne à base de platine (4–6 cures de cisplatine ou carboplatine + gemcitabine, non progression, étude JAVELIN Bladder 100 — survie globale significativement améliorée en entretien). Il est également indiqué dans certains cancers en monothérapie après échec des traitements standards (cancer du rein, cancer gastrique, cancer de l'ovaire, etc. — études JAVELIN).</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BAVENCIO</w:t>
            </w:r>
          </w:p>
        </w:tc>
        <w:tc>
          <w:tcPr>
            <w:tcW w:type="dxa" w:w="1559"/>
          </w:tcPr>
          <w:p>
            <w:r>
              <w:rPr>
                <w:sz w:val="20"/>
              </w:rPr>
              <w:t>MERCK EUROPE B.V.</w:t>
            </w:r>
          </w:p>
        </w:tc>
        <w:tc>
          <w:tcPr>
            <w:tcW w:type="dxa" w:w="1559"/>
          </w:tcPr>
          <w:p>
            <w:r>
              <w:rPr>
                <w:sz w:val="20"/>
              </w:rPr>
              <w:t>Solution à diluer pour perfusion — 20 mg/mL</w:t>
            </w:r>
          </w:p>
        </w:tc>
        <w:tc>
          <w:tcPr>
            <w:tcW w:type="dxa" w:w="1559"/>
          </w:tcPr>
          <w:p>
            <w:r>
              <w:rPr>
                <w:sz w:val="20"/>
              </w:rPr>
              <w:t>B/1 flacon 10 mL (200 mg)</w:t>
            </w:r>
          </w:p>
        </w:tc>
        <w:tc>
          <w:tcPr>
            <w:tcW w:type="dxa" w:w="1559"/>
          </w:tcPr>
          <w:p>
            <w:r>
              <w:rPr>
                <w:sz w:val="20"/>
              </w:rPr>
              <w:t>Liste I</w:t>
            </w:r>
          </w:p>
        </w:tc>
        <w:tc>
          <w:tcPr>
            <w:tcW w:type="dxa" w:w="1559"/>
          </w:tcPr>
          <w:p>
            <w:r>
              <w:rPr>
                <w:sz w:val="20"/>
              </w:rPr>
              <w:t>Actif</w:t>
            </w:r>
          </w:p>
        </w:tc>
      </w:tr>
    </w:tbl>
    <w:p/>
    <w:p>
      <w:r>
        <w:t>L'avelumab est délivré en Algérie via le circuit hospitalier spécialisé en oncologie médicale. La spécialité princeps Bavencio (Merck KGaA/Pfizer) est disponible en flacon de 10 mL dosé à 200 mg (20 mg/mL). L'administration se fait en dose fixe (10 mg/kg toutes les 2 semaines), nécessitant une adaptation pondérale (3 flacons de 200 mg = 600 mg pour un adulte de 60 kg à 10 mg/kg). Pas de biosimilaire disponible.</w:t>
      </w:r>
    </w:p>
    <w:p>
      <w:r/>
      <w:r>
        <w:rPr>
          <w:b/>
        </w:rPr>
        <w:t>Sous-classe et Mécanisme d'action :</w:t>
      </w:r>
      <w:r/>
    </w:p>
    <w:p>
      <w:pPr>
        <w:pStyle w:val="ListBullet"/>
      </w:pPr>
      <w:r>
        <w:t>Sous-classe : AcM totalement humain IgG1κ anti-PD-L1 (B7-H1, CD274). Particularité : isotype IgG1 non modifié avec ADCC naturelle.</w:t>
      </w:r>
    </w:p>
    <w:p>
      <w:pPr>
        <w:pStyle w:val="ListBullet"/>
      </w:pPr>
      <w:r>
        <w:t>Mécanisme d'action : (i) Blocage compétitif de la liaison du PD-L1 (exprimé à la surface des cellules tumorales et des CPA) avec ses récepteurs PD-1 et CD80 (B7-1), restaurant l'activité cytotoxique des LT CD8+ antitumoraux. (ii) ADCC naturelle (isotype IgG1 non modifié) — la liaison du domaine Fc de l'avelumab au récepteur FcγRIIIa (CD16) des cellules NK déclenche la libération de perforine/granzymes et la lyse des cellules tumorales PD-L1+. (iii) Épargne de l'axe PD-L2/PD-1 (effet régulateur périphérique préservé). L'effet combiné (blocage PD-L1 + ADCC) pourrait expliquer l'efficacité dans des tumeurs rares comme le carcinome de Merkel.</w:t>
      </w:r>
    </w:p>
    <w:p>
      <w:r/>
      <w:r>
        <w:rPr>
          <w:b/>
        </w:rPr>
        <w:t>Profil Pharmacologique :</w:t>
      </w:r>
      <w:r/>
    </w:p>
    <w:p>
      <w:pPr>
        <w:pStyle w:val="ListBullet"/>
      </w:pPr>
      <w:r>
        <w:t>Indications : (1) Carcinome de Merkel métastatique en 1re ligne (étude JAVELIN Merkel 200) — indication histologie-agnostique rare. (2) Cancer urothélial métastatique en traitement d'entretien après réponse à la chimiothérapie de 1re ligne à base de platine (4–6 cures de cisplatine ou carboplatine + gemcitabine, non progression, étude JAVELIN Bladder 100).</w:t>
      </w:r>
    </w:p>
    <w:p>
      <w:pPr>
        <w:pStyle w:val="ListBullet"/>
      </w:pPr>
      <w:r>
        <w:t>Contre-indications : Hypersensibilité à l'avelumab ou à l'un des excipients. Maladie auto-immune active sévère non contrôlée. Transplantation d'organe solide ou de CSH allogénique. Infection sévère non contrôlée. Grossesse. Précautions : antécédents de maladie auto-immune contrôlée.</w:t>
      </w:r>
    </w:p>
    <w:p>
      <w:pPr>
        <w:pStyle w:val="ListBullet"/>
      </w:pPr>
      <w:r>
        <w:t>Effets Indésirables (irAEs) : Très fréquents (&gt; 10 %) : fatigue (30 %), rash cutané (20 %), prurit (10 %), diarrhée (15 %), nausées, vomissements, perte d'appétit, arthralgies, myalgies, asthénie, hypothyroïdie (5 %), transaminases élevées (5 %), réactions liées à la perfusion (RLP, 25 % — frissons, fièvre, prurit, plus fréquentes qu'avec les autres ICI en raison de l'isotype IgG1 naturel ADCC-actif ; pré-médication systématique obligatoire à la première cure). Fréquents (1–10 %) : colite immune (3 %), hépatite immune (3 %), pneumopathie immune (3 %), néphrite interstitielle (1 %), hyperthyroïdie transitoire (2 %), hypophysite (&lt; 1 %), insuffisance surrénalienne (1 %), céphalées, neuropathie périphérique. Peu fréquents : myocardite (1 %), syndrome de Guillain-Barré, myasthénie, méningite aseptique, syndrome de Lyell. Les irAEs sont comparables aux autres anti-PD-L1.</w:t>
      </w:r>
    </w:p>
    <w:p>
      <w:r/>
      <w:r>
        <w:rPr>
          <w:b/>
        </w:rPr>
        <w:t>Prévention et Gestion des Effets Indésirables :</w:t>
      </w:r>
      <w:r/>
    </w:p>
    <w:p>
      <w:pPr>
        <w:pStyle w:val="ListBullet"/>
      </w:pPr>
      <w:r>
        <w:t>Mesures Préventives : Bilan pré-thérapeutique complet : NFS-plaquettes, bilan hépatique, bilan rénal, ionogramme, TSH, T4 libre, cortisol, ACTH, glycémie, CPK, troponine, ECG. Bilan infectieux. Examen neurologique complet. Information patient sur les irAEs et les RLP. Pré-médication systématique antihistaminique + paracétamol avant les 4 premières cures (réduction des RLP). Consultations rapprochées.</w:t>
      </w:r>
    </w:p>
    <w:p>
      <w:pPr>
        <w:pStyle w:val="ListBullet"/>
      </w:pPr>
      <w:r>
        <w:t>Conduite à Tenir : RLP grade 1 : ralentissement, antihistaminique. Grade 2 : arrêt transitoire, antihistaminique IV, paracétamol, reprise à débit réduit. Grade 3–4 : arrêt immédiat, hydrocortisone 200 mg IV, antihistaminique IV, O2, surveillance USIC, arrêt définitif si grade 4. Diarrhée, hépatite, pneumopathie, endocrinopathies, myocardite : voir atezolizumab.</w:t>
      </w:r>
    </w:p>
    <w:p>
      <w:r/>
      <w:r>
        <w:rPr>
          <w:b/>
        </w:rPr>
        <w:t>Interactions Médicamenteuses :</w:t>
      </w:r>
      <w:r/>
    </w:p>
    <w:p>
      <w:pPr>
        <w:pStyle w:val="ListBullet"/>
      </w:pPr>
      <w:r>
        <w:t>Immunosuppresseurs : diminuent l'efficacité (éviter avant initiation).</w:t>
      </w:r>
    </w:p>
    <w:p>
      <w:pPr>
        <w:pStyle w:val="ListBullet"/>
      </w:pPr>
      <w:r>
        <w:t>Chimiothérapie à base de platine (cisplatine, carboplatine + gemcitabine) : association séquentielle (entretien après réponse à la chimiothérapie).</w:t>
      </w:r>
    </w:p>
    <w:p>
      <w:pPr>
        <w:pStyle w:val="ListBullet"/>
      </w:pPr>
      <w:r>
        <w:t>Vaccins vivants : contre-indiqués pendant et 6 mois après.</w:t>
      </w:r>
    </w:p>
    <w:p>
      <w:pPr>
        <w:pStyle w:val="ListBullet"/>
      </w:pPr>
      <w:r>
        <w:t>Pas d'interaction avec le CYP450.</w:t>
      </w:r>
    </w:p>
    <w:p>
      <w:r/>
      <w:r>
        <w:rPr>
          <w:b/>
        </w:rPr>
        <w:t>Grossesse et Allaitement :</w:t>
      </w:r>
      <w:r/>
    </w:p>
    <w:p>
      <w:pPr>
        <w:pStyle w:val="ListBullet"/>
      </w:pPr>
      <w:r>
        <w:t>Grossesse : ÉVITER. Données animales : toxicité embryo-fœtale. Contraception obligatoire pendant et 1 mois après.</w:t>
      </w:r>
    </w:p>
    <w:p>
      <w:pPr>
        <w:pStyle w:val="ListBullet"/>
      </w:pPr>
      <w:r>
        <w:t>Allaitement : CONTRE-INDICATION ABSOLUE pendant et 1 mois après.</w:t>
      </w:r>
    </w:p>
    <w:p>
      <w:r/>
      <w:r>
        <w:rPr>
          <w:b/>
        </w:rPr>
        <w:t>Posologie et Mode d'administration (Standard) :</w:t>
      </w:r>
      <w:r/>
    </w:p>
    <w:p>
      <w:pPr>
        <w:pStyle w:val="ListBullet"/>
      </w:pPr>
      <w:r>
        <w:t>Adulte : 10 mg/kg IV toutes les 2 semaines en perfusion de 60 min. Jusqu'à progression ou toxicité inacceptable (entretien cancer urothélial : jusqu'à progression, durée non limitée ; carcinome de Merkel : jusqu'à progression).</w:t>
      </w:r>
    </w:p>
    <w:p>
      <w:pPr>
        <w:pStyle w:val="ListBullet"/>
      </w:pPr>
      <w:r>
        <w:t>Mode d'administration : perfusion IV stricte dans 250 mL NaCl 0,9 %, en 60 min pour la première cure, puis 30 min si tolérance bonne. Tubing dédié. Surveillance TA, SpO2 pendant la perfusion. Pas de bolus IV. Pré-médication antihistaminique + paracétamol avant les 4 premières cures.</w:t>
      </w:r>
    </w:p>
    <w:p>
      <w:pPr>
        <w:pStyle w:val="ListBullet"/>
      </w:pPr>
      <w:r>
        <w:t>Adaptation : irAE grade 3 → arrêt transitoire + prednisone 1–2 mg/kg/j ; irAE grade 4 → arrêt définitif.</w:t>
      </w:r>
    </w:p>
    <w:p>
      <w:pPr>
        <w:pStyle w:val="ListBullet"/>
      </w:pPr>
      <w:r>
        <w:t>Insuffisance hépatique modérée : pas d'adaptation. Insuffisance hépatique sévère : éviter.</w:t>
      </w:r>
    </w:p>
    <w:p>
      <w:pPr>
        <w:pStyle w:val="ListBullet"/>
      </w:pPr>
      <w:r>
        <w:t>Insuffisance rénale modérée à sévère : pas d'adaptation.</w:t>
      </w:r>
    </w:p>
    <w:p>
      <w:r/>
      <w:r>
        <w:rPr>
          <w:b/>
        </w:rPr>
        <w:t>Surveillance Biologique et Suivi Clinique :</w:t>
      </w:r>
      <w:r/>
    </w:p>
    <w:p>
      <w:pPr>
        <w:pStyle w:val="ListBullet"/>
      </w:pPr>
      <w:r>
        <w:t>Hématologique : NFS-plaquettes avant chaque cure.</w:t>
      </w:r>
    </w:p>
    <w:p>
      <w:pPr>
        <w:pStyle w:val="ListBullet"/>
      </w:pPr>
      <w:r>
        <w:t>Hépatique : ALAT, ASAT, bilirubine avant chaque cure et 12 semaines après la dernière cure.</w:t>
      </w:r>
    </w:p>
    <w:p>
      <w:pPr>
        <w:pStyle w:val="ListBullet"/>
      </w:pPr>
      <w:r>
        <w:t>Rénale : créatinine, urée, ionogramme avant chaque cure.</w:t>
      </w:r>
    </w:p>
    <w:p>
      <w:pPr>
        <w:pStyle w:val="ListBullet"/>
      </w:pPr>
      <w:r>
        <w:t>Endocrinien : TSH, T4 libre, cortisol, ACTH avant chaque cure et toutes les 4–6 semaines pendant 12 semaines après la dernière cure.</w:t>
      </w:r>
    </w:p>
    <w:p>
      <w:pPr>
        <w:pStyle w:val="ListBullet"/>
      </w:pPr>
      <w:r>
        <w:t>Cardiaque : ECG et troponine avant initiation, à 4–6 semaines (recherche myocardite).</w:t>
      </w:r>
    </w:p>
    <w:p>
      <w:pPr>
        <w:pStyle w:val="ListBullet"/>
      </w:pPr>
      <w:r>
        <w:t>Neurologique : examen neurologique complet avant chaque cure.</w:t>
      </w:r>
    </w:p>
    <w:p>
      <w:pPr>
        <w:pStyle w:val="ListBullet"/>
      </w:pPr>
      <w:r>
        <w:t>Cutané : examen dermatologique à chaque consultation.</w:t>
      </w:r>
    </w:p>
    <w:p>
      <w:pPr>
        <w:pStyle w:val="ListBullet"/>
      </w:pPr>
      <w:r>
        <w:t>Suivi carcinologique : scanner TAP avant traitement, à 12 semaines (réévaluation, critères iRECIST), puis tous les 2–3 mois.</w:t>
      </w:r>
    </w:p>
    <w:p>
      <w:r/>
      <w:r>
        <w:rPr>
          <w:b/>
        </w:rPr>
        <w:t>Arbitrage et Bénéfices des Formes Galéniques :</w:t>
      </w:r>
      <w:r/>
    </w:p>
    <w:p>
      <w:r>
        <w:t>L'avelumab est disponible uniquement en forme IV (20 mg/mL, flacon de 200 mg/10 mL). Le schéma en mg/kg (10 mg/kg toutes les 2 semaines) nécessite une adaptation pondérale : pour 70 kg → 700 mg → 4 flacons de 200 mg = 800 mg (gaspillage 100 mg). La planification de la prescription vise à minimiser le gaspillage. La conservation au réfrigérateur (2–8 °C) et la protection de la lumière sont nécessaires. Pas de forme SC, pas de biosimilaire. La particularité de l'avelumab (isotype IgG1 non modifié ADCC-actif) justifie la pré-médication systématique avant les 4 premières cures (réduction des RLP).</w:t>
      </w:r>
    </w:p>
    <w:p>
      <w:r/>
      <w:r>
        <w:rPr>
          <w:b/>
        </w:rPr>
        <w:t>Instructions et Conseils au Patient :</w:t>
      </w:r>
      <w:r/>
    </w:p>
    <w:p>
      <w:pPr>
        <w:pStyle w:val="ListBullet"/>
      </w:pPr>
      <w:r>
        <w:t>Communication au comptoir : « L'avelumab est un anticorps monoclonal qui "lève le frein" de votre système immunitaire, permettant à vos lymphocytes T d'attaquer les cellules tumorales. Il est administré en perfusion IV toutes les 2 semaines. Les effets indésirables sont des réactions auto-immunes (fatigue, rash, diarrhée, atteinte endocrinienne, atteinte pulmonaire) et des réactions pendant la perfusion (frissons, fièvre — pré-médication systématique). Prévenez IMMÉDIATEMENT votre médecin en cas de diarrhée persistante, d'essoufflement, de palpitations, de céphalées violentes, d'asthénie profonde. Une contraception stricte est obligatoire. »</w:t>
      </w:r>
    </w:p>
    <w:p>
      <w:pPr>
        <w:pStyle w:val="ListBullet"/>
      </w:pPr>
      <w:r>
        <w:t>Observance : livret d'information irAEs ; consulter en URGENCE en cas de diarrhée, dyspnée, céphalées.</w:t>
      </w:r>
    </w:p>
    <w:p>
      <w:pPr>
        <w:pStyle w:val="ListBullet"/>
      </w:pPr>
      <w:r>
        <w:t>Femmes en âge de procréer : double contraception obligatoire pendant et 1 mois après.</w:t>
      </w:r>
    </w:p>
    <w:p>
      <w:r/>
      <w:r>
        <w:rPr>
          <w:b/>
        </w:rPr>
        <w:t>Notes, Règles d'Or &amp; Pièges au Comptoir :</w:t>
      </w:r>
      <w:r/>
    </w:p>
    <w:p>
      <w:pPr>
        <w:pStyle w:val="ListBullet"/>
      </w:pPr>
      <w:r>
        <w:t>Règle d'or : pré-médication systématique antihistaminique + paracétamol avant les 4 premières cures (réduction des RLP, fréquentes avec l'avelumab IgG1 ADCC-actif).</w:t>
      </w:r>
    </w:p>
    <w:p>
      <w:pPr>
        <w:pStyle w:val="ListBullet"/>
      </w:pPr>
      <w:r>
        <w:t>Piège : les RLP sont plus fréquentes avec l'avelumab qu'avec les autres anti-PD-L1 (isotype IgG1 non modifié) — ne pas conclure hâtivement à une allergie.</w:t>
      </w:r>
    </w:p>
    <w:p>
      <w:pPr>
        <w:pStyle w:val="ListBullet"/>
      </w:pPr>
      <w:r>
        <w:t>Règle : surveillance biologique systématique (NFS, hépatique, rénal, TSH, cortisol) avant chaque cure et 12 semaines après la dernière cure.</w:t>
      </w:r>
    </w:p>
    <w:p>
      <w:pPr>
        <w:pStyle w:val="ListBullet"/>
      </w:pPr>
      <w:r>
        <w:t>Piège : indication limitée au carcinome de Merkel métastatique (1re ligne) et au cancer urothélial en entretien après réponse à la chimiothérapie — ne pas utiliser en dehors de ces indications validées.</w:t>
      </w:r>
    </w:p>
    <w:p>
      <w:pPr>
        <w:pStyle w:val="ListBullet"/>
      </w:pPr>
      <w:r>
        <w:t>Surveillance : la myocardite est rare mais gravissime — surveillance ECG et troponine.</w:t>
      </w:r>
    </w:p>
    <w:p>
      <w:pPr>
        <w:pStyle w:val="Heading2"/>
      </w:pPr>
      <w:r>
        <w:t>106.12 Sous-classe : AcM Anti-CD38</w:t>
      </w:r>
    </w:p>
    <w:p>
      <w:r>
        <w:t>Le CD38 (ADP-ribosyl cyclase/transmembrane glycoprotéine, codé par le gène CD38 sur le chromosome 4p15.32) est une protéine transmembranaire de type II exprimée à la surface des plasmocytes matures et des cellules natural killer (NK), modérément exprimée sur les lymphocytes T, B et myéloïdes, et plus fortement exprimée sur les cellules tumorales plasmocytaires du myélome multiple (MM) — surexpression quasi-constante (90–100 % des cas) et homogène. Le CD38 joue un rôle dans la signalisation calcique, l'adhésion cellulaire et la régulation immunitaire. Les AcM anti-CD38 (daratumumab, isatuximab) ciblent le CD38 tumoral et exercent leur effet cytotoxique par plusieurs mécanismes : (i) ADCC puissante via FcγRIIIa (CD16) des cellules NK, (ii) CDC via activation de la cascade du complément C1q-C9, (iii) opsonisation et phagocytose par les macrophages, (iv) induction de l'apoptose par cross-linking, (v) modulation de l'activité enzymatique du CD38 (inhibition de la production d'ADP-ribose). Le daratumumab (Darzalex, Janssen, AMM FDA novembre 2015, EMA mai 2016) est le chef de file, indiqué dans le myélome multiple (MM) en 1re ligne (en association à la chimiothérapie — schémas DRd, DVd, D-VRd), en rechute (en association à la chimiothérapie ou en monothérapie), et en maintenance post-autogreffe. L'isatuximab (Sarclisa, Sanofi, AMM FDA mars 2020, EMA mai 2020) est un AcM de 2e génération dirigé contre un épitope distinct du CD38, indiqué dans le MM en rechute en association à la chimiothérapie (schémas Isa-KRd, Isa-Pd). Le profil de tolérance est dominé par les réactions liées à la perfusion (très fréquentes à la première cure en raison de l'ADCC sur les plasmocytes, avec libération de cytokines — syndrome de relargage cytokinique), la neutropénie (surtout en association à la chimiothérapie), la thrombopénie, l'anémie, l'hypogammaglobulinémie (déplétion des plasmocytes normaux — substitution en IgIV souvent nécessaire), et les infections bactériennes, virales (VHB, VZV, CMV) et fongiques. La pré-médication systématique (paracétamol, antihistaminique, corticothérapie) et la surveillance rapprochée de la première perfusion sont obligatoires. L'administration sous-cutanée (daratumumab SC, formulation combinée à l'hyaluronidase recombinante PH20) est désormais préférée (moins de RLP, confort patient) — étude COLUMBA — mais n'est pas disponible dans la nomenclature algérienne.</w:t>
      </w:r>
    </w:p>
    <w:p>
      <w:pPr>
        <w:pStyle w:val="Heading3"/>
      </w:pPr>
      <w:r>
        <w:t>106.12.1 DCI : Daratumumab</w:t>
      </w:r>
    </w:p>
    <w:p>
      <w:r/>
      <w:r>
        <w:rPr>
          <w:b/>
        </w:rPr>
        <w:t>Liste des Catégories :</w:t>
      </w:r>
      <w:r>
        <w:t xml:space="preserve"> Antinéoplasiques ; Anticorps monoclonal humanisé IgG1κ anti-CD38 ; Thérapie ciblée du myélome multiple (1re ligne, rechute, maintenance) ; Liste I.</w:t>
      </w:r>
    </w:p>
    <w:p>
      <w:r>
        <w:t>Le daratumumab (Darzalex®, Janssen) est un AcM humanisé IgG1κ recombinant dirigé contre le CD38, premier AcM anti-CD38 ayant obtenu une AMM (FDA en novembre 2015, EMA en mai 2016) pour le traitement du myélome multiple (MM). Son développement, issu de l'AcM murin Daratumumab, a transformé la prise en charge du MM : en 1re ligne (en association au lenalidomide + dexaméthasone — schéma DRd, étude MAIA ; en association au bortézomib + melphalan + prednisone — schéma D-VMP, étude ALCYONE ; en association au bortézomib + thalidomide + dexaméthasone — schéma D-VRd, étude CASSIOPEIA), en rechute (en association au lenalidomide + dexaméthasone — schéma DRd, étude POLLUX ; en association au bortézomib + dexaméthasone — schéma DVd, étude CASTOR ; en association au carfilzomib + dexaméthasone — schéma DKd, étude CANDOR ; en association au pomalidomide + dexaméthasone — schéma DPd, étude EQUULEUS), en monothérapie (indication historique), et en maintenance post-autogreffe de CSH (étude CASSIOPEIA maintenance). Le mécanisme d'action combine ADCC puissante, CDC, opsonisation, induction de l'apoptose, et modulation enzymatique du CD38. Le profil de tolérance est dominé par les RLP (très fréquentes à la première cure), la neutropénie, la thrombopénie, l'hypogammaglobulinémie (substitution en IgIV souvent nécessaire), et les infections.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DARZALEX</w:t>
            </w:r>
          </w:p>
        </w:tc>
        <w:tc>
          <w:tcPr>
            <w:tcW w:type="dxa" w:w="1559"/>
          </w:tcPr>
          <w:p>
            <w:r>
              <w:rPr>
                <w:sz w:val="20"/>
              </w:rPr>
              <w:t>JANSSEN CILAG INTERNATIONAL N.V.</w:t>
            </w:r>
          </w:p>
        </w:tc>
        <w:tc>
          <w:tcPr>
            <w:tcW w:type="dxa" w:w="1559"/>
          </w:tcPr>
          <w:p>
            <w:r>
              <w:rPr>
                <w:sz w:val="20"/>
              </w:rPr>
              <w:t>Solution à diluer pour perfusion IV — 20 mg/mL (400 mg/20 mL)</w:t>
            </w:r>
          </w:p>
        </w:tc>
        <w:tc>
          <w:tcPr>
            <w:tcW w:type="dxa" w:w="1559"/>
          </w:tcPr>
          <w:p>
            <w:r>
              <w:rPr>
                <w:sz w:val="20"/>
              </w:rPr>
              <w:t>B/1 flacon 20 mL</w:t>
            </w:r>
          </w:p>
        </w:tc>
        <w:tc>
          <w:tcPr>
            <w:tcW w:type="dxa" w:w="1559"/>
          </w:tcPr>
          <w:p>
            <w:r>
              <w:rPr>
                <w:sz w:val="20"/>
              </w:rPr>
              <w:t>Liste I</w:t>
            </w:r>
          </w:p>
        </w:tc>
        <w:tc>
          <w:tcPr>
            <w:tcW w:type="dxa" w:w="1559"/>
          </w:tcPr>
          <w:p>
            <w:r>
              <w:rPr>
                <w:sz w:val="20"/>
              </w:rPr>
              <w:t>Actif</w:t>
            </w:r>
          </w:p>
        </w:tc>
      </w:tr>
    </w:tbl>
    <w:p/>
    <w:p>
      <w:r>
        <w:t>Le daratumumab est délivré en Algérie via le circuit hospitalier spécialisé en hématologie clinique. La spécialité princeps Darzalex (Janssen) est disponible en flacon unique de 20 mL dosé à 400 mg (20 mg/mL). L'administration se fait en mg/kg (16 mg/kg), nécessitant une adaptation pondérale et plusieurs flacons par cure (1 flacon de 400 mg = 1 dose pour 25 kg ; pour 70 kg → 4 flacons de 400 mg = 1600 mg). Pas de biosimilaire disponible. La forme sous-cutanée Darzalex SC (1800 mg/15 mL + hyaluronidase, en 3–5 min SC) n'est pas disponible dans la nomenclature algérienne actuelle.</w:t>
      </w:r>
    </w:p>
    <w:p>
      <w:r/>
      <w:r>
        <w:rPr>
          <w:b/>
        </w:rPr>
        <w:t>Sous-classe et Mécanisme d'action :</w:t>
      </w:r>
      <w:r/>
    </w:p>
    <w:p>
      <w:pPr>
        <w:pStyle w:val="ListBullet"/>
      </w:pPr>
      <w:r>
        <w:t>Sous-classe : AcM humanisé IgG1κ anti-CD38 (ADP-ribosyl cyclase/transmembrane glycoprotéine), chef de file des AcM anti-CD38.</w:t>
      </w:r>
    </w:p>
    <w:p>
      <w:pPr>
        <w:pStyle w:val="ListBullet"/>
      </w:pPr>
      <w:r>
        <w:t>Mécanisme d'action : pléiotropique. (i) ADCC puissante via la liaison du domaine Fc du daratumumab au récepteur FcγRIIIa (CD16) des cellules NK, libération de perforine/granzymes et lyse des plasmocytes myélomateux CD38+. Le polymorphisme FcγRIIIa-158V/V (vs 158F/F) est associé à une meilleure ADCC. (ii) CDC via activation de la cascade classique du complément C1q-C9 (membrane attack complex) — le daratumumab est l'AcM anti-CD38 le plus puissant pour la CDC. (iii) Opsonisation et phagocytose par les macrophages (phagocytose Fc-dépendante). (iv) Induction de l'apoptose par cross-linking du CD38. (v) Modulation de l'activité enzymatique du CD38 (inhibition de la production d'ADP-ribose cyclique, altération de la signalisation calcique). Le CD38 étant exprimé sur les plasmocytes normaux en plus des plasmocytes myélomateux, le daratumumab induit une déplétion plasmocytaire globale (hypogammaglobulinémie — surtout IgG, IgA — nécessitant souvent une substitution en IgIV).</w:t>
      </w:r>
    </w:p>
    <w:p>
      <w:r/>
      <w:r>
        <w:rPr>
          <w:b/>
        </w:rPr>
        <w:t>Profil Pharmacologique :</w:t>
      </w:r>
      <w:r/>
    </w:p>
    <w:p>
      <w:pPr>
        <w:pStyle w:val="ListBullet"/>
      </w:pPr>
      <w:r>
        <w:t>Indications : (1) Myélome multiple (MM) nouvellement diagnostiqué non éligible à l'autogreffe en association au melphalan + prednisone + bortézomib (schéma D-VMP, étude ALCYONE) ou au lenalidomide + dexaméthasone (schéma DRd, étude MAIA). (2) MM nouvellement diagnostiqué éligible à l'autogreffe en association au bortézomib + thalidomide + dexaméthasone (schéma D-VRd, étude CASSIOPEIA induction) et en maintenance post-autogreffe (étude CASSIOPEIA maintenance). (3) MM en rechute en association au lenalidomide + dexaméthasone (schéma DRd, étude POLLUX) ; au bortézomib + dexaméthasone (schéma DVd, étude CASTOR) ; au carfilzomib + dexaméthasone (schéma DKd, étude CANDOR) ; au pomalidomide + dexaméthasone (schéma DPd, étude EQUULEUS). (4) MM en rechute en monothérapie après ≥ 3 lignes antérieures (indication historique, désormais préférence pour les associations).</w:t>
      </w:r>
    </w:p>
    <w:p>
      <w:pPr>
        <w:pStyle w:val="ListBullet"/>
      </w:pPr>
      <w:r>
        <w:t>Contre-indications : Hypersensibilité au daratumumab ou à l'un des excipients. Infection active sévère non contrôlée. Grossesse (CI relative). Précautions : forte masse tumorale (risque de syndrome de lyse tumorale), thrombopénie &lt; 80 G/L, neutropénie &lt; 1,5 G/L, antécédents de VHB (risque de réactivation).</w:t>
      </w:r>
    </w:p>
    <w:p>
      <w:pPr>
        <w:pStyle w:val="ListBullet"/>
      </w:pPr>
      <w:r>
        <w:t>Effets Indésirables : Très fréquents (&gt; 10 %) : réactions liées à la perfusion (RLP) à la première cure (40–70 % — frissons, fièvre, nausées, vomissements, céphalées, prurit, rash, hypotension, bronchospasme, parfois angioedème — généralement grade 1–2, parfois grade 3–4 dans 5–10 % ; RLP très fréquentes en raison de l'ADCC sur les plasmocytes avec libération de cytokines), neutropénie (en association à la chimiothérapie, 40–60 %), thrombopénie (30–40 %), anémie (20–30 %), lymphopénie B (90 %), hypogammaglobulinémie (surtout IgG, IgA — 30–50 %), infections (40–60 % — bactériennes, virales [VHB, VZV, CMV, EBV], fongiques), fatigue, asthénie, nausées, vomissements, diarrhée, constipation, toux, dyspnée, céphalées, arthralgies, myalgies, pyrexie. Fréquents (1–10 %) : hypertension, hypotension (pendant la perfusion), tachycardie, Rash, prurit, hyperglycémie, hypokaliémie, hypocalcémie, hypophosphatémie, hypoalbuminémie, transaminases élevées. Peu fréquents : pneumopathie interstitielle, syndrome de Lyell, syndrome de Stevens-Johnson, leucoencéphalopathie multifocale progressive (LEMP — rare). L'interférence du daratumumab avec les tests d'agglutination croisée sanguine (anticorps anti-CD38 sur les globules rouges) peut générer de faux positifs (pan-réactions) — nécessité d'utiliser des tests de dépistage des anticorps anti-érythrocytaires adaptés (Dithiothreitol, DTT, qui détruit le CD38 sur les globules rouges) et de phénotyper les patients avant initiation.</w:t>
      </w:r>
    </w:p>
    <w:p>
      <w:r/>
      <w:r>
        <w:rPr>
          <w:b/>
        </w:rPr>
        <w:t>Prévention et Gestion des Effets Indésirables :</w:t>
      </w:r>
      <w:r/>
    </w:p>
    <w:p>
      <w:pPr>
        <w:pStyle w:val="ListBullet"/>
      </w:pPr>
      <w:r>
        <w:t>Mesures Préventives : Phénotype érythrocytaire (groupe sanguin complet, Kell) avant initiation — le daratumumab interfère avec les tests de compatibilité (pan-réaction). Dépistage VHB, VHC, VIH avant initiation. Prophylaxie antivirale VHB (entécavir ou ténofovir) si patient à risque. Prophylaxie antipneumocystose (cotrimoxazole) et antivirale VZV (aciclovir ou valaciclovir) pendant et 6 mois après traitement. Pré-médication systématique avant chaque cure (surtout les 2 premières) : paracétamol 1 g per os, dexchlorphéniramine 5 mg IV, hydrocortisone 100 mg IV (ou méthylprednisolone 40 mg IV) 30–60 min avant la perfusion ; antihistaminique post-perfusion (cétirizine 10 mg per os le soir) pour prévenir les RLP retardées. Hydratation IV préalable (500 mL NaCl 0,9 %). Surveillance ECG, TA, SpO2 pendant toute la perfusion (surtout la première cure). Prophylaxie G-CSF si association à la chimiothérapie neutropéniante. Surveillance immunoglobulines (IgG, IgA, IgM) tous les 3 mois — substitution en IgIV si IgG &lt; 4 g/L et infections récurrentes.</w:t>
      </w:r>
    </w:p>
    <w:p>
      <w:pPr>
        <w:pStyle w:val="ListBullet"/>
      </w:pPr>
      <w:r>
        <w:t>Conduite à Tenir : RLP grade 1–2 : ralentissement ou arrêt transitoire, antihistaminique, paracétamol, reprise à débit réduit. RLP grade 3–4 : arrêt immédiat, hydrocortisone 200 mg IV, antihistaminique IV, O2, adrénaline 0,3 mg IM si choc, surveillance USIC, reprise à débit très réduit ou switch vers le schéma SC (si disponible) ou arrêt définitif. Neutropénie grade 3–4 : G-CSF, report de cure si non récupération, antibiothérapie prophylactique. Thrombopénie grade 3–4 : report de cure. Hypogammaglobulinémie sévère (IgG &lt; 4 g/L avec infections) : IgIV substitutives (0,4–0,5 g/kg toutes les 4 semaines). Réactivation VHB : arrêt transitoire, entécavir urgent. Pneumopathie : arrêt, corticothérapie, antibiothérapie.</w:t>
      </w:r>
    </w:p>
    <w:p>
      <w:r/>
      <w:r>
        <w:rPr>
          <w:b/>
        </w:rPr>
        <w:t>Interactions Médicamenteuses :</w:t>
      </w:r>
      <w:r/>
    </w:p>
    <w:p>
      <w:pPr>
        <w:pStyle w:val="ListBullet"/>
      </w:pPr>
      <w:r>
        <w:t>Chimiothérapie associée (lenalidomide, pomalidomide, bortézomib, carfilzomib, melphalan, cyclophosphamide, vincristine, adriamycine, dexaméthasone) : synergie d'efficacité, surveillance de la tolérance hématologique (potentialisation de la myélosuppression).</w:t>
      </w:r>
    </w:p>
    <w:p>
      <w:pPr>
        <w:pStyle w:val="ListBullet"/>
      </w:pPr>
      <w:r>
        <w:t>Anticoagulants et antiagrégants : risque hémorragique majoré en cas de thrombopénie.</w:t>
      </w:r>
    </w:p>
    <w:p>
      <w:pPr>
        <w:pStyle w:val="ListBullet"/>
      </w:pPr>
      <w:r>
        <w:t>Vaccins vivants : contre-indiqués pendant et 6 mois après.</w:t>
      </w:r>
    </w:p>
    <w:p>
      <w:pPr>
        <w:pStyle w:val="ListBullet"/>
      </w:pPr>
      <w:r>
        <w:t>Transfusion sanguine : le daratumumab interfère avec les tests de compatibilité érythrocytaire (pan-réaction anti-CD38) — prélever et phénotyper avant initiation, signaler le patient sous daratumumab au laboratoire d'immuno-hématologie (tests DTT ou phénotypage érythrocytaire).</w:t>
      </w:r>
    </w:p>
    <w:p>
      <w:pPr>
        <w:pStyle w:val="ListBullet"/>
      </w:pPr>
      <w:r>
        <w:t>Pas d'interaction avec le CYP450.</w:t>
      </w:r>
    </w:p>
    <w:p>
      <w:r/>
      <w:r>
        <w:rPr>
          <w:b/>
        </w:rPr>
        <w:t>Grossesse et Allaitement :</w:t>
      </w:r>
      <w:r/>
    </w:p>
    <w:p>
      <w:pPr>
        <w:pStyle w:val="ListBullet"/>
      </w:pPr>
      <w:r>
        <w:t>Grossesse : ÉVITER. Données animales : toxicité embryo-fœtale (déplétion plasmocytaire maternelle, altération de l'immunité humorale maternelle). Contraception obligatoire pendant le traitement et 3 mois après. Chez une patiente enceinte nécessitant un traitement : évaluation multidisciplinaire (hématologue-gynéco-obstétricienne), préférence pour la chimiothérapie classique (possible au 2e trimestre), report du daratumumab au post-partum.</w:t>
      </w:r>
    </w:p>
    <w:p>
      <w:pPr>
        <w:pStyle w:val="ListBullet"/>
      </w:pPr>
      <w:r>
        <w:t>Allaitement : CONTRE-INDICATION ABSOLUE pendant le traitement et 3 mois après (passage dans le lait via FcRn, immunosuppression néonatale).</w:t>
      </w:r>
    </w:p>
    <w:p>
      <w:r/>
      <w:r>
        <w:rPr>
          <w:b/>
        </w:rPr>
        <w:t>Posologie et Mode d'administration (Standard) :</w:t>
      </w:r>
      <w:r/>
    </w:p>
    <w:p>
      <w:pPr>
        <w:pStyle w:val="ListBullet"/>
      </w:pPr>
      <w:r>
        <w:t>Adulte : 16 mg/kg IV selon schéma hebdomadaire (semaines 1–8 pour le schéma standard, puis toutes les 2 semaines pour les semaines 9–24, puis toutes les 3 semaines à partir de la semaine 25), en perfusion de 90 min pour les premières cures puis 60 min si tolérance bonne à partir de la cure 4. En association à la chimiothérapie (schéma DRd, DVd, D-VMP, D-VRd, DPd, DKd), le schéma d'administration suit celui de la chimiothérapie associée (cycles de 28 ou 42 jours). Jusqu'à progression ou toxicité inacceptable.</w:t>
      </w:r>
    </w:p>
    <w:p>
      <w:pPr>
        <w:pStyle w:val="ListBullet"/>
      </w:pPr>
      <w:r>
        <w:t>Mode d'administration : perfusion IV stricte dans 500 mL (ou 1000 mL pour la dose complète) NaCl 0,9 % (jamais glucose). Tubing dédié, filtre de 0,22 μm. Débit initial : 50 mL/h pour la première heure, puis augmentation par paliers de 50 mL/h toutes les 30 min jusqu'à 200 mL/h maximum. En cas de tolérance bonne à la première cure, perfusions ultérieures à débit initial plus rapide (100 mL/h) avec paliers. Surveillance ECG, TA, SpO2. Pré-médication systématique.</w:t>
      </w:r>
    </w:p>
    <w:p>
      <w:pPr>
        <w:pStyle w:val="ListBullet"/>
      </w:pPr>
      <w:r>
        <w:t>Adaptation posologique : pas de réduction de dose en cas d'irAE. En cas de RLP grade 3–4 : reprise à débit très réduit (25 mL/h initial) ou arrêt définitif.</w:t>
      </w:r>
    </w:p>
    <w:p>
      <w:pPr>
        <w:pStyle w:val="ListBullet"/>
      </w:pPr>
      <w:r>
        <w:t>Insuffisance hépatique modérée à sévère : pas d'adaptation (métabolisme protidique).</w:t>
      </w:r>
    </w:p>
    <w:p>
      <w:pPr>
        <w:pStyle w:val="ListBullet"/>
      </w:pPr>
      <w:r>
        <w:t>Insuffisance rénale modérée à sévère : pas d'adaptation (à la différence des inhibiteurs du protéasome comme le bortézomib).</w:t>
      </w:r>
    </w:p>
    <w:p>
      <w:r/>
      <w:r>
        <w:rPr>
          <w:b/>
        </w:rPr>
        <w:t>Surveillance Biologique et Suivi Clinique :</w:t>
      </w:r>
      <w:r/>
    </w:p>
    <w:p>
      <w:pPr>
        <w:pStyle w:val="ListBullet"/>
      </w:pPr>
      <w:r>
        <w:t>Hématologique : NFS-plaquettes avant chaque cure et hebdomadaire pendant les premières cures.</w:t>
      </w:r>
    </w:p>
    <w:p>
      <w:pPr>
        <w:pStyle w:val="ListBullet"/>
      </w:pPr>
      <w:r>
        <w:t>Hépatique : ALAT, ASAT, bilirubine, PAL, γ-GT mensuels.</w:t>
      </w:r>
    </w:p>
    <w:p>
      <w:pPr>
        <w:pStyle w:val="ListBullet"/>
      </w:pPr>
      <w:r>
        <w:t>Rénale : créatinine, urée, ionogramme avant chaque cure.</w:t>
      </w:r>
    </w:p>
    <w:p>
      <w:pPr>
        <w:pStyle w:val="ListBullet"/>
      </w:pPr>
      <w:r>
        <w:t>Immunologique : électrophorèse des protéines sériques (IgG, IgA, IgM) tous les 3 mois ; substitution en IgIV si IgG &lt; 4 g/L et infections récurrentes.</w:t>
      </w:r>
    </w:p>
    <w:p>
      <w:pPr>
        <w:pStyle w:val="ListBullet"/>
      </w:pPr>
      <w:r>
        <w:t>Infectiologie : sérologies VHB, VHC, VIH avant initiation ; prophylaxie antipneumocystose (cotrimoxazole) et antivirale VZV (aciclovir/valaciclovir) pendant et 6 mois après ; surveillance VHB (AgHBs, ADN-VHB PCR mensuel) pendant et 12 mois après traitement en cas d'Ac anti-HBc+.</w:t>
      </w:r>
    </w:p>
    <w:p>
      <w:pPr>
        <w:pStyle w:val="ListBullet"/>
      </w:pPr>
      <w:r>
        <w:t>Immunohématologie : phénotype érythrocytaire (groupe sanguin, Kell) avant initiation.</w:t>
      </w:r>
    </w:p>
    <w:p>
      <w:pPr>
        <w:pStyle w:val="ListBullet"/>
      </w:pPr>
      <w:r>
        <w:t>Suivi carcinologique : dosage de la protéine monoclonale sérique (électrophorèse, immunofixation) et des chaînes légères libres sériques (FLC) avant chaque cycle et mensuellement ; myélogramme si besoin ; imagerie (scanner TAP, IRM médullaire, PET-scan) avant traitement puis tous les 3–6 mois.</w:t>
      </w:r>
    </w:p>
    <w:p>
      <w:pPr>
        <w:pStyle w:val="ListBullet"/>
      </w:pPr>
      <w:r>
        <w:t>Critères de réponse (IMWG) : réponse complète (RC), très bonne réponse partielle (TBPR), réponse partielle (RP), maladie stable (MS), progression (PD).</w:t>
      </w:r>
    </w:p>
    <w:p>
      <w:r/>
      <w:r>
        <w:rPr>
          <w:b/>
        </w:rPr>
        <w:t>Arbitrage et Bénéfices des Formes Galéniques :</w:t>
      </w:r>
      <w:r/>
    </w:p>
    <w:p>
      <w:r>
        <w:t>Le daratumumab est disponible uniquement en forme IV (20 mg/mL, flacon de 400 mg/20 mL). Le schéma en mg/kg (16 mg/kg) nécessite plusieurs flacons par cure : pour 70 kg → 1120 mg → 3 flacons de 400 mg = 1200 mg (gaspillage 80 mg). La planification de la prescription vise à minimiser le gaspillage. La conservation au réfrigérateur (2–8 °C) et la protection de la lumière sont nécessaires. Pas de biosimilaire disponible. La forme sous-cutanée Darzalex SC (1800 mg/15 mL + hyaluronidase recombinante PH20, en 3–5 min SC, équivalence pharmacocinétique démontrée par l'étude PAVO — moins de RLP, confort patient) n'est pas disponible dans la nomenclature algérienne actuelle.</w:t>
      </w:r>
    </w:p>
    <w:p>
      <w:r/>
      <w:r>
        <w:rPr>
          <w:b/>
        </w:rPr>
        <w:t>Instructions et Conseils au Patient :</w:t>
      </w:r>
      <w:r/>
    </w:p>
    <w:p>
      <w:pPr>
        <w:pStyle w:val="ListBullet"/>
      </w:pPr>
      <w:r>
        <w:t>Communication au comptoir : « Le daratumumab est un anticorps monoclonal qui cible le CD38 des plasmocytes de votre myélome. Il est administré en perfusion IV à l'hôpital, généralement en association à une chimiothérapie. Les effets indésirables les plus fréquents sont des réactions pendant la perfusion (frissons, fièvre, nausées — surtout à la première cure, pré-médication systématique), une baisse des globules blancs (risque infectieux — fièvre à signaler), une baisse des plaquettes, une hypogammaglobulinémie (baisse des anticorps — infections récurrentes), de la fatigue. Prévenez immédiatement votre médecin en cas de fièvre, d'essoufflement, de saignement anormal, d'ictère. Le traitement antiviral et antipneumocystose doit être pris scrupuleusement. Une contraception stricte est obligatoire. »</w:t>
      </w:r>
    </w:p>
    <w:p>
      <w:pPr>
        <w:pStyle w:val="ListBullet"/>
      </w:pPr>
      <w:r>
        <w:t>Observance : prendre scrupuleusement la prophylaxie antivirale (aciclovir/valaciclovir) et antipneumocystose (cotrimoxazole) prescrite ; signaler tout symptôme infectieux (fièvre, toux, dyspnée), ictère, saignement.</w:t>
      </w:r>
    </w:p>
    <w:p>
      <w:pPr>
        <w:pStyle w:val="ListBullet"/>
      </w:pPr>
      <w:r>
        <w:t>Hygiène de vie : éviter les contacts avec personnes malades ; éviter les vaccins vivants ; alimentation équilibrée.</w:t>
      </w:r>
    </w:p>
    <w:p>
      <w:pPr>
        <w:pStyle w:val="ListBullet"/>
      </w:pPr>
      <w:r>
        <w:t>Femmes en âge de procréer : double contraception obligatoire pendant et 3 mois après.</w:t>
      </w:r>
    </w:p>
    <w:p>
      <w:pPr>
        <w:pStyle w:val="ListBullet"/>
      </w:pPr>
      <w:r>
        <w:t>Information transfusionnelle : signaler le traitement par daratumumab à tout contact avec le sang (transfusion, prélèvement sanguin) — interférence avec les tests de compatibilité.</w:t>
      </w:r>
    </w:p>
    <w:p>
      <w:r/>
      <w:r>
        <w:rPr>
          <w:b/>
        </w:rPr>
        <w:t>Notes, Règles d'Or &amp; Pièges au Comptoir :</w:t>
      </w:r>
      <w:r/>
    </w:p>
    <w:p>
      <w:pPr>
        <w:pStyle w:val="ListBullet"/>
      </w:pPr>
      <w:r>
        <w:t>Règle d'or : pré-médication systématique (paracétamol, antihistaminique, corticothérapie) et surveillance rapprochée de la première perfusion (TA, SpO2) — les RLP sont très fréquentes (40–70 %).</w:t>
      </w:r>
    </w:p>
    <w:p>
      <w:pPr>
        <w:pStyle w:val="ListBullet"/>
      </w:pPr>
      <w:r>
        <w:t>Piège : le daratumumab interfère avec les tests d'agglutination croisée sanguine (pan-réaction anti-CD38) — phénotype érythrocytaire avant initiation, signaler le traitement au laboratoire d'immuno-hématologie.</w:t>
      </w:r>
    </w:p>
    <w:p>
      <w:pPr>
        <w:pStyle w:val="ListBullet"/>
      </w:pPr>
      <w:r>
        <w:t>Règle : prophylaxie antivirale (VHB, VZV) et antipneumocystose systématique pendant et 6 mois après traitement.</w:t>
      </w:r>
    </w:p>
    <w:p>
      <w:pPr>
        <w:pStyle w:val="ListBullet"/>
      </w:pPr>
      <w:r>
        <w:t>Piège : l'hypogammaglobulinémie peut être sévère (IgG &lt; 4 g/L) et nécessiter une substitution en IgIV — surveillance immunologique trimestrielle.</w:t>
      </w:r>
    </w:p>
    <w:p>
      <w:pPr>
        <w:pStyle w:val="ListBullet"/>
      </w:pPr>
      <w:r>
        <w:t>Surveillance : attention aux patients sous anticoagulants — risque hémorragique en cas de thrombopénie.</w:t>
      </w:r>
    </w:p>
    <w:p>
      <w:pPr>
        <w:pStyle w:val="ListBullet"/>
      </w:pPr>
      <w:r>
        <w:t>Règle : le daratumumab est indiqué à toutes les phases du MM (1re ligne, rechute, maintenance) — ne pas réserver aux rechutes.</w:t>
      </w:r>
    </w:p>
    <w:p>
      <w:pPr>
        <w:pStyle w:val="ListBullet"/>
      </w:pPr>
      <w:r>
        <w:t>Piège : le daratumumab peut masquer la protéine monoclonale sérique (réponse « paradoxale » avec disparition transitoire du pic monoclonal par neutralisation par le daratumumab lui-même) — surveiller également les chaînes légères libres sériques (FLC) et le myélogramme.</w:t>
      </w:r>
    </w:p>
    <w:p>
      <w:pPr>
        <w:pStyle w:val="Heading3"/>
      </w:pPr>
      <w:r>
        <w:t>106.12.2 DCI : Isatuximab</w:t>
      </w:r>
    </w:p>
    <w:p>
      <w:r/>
      <w:r>
        <w:rPr>
          <w:b/>
        </w:rPr>
        <w:t>Liste des Catégories :</w:t>
      </w:r>
      <w:r>
        <w:t xml:space="preserve"> Antinéoplasiques ; Anticorps monoclonal chimérique humanisé IgG1κ anti-CD38 (épitope distinct du daratumumab) ; Thérapie ciblée du myélome multiple en rechute ; Liste I.</w:t>
      </w:r>
    </w:p>
    <w:p>
      <w:r>
        <w:t>L'isatuximab (Sarclisa®, Sanofi) est un AcM chimérique humanisé IgG1κ recombinant dirigé contre un épitope distinct du CD38 (à la différence du daratumumab qui cible un autre épitope), développé par Sanofi. Il a obtenu une AMM FDA en mars 2020 et EMA en mai 2020. Sa particularité mécanistique est de cibler un épitope spécifique du CD38 (région membranaire proximale), permettant une activité cytotoxique plus rapide (ADCC plus puissante) et une activité enzymatique distincte (inhibition directe de l'activité ADP-ribosyl cyclase du CD38). L'isatuximab est indiqué dans le myélome multiple (MM) en rechute en association au pomalidomide + dexaméthasone (schéma Isa-Pd, étude ICARIA — supériorité en survie sans progression) et en association au carfilzomib + dexaméthasone (schéma Isa-Kd, étude IKEMA — supériorité en survie sans progression). Le profil de tolérance est similaire à celui du daratumumab : RLP, neutropénie, thrombopénie, infections, hypogammaglobulinémie.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SARCLISA</w:t>
            </w:r>
          </w:p>
        </w:tc>
        <w:tc>
          <w:tcPr>
            <w:tcW w:type="dxa" w:w="1559"/>
          </w:tcPr>
          <w:p>
            <w:r>
              <w:rPr>
                <w:sz w:val="20"/>
              </w:rPr>
              <w:t>SANOFI WINTHROP INDUSTRIE</w:t>
            </w:r>
          </w:p>
        </w:tc>
        <w:tc>
          <w:tcPr>
            <w:tcW w:type="dxa" w:w="1559"/>
          </w:tcPr>
          <w:p>
            <w:r>
              <w:rPr>
                <w:sz w:val="20"/>
              </w:rPr>
              <w:t>Solution à diluer pour perfusion IV — 20 mg/mL (100 mg/5 mL et 500 mg/25 mL)</w:t>
            </w:r>
          </w:p>
        </w:tc>
        <w:tc>
          <w:tcPr>
            <w:tcW w:type="dxa" w:w="1559"/>
          </w:tcPr>
          <w:p>
            <w:r>
              <w:rPr>
                <w:sz w:val="20"/>
              </w:rPr>
              <w:t>B/1 flacon 5 mL et B/1 flacon 25 mL</w:t>
            </w:r>
          </w:p>
        </w:tc>
        <w:tc>
          <w:tcPr>
            <w:tcW w:type="dxa" w:w="1559"/>
          </w:tcPr>
          <w:p>
            <w:r>
              <w:rPr>
                <w:sz w:val="20"/>
              </w:rPr>
              <w:t>Liste I</w:t>
            </w:r>
          </w:p>
        </w:tc>
        <w:tc>
          <w:tcPr>
            <w:tcW w:type="dxa" w:w="1559"/>
          </w:tcPr>
          <w:p>
            <w:r>
              <w:rPr>
                <w:sz w:val="20"/>
              </w:rPr>
              <w:t>Actif</w:t>
            </w:r>
          </w:p>
        </w:tc>
      </w:tr>
    </w:tbl>
    <w:p/>
    <w:p>
      <w:r>
        <w:t>L'isatuximab est délivré en Algérie via le circuit hospitalier spécialisé en hématologie clinique. La spécialité princeps Sarclisa (Sanofi) est disponible en deux dosages : 100 mg/5 mL et 500 mg/25 mL (20 mg/mL), permettant l'administration en dose fixe (10 mg/kg), nécessitant une adaptation pondérale. Pas de biosimilaire disponible.</w:t>
      </w:r>
    </w:p>
    <w:p>
      <w:r/>
      <w:r>
        <w:rPr>
          <w:b/>
        </w:rPr>
        <w:t>Sous-classe et Mécanisme d'action :</w:t>
      </w:r>
      <w:r/>
    </w:p>
    <w:p>
      <w:pPr>
        <w:pStyle w:val="ListBullet"/>
      </w:pPr>
      <w:r>
        <w:t>Sous-classe : AcM chimérique humanisé IgG1κ anti-CD38 (épitope distinct du daratumumab — région membranaire proximale).</w:t>
      </w:r>
    </w:p>
    <w:p>
      <w:pPr>
        <w:pStyle w:val="ListBullet"/>
      </w:pPr>
      <w:r>
        <w:t>Mécanisme d'action : pléiotropique, similaire au daratumumab mais avec des particularités. (i) ADCC puissante via FcγRIIIa (CD16) des cellules NK — activité plus rapide que le daratumumab. (ii) CDC via activation de la cascade classique du complément C1q-C9 — activité plus faible que le daratumumab. (iii) Opsonisation et phagocytose par les macrophages. (iv) Induction de l'apoptose par cross-linking. (v) Inhibition directe de l'activité enzymatique du CD38 (ADP-ribosyl cyclase) — particularité de l'isatuximab, qui cible un épitope proche du site catalytique. L'isatuximab cible un épitope distinct du daratumumab, ce qui suggère une efficacité potentielle en cas de résistance au daratumumab (cross-resistance possible, non systématique).</w:t>
      </w:r>
    </w:p>
    <w:p>
      <w:r/>
      <w:r>
        <w:rPr>
          <w:b/>
        </w:rPr>
        <w:t>Profil Pharmacologique :</w:t>
      </w:r>
      <w:r/>
    </w:p>
    <w:p>
      <w:pPr>
        <w:pStyle w:val="ListBullet"/>
      </w:pPr>
      <w:r>
        <w:t>Indications : (1) Myélome multiple (MM) en rechute en association au pomalidomide + dexaméthasone (schéma Isa-Pd, étude ICARIA) — patients ayant reçu ≥ 2 lignes antérieures incluant lenalidomide et inhibiteur du protéasome. (2) MM en rechute en association au carfilzomib + dexaméthasone (schéma Isa-Kd, étude IKEMA) — patients ayant reçu 1–3 lignes antérieures.</w:t>
      </w:r>
    </w:p>
    <w:p>
      <w:pPr>
        <w:pStyle w:val="ListBullet"/>
      </w:pPr>
      <w:r>
        <w:t>Contre-indications : Hypersensibilité à l'isatuximab ou à l'un des excipients. Infection active sévère non contrôlée. Grossesse (CI relative). Précautions : forte masse tumorale, thrombopénie, neutropénie, antécédents de VHB.</w:t>
      </w:r>
    </w:p>
    <w:p>
      <w:pPr>
        <w:pStyle w:val="ListBullet"/>
      </w:pPr>
      <w:r>
        <w:t>Effets Indésirables : Très fréquents (&gt; 10 %) : RLP à la première cure (30–40 % — moins fréquentes que le daratumumab, mais pré-médication systématique), neutropénie (en association au pomalidomide ou carfilzomib, 50–70 %), thrombopénie (30–40 %), anémie (20–30 %), lymphopénie B, hypogammaglobulinémie (30–50 %), infections (40–60 % — bactériennes, virales [VHB, VZV, CMV], fongiques), fatigue, asthénie, nausées, vomissements, diarrhée, constipation, toux, dyspnée, céphalées, arthralgies, myalgies, pyrexie. Fréquents (1–10 %) : hypertension, hypotension, tachycardie, rash, prurit, hyperglycémie, hypokaliémie, hypocalcémie, transaminases élevées. Peu fréquents : pneumopathie interstitielle, syndrome de Lyell, LEMP. Comme pour le daratumumab, l'isatuximab interfère avec les tests d'agglutination croisée sanguine (pan-réaction anti-CD38).</w:t>
      </w:r>
    </w:p>
    <w:p>
      <w:r/>
      <w:r>
        <w:rPr>
          <w:b/>
        </w:rPr>
        <w:t>Prévention et Gestion des Effets Indésirables :</w:t>
      </w:r>
      <w:r/>
    </w:p>
    <w:p>
      <w:pPr>
        <w:pStyle w:val="ListBullet"/>
      </w:pPr>
      <w:r>
        <w:t>Mesures Préventives : Phénotype érythrocytaire avant initiation. Dépistage VHB, VHC, VIH avant initiation. Prophylaxie antivirale VHB, VZV et antipneumocystose pendant et 6 mois après. Pré-médication systématique avant chaque cure (surtout les 2 premières) : paracétamol 1 g, dexchlorphéniramine 5 mg IV, hydrocortisone 100 mg IV. Hydratation IV préalable. Surveillance ECG, TA, SpO2 pendant la perfusion. Prophylaxie G-CSF si association à la chimiothérapie neutropéniante. Surveillance immunoglobulines tous les 3 mois.</w:t>
      </w:r>
    </w:p>
    <w:p>
      <w:pPr>
        <w:pStyle w:val="ListBullet"/>
      </w:pPr>
      <w:r>
        <w:t>Conduite à Tenir : RLP grade 1–2 : ralentissement ou arrêt transitoire, antihistaminique, paracétamol, reprise à débit réduit. RLP grade 3–4 : arrêt immédiat, hydrocortisone 200 mg IV, antihistaminique IV, O2, adrénaline si choc, surveillance USIC. Neutropénie grade 3–4 : G-CSF, report. Hypogammaglobulinémie sévère : IgIV substitutives. Réactivation VHB : arrêt transitoire, entécavir.</w:t>
      </w:r>
    </w:p>
    <w:p>
      <w:r/>
      <w:r>
        <w:rPr>
          <w:b/>
        </w:rPr>
        <w:t>Interactions Médicamenteuses :</w:t>
      </w:r>
      <w:r/>
    </w:p>
    <w:p>
      <w:pPr>
        <w:pStyle w:val="ListBullet"/>
      </w:pPr>
      <w:r>
        <w:t>Chimiothérapie associée (pomalidomide, carfilzomib, dexaméthasone) : synergie d'efficacité, surveillance de la tolérance hématologique.</w:t>
      </w:r>
    </w:p>
    <w:p>
      <w:pPr>
        <w:pStyle w:val="ListBullet"/>
      </w:pPr>
      <w:r>
        <w:t>Anticoagulants : risque hémorragique majoré en cas de thrombopénie.</w:t>
      </w:r>
    </w:p>
    <w:p>
      <w:pPr>
        <w:pStyle w:val="ListBullet"/>
      </w:pPr>
      <w:r>
        <w:t>Vaccins vivants : contre-indiqués.</w:t>
      </w:r>
    </w:p>
    <w:p>
      <w:pPr>
        <w:pStyle w:val="ListBullet"/>
      </w:pPr>
      <w:r>
        <w:t>Transfusion sanguine : interférence avec les tests de compatibilité (DTT ou phénotypage).</w:t>
      </w:r>
    </w:p>
    <w:p>
      <w:pPr>
        <w:pStyle w:val="ListBullet"/>
      </w:pPr>
      <w:r>
        <w:t>Pas d'interaction avec le CYP450.</w:t>
      </w:r>
    </w:p>
    <w:p>
      <w:r/>
      <w:r>
        <w:rPr>
          <w:b/>
        </w:rPr>
        <w:t>Grossesse et Allaitement :</w:t>
      </w:r>
      <w:r/>
    </w:p>
    <w:p>
      <w:pPr>
        <w:pStyle w:val="ListBullet"/>
      </w:pPr>
      <w:r>
        <w:t>Grossesse : ÉVITER. Données animales : toxicité embryo-fœtale. Contraception obligatoire pendant et 3 mois après.</w:t>
      </w:r>
    </w:p>
    <w:p>
      <w:pPr>
        <w:pStyle w:val="ListBullet"/>
      </w:pPr>
      <w:r>
        <w:t>Allaitement : CONTRE-INDICATION ABSOLUE pendant et 3 mois après.</w:t>
      </w:r>
    </w:p>
    <w:p>
      <w:r/>
      <w:r>
        <w:rPr>
          <w:b/>
        </w:rPr>
        <w:t>Posologie et Mode d'administration (Standard) :</w:t>
      </w:r>
      <w:r/>
    </w:p>
    <w:p>
      <w:pPr>
        <w:pStyle w:val="ListBullet"/>
      </w:pPr>
      <w:r>
        <w:t>Adulte : 10 mg/kg IV selon schéma hebdomadaire (semaines 1–4 puis toutes les 2 semaines pour les semaines 5–24, puis toutes les 4 semaines à partir de la semaine 25) en perfusion de 60 min pour les premières cures puis 30 min si tolérance bonne à partir de la cure 5. En association au pomalidomide + dexaméthasone (schéma Isa-Pd, cycles de 28 jours) ou au carfilzomib + dexaméthasone (schéma Isa-Kd, cycles de 28 jours). Jusqu'à progression ou toxicité inacceptable.</w:t>
      </w:r>
    </w:p>
    <w:p>
      <w:pPr>
        <w:pStyle w:val="ListBullet"/>
      </w:pPr>
      <w:r>
        <w:t>Mode d'administration : perfusion IV stricte dans 250 mL NaCl 0,9 % (jamais glucose). Tubing dédié. Débit initial : 50 mL/h pour la première heure, puis 100 mL/h, puis 200 mL/h maximum. Surveillance ECG, TA, SpO2. Pré-médication systématique.</w:t>
      </w:r>
    </w:p>
    <w:p>
      <w:pPr>
        <w:pStyle w:val="ListBullet"/>
      </w:pPr>
      <w:r>
        <w:t>Adaptation : pas de réduction de dose en cas d'irAE.</w:t>
      </w:r>
    </w:p>
    <w:p>
      <w:pPr>
        <w:pStyle w:val="ListBullet"/>
      </w:pPr>
      <w:r>
        <w:t>Insuffisance hépatique modérée à sévère : pas d'adaptation.</w:t>
      </w:r>
    </w:p>
    <w:p>
      <w:pPr>
        <w:pStyle w:val="ListBullet"/>
      </w:pPr>
      <w:r>
        <w:t>Insuffisance rénale modérée à sévère : pas d'adaptation.</w:t>
      </w:r>
    </w:p>
    <w:p>
      <w:r/>
      <w:r>
        <w:rPr>
          <w:b/>
        </w:rPr>
        <w:t>Surveillance Biologique et Suivi Clinique :</w:t>
      </w:r>
      <w:r/>
    </w:p>
    <w:p>
      <w:pPr>
        <w:pStyle w:val="ListBullet"/>
      </w:pPr>
      <w:r>
        <w:t>Hématologique : NFS-plaquettes avant chaque cure et hebdomadaire pendant les premières cures.</w:t>
      </w:r>
    </w:p>
    <w:p>
      <w:pPr>
        <w:pStyle w:val="ListBullet"/>
      </w:pPr>
      <w:r>
        <w:t>Hépatique : ALAT, ASAT, bilirubine mensuels.</w:t>
      </w:r>
    </w:p>
    <w:p>
      <w:pPr>
        <w:pStyle w:val="ListBullet"/>
      </w:pPr>
      <w:r>
        <w:t>Rénale : créatinine, urée, ionogramme avant chaque cure.</w:t>
      </w:r>
    </w:p>
    <w:p>
      <w:pPr>
        <w:pStyle w:val="ListBullet"/>
      </w:pPr>
      <w:r>
        <w:t>Immunologique : électrophorèse des protéines sériques (IgG, IgA, IgM) tous les 3 mois ; substitution en IgIV si besoin.</w:t>
      </w:r>
    </w:p>
    <w:p>
      <w:pPr>
        <w:pStyle w:val="ListBullet"/>
      </w:pPr>
      <w:r>
        <w:t>Infectiologie : sérologies VHB, VHC, VIH avant initiation ; prophylaxie antipneumocystose et antivirale VZV pendant et 6 mois après ; surveillance VHB (PCR ADN-VHB mensuel) si Ac anti-HBc+.</w:t>
      </w:r>
    </w:p>
    <w:p>
      <w:pPr>
        <w:pStyle w:val="ListBullet"/>
      </w:pPr>
      <w:r>
        <w:t>Immunohématologie : phénotype érythrocytaire (groupe sanguin, Kell) avant initiation.</w:t>
      </w:r>
    </w:p>
    <w:p>
      <w:pPr>
        <w:pStyle w:val="ListBullet"/>
      </w:pPr>
      <w:r>
        <w:t>Suivi carcinologique : dosage de la protéine monoclonale sérique (électrophorèse, immunofixation) et des chaînes légères libres sériques (FLC) avant chaque cycle ; myélogramme ; imagerie (scanner TAP, IRM médullaire, PET-scan).</w:t>
      </w:r>
    </w:p>
    <w:p>
      <w:r/>
      <w:r>
        <w:rPr>
          <w:b/>
        </w:rPr>
        <w:t>Arbitrage et Bénéfices des Formes Galéniques :</w:t>
      </w:r>
      <w:r/>
    </w:p>
    <w:p>
      <w:r>
        <w:t>L'isatuximab est disponible uniquement en forme IV (20 mg/mL, flacons de 100 mg/5 mL et 500 mg/25 mL). Le schéma en mg/kg (10 mg/kg) permet une adaptation pondérale : pour 70 kg → 700 mg → 1 flacon 500 mg + 2 flacons 100 mg = 700 mg (sans gaspillage). La planification de la prescription vise à minimiser le gaspillage. La conservation au réfrigérateur (2–8 °C) et la protection de la lumière sont nécessaires. Pas de forme SC, pas de biosimilaire. Le choix entre isatuximab et daratumumab dépend des habitudes locales, des accords d'établissement, et du contexte clinique (résistance au daratumumab — épitope distinct). L'isatuximab est indiqué en rechute (vs daratumumab indiqué à toutes les phases du MM).</w:t>
      </w:r>
    </w:p>
    <w:p>
      <w:r/>
      <w:r>
        <w:rPr>
          <w:b/>
        </w:rPr>
        <w:t>Instructions et Conseils au Patient :</w:t>
      </w:r>
      <w:r/>
    </w:p>
    <w:p>
      <w:pPr>
        <w:pStyle w:val="ListBullet"/>
      </w:pPr>
      <w:r>
        <w:t>Communication au comptoir : « L'isatuximab est un anticorps monoclonal qui cible le CD38 des plasmocytes de votre myélome, similaire au daratumumab mais avec un mode d'action légèrement différent. Il est administré en perfusion IV à l'hôpital, en association à une chimiothérapie. Les effets indésirables sont similaires à ceux du daratumumab : réactions pendant la perfusion (pré-médication systématique), baisse des globules blancs, baisse des plaquettes, hypogammaglobulinémie, infections. Prévenez immédiatement votre médecin en cas de fièvre, d'essoufflement, de saignement anormal. Une contraception stricte est obligatoire. »</w:t>
      </w:r>
    </w:p>
    <w:p>
      <w:pPr>
        <w:pStyle w:val="ListBullet"/>
      </w:pPr>
      <w:r>
        <w:t>Observance : prendre scrupuleusement la prophylaxie antivirale et antipneumocystose prescrite ; signaler tout symptôme infectieux, ictère, saignement.</w:t>
      </w:r>
    </w:p>
    <w:p>
      <w:pPr>
        <w:pStyle w:val="ListBullet"/>
      </w:pPr>
      <w:r>
        <w:t>Femmes en âge de procréer : double contraception obligatoire pendant et 3 mois après.</w:t>
      </w:r>
    </w:p>
    <w:p>
      <w:pPr>
        <w:pStyle w:val="ListBullet"/>
      </w:pPr>
      <w:r>
        <w:t>Information transfusionnelle : signaler le traitement par isatuximab à tout contact avec le sang.</w:t>
      </w:r>
    </w:p>
    <w:p>
      <w:r/>
      <w:r>
        <w:rPr>
          <w:b/>
        </w:rPr>
        <w:t>Notes, Règles d'Or &amp; Pièges au Comptoir :</w:t>
      </w:r>
      <w:r/>
    </w:p>
    <w:p>
      <w:pPr>
        <w:pStyle w:val="ListBullet"/>
      </w:pPr>
      <w:r>
        <w:t>Règle d'or : pré-médication systématique et surveillance rapprochée de la première perfusion (RLP fréquentes).</w:t>
      </w:r>
    </w:p>
    <w:p>
      <w:pPr>
        <w:pStyle w:val="ListBullet"/>
      </w:pPr>
      <w:r>
        <w:t>Piège : interférence avec les tests d'agglutination croisée sanguine (pan-réaction anti-CD38) — phénotype érythrocytaire avant initiation.</w:t>
      </w:r>
    </w:p>
    <w:p>
      <w:pPr>
        <w:pStyle w:val="ListBullet"/>
      </w:pPr>
      <w:r>
        <w:t>Règle : prophylaxie antivirale et antipneumocystose systématique pendant et 6 mois après.</w:t>
      </w:r>
    </w:p>
    <w:p>
      <w:pPr>
        <w:pStyle w:val="ListBullet"/>
      </w:pPr>
      <w:r>
        <w:t>Piège : hypogammaglobulinémie possible — substitution en IgIV si infections récurrentes.</w:t>
      </w:r>
    </w:p>
    <w:p>
      <w:pPr>
        <w:pStyle w:val="ListBullet"/>
      </w:pPr>
      <w:r>
        <w:t>Surveillance : attention aux patients sous anticoagulants.</w:t>
      </w:r>
    </w:p>
    <w:p>
      <w:pPr>
        <w:pStyle w:val="ListBullet"/>
      </w:pPr>
      <w:r>
        <w:t>Règle : isatuximab indiqué en rechute (vs daratumumab à toutes les phases) — ne pas utiliser en 1re ligne.</w:t>
      </w:r>
    </w:p>
    <w:p>
      <w:pPr>
        <w:pStyle w:val="ListBullet"/>
      </w:pPr>
      <w:r>
        <w:t>Piège : l'isatuximab cible un épitope distinct du daratumumab — efficace en cas de résistance au daratumumab (cross-resistance non systématique).</w:t>
      </w:r>
    </w:p>
    <w:p>
      <w:pPr>
        <w:pStyle w:val="Heading2"/>
      </w:pPr>
      <w:r>
        <w:t>106.13 Sous-classe : AcM Anti-RANKL</w:t>
      </w:r>
    </w:p>
    <w:p>
      <w:r>
        <w:t>Le RANKL (Receptor Activator of Nuclear factor Kappa-B Ligand, TNFSF11, codé par le gène TNFSF11 sur le chromosome 13q14.11) est une cytokine de la superfamille du TNF exprimée par les ostéoblastes, les lymphocytes T activés, les cellules stromales de la moelle osseuse et certaines cellules tumorales (sein, prostate, myélome), qui se lie à son récepteur RANK (TNFRSF11A) à la surface des précurseurs et des ostéoclastes matures, déclenchant leur différenciation, leur activation et leur survie, et donc la résorption osseuse. Le RANKL est le principal régulateur positif de la résorption osseuse ; son inhibition physiologique est assurée par l'ostéoprotégérine (OPG, TNFRSF11B), récepteur leurre soluble. Le denosumab (Prolia, 60 mg SC tous les 6 mois — ostéoporose ; Xgeva, 120 mg SC toutes les 4 semaines — oncologie) est un AcM totalement humain IgG2 anti-RANKL qui mime l'effet de l'OPG, bloquant l'interaction RANKL-RANK et inhibant la résorption osseuse ostéoclastique. En oncologie, le denosumab (Xgeva, 120 mg SC toutes les 4 semaines) est indiqué dans la prévention des complications osseuses (événements squelettiques : fractures pathologiques, compression médullaire, nécessité de radiothérapie osseuse ou de chirurgie osseuse) chez les patients atteints de tumeurs solides avec métastases osseuses (sein, prostate, poumon, rein, myélome multiple — à la place des bisphosphonates IV comme l'acide zolédronique, avec une supériorité démontrée dans certaines indications), dans le traitement du gigantisme osseux (tumeur à cellules géantes de l'os, non résécable ou métastatique), et dans la prévention de la perte osseuse induite par les traitements (hormonothérapie — cancer du sein, cancer de la prostate). Le profil de tolérance est dominé par l'hypocalcémie (effet pharmacodynamique — inhibition de la résorption osseuse, libérant moins de calcium osseux), l'ostéonécrose de la mâchoire (rare mais grave, à prévenir par soins dentaires rigoureux), les fractures atypiques du fémur (rare, effet de l'inhibition excessive du remodelage osseux), et les infections (cellulite, ostéomyélite). La supplémentation calcique (1 g/j) et vitaminique D (800 UI/j) est systématique. Les soins dentaires (examen, détartrage, traitement des foyers infectieux) doivent être réalisés avant initiation.</w:t>
      </w:r>
    </w:p>
    <w:p>
      <w:pPr>
        <w:pStyle w:val="Heading3"/>
      </w:pPr>
      <w:r>
        <w:t>106.13.1 DCI : Denosumab (oncologie)</w:t>
      </w:r>
    </w:p>
    <w:p>
      <w:r/>
      <w:r>
        <w:rPr>
          <w:b/>
        </w:rPr>
        <w:t>Liste des Catégories :</w:t>
      </w:r>
      <w:r>
        <w:t xml:space="preserve"> Antinéoplasiques ; Anticorps monoclonal totalement humain IgG2 anti-RANKL ; Inhibiteur de la résorption osseuse ; Prévention des complications osseuses des métastases osseuses, traitement du gigantisme osseux, prévention de la perte osseuse induite ; Liste I.</w:t>
      </w:r>
    </w:p>
    <w:p>
      <w:r>
        <w:t>Le denosumab (Xgeva®, Amgen ; DENO®, Sophal) est un AcM totalement humain IgG2κ recombinant dirigé contre le RANKL (TNFSF11), mimant l'effet de l'ostéoprotégérine endogène. Il a obtenu une AMM FDA en juin 2010 (forme oncologique Xgeva 120 mg SC) et en septembre 2010 (forme ostéoporose Prolia 60 mg SC), EMA en juillet 2010 (forme oncologique) et en mai 2010 (forme ostéoporose). En oncologie, le denosumab à 120 mg SC toutes les 4 semaines (avec dose de charge à J8 et J15 du cycle 1) est indiqué dans la prévention des complications osseuses (événements squelettiques — fractures pathologiques, compression médullaire, radiothérapie osseuse, chirurgie osseuse) des tumeurs solides avec métastases osseuses (sein, prostate, poumon, rein, mélanome, myélome multiple), avec une supériorité démontrée par rapport à l'acide zolédronique dans le cancer du sein et le myélome multiple (études 20010304 [sein], 20050103 [myélome] — réduction significative des événements squelettiques) et une efficacité similaire dans le cancer de la prostate et du poumon. Il est également indiqué dans le traitement du gigantisme osseux (tumeur à cellules géantes de l'os, non résécable ou métastatique — étude 20062004) et dans la prévention de la perte osseuse induite par l'hormonothérapie (cancer du sein sous anti-aromatases, cancer de la prostate sous agonistes GnRH — schéma Prolia 60 mg SC tous les 6 mois, mais indication hors oncologie spécifique). Le profil de tolérance est dominé par l'hypocalcémie, l'ostéonécrose de la mâchoire, les fractures atypiques du fémur et les infections. La supplémentation calcique et vitaminique D est systématique. Les soins dentaires préventifs sont obligatoires.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XGEVA</w:t>
            </w:r>
          </w:p>
        </w:tc>
        <w:tc>
          <w:tcPr>
            <w:tcW w:type="dxa" w:w="1559"/>
          </w:tcPr>
          <w:p>
            <w:r>
              <w:rPr>
                <w:sz w:val="20"/>
              </w:rPr>
              <w:t>AMGEN EUROPE B.V.</w:t>
            </w:r>
          </w:p>
        </w:tc>
        <w:tc>
          <w:tcPr>
            <w:tcW w:type="dxa" w:w="1559"/>
          </w:tcPr>
          <w:p>
            <w:r>
              <w:rPr>
                <w:sz w:val="20"/>
              </w:rPr>
              <w:t>Solution injectable SC — 70 mg/mL (120 mg/1,7 mL)</w:t>
            </w:r>
          </w:p>
        </w:tc>
        <w:tc>
          <w:tcPr>
            <w:tcW w:type="dxa" w:w="1559"/>
          </w:tcPr>
          <w:p>
            <w:r>
              <w:rPr>
                <w:sz w:val="20"/>
              </w:rPr>
              <w:t>B/1 flacon usage unique 1,7 mL</w:t>
            </w:r>
          </w:p>
        </w:tc>
        <w:tc>
          <w:tcPr>
            <w:tcW w:type="dxa" w:w="1559"/>
          </w:tcPr>
          <w:p>
            <w:r>
              <w:rPr>
                <w:sz w:val="20"/>
              </w:rPr>
              <w:t>Liste I</w:t>
            </w:r>
          </w:p>
        </w:tc>
        <w:tc>
          <w:tcPr>
            <w:tcW w:type="dxa" w:w="1559"/>
          </w:tcPr>
          <w:p>
            <w:r>
              <w:rPr>
                <w:sz w:val="20"/>
              </w:rPr>
              <w:t>Actif</w:t>
            </w:r>
          </w:p>
        </w:tc>
      </w:tr>
      <w:tr>
        <w:tc>
          <w:tcPr>
            <w:tcW w:type="dxa" w:w="1559"/>
          </w:tcPr>
          <w:p>
            <w:r>
              <w:rPr>
                <w:sz w:val="20"/>
              </w:rPr>
              <w:t>DENO</w:t>
            </w:r>
          </w:p>
        </w:tc>
        <w:tc>
          <w:tcPr>
            <w:tcW w:type="dxa" w:w="1559"/>
          </w:tcPr>
          <w:p>
            <w:r>
              <w:rPr>
                <w:sz w:val="20"/>
              </w:rPr>
              <w:t>SOCIETE PHARMACEUTIQUE ALGERIENNE SOPHAL</w:t>
            </w:r>
          </w:p>
        </w:tc>
        <w:tc>
          <w:tcPr>
            <w:tcW w:type="dxa" w:w="1559"/>
          </w:tcPr>
          <w:p>
            <w:r>
              <w:rPr>
                <w:sz w:val="20"/>
              </w:rPr>
              <w:t>Solution injectable SC — 70 mg/mL (120 mg/1,7 mL)</w:t>
            </w:r>
          </w:p>
        </w:tc>
        <w:tc>
          <w:tcPr>
            <w:tcW w:type="dxa" w:w="1559"/>
          </w:tcPr>
          <w:p>
            <w:r>
              <w:rPr>
                <w:sz w:val="20"/>
              </w:rPr>
              <w:t>B/1 flacon usage unique 1,7 mL</w:t>
            </w:r>
          </w:p>
        </w:tc>
        <w:tc>
          <w:tcPr>
            <w:tcW w:type="dxa" w:w="1559"/>
          </w:tcPr>
          <w:p>
            <w:r>
              <w:rPr>
                <w:sz w:val="20"/>
              </w:rPr>
              <w:t>Liste I</w:t>
            </w:r>
          </w:p>
        </w:tc>
        <w:tc>
          <w:tcPr>
            <w:tcW w:type="dxa" w:w="1559"/>
          </w:tcPr>
          <w:p>
            <w:r>
              <w:rPr>
                <w:sz w:val="20"/>
              </w:rPr>
              <w:t>Actif</w:t>
            </w:r>
          </w:p>
        </w:tc>
      </w:tr>
      <w:tr>
        <w:tc>
          <w:tcPr>
            <w:tcW w:type="dxa" w:w="1559"/>
          </w:tcPr>
          <w:p>
            <w:r>
              <w:rPr>
                <w:sz w:val="20"/>
              </w:rPr>
              <w:t>PROLIA</w:t>
            </w:r>
          </w:p>
        </w:tc>
        <w:tc>
          <w:tcPr>
            <w:tcW w:type="dxa" w:w="1559"/>
          </w:tcPr>
          <w:p>
            <w:r>
              <w:rPr>
                <w:sz w:val="20"/>
              </w:rPr>
              <w:t>AMGEN EUROPE B.V.</w:t>
            </w:r>
          </w:p>
        </w:tc>
        <w:tc>
          <w:tcPr>
            <w:tcW w:type="dxa" w:w="1559"/>
          </w:tcPr>
          <w:p>
            <w:r>
              <w:rPr>
                <w:sz w:val="20"/>
              </w:rPr>
              <w:t>Solution injectable SC en seringue préremplie — 60 mg/mL</w:t>
            </w:r>
          </w:p>
        </w:tc>
        <w:tc>
          <w:tcPr>
            <w:tcW w:type="dxa" w:w="1559"/>
          </w:tcPr>
          <w:p>
            <w:r>
              <w:rPr>
                <w:sz w:val="20"/>
              </w:rPr>
              <w:t>B/1 seringue préremplie sécurisée 1 mL</w:t>
            </w:r>
          </w:p>
        </w:tc>
        <w:tc>
          <w:tcPr>
            <w:tcW w:type="dxa" w:w="1559"/>
          </w:tcPr>
          <w:p>
            <w:r>
              <w:rPr>
                <w:sz w:val="20"/>
              </w:rPr>
              <w:t>Liste I</w:t>
            </w:r>
          </w:p>
        </w:tc>
        <w:tc>
          <w:tcPr>
            <w:tcW w:type="dxa" w:w="1559"/>
          </w:tcPr>
          <w:p>
            <w:r>
              <w:rPr>
                <w:sz w:val="20"/>
              </w:rPr>
              <w:t>Actif</w:t>
            </w:r>
          </w:p>
        </w:tc>
      </w:tr>
      <w:tr>
        <w:tc>
          <w:tcPr>
            <w:tcW w:type="dxa" w:w="1559"/>
          </w:tcPr>
          <w:p>
            <w:r>
              <w:rPr>
                <w:sz w:val="20"/>
              </w:rPr>
              <w:t>DENO</w:t>
            </w:r>
          </w:p>
        </w:tc>
        <w:tc>
          <w:tcPr>
            <w:tcW w:type="dxa" w:w="1559"/>
          </w:tcPr>
          <w:p>
            <w:r>
              <w:rPr>
                <w:sz w:val="20"/>
              </w:rPr>
              <w:t>SOCIETE PHARMACEUTIQUE ALGERIENNE SOPHAL</w:t>
            </w:r>
          </w:p>
        </w:tc>
        <w:tc>
          <w:tcPr>
            <w:tcW w:type="dxa" w:w="1559"/>
          </w:tcPr>
          <w:p>
            <w:r>
              <w:rPr>
                <w:sz w:val="20"/>
              </w:rPr>
              <w:t>Solution injectable — 60 mg/mL</w:t>
            </w:r>
          </w:p>
        </w:tc>
        <w:tc>
          <w:tcPr>
            <w:tcW w:type="dxa" w:w="1559"/>
          </w:tcPr>
          <w:p>
            <w:r>
              <w:rPr>
                <w:sz w:val="20"/>
              </w:rPr>
              <w:t>B/1 seringue préremplie</w:t>
            </w:r>
          </w:p>
        </w:tc>
        <w:tc>
          <w:tcPr>
            <w:tcW w:type="dxa" w:w="1559"/>
          </w:tcPr>
          <w:p>
            <w:r>
              <w:rPr>
                <w:sz w:val="20"/>
              </w:rPr>
              <w:t>Liste I</w:t>
            </w:r>
          </w:p>
        </w:tc>
        <w:tc>
          <w:tcPr>
            <w:tcW w:type="dxa" w:w="1559"/>
          </w:tcPr>
          <w:p>
            <w:r>
              <w:rPr>
                <w:sz w:val="20"/>
              </w:rPr>
              <w:t>Actif</w:t>
            </w:r>
          </w:p>
        </w:tc>
      </w:tr>
    </w:tbl>
    <w:p/>
    <w:p>
      <w:r>
        <w:t>Le denosumab est délivré en Algérie via le circuit hospitalier spécialisé en oncologie médicale et rhumatologie. La forme oncologique Xgeva (Amgen) et son biosimilaire DENO (Sophal) sont disponibles en flacon de 1,7 mL dosé à 120 mg (70 mg/mL) — dose fixe pour la prévention des complications osseuses des métastases osseuses. La forme ostéoporose Prolia (Amgen) et son biosimilaire DENO (Sophal) sont disponibles en seringue préremplie de 1 mL dosée à 60 mg (60 mg/mL) — dose fixe pour l'ostéoporose et la prévention de la perte osseuse induite par l'hormonothérapie. Cette fiche se concentre sur la forme oncologique (120 mg SC toutes les 4 semaines).</w:t>
      </w:r>
    </w:p>
    <w:p>
      <w:r/>
      <w:r>
        <w:rPr>
          <w:b/>
        </w:rPr>
        <w:t>Sous-classe et Mécanisme d'action :</w:t>
      </w:r>
      <w:r/>
    </w:p>
    <w:p>
      <w:pPr>
        <w:pStyle w:val="ListBullet"/>
      </w:pPr>
      <w:r>
        <w:t>Sous-classe : AcM totalement humain IgG2κ anti-RANKL (TNFSF11), inhibiteur de la résorption osseuse ostéoclastique. Seul AcM anti-RANKL commercialisé.</w:t>
      </w:r>
    </w:p>
    <w:p>
      <w:pPr>
        <w:pStyle w:val="ListBullet"/>
      </w:pPr>
      <w:r>
        <w:t>Mécanisme d'action : (i) Blocage compétitif de la liaison du RANKL (sécrété par les ostéoblastes, les lymphocytes T activés, les cellules stromales, certaines cellules tumorales [sein, prostate, myélome]) à son récepteur RANK à la surface des précurseurs et des ostéoclastes matures. (ii) Inhibition de la différenciation, de l'activation et de la survie des ostéoclastes → inhibition de la résorption osseuse. (iii) Mimétisme avec l'ostéoprotégine (OPG) endogène, récepteur leurre physiologique du RANKL. (iv) L'isotype IgG2 (sans activité ADCC significative) garantit une bonne tolérance. Le denosumab n'a pas d'effet cytotoxique direct sur les cellules tumorales ; son effet antitumoral est indirect (inhibition de la résorption osseuse induite par les métastases osseuses, réduction des facteurs de croissance libérés par l'os dans le microenvironnement tumoral). La demi-vie d'élimination est prolongée (~ 28 jours), justifiant un schéma mensuel (toutes les 4 semaines).</w:t>
      </w:r>
    </w:p>
    <w:p>
      <w:r/>
      <w:r>
        <w:rPr>
          <w:b/>
        </w:rPr>
        <w:t>Profil Pharmacologique :</w:t>
      </w:r>
      <w:r/>
    </w:p>
    <w:p>
      <w:pPr>
        <w:pStyle w:val="ListBullet"/>
      </w:pPr>
      <w:r>
        <w:t>Indications (forme oncologique Xgeva 120 mg SC) : (1) Prévention des complications osseuses (événements squelettiques : fractures pathologiques, compression médullaire, nécessité de radiothérapie osseuse, nécessité de chirurgie osseuse) chez les patients adultes atteints de tumeurs solides avec métastases osseuses (sein, prostate, poumon, rein, mélanome, myélome multiple). (2) Traitement du gigantisme osseux (tumeur à cellules géantes de l'os) non résécable ou métastatique, chez l'adulte et l'adolescent (skelettiquement mature). (3) Prévention de la perte osseuse induite par l'hormonothérapie (cancer du sein sous anti-aromatases chez la femme ménopausée ; cancer de la prostate sous agonistes GnRH ou anti-androgènes chez l'homme) — indication habituellement avec la forme Prolia 60 mg SC tous les 6 mois.</w:t>
      </w:r>
    </w:p>
    <w:p>
      <w:pPr>
        <w:pStyle w:val="ListBullet"/>
      </w:pPr>
      <w:r>
        <w:t>Contre-indications : Hypersensibilité au denosumab ou à l'un des excipients. Hypocalcémie non corrigée (calcémie &lt; 2,0 mmol/L avant initiation). Ostéonécrose de la mâchoire active. Infection dentaire non traitée. Grossesse (CI relative). Précautions : insuffisance rénale sévère (ClCr &lt; 30 mL/min — majoration du risque d'hypocalcémie), carence en vitamine D, ostéoporose sévère préexistante, antécédents de fracture atypique du fémur.</w:t>
      </w:r>
    </w:p>
    <w:p>
      <w:pPr>
        <w:pStyle w:val="ListBullet"/>
      </w:pPr>
      <w:r>
        <w:t>Effets Indésirables : Très fréquents (&gt; 10 %) : hypocalcémie (10–20 % — effet pharmacodynamique, parfois sévère dans &lt; 5 %, surtout en cas d'insuffisance rénale), hypophosphatémie, fatigue, asthénie, nausées, diarrhée, dyspnée, toux, céphalées, arthralgies, myalgies, douleurs osseuses (surtout lors de la première cure). Fréquents (1–10 %) : ostéonécrose de la mâchoire (ONM, 1–2 % — nécrose de l'os maxillaire ou mandibulaire exposé, favorisée par extraction dentaire, infection, corticothérapie ; prévention par soins dentaires rigoureux), fractures atypiques du fémur (1 % — fracture sous-trochantérienne ou diaphysaire fémorale à mínima traumatisme, effet de l'inhibition excessive du remodelage osseux), infections (cellulite, ostéomyélite, infection urinaire, pneumonie — majoration du risque infectieux), hypersensibilité, hyperhidrose, sécheresse cutanée, eczéma. Peu fréquents : hypocalcémie sévère (QT prolongé, convulsions, tétanie), hypophosphatémie sévère, ostéonécrose autre que la mâchoire (auditive, externe), réactions allergiques. Rares : anaphylaxie, syndrome de Lyell. Particularités : pas de syndrome de lyse tumorale (pas d'effet cytotoxique direct), pas de myélosuppression, pas de toxicité rénale directe (à la différence des bisphosphonates IV).</w:t>
      </w:r>
    </w:p>
    <w:p>
      <w:r/>
      <w:r>
        <w:rPr>
          <w:b/>
        </w:rPr>
        <w:t>Prévention et Gestion des Effets Indésirables :</w:t>
      </w:r>
      <w:r/>
    </w:p>
    <w:p>
      <w:pPr>
        <w:pStyle w:val="ListBullet"/>
      </w:pPr>
      <w:r>
        <w:t>Mesures Préventives : Bilan pré-thérapeutique : calcémie corrigée (seuil ≥ 2,0 mmol/L), phosphorémie, créatinine, 25-OH-vitamine D (seuil &gt; 30 ng/mL), parathormone (PTH). Supplémentation systématique : calcium 1 g/j per os (500 mg × 2) + vitamine D 800–2000 UI/j (ou cholécalciférol 100 000 UI tous les 3 mois). Examen dentaire complet avant initiation (panoramique dentaire, détartrage, traitement des foyers infectieux, éviter les extractions pendant le traitement si possible — si extraction nécessaire, décaler le denosumab de 14 jours avant et 14 jours après, avec couverture antibiotique). Hygiène buccodentaire rigoureuse (brossage, fil dentaire, bain de bouche chlorhexidine). Information patient sur les symptômes d'ONM (douleur dentaire, gingivale, exposition osseuse, mobilité dentaire). Surveillance calcémie avant chaque cure (seuil ≥ 2,0 mmol/L ; si &lt; 2,0 : report de cure + supplémentation IV).</w:t>
      </w:r>
    </w:p>
    <w:p>
      <w:pPr>
        <w:pStyle w:val="ListBullet"/>
      </w:pPr>
      <w:r>
        <w:t>Conduite à Tenir : Hypocalcémie grade 1 (calcémie 2,0–2,2 mmol/L) : poursuite, majoration de la supplémentation orale. Grade 2 (1,8–2,0) : poursuite, supplémentation IV si symptômes. Grade 3 (1,6–1,8, symptômes — paresthésies, tétanie, QT prolongé) : arrêt transitoire, gluconate de calcium IV 1–2 g, surveillance ECG, réévaluation. Grade 4 (&lt; 1,6, menace vitale — convulsions, troubles du rythme) : arrêt transitoire, hospitalisation USIC, gluconate de calcium IV 1–2 g, surveillance ECG, calcitriol 1 μg/j per os. Ostéonécrose de la mâchoire : arrêt transitoire, consultation stomatologique/chirurgicale urgente, brossage doux, bain de bouche chlorhexidine, antibiothérapie (amoxicilline-clavulanate ou clindamycine ± métronidazole), chirurgie conservatrice (séquestrectomie) si progression. Reprise du denosumab discutée après cicatrisation complète. Fracture atypique du fémur : arrêt transitoire, consultation orthopédique urgente, radiographies des deux fémurs (bilatéralité fréquente), enclouage centromédullaire si fracture complète. Hypersensibilité : arrêt, antihistaminique, corticothérapie.</w:t>
      </w:r>
    </w:p>
    <w:p>
      <w:r/>
      <w:r>
        <w:rPr>
          <w:b/>
        </w:rPr>
        <w:t>Interactions Médicamenteuses :</w:t>
      </w:r>
      <w:r/>
    </w:p>
    <w:p>
      <w:pPr>
        <w:pStyle w:val="ListBullet"/>
      </w:pPr>
      <w:r>
        <w:t>Bisphosphonates (acide zolédronique, pamidronate, ibandronate) : association déconseillée (effet additif sur la résorption osseuse, majoration du risque d'ONM et d'hypocalcémie). Switch possible du bisphosphonate vers le denosumab (wash-out de 4 semaines minimum).</w:t>
      </w:r>
    </w:p>
    <w:p>
      <w:pPr>
        <w:pStyle w:val="ListBullet"/>
      </w:pPr>
      <w:r>
        <w:t>Corticothérapie systémique au long cours : majoration du risque d'ONM — surveillance rapprochée.</w:t>
      </w:r>
    </w:p>
    <w:p>
      <w:pPr>
        <w:pStyle w:val="ListBullet"/>
      </w:pPr>
      <w:r>
        <w:t>Inhibiteurs de la calcineurine (ciclosporine, tacrolimus) : majoration du risque d'hypocalcémie.</w:t>
      </w:r>
    </w:p>
    <w:p>
      <w:pPr>
        <w:pStyle w:val="ListBullet"/>
      </w:pPr>
      <w:r>
        <w:t>Diurétiques de l'anse (furosémide) : majoration de la calciurie et du risque d'hypocalcémie.</w:t>
      </w:r>
    </w:p>
    <w:p>
      <w:pPr>
        <w:pStyle w:val="ListBullet"/>
      </w:pPr>
      <w:r>
        <w:t>Aminosides : potentialisation de l'effet hypocalcémiant.</w:t>
      </w:r>
    </w:p>
    <w:p>
      <w:pPr>
        <w:pStyle w:val="ListBullet"/>
      </w:pPr>
      <w:r>
        <w:t>Supplémentation calcique et vitamine D : systématique, à poursuivre pendant tout le traitement.</w:t>
      </w:r>
    </w:p>
    <w:p>
      <w:pPr>
        <w:pStyle w:val="ListBullet"/>
      </w:pPr>
      <w:r>
        <w:t>Vaccins vivants : contre-indiqués pendant le traitement (immunosuppression relative).</w:t>
      </w:r>
    </w:p>
    <w:p>
      <w:pPr>
        <w:pStyle w:val="ListBullet"/>
      </w:pPr>
      <w:r>
        <w:t>Pas d'interaction avec le CYP450.</w:t>
      </w:r>
    </w:p>
    <w:p>
      <w:r/>
      <w:r>
        <w:rPr>
          <w:b/>
        </w:rPr>
        <w:t>Grossesse et Allaitement :</w:t>
      </w:r>
      <w:r/>
    </w:p>
    <w:p>
      <w:pPr>
        <w:pStyle w:val="ListBullet"/>
      </w:pPr>
      <w:r>
        <w:t>Grossesse : CONTRE-INDICATION ABSOLUE. Données animales tératogènes (anomalies squelettiques fœtales, lymphadénopathies, absence de formation osseuse — effet attendu du blocage du RANKL, essentiel au développement du système lymphoïde et osseux fœtal). Le RANKL joue un rôle crucial dans le développement du système immunitaire et squelettique fœtal. Contraception obligatoire pendant le traitement et 5 mois après (femme et partenaire masculin). Chez une patiente enceinte nécessitant un traitement des métastases osseuses : préférence pour les bisphosphonates IV (acide zolédronique — passage transplacentaire modéré, données humaines limitées mais tolérance acceptable au 2e et 3e trimestres).</w:t>
      </w:r>
    </w:p>
    <w:p>
      <w:pPr>
        <w:pStyle w:val="ListBullet"/>
      </w:pPr>
      <w:r>
        <w:t>Allaitement : CONTRE-INDICATION ABSOLUE pendant le traitement et 5 mois après (passage dans le lait, hypocalcémie néonatale).</w:t>
      </w:r>
    </w:p>
    <w:p>
      <w:r/>
      <w:r>
        <w:rPr>
          <w:b/>
        </w:rPr>
        <w:t>Posologie et Mode d'administration (Standard) :</w:t>
      </w:r>
      <w:r/>
    </w:p>
    <w:p>
      <w:pPr>
        <w:pStyle w:val="ListBullet"/>
      </w:pPr>
      <w:r>
        <w:t>Adulte (prévention des complications osseuses des métastases osseuses) : 120 mg SC toutes les 4 semaines (à J1, J8, J15 du cycle 1 [dose de charge], puis J1 de chaque cycle de 28 jours). En cas d'oubli de plus de 7 jours, reprise du schéma avec dose de charge (J1, J8, J15). Jusqu'à progression ou toxicité inacceptable (traitement au long cours, souvent jusqu'à fin de vie en situation métastatique).</w:t>
      </w:r>
    </w:p>
    <w:p>
      <w:pPr>
        <w:pStyle w:val="ListBullet"/>
      </w:pPr>
      <w:r>
        <w:t>Adulte (gigantisme osseux) : 120 mg SC toutes les 4 semaines (J1, J8, J15 du cycle 1, puis J1 de chaque cycle de 28 jours). Jusqu'à progression ou toxicité inacceptable.</w:t>
      </w:r>
    </w:p>
    <w:p>
      <w:pPr>
        <w:pStyle w:val="ListBullet"/>
      </w:pPr>
      <w:r>
        <w:t>Adulte (prévention de la perte osseuse induite par l'hormonothérapie) : 60 mg SC tous les 6 mois (forme Prolia, indication rhumatologique/cancérologique).</w:t>
      </w:r>
    </w:p>
    <w:p>
      <w:pPr>
        <w:pStyle w:val="ListBullet"/>
      </w:pPr>
      <w:r>
        <w:t>Mode d'administration : injection SC stricte dans la paroi abdominale, la cuisse ou le bras (alternance des sites). Pas de perfusion IV. Tubing non requis.</w:t>
      </w:r>
    </w:p>
    <w:p>
      <w:pPr>
        <w:pStyle w:val="ListBullet"/>
      </w:pPr>
      <w:r>
        <w:t>Adaptation : hypocalcémie &lt; 2,0 mmol/L → report de cure + supplémentation ; ONM → arrêt transitoire.</w:t>
      </w:r>
    </w:p>
    <w:p>
      <w:pPr>
        <w:pStyle w:val="ListBullet"/>
      </w:pPr>
      <w:r>
        <w:t>Insuffisance hépatique : pas d'adaptation.</w:t>
      </w:r>
    </w:p>
    <w:p>
      <w:pPr>
        <w:pStyle w:val="ListBullet"/>
      </w:pPr>
      <w:r>
        <w:t>Insuffisance rénale modérée à sévère (ClCr &lt; 30 mL/min) : pas d'adaptation posologique mais surveillance accrue de la calcémie (risque majoré d'hypocalcémie, supplémentation majorée).</w:t>
      </w:r>
    </w:p>
    <w:p>
      <w:r/>
      <w:r>
        <w:rPr>
          <w:b/>
        </w:rPr>
        <w:t>Surveillance Biologique et Suivi Clinique :</w:t>
      </w:r>
      <w:r/>
    </w:p>
    <w:p>
      <w:pPr>
        <w:pStyle w:val="ListBullet"/>
      </w:pPr>
      <w:r>
        <w:t>Métabolique : calcémie corrigée, phosphorémie, créatinine, 25-OH-vitamine D avant initiation, avant chaque cure (surtout en cas d'insuffisance rénale), et à 14 jours après la première cure si insuffisance rénale. PTH si besoin.</w:t>
      </w:r>
    </w:p>
    <w:p>
      <w:pPr>
        <w:pStyle w:val="ListBullet"/>
      </w:pPr>
      <w:r>
        <w:t>Hématologique : NFS-plaquettes avant chaque cure (en cas d'association à la chimiothérapie).</w:t>
      </w:r>
    </w:p>
    <w:p>
      <w:pPr>
        <w:pStyle w:val="ListBullet"/>
      </w:pPr>
      <w:r>
        <w:t>Rénale : créatinine, urée, ionogramme avant chaque cure (à la différence des bisphosphonates IV, pas de toxicité rénale directe, mais l'insuffisance rénale majore le risque d'hypocalcémie).</w:t>
      </w:r>
    </w:p>
    <w:p>
      <w:pPr>
        <w:pStyle w:val="ListBullet"/>
      </w:pPr>
      <w:r>
        <w:t>Dentaire : examen dentaire complet avant initiation, tous les 6 mois pendant le traitement ; information patient sur les symptômes d'ONM.</w:t>
      </w:r>
    </w:p>
    <w:p>
      <w:pPr>
        <w:pStyle w:val="ListBullet"/>
      </w:pPr>
      <w:r>
        <w:t>Clinique : poids, TA à chaque consultation ; examen buccal ; interrogatoire douleurs osseuses (fracture atypique du fémur — douleur de la cuisse/gingembre persistante à signaler), symptômes d'hypocalcémie (paresthésies, crampes, tétanie).</w:t>
      </w:r>
    </w:p>
    <w:p>
      <w:pPr>
        <w:pStyle w:val="ListBullet"/>
      </w:pPr>
      <w:r>
        <w:t>Suivi carcinologique : imagerie osseuse (scanner osseux, IRM médullaire, PET-scan osseux) avant traitement puis tous les 3–6 mois selon indication.</w:t>
      </w:r>
    </w:p>
    <w:p>
      <w:r/>
      <w:r>
        <w:rPr>
          <w:b/>
        </w:rPr>
        <w:t>Arbitrage et Bénéfices des Formes Galéniques :</w:t>
      </w:r>
      <w:r/>
    </w:p>
    <w:p>
      <w:r>
        <w:t>Le denosumab est disponible en Algérie sous deux formes : (1) Forme oncologique Xgeva (Amgen) et son biosimilaire DENO (Sophal) en flacon de 1,7 mL dosé à 120 mg (70 mg/mL) — dose fixe pour la prévention des complications osseuses des métastases osseuses et le gigantisme osseux. (2) Forme ostéoporose Prolia (Amgen) et son biosimilaire DENO (Sophal) en seringue préremplie de 1 mL dosée à 60 mg (60 mg/mL) — dose fixe pour l'ostéoporose et la prévention de la perte osseuse induite par l'hormonothérapie. Le choix entre les formes dépend de l'indication : 120 mg en oncologie métastatique, 60 mg en ostéoporose/perte osseuse induite. La forme SC en seringue préremplie (Prolia) facilite l'administration à domicile ; la forme flacon (Xgeva) nécessite préparation hospitalière. La conservation au réfrigérateur (2–8 °C) est nécessaire ; sortie à température ambiante possible pendant 14 jours maximum. Le denosumab présente plusieurs avantages par rapport aux bisphosphonates IV (acide zolédronique) : administration SC (vs IV), pas de toxicité rénale, efficacité supérieure dans le sein et le myélome, surveillance bucco-dentaire similaire. Inconvénients : hypocalcémie plus fréquente (surtout insuffisance rénale), ONM similaire, fractures atypiques possibles, coût supérieur.</w:t>
      </w:r>
    </w:p>
    <w:p>
      <w:r/>
      <w:r>
        <w:rPr>
          <w:b/>
        </w:rPr>
        <w:t>Instructions et Conseils au Patient :</w:t>
      </w:r>
      <w:r/>
    </w:p>
    <w:p>
      <w:pPr>
        <w:pStyle w:val="ListBullet"/>
      </w:pPr>
      <w:r>
        <w:t>Communication au comptoir : « Le denosumab est un anticorps monoclonal qui bloque la destruction de l'os par les cellules appelées ostéoclastes, et prévient ainsi les complications des métastases osseuses (fractures, compressions médullaires). Il est administré en injection sous-cutanée à l'hôpital toutes les 4 semaines. Les effets indésirables les plus fréquents sont une baisse du calcium sanguin (à prévenir par supplémentation en calcium et vitamine D, à signaler en cas de crampes, paresthésies, convulsions), une ostéonécrose de la mâchoire (à prévenir par une hygiène buccodentaire rigoureuse, à signaler en cas de douleur dentaire, exposition osseuse), des fractures atypiques du fémur (à signaler en cas de douleur persistante de la cuisse). Prévenez votre médecin en cas de crampes, engourdissements, douleurs dentaires, douleurs de la cuisse. Une supplémentation en calcium et vitamine D est obligatoire pendant tout le traitement. »</w:t>
      </w:r>
    </w:p>
    <w:p>
      <w:pPr>
        <w:pStyle w:val="ListBullet"/>
      </w:pPr>
      <w:r>
        <w:t>Observance : prendre scrupuleusement la supplémentation calcique (1 g/j) et vitaminique D (800–2000 UI/j) prescrite ; hygiène buccodentaire rigoureuse ; signaler tout symptôme d'hypocalcémie, ONM, fracture atypique.</w:t>
      </w:r>
    </w:p>
    <w:p>
      <w:pPr>
        <w:pStyle w:val="ListBullet"/>
      </w:pPr>
      <w:r>
        <w:t>Hygiène de vie : alimentation riche en calcium et vitamine D (laitages, poissons gras) ; activité physique modérée (prévention de l'ostéoporose) ; éviter les efforts physiques intenses en cas de métastases osseuses (risque de fracture pathologique).</w:t>
      </w:r>
    </w:p>
    <w:p>
      <w:pPr>
        <w:pStyle w:val="ListBullet"/>
      </w:pPr>
      <w:r>
        <w:t>Femmes en âge de procréer : double contraception obligatoire pendant et 5 mois après.</w:t>
      </w:r>
    </w:p>
    <w:p>
      <w:pPr>
        <w:pStyle w:val="ListBullet"/>
      </w:pPr>
      <w:r>
        <w:t>Soins dentaires : examen dentaire avant initiation, tous les 6 mois ; éviter les extractions dentaires pendant le traitement si possible.</w:t>
      </w:r>
    </w:p>
    <w:p>
      <w:r/>
      <w:r>
        <w:rPr>
          <w:b/>
        </w:rPr>
        <w:t>Notes, Règles d'Or &amp; Pièges au Comptoir :</w:t>
      </w:r>
      <w:r/>
    </w:p>
    <w:p>
      <w:pPr>
        <w:pStyle w:val="ListBullet"/>
      </w:pPr>
      <w:r>
        <w:t>Règle d'or : supplémentation systématique en calcium (1 g/j) et vitamine D (800–2000 UI/j) pendant tout le traitement, surveillance de la calcémie avant chaque cure.</w:t>
      </w:r>
    </w:p>
    <w:p>
      <w:pPr>
        <w:pStyle w:val="ListBullet"/>
      </w:pPr>
      <w:r>
        <w:t>Piège : l'hypocalcémie peut être sévère (surtout en cas d'insuffisance rénale) — surveillance accrue et supplémentation majorée.</w:t>
      </w:r>
    </w:p>
    <w:p>
      <w:pPr>
        <w:pStyle w:val="ListBullet"/>
      </w:pPr>
      <w:r>
        <w:t>Règle : examen dentaire complet avant initiation (panoramique, soins des foyers infectieux) et pendant le traitement (tous les 6 mois) pour prévenir l'ONM.</w:t>
      </w:r>
    </w:p>
    <w:p>
      <w:pPr>
        <w:pStyle w:val="ListBullet"/>
      </w:pPr>
      <w:r>
        <w:t>Piège : en cas d'extraction dentaire nécessaire sous denosumab, décaler l'injection de 14 jours avant et 14 jours après, avec couverture antibiotique.</w:t>
      </w:r>
    </w:p>
    <w:p>
      <w:pPr>
        <w:pStyle w:val="ListBullet"/>
      </w:pPr>
      <w:r>
        <w:t>Surveillance : attention aux patients sous anticoagulants — le denosumab SC n'a pas d'interaction directe mais surveillance de la calcémie (allongement du QT en cas d'hypocalcémie sévère).</w:t>
      </w:r>
    </w:p>
    <w:p>
      <w:pPr>
        <w:pStyle w:val="ListBullet"/>
      </w:pPr>
      <w:r>
        <w:t>Règle : le denosumab n'a pas de toxicité rénale (à la différence des bisphosphonates IV) — alternative de choix en cas d'insuffisance rénale, mais surveillance accrue de la calcémie.</w:t>
      </w:r>
    </w:p>
    <w:p>
      <w:pPr>
        <w:pStyle w:val="ListBullet"/>
      </w:pPr>
      <w:r>
        <w:t>Piège : les fractures atypiques du fémur sont rares mais à évoquer devant une douleur persistante de la cuisse — radiographies des deux fémurs (bilatéralité fréquente).</w:t>
      </w:r>
    </w:p>
    <w:p>
      <w:pPr>
        <w:pStyle w:val="ListBullet"/>
      </w:pPr>
      <w:r>
        <w:t>Règle : ne pas interrompre brutalement le denosumab en cas d'ostéoporose — risque de « rebond » de résorption osseuse et de fractures vertébrales multiples (à la différence des bisphosphonates qui persistent dans l'os). En cas de switch vers un bisphosphonate, respecter un délai de 4 semaines minimum après la dernière injection de denosumab.</w:t>
      </w:r>
    </w:p>
    <w:p>
      <w:pPr>
        <w:pStyle w:val="Heading2"/>
      </w:pPr>
      <w:r>
        <w:t>Tableau comparatif récapitulatif des 20 AcM anticancéreux</w:t>
      </w:r>
    </w:p>
    <w:tbl>
      <w:tblPr>
        <w:tblStyle w:val="LightGrid-Accent1"/>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Pr>
                <w:b/>
                <w:sz w:val="20"/>
              </w:rPr>
              <w:t>DCI</w:t>
            </w:r>
          </w:p>
        </w:tc>
        <w:tc>
          <w:tcPr>
            <w:tcW w:type="dxa" w:w="1336"/>
          </w:tcPr>
          <w:p>
            <w:r>
              <w:rPr>
                <w:b/>
                <w:sz w:val="20"/>
              </w:rPr>
              <w:t>Cible</w:t>
            </w:r>
          </w:p>
        </w:tc>
        <w:tc>
          <w:tcPr>
            <w:tcW w:type="dxa" w:w="1336"/>
          </w:tcPr>
          <w:p>
            <w:r>
              <w:rPr>
                <w:b/>
                <w:sz w:val="20"/>
              </w:rPr>
              <w:t>Mécanisme</w:t>
            </w:r>
          </w:p>
        </w:tc>
        <w:tc>
          <w:tcPr>
            <w:tcW w:type="dxa" w:w="1336"/>
          </w:tcPr>
          <w:p>
            <w:r>
              <w:rPr>
                <w:b/>
                <w:sz w:val="20"/>
              </w:rPr>
              <w:t>Demi-vie</w:t>
            </w:r>
          </w:p>
        </w:tc>
        <w:tc>
          <w:tcPr>
            <w:tcW w:type="dxa" w:w="1336"/>
          </w:tcPr>
          <w:p>
            <w:r>
              <w:rPr>
                <w:b/>
                <w:sz w:val="20"/>
              </w:rPr>
              <w:t>Indication principale</w:t>
            </w:r>
          </w:p>
        </w:tc>
        <w:tc>
          <w:tcPr>
            <w:tcW w:type="dxa" w:w="1336"/>
          </w:tcPr>
          <w:p>
            <w:r>
              <w:rPr>
                <w:b/>
                <w:sz w:val="20"/>
              </w:rPr>
              <w:t>Effet indésirable principal</w:t>
            </w:r>
          </w:p>
        </w:tc>
        <w:tc>
          <w:tcPr>
            <w:tcW w:type="dxa" w:w="1336"/>
          </w:tcPr>
          <w:p>
            <w:r>
              <w:rPr>
                <w:b/>
                <w:sz w:val="20"/>
              </w:rPr>
              <w:t>Particularité</w:t>
            </w:r>
          </w:p>
        </w:tc>
      </w:tr>
      <w:tr>
        <w:tc>
          <w:tcPr>
            <w:tcW w:type="dxa" w:w="1336"/>
          </w:tcPr>
          <w:p>
            <w:r>
              <w:rPr>
                <w:sz w:val="20"/>
              </w:rPr>
              <w:t>Trastuzumab</w:t>
            </w:r>
          </w:p>
        </w:tc>
        <w:tc>
          <w:tcPr>
            <w:tcW w:type="dxa" w:w="1336"/>
          </w:tcPr>
          <w:p>
            <w:r>
              <w:rPr>
                <w:sz w:val="20"/>
              </w:rPr>
              <w:t>HER2 (domaine IV)</w:t>
            </w:r>
          </w:p>
        </w:tc>
        <w:tc>
          <w:tcPr>
            <w:tcW w:type="dxa" w:w="1336"/>
          </w:tcPr>
          <w:p>
            <w:r>
              <w:rPr>
                <w:sz w:val="20"/>
              </w:rPr>
              <w:t>Blocage + ADCC + down-régulation</w:t>
            </w:r>
          </w:p>
        </w:tc>
        <w:tc>
          <w:tcPr>
            <w:tcW w:type="dxa" w:w="1336"/>
          </w:tcPr>
          <w:p>
            <w:r>
              <w:rPr>
                <w:sz w:val="20"/>
              </w:rPr>
              <w:t>28 jours</w:t>
            </w:r>
          </w:p>
        </w:tc>
        <w:tc>
          <w:tcPr>
            <w:tcW w:type="dxa" w:w="1336"/>
          </w:tcPr>
          <w:p>
            <w:r>
              <w:rPr>
                <w:sz w:val="20"/>
              </w:rPr>
              <w:t>Cancer du sein HER2+, cancer gastrique HER2+</w:t>
            </w:r>
          </w:p>
        </w:tc>
        <w:tc>
          <w:tcPr>
            <w:tcW w:type="dxa" w:w="1336"/>
          </w:tcPr>
          <w:p>
            <w:r>
              <w:rPr>
                <w:sz w:val="20"/>
              </w:rPr>
              <w:t>Cardiotoxicité (FEVG), RLP</w:t>
            </w:r>
          </w:p>
        </w:tc>
        <w:tc>
          <w:tcPr>
            <w:tcW w:type="dxa" w:w="1336"/>
          </w:tcPr>
          <w:p>
            <w:r>
              <w:rPr>
                <w:sz w:val="20"/>
              </w:rPr>
              <w:t>1er AcM anti-HER2 ; 1 an en adjuvant</w:t>
            </w:r>
          </w:p>
        </w:tc>
      </w:tr>
      <w:tr>
        <w:tc>
          <w:tcPr>
            <w:tcW w:type="dxa" w:w="1336"/>
          </w:tcPr>
          <w:p>
            <w:r>
              <w:rPr>
                <w:sz w:val="20"/>
              </w:rPr>
              <w:t>Pertuzumab</w:t>
            </w:r>
          </w:p>
        </w:tc>
        <w:tc>
          <w:tcPr>
            <w:tcW w:type="dxa" w:w="1336"/>
          </w:tcPr>
          <w:p>
            <w:r>
              <w:rPr>
                <w:sz w:val="20"/>
              </w:rPr>
              <w:t>HER2 (domaine II)</w:t>
            </w:r>
          </w:p>
        </w:tc>
        <w:tc>
          <w:tcPr>
            <w:tcW w:type="dxa" w:w="1336"/>
          </w:tcPr>
          <w:p>
            <w:r>
              <w:rPr>
                <w:sz w:val="20"/>
              </w:rPr>
              <w:t>Blocage dimérisation + ADCC</w:t>
            </w:r>
          </w:p>
        </w:tc>
        <w:tc>
          <w:tcPr>
            <w:tcW w:type="dxa" w:w="1336"/>
          </w:tcPr>
          <w:p>
            <w:r>
              <w:rPr>
                <w:sz w:val="20"/>
              </w:rPr>
              <w:t>18 jours</w:t>
            </w:r>
          </w:p>
        </w:tc>
        <w:tc>
          <w:tcPr>
            <w:tcW w:type="dxa" w:w="1336"/>
          </w:tcPr>
          <w:p>
            <w:r>
              <w:rPr>
                <w:sz w:val="20"/>
              </w:rPr>
              <w:t>Cancer du sein HER2+ (dual blockade avec T)</w:t>
            </w:r>
          </w:p>
        </w:tc>
        <w:tc>
          <w:tcPr>
            <w:tcW w:type="dxa" w:w="1336"/>
          </w:tcPr>
          <w:p>
            <w:r>
              <w:rPr>
                <w:sz w:val="20"/>
              </w:rPr>
              <w:t>Diarrhée</w:t>
            </w:r>
          </w:p>
        </w:tc>
        <w:tc>
          <w:tcPr>
            <w:tcW w:type="dxa" w:w="1336"/>
          </w:tcPr>
          <w:p>
            <w:r>
              <w:rPr>
                <w:sz w:val="20"/>
              </w:rPr>
              <w:t>Complémentaire du trastuzumab</w:t>
            </w:r>
          </w:p>
        </w:tc>
      </w:tr>
      <w:tr>
        <w:tc>
          <w:tcPr>
            <w:tcW w:type="dxa" w:w="1336"/>
          </w:tcPr>
          <w:p>
            <w:r>
              <w:rPr>
                <w:sz w:val="20"/>
              </w:rPr>
              <w:t>Trastuzumab+Pertuzumab (Phesgo)</w:t>
            </w:r>
          </w:p>
        </w:tc>
        <w:tc>
          <w:tcPr>
            <w:tcW w:type="dxa" w:w="1336"/>
          </w:tcPr>
          <w:p>
            <w:r>
              <w:rPr>
                <w:sz w:val="20"/>
              </w:rPr>
              <w:t>HER2 (domaines IV + II)</w:t>
            </w:r>
          </w:p>
        </w:tc>
        <w:tc>
          <w:tcPr>
            <w:tcW w:type="dxa" w:w="1336"/>
          </w:tcPr>
          <w:p>
            <w:r>
              <w:rPr>
                <w:sz w:val="20"/>
              </w:rPr>
              <w:t>Dual blockade + hyaluronidase</w:t>
            </w:r>
          </w:p>
        </w:tc>
        <w:tc>
          <w:tcPr>
            <w:tcW w:type="dxa" w:w="1336"/>
          </w:tcPr>
          <w:p>
            <w:r>
              <w:rPr>
                <w:sz w:val="20"/>
              </w:rPr>
              <w:t>18–20 jours</w:t>
            </w:r>
          </w:p>
        </w:tc>
        <w:tc>
          <w:tcPr>
            <w:tcW w:type="dxa" w:w="1336"/>
          </w:tcPr>
          <w:p>
            <w:r>
              <w:rPr>
                <w:sz w:val="20"/>
              </w:rPr>
              <w:t>Cancer du sein HER2+ (néoadjuvant, adjuvant, métastatique)</w:t>
            </w:r>
          </w:p>
        </w:tc>
        <w:tc>
          <w:tcPr>
            <w:tcW w:type="dxa" w:w="1336"/>
          </w:tcPr>
          <w:p>
            <w:r>
              <w:rPr>
                <w:sz w:val="20"/>
              </w:rPr>
              <w:t>Diarrhée, réactions site injection</w:t>
            </w:r>
          </w:p>
        </w:tc>
        <w:tc>
          <w:tcPr>
            <w:tcW w:type="dxa" w:w="1336"/>
          </w:tcPr>
          <w:p>
            <w:r>
              <w:rPr>
                <w:sz w:val="20"/>
              </w:rPr>
              <w:t>Forme SC 5 min</w:t>
            </w:r>
          </w:p>
        </w:tc>
      </w:tr>
      <w:tr>
        <w:tc>
          <w:tcPr>
            <w:tcW w:type="dxa" w:w="1336"/>
          </w:tcPr>
          <w:p>
            <w:r>
              <w:rPr>
                <w:sz w:val="20"/>
              </w:rPr>
              <w:t>Trastuzumab emtansine (T-DM1)</w:t>
            </w:r>
          </w:p>
        </w:tc>
        <w:tc>
          <w:tcPr>
            <w:tcW w:type="dxa" w:w="1336"/>
          </w:tcPr>
          <w:p>
            <w:r>
              <w:rPr>
                <w:sz w:val="20"/>
              </w:rPr>
              <w:t>HER2 + DM1 (maytansinoïde)</w:t>
            </w:r>
          </w:p>
        </w:tc>
        <w:tc>
          <w:tcPr>
            <w:tcW w:type="dxa" w:w="1336"/>
          </w:tcPr>
          <w:p>
            <w:r>
              <w:rPr>
                <w:sz w:val="20"/>
              </w:rPr>
              <w:t>ADC + blocage + ADCC + inhibition microtubules</w:t>
            </w:r>
          </w:p>
        </w:tc>
        <w:tc>
          <w:tcPr>
            <w:tcW w:type="dxa" w:w="1336"/>
          </w:tcPr>
          <w:p>
            <w:r>
              <w:rPr>
                <w:sz w:val="20"/>
              </w:rPr>
              <w:t>4 jours</w:t>
            </w:r>
          </w:p>
        </w:tc>
        <w:tc>
          <w:tcPr>
            <w:tcW w:type="dxa" w:w="1336"/>
          </w:tcPr>
          <w:p>
            <w:r>
              <w:rPr>
                <w:sz w:val="20"/>
              </w:rPr>
              <w:t>Cancer du sein HER2+ adjuvant post-néoadjuvant et métastatique</w:t>
            </w:r>
          </w:p>
        </w:tc>
        <w:tc>
          <w:tcPr>
            <w:tcW w:type="dxa" w:w="1336"/>
          </w:tcPr>
          <w:p>
            <w:r>
              <w:rPr>
                <w:sz w:val="20"/>
              </w:rPr>
              <w:t>Thrombopénie, hépatotoxicité, hypertension portale</w:t>
            </w:r>
          </w:p>
        </w:tc>
        <w:tc>
          <w:tcPr>
            <w:tcW w:type="dxa" w:w="1336"/>
          </w:tcPr>
          <w:p>
            <w:r>
              <w:rPr>
                <w:sz w:val="20"/>
              </w:rPr>
              <w:t>1er ADC anti-HER2</w:t>
            </w:r>
          </w:p>
        </w:tc>
      </w:tr>
      <w:tr>
        <w:tc>
          <w:tcPr>
            <w:tcW w:type="dxa" w:w="1336"/>
          </w:tcPr>
          <w:p>
            <w:r>
              <w:rPr>
                <w:sz w:val="20"/>
              </w:rPr>
              <w:t>Brentuximab vedotin</w:t>
            </w:r>
          </w:p>
        </w:tc>
        <w:tc>
          <w:tcPr>
            <w:tcW w:type="dxa" w:w="1336"/>
          </w:tcPr>
          <w:p>
            <w:r>
              <w:rPr>
                <w:sz w:val="20"/>
              </w:rPr>
              <w:t>CD30 + MMAE (auristatine)</w:t>
            </w:r>
          </w:p>
        </w:tc>
        <w:tc>
          <w:tcPr>
            <w:tcW w:type="dxa" w:w="1336"/>
          </w:tcPr>
          <w:p>
            <w:r>
              <w:rPr>
                <w:sz w:val="20"/>
              </w:rPr>
              <w:t>ADC + inhibition microtubules</w:t>
            </w:r>
          </w:p>
        </w:tc>
        <w:tc>
          <w:tcPr>
            <w:tcW w:type="dxa" w:w="1336"/>
          </w:tcPr>
          <w:p>
            <w:r>
              <w:rPr>
                <w:sz w:val="20"/>
              </w:rPr>
              <w:t>4–6 jours</w:t>
            </w:r>
          </w:p>
        </w:tc>
        <w:tc>
          <w:tcPr>
            <w:tcW w:type="dxa" w:w="1336"/>
          </w:tcPr>
          <w:p>
            <w:r>
              <w:rPr>
                <w:sz w:val="20"/>
              </w:rPr>
              <w:t>Maladie de Hodgkin, lymphome T périphérique CD30+</w:t>
            </w:r>
          </w:p>
        </w:tc>
        <w:tc>
          <w:tcPr>
            <w:tcW w:type="dxa" w:w="1336"/>
          </w:tcPr>
          <w:p>
            <w:r>
              <w:rPr>
                <w:sz w:val="20"/>
              </w:rPr>
              <w:t>Neuropathie périphérique, neutropénie</w:t>
            </w:r>
          </w:p>
        </w:tc>
        <w:tc>
          <w:tcPr>
            <w:tcW w:type="dxa" w:w="1336"/>
          </w:tcPr>
          <w:p>
            <w:r>
              <w:rPr>
                <w:sz w:val="20"/>
              </w:rPr>
              <w:t>CI avec bléomycine</w:t>
            </w:r>
          </w:p>
        </w:tc>
      </w:tr>
      <w:tr>
        <w:tc>
          <w:tcPr>
            <w:tcW w:type="dxa" w:w="1336"/>
          </w:tcPr>
          <w:p>
            <w:r>
              <w:rPr>
                <w:sz w:val="20"/>
              </w:rPr>
              <w:t>Inotuzumab ozogamicine</w:t>
            </w:r>
          </w:p>
        </w:tc>
        <w:tc>
          <w:tcPr>
            <w:tcW w:type="dxa" w:w="1336"/>
          </w:tcPr>
          <w:p>
            <w:r>
              <w:rPr>
                <w:sz w:val="20"/>
              </w:rPr>
              <w:t>CD22 + calicheamicine</w:t>
            </w:r>
          </w:p>
        </w:tc>
        <w:tc>
          <w:tcPr>
            <w:tcW w:type="dxa" w:w="1336"/>
          </w:tcPr>
          <w:p>
            <w:r>
              <w:rPr>
                <w:sz w:val="20"/>
              </w:rPr>
              <w:t>ADC + cassures ADN</w:t>
            </w:r>
          </w:p>
        </w:tc>
        <w:tc>
          <w:tcPr>
            <w:tcW w:type="dxa" w:w="1336"/>
          </w:tcPr>
          <w:p>
            <w:r>
              <w:rPr>
                <w:sz w:val="20"/>
              </w:rPr>
              <w:t>12 jours</w:t>
            </w:r>
          </w:p>
        </w:tc>
        <w:tc>
          <w:tcPr>
            <w:tcW w:type="dxa" w:w="1336"/>
          </w:tcPr>
          <w:p>
            <w:r>
              <w:rPr>
                <w:sz w:val="20"/>
              </w:rPr>
              <w:t>LAL-B CD22+ récidivante/réfractaire</w:t>
            </w:r>
          </w:p>
        </w:tc>
        <w:tc>
          <w:tcPr>
            <w:tcW w:type="dxa" w:w="1336"/>
          </w:tcPr>
          <w:p>
            <w:r>
              <w:rPr>
                <w:sz w:val="20"/>
              </w:rPr>
              <w:t>Maladie veino-occlusive hépatique (VOD/SOS), thrombopénie</w:t>
            </w:r>
          </w:p>
        </w:tc>
        <w:tc>
          <w:tcPr>
            <w:tcW w:type="dxa" w:w="1336"/>
          </w:tcPr>
          <w:p>
            <w:r>
              <w:rPr>
                <w:sz w:val="20"/>
              </w:rPr>
              <w:t>Risque VOD majoré après greffe de CSH</w:t>
            </w:r>
          </w:p>
        </w:tc>
      </w:tr>
      <w:tr>
        <w:tc>
          <w:tcPr>
            <w:tcW w:type="dxa" w:w="1336"/>
          </w:tcPr>
          <w:p>
            <w:r>
              <w:rPr>
                <w:sz w:val="20"/>
              </w:rPr>
              <w:t>Rituximab</w:t>
            </w:r>
          </w:p>
        </w:tc>
        <w:tc>
          <w:tcPr>
            <w:tcW w:type="dxa" w:w="1336"/>
          </w:tcPr>
          <w:p>
            <w:r>
              <w:rPr>
                <w:sz w:val="20"/>
              </w:rPr>
              <w:t>CD20 (large loop)</w:t>
            </w:r>
          </w:p>
        </w:tc>
        <w:tc>
          <w:tcPr>
            <w:tcW w:type="dxa" w:w="1336"/>
          </w:tcPr>
          <w:p>
            <w:r>
              <w:rPr>
                <w:sz w:val="20"/>
              </w:rPr>
              <w:t>ADCC + CDC + opsonisation + apoptose</w:t>
            </w:r>
          </w:p>
        </w:tc>
        <w:tc>
          <w:tcPr>
            <w:tcW w:type="dxa" w:w="1336"/>
          </w:tcPr>
          <w:p>
            <w:r>
              <w:rPr>
                <w:sz w:val="20"/>
              </w:rPr>
              <w:t>22 jours</w:t>
            </w:r>
          </w:p>
        </w:tc>
        <w:tc>
          <w:tcPr>
            <w:tcW w:type="dxa" w:w="1336"/>
          </w:tcPr>
          <w:p>
            <w:r>
              <w:rPr>
                <w:sz w:val="20"/>
              </w:rPr>
              <w:t>LNH-B, LLC-B</w:t>
            </w:r>
          </w:p>
        </w:tc>
        <w:tc>
          <w:tcPr>
            <w:tcW w:type="dxa" w:w="1336"/>
          </w:tcPr>
          <w:p>
            <w:r>
              <w:rPr>
                <w:sz w:val="20"/>
              </w:rPr>
              <w:t>RLP, infections, réactivation VHB</w:t>
            </w:r>
          </w:p>
        </w:tc>
        <w:tc>
          <w:tcPr>
            <w:tcW w:type="dxa" w:w="1336"/>
          </w:tcPr>
          <w:p>
            <w:r>
              <w:rPr>
                <w:sz w:val="20"/>
              </w:rPr>
              <w:t>1er AcM anticancéreux (1997)</w:t>
            </w:r>
          </w:p>
        </w:tc>
      </w:tr>
      <w:tr>
        <w:tc>
          <w:tcPr>
            <w:tcW w:type="dxa" w:w="1336"/>
          </w:tcPr>
          <w:p>
            <w:r>
              <w:rPr>
                <w:sz w:val="20"/>
              </w:rPr>
              <w:t>Cetuximab</w:t>
            </w:r>
          </w:p>
        </w:tc>
        <w:tc>
          <w:tcPr>
            <w:tcW w:type="dxa" w:w="1336"/>
          </w:tcPr>
          <w:p>
            <w:r>
              <w:rPr>
                <w:sz w:val="20"/>
              </w:rPr>
              <w:t>EGFR (domaine III)</w:t>
            </w:r>
          </w:p>
        </w:tc>
        <w:tc>
          <w:tcPr>
            <w:tcW w:type="dxa" w:w="1336"/>
          </w:tcPr>
          <w:p>
            <w:r>
              <w:rPr>
                <w:sz w:val="20"/>
              </w:rPr>
              <w:t>Blocage + ADCC + down-régulation</w:t>
            </w:r>
          </w:p>
        </w:tc>
        <w:tc>
          <w:tcPr>
            <w:tcW w:type="dxa" w:w="1336"/>
          </w:tcPr>
          <w:p>
            <w:r>
              <w:rPr>
                <w:sz w:val="20"/>
              </w:rPr>
              <w:t>5 jours</w:t>
            </w:r>
          </w:p>
        </w:tc>
        <w:tc>
          <w:tcPr>
            <w:tcW w:type="dxa" w:w="1336"/>
          </w:tcPr>
          <w:p>
            <w:r>
              <w:rPr>
                <w:sz w:val="20"/>
              </w:rPr>
              <w:t>CCRm RAS-wt, cancer ORL</w:t>
            </w:r>
          </w:p>
        </w:tc>
        <w:tc>
          <w:tcPr>
            <w:tcW w:type="dxa" w:w="1336"/>
          </w:tcPr>
          <w:p>
            <w:r>
              <w:rPr>
                <w:sz w:val="20"/>
              </w:rPr>
              <w:t>Rash acnéiforme, hypomagnésémie</w:t>
            </w:r>
          </w:p>
        </w:tc>
        <w:tc>
          <w:tcPr>
            <w:tcW w:type="dxa" w:w="1336"/>
          </w:tcPr>
          <w:p>
            <w:r>
              <w:rPr>
                <w:sz w:val="20"/>
              </w:rPr>
              <w:t>AcM chimérique ; mutations RAS = CI</w:t>
            </w:r>
          </w:p>
        </w:tc>
      </w:tr>
      <w:tr>
        <w:tc>
          <w:tcPr>
            <w:tcW w:type="dxa" w:w="1336"/>
          </w:tcPr>
          <w:p>
            <w:r>
              <w:rPr>
                <w:sz w:val="20"/>
              </w:rPr>
              <w:t>Panitumumab</w:t>
            </w:r>
          </w:p>
        </w:tc>
        <w:tc>
          <w:tcPr>
            <w:tcW w:type="dxa" w:w="1336"/>
          </w:tcPr>
          <w:p>
            <w:r>
              <w:rPr>
                <w:sz w:val="20"/>
              </w:rPr>
              <w:t>EGFR (domaine III)</w:t>
            </w:r>
          </w:p>
        </w:tc>
        <w:tc>
          <w:tcPr>
            <w:tcW w:type="dxa" w:w="1336"/>
          </w:tcPr>
          <w:p>
            <w:r>
              <w:rPr>
                <w:sz w:val="20"/>
              </w:rPr>
              <w:t>Blocage + down-régulation</w:t>
            </w:r>
          </w:p>
        </w:tc>
        <w:tc>
          <w:tcPr>
            <w:tcW w:type="dxa" w:w="1336"/>
          </w:tcPr>
          <w:p>
            <w:r>
              <w:rPr>
                <w:sz w:val="20"/>
              </w:rPr>
              <w:t>7,5 jours</w:t>
            </w:r>
          </w:p>
        </w:tc>
        <w:tc>
          <w:tcPr>
            <w:tcW w:type="dxa" w:w="1336"/>
          </w:tcPr>
          <w:p>
            <w:r>
              <w:rPr>
                <w:sz w:val="20"/>
              </w:rPr>
              <w:t>CCRm RAS-wt</w:t>
            </w:r>
          </w:p>
        </w:tc>
        <w:tc>
          <w:tcPr>
            <w:tcW w:type="dxa" w:w="1336"/>
          </w:tcPr>
          <w:p>
            <w:r>
              <w:rPr>
                <w:sz w:val="20"/>
              </w:rPr>
              <w:t>Rash acnéiforme, hypomagnésémie</w:t>
            </w:r>
          </w:p>
        </w:tc>
        <w:tc>
          <w:tcPr>
            <w:tcW w:type="dxa" w:w="1336"/>
          </w:tcPr>
          <w:p>
            <w:r>
              <w:rPr>
                <w:sz w:val="20"/>
              </w:rPr>
              <w:t>AcM totalement humain</w:t>
            </w:r>
          </w:p>
        </w:tc>
      </w:tr>
      <w:tr>
        <w:tc>
          <w:tcPr>
            <w:tcW w:type="dxa" w:w="1336"/>
          </w:tcPr>
          <w:p>
            <w:r>
              <w:rPr>
                <w:sz w:val="20"/>
              </w:rPr>
              <w:t>Bevacizumab</w:t>
            </w:r>
          </w:p>
        </w:tc>
        <w:tc>
          <w:tcPr>
            <w:tcW w:type="dxa" w:w="1336"/>
          </w:tcPr>
          <w:p>
            <w:r>
              <w:rPr>
                <w:sz w:val="20"/>
              </w:rPr>
              <w:t>VEGF-A</w:t>
            </w:r>
          </w:p>
        </w:tc>
        <w:tc>
          <w:tcPr>
            <w:tcW w:type="dxa" w:w="1336"/>
          </w:tcPr>
          <w:p>
            <w:r>
              <w:rPr>
                <w:sz w:val="20"/>
              </w:rPr>
              <w:t>Blocage angiogenèse</w:t>
            </w:r>
          </w:p>
        </w:tc>
        <w:tc>
          <w:tcPr>
            <w:tcW w:type="dxa" w:w="1336"/>
          </w:tcPr>
          <w:p>
            <w:r>
              <w:rPr>
                <w:sz w:val="20"/>
              </w:rPr>
              <w:t>20 jours</w:t>
            </w:r>
          </w:p>
        </w:tc>
        <w:tc>
          <w:tcPr>
            <w:tcW w:type="dxa" w:w="1336"/>
          </w:tcPr>
          <w:p>
            <w:r>
              <w:rPr>
                <w:sz w:val="20"/>
              </w:rPr>
              <w:t>CCRm, sein, poumon, rein, ovaire, col, glioblastome</w:t>
            </w:r>
          </w:p>
        </w:tc>
        <w:tc>
          <w:tcPr>
            <w:tcW w:type="dxa" w:w="1336"/>
          </w:tcPr>
          <w:p>
            <w:r>
              <w:rPr>
                <w:sz w:val="20"/>
              </w:rPr>
              <w:t>HTA, protéinurie, hémorragie, thrombose</w:t>
            </w:r>
          </w:p>
        </w:tc>
        <w:tc>
          <w:tcPr>
            <w:tcW w:type="dxa" w:w="1336"/>
          </w:tcPr>
          <w:p>
            <w:r>
              <w:rPr>
                <w:sz w:val="20"/>
              </w:rPr>
              <w:t>1er AcM anti-angiogénique</w:t>
            </w:r>
          </w:p>
        </w:tc>
      </w:tr>
      <w:tr>
        <w:tc>
          <w:tcPr>
            <w:tcW w:type="dxa" w:w="1336"/>
          </w:tcPr>
          <w:p>
            <w:r>
              <w:rPr>
                <w:sz w:val="20"/>
              </w:rPr>
              <w:t>Ramucirumab</w:t>
            </w:r>
          </w:p>
        </w:tc>
        <w:tc>
          <w:tcPr>
            <w:tcW w:type="dxa" w:w="1336"/>
          </w:tcPr>
          <w:p>
            <w:r>
              <w:rPr>
                <w:sz w:val="20"/>
              </w:rPr>
              <w:t>VEGFR-2</w:t>
            </w:r>
          </w:p>
        </w:tc>
        <w:tc>
          <w:tcPr>
            <w:tcW w:type="dxa" w:w="1336"/>
          </w:tcPr>
          <w:p>
            <w:r>
              <w:rPr>
                <w:sz w:val="20"/>
              </w:rPr>
              <w:t>Blocage récepteur angiogenèse</w:t>
            </w:r>
          </w:p>
        </w:tc>
        <w:tc>
          <w:tcPr>
            <w:tcW w:type="dxa" w:w="1336"/>
          </w:tcPr>
          <w:p>
            <w:r>
              <w:rPr>
                <w:sz w:val="20"/>
              </w:rPr>
              <w:t>14 jours</w:t>
            </w:r>
          </w:p>
        </w:tc>
        <w:tc>
          <w:tcPr>
            <w:tcW w:type="dxa" w:w="1336"/>
          </w:tcPr>
          <w:p>
            <w:r>
              <w:rPr>
                <w:sz w:val="20"/>
              </w:rPr>
              <w:t>Cancer gastrique 2e ligne, CCRm, CBNPC, hépatocarcinome</w:t>
            </w:r>
          </w:p>
        </w:tc>
        <w:tc>
          <w:tcPr>
            <w:tcW w:type="dxa" w:w="1336"/>
          </w:tcPr>
          <w:p>
            <w:r>
              <w:rPr>
                <w:sz w:val="20"/>
              </w:rPr>
              <w:t>HTA, protéinurie, hémorragie</w:t>
            </w:r>
          </w:p>
        </w:tc>
        <w:tc>
          <w:tcPr>
            <w:tcW w:type="dxa" w:w="1336"/>
          </w:tcPr>
          <w:p>
            <w:r>
              <w:rPr>
                <w:sz w:val="20"/>
              </w:rPr>
              <w:t>AcM anti-récepteur</w:t>
            </w:r>
          </w:p>
        </w:tc>
      </w:tr>
      <w:tr>
        <w:tc>
          <w:tcPr>
            <w:tcW w:type="dxa" w:w="1336"/>
          </w:tcPr>
          <w:p>
            <w:r>
              <w:rPr>
                <w:sz w:val="20"/>
              </w:rPr>
              <w:t>Aflibercept</w:t>
            </w:r>
          </w:p>
        </w:tc>
        <w:tc>
          <w:tcPr>
            <w:tcW w:type="dxa" w:w="1336"/>
          </w:tcPr>
          <w:p>
            <w:r>
              <w:rPr>
                <w:sz w:val="20"/>
              </w:rPr>
              <w:t>VEGF-A, VEGF-B, PIGF (piège soluble)</w:t>
            </w:r>
          </w:p>
        </w:tc>
        <w:tc>
          <w:tcPr>
            <w:tcW w:type="dxa" w:w="1336"/>
          </w:tcPr>
          <w:p>
            <w:r>
              <w:rPr>
                <w:sz w:val="20"/>
              </w:rPr>
              <w:t>Capture ligands</w:t>
            </w:r>
          </w:p>
        </w:tc>
        <w:tc>
          <w:tcPr>
            <w:tcW w:type="dxa" w:w="1336"/>
          </w:tcPr>
          <w:p>
            <w:r>
              <w:rPr>
                <w:sz w:val="20"/>
              </w:rPr>
              <w:t>6 jours</w:t>
            </w:r>
          </w:p>
        </w:tc>
        <w:tc>
          <w:tcPr>
            <w:tcW w:type="dxa" w:w="1336"/>
          </w:tcPr>
          <w:p>
            <w:r>
              <w:rPr>
                <w:sz w:val="20"/>
              </w:rPr>
              <w:t>CCRm résistant oxaliplatine</w:t>
            </w:r>
          </w:p>
        </w:tc>
        <w:tc>
          <w:tcPr>
            <w:tcW w:type="dxa" w:w="1336"/>
          </w:tcPr>
          <w:p>
            <w:r>
              <w:rPr>
                <w:sz w:val="20"/>
              </w:rPr>
              <w:t>HTA, protéinurie, hémorragie</w:t>
            </w:r>
          </w:p>
        </w:tc>
        <w:tc>
          <w:tcPr>
            <w:tcW w:type="dxa" w:w="1336"/>
          </w:tcPr>
          <w:p>
            <w:r>
              <w:rPr>
                <w:sz w:val="20"/>
              </w:rPr>
              <w:t>Protéine de fusion VEGF-trap</w:t>
            </w:r>
          </w:p>
        </w:tc>
      </w:tr>
      <w:tr>
        <w:tc>
          <w:tcPr>
            <w:tcW w:type="dxa" w:w="1336"/>
          </w:tcPr>
          <w:p>
            <w:r>
              <w:rPr>
                <w:sz w:val="20"/>
              </w:rPr>
              <w:t>Ipilimumab</w:t>
            </w:r>
          </w:p>
        </w:tc>
        <w:tc>
          <w:tcPr>
            <w:tcW w:type="dxa" w:w="1336"/>
          </w:tcPr>
          <w:p>
            <w:r>
              <w:rPr>
                <w:sz w:val="20"/>
              </w:rPr>
              <w:t>CTLA-4</w:t>
            </w:r>
          </w:p>
        </w:tc>
        <w:tc>
          <w:tcPr>
            <w:tcW w:type="dxa" w:w="1336"/>
          </w:tcPr>
          <w:p>
            <w:r>
              <w:rPr>
                <w:sz w:val="20"/>
              </w:rPr>
              <w:t>Levée du frein immunitaire ganglionnaire</w:t>
            </w:r>
          </w:p>
        </w:tc>
        <w:tc>
          <w:tcPr>
            <w:tcW w:type="dxa" w:w="1336"/>
          </w:tcPr>
          <w:p>
            <w:r>
              <w:rPr>
                <w:sz w:val="20"/>
              </w:rPr>
              <w:t>14 jours</w:t>
            </w:r>
          </w:p>
        </w:tc>
        <w:tc>
          <w:tcPr>
            <w:tcW w:type="dxa" w:w="1336"/>
          </w:tcPr>
          <w:p>
            <w:r>
              <w:rPr>
                <w:sz w:val="20"/>
              </w:rPr>
              <w:t>Mélanome, associations Ipi-Nivo</w:t>
            </w:r>
          </w:p>
        </w:tc>
        <w:tc>
          <w:tcPr>
            <w:tcW w:type="dxa" w:w="1336"/>
          </w:tcPr>
          <w:p>
            <w:r>
              <w:rPr>
                <w:sz w:val="20"/>
              </w:rPr>
              <w:t>irAEs : colite, hépatite, endocrinopathie</w:t>
            </w:r>
          </w:p>
        </w:tc>
        <w:tc>
          <w:tcPr>
            <w:tcW w:type="dxa" w:w="1336"/>
          </w:tcPr>
          <w:p>
            <w:r>
              <w:rPr>
                <w:sz w:val="20"/>
              </w:rPr>
              <w:t>1er anti-CTLA-4 ; Nobel 2018</w:t>
            </w:r>
          </w:p>
        </w:tc>
      </w:tr>
      <w:tr>
        <w:tc>
          <w:tcPr>
            <w:tcW w:type="dxa" w:w="1336"/>
          </w:tcPr>
          <w:p>
            <w:r>
              <w:rPr>
                <w:sz w:val="20"/>
              </w:rPr>
              <w:t>Nivolumab</w:t>
            </w:r>
          </w:p>
        </w:tc>
        <w:tc>
          <w:tcPr>
            <w:tcW w:type="dxa" w:w="1336"/>
          </w:tcPr>
          <w:p>
            <w:r>
              <w:rPr>
                <w:sz w:val="20"/>
              </w:rPr>
              <w:t>PD-1</w:t>
            </w:r>
          </w:p>
        </w:tc>
        <w:tc>
          <w:tcPr>
            <w:tcW w:type="dxa" w:w="1336"/>
          </w:tcPr>
          <w:p>
            <w:r>
              <w:rPr>
                <w:sz w:val="20"/>
              </w:rPr>
              <w:t>Levée du frein immunitaire périphérique</w:t>
            </w:r>
          </w:p>
        </w:tc>
        <w:tc>
          <w:tcPr>
            <w:tcW w:type="dxa" w:w="1336"/>
          </w:tcPr>
          <w:p>
            <w:r>
              <w:rPr>
                <w:sz w:val="20"/>
              </w:rPr>
              <w:t>27 jours</w:t>
            </w:r>
          </w:p>
        </w:tc>
        <w:tc>
          <w:tcPr>
            <w:tcW w:type="dxa" w:w="1336"/>
          </w:tcPr>
          <w:p>
            <w:r>
              <w:rPr>
                <w:sz w:val="20"/>
              </w:rPr>
              <w:t>Mélanome, CBNPC, rein, ORL, hépatocarcinome, maladie de Hodgkin</w:t>
            </w:r>
          </w:p>
        </w:tc>
        <w:tc>
          <w:tcPr>
            <w:tcW w:type="dxa" w:w="1336"/>
          </w:tcPr>
          <w:p>
            <w:r>
              <w:rPr>
                <w:sz w:val="20"/>
              </w:rPr>
              <w:t>irAEs (pneumopathie, hépatite, endocrinopathie)</w:t>
            </w:r>
          </w:p>
        </w:tc>
        <w:tc>
          <w:tcPr>
            <w:tcW w:type="dxa" w:w="1336"/>
          </w:tcPr>
          <w:p>
            <w:r>
              <w:rPr>
                <w:sz w:val="20"/>
              </w:rPr>
              <w:t>1er anti-PD-1 ; Nobel 2018</w:t>
            </w:r>
          </w:p>
        </w:tc>
      </w:tr>
      <w:tr>
        <w:tc>
          <w:tcPr>
            <w:tcW w:type="dxa" w:w="1336"/>
          </w:tcPr>
          <w:p>
            <w:r>
              <w:rPr>
                <w:sz w:val="20"/>
              </w:rPr>
              <w:t>Pembrolizumab</w:t>
            </w:r>
          </w:p>
        </w:tc>
        <w:tc>
          <w:tcPr>
            <w:tcW w:type="dxa" w:w="1336"/>
          </w:tcPr>
          <w:p>
            <w:r>
              <w:rPr>
                <w:sz w:val="20"/>
              </w:rPr>
              <w:t>PD-1</w:t>
            </w:r>
          </w:p>
        </w:tc>
        <w:tc>
          <w:tcPr>
            <w:tcW w:type="dxa" w:w="1336"/>
          </w:tcPr>
          <w:p>
            <w:r>
              <w:rPr>
                <w:sz w:val="20"/>
              </w:rPr>
              <w:t>Levée du frein immunitaire périphérique</w:t>
            </w:r>
          </w:p>
        </w:tc>
        <w:tc>
          <w:tcPr>
            <w:tcW w:type="dxa" w:w="1336"/>
          </w:tcPr>
          <w:p>
            <w:r>
              <w:rPr>
                <w:sz w:val="20"/>
              </w:rPr>
              <w:t>22 jours</w:t>
            </w:r>
          </w:p>
        </w:tc>
        <w:tc>
          <w:tcPr>
            <w:tcW w:type="dxa" w:w="1336"/>
          </w:tcPr>
          <w:p>
            <w:r>
              <w:rPr>
                <w:sz w:val="20"/>
              </w:rPr>
              <w:t>Mélanome, CBNPC, ORL, sein TN, gastrique, col, endomètre, MSI-H/dMMR</w:t>
            </w:r>
          </w:p>
        </w:tc>
        <w:tc>
          <w:tcPr>
            <w:tcW w:type="dxa" w:w="1336"/>
          </w:tcPr>
          <w:p>
            <w:r>
              <w:rPr>
                <w:sz w:val="20"/>
              </w:rPr>
              <w:t>irAEs (similaires au nivolumab)</w:t>
            </w:r>
          </w:p>
        </w:tc>
        <w:tc>
          <w:tcPr>
            <w:tcW w:type="dxa" w:w="1336"/>
          </w:tcPr>
          <w:p>
            <w:r>
              <w:rPr>
                <w:sz w:val="20"/>
              </w:rPr>
              <w:t>Indication selon PD-L1/MSI/TMB</w:t>
            </w:r>
          </w:p>
        </w:tc>
      </w:tr>
      <w:tr>
        <w:tc>
          <w:tcPr>
            <w:tcW w:type="dxa" w:w="1336"/>
          </w:tcPr>
          <w:p>
            <w:r>
              <w:rPr>
                <w:sz w:val="20"/>
              </w:rPr>
              <w:t>Atezolizumab</w:t>
            </w:r>
          </w:p>
        </w:tc>
        <w:tc>
          <w:tcPr>
            <w:tcW w:type="dxa" w:w="1336"/>
          </w:tcPr>
          <w:p>
            <w:r>
              <w:rPr>
                <w:sz w:val="20"/>
              </w:rPr>
              <w:t>PD-L1</w:t>
            </w:r>
          </w:p>
        </w:tc>
        <w:tc>
          <w:tcPr>
            <w:tcW w:type="dxa" w:w="1336"/>
          </w:tcPr>
          <w:p>
            <w:r>
              <w:rPr>
                <w:sz w:val="20"/>
              </w:rPr>
              <w:t>Blocage PD-L1/PD-1 et PD-L1/CD80</w:t>
            </w:r>
          </w:p>
        </w:tc>
        <w:tc>
          <w:tcPr>
            <w:tcW w:type="dxa" w:w="1336"/>
          </w:tcPr>
          <w:p>
            <w:r>
              <w:rPr>
                <w:sz w:val="20"/>
              </w:rPr>
              <w:t>27 jours</w:t>
            </w:r>
          </w:p>
        </w:tc>
        <w:tc>
          <w:tcPr>
            <w:tcW w:type="dxa" w:w="1336"/>
          </w:tcPr>
          <w:p>
            <w:r>
              <w:rPr>
                <w:sz w:val="20"/>
              </w:rPr>
              <w:t>CBNPC, sein TN, urothélial, rein</w:t>
            </w:r>
          </w:p>
        </w:tc>
        <w:tc>
          <w:tcPr>
            <w:tcW w:type="dxa" w:w="1336"/>
          </w:tcPr>
          <w:p>
            <w:r>
              <w:rPr>
                <w:sz w:val="20"/>
              </w:rPr>
              <w:t>irAEs (légèrement moins de pneumopathie)</w:t>
            </w:r>
          </w:p>
        </w:tc>
        <w:tc>
          <w:tcPr>
            <w:tcW w:type="dxa" w:w="1336"/>
          </w:tcPr>
          <w:p>
            <w:r>
              <w:rPr>
                <w:sz w:val="20"/>
              </w:rPr>
              <w:t>AcM humanisé IgG1 modifié</w:t>
            </w:r>
          </w:p>
        </w:tc>
      </w:tr>
      <w:tr>
        <w:tc>
          <w:tcPr>
            <w:tcW w:type="dxa" w:w="1336"/>
          </w:tcPr>
          <w:p>
            <w:r>
              <w:rPr>
                <w:sz w:val="20"/>
              </w:rPr>
              <w:t>Avelumab</w:t>
            </w:r>
          </w:p>
        </w:tc>
        <w:tc>
          <w:tcPr>
            <w:tcW w:type="dxa" w:w="1336"/>
          </w:tcPr>
          <w:p>
            <w:r>
              <w:rPr>
                <w:sz w:val="20"/>
              </w:rPr>
              <w:t>PD-L1</w:t>
            </w:r>
          </w:p>
        </w:tc>
        <w:tc>
          <w:tcPr>
            <w:tcW w:type="dxa" w:w="1336"/>
          </w:tcPr>
          <w:p>
            <w:r>
              <w:rPr>
                <w:sz w:val="20"/>
              </w:rPr>
              <w:t>Blocage + ADCC naturelle</w:t>
            </w:r>
          </w:p>
        </w:tc>
        <w:tc>
          <w:tcPr>
            <w:tcW w:type="dxa" w:w="1336"/>
          </w:tcPr>
          <w:p>
            <w:r>
              <w:rPr>
                <w:sz w:val="20"/>
              </w:rPr>
              <w:t>6 jours</w:t>
            </w:r>
          </w:p>
        </w:tc>
        <w:tc>
          <w:tcPr>
            <w:tcW w:type="dxa" w:w="1336"/>
          </w:tcPr>
          <w:p>
            <w:r>
              <w:rPr>
                <w:sz w:val="20"/>
              </w:rPr>
              <w:t>Carcinome de Merkel, entretien urothélial</w:t>
            </w:r>
          </w:p>
        </w:tc>
        <w:tc>
          <w:tcPr>
            <w:tcW w:type="dxa" w:w="1336"/>
          </w:tcPr>
          <w:p>
            <w:r>
              <w:rPr>
                <w:sz w:val="20"/>
              </w:rPr>
              <w:t>irAEs + RLP plus fréquentes</w:t>
            </w:r>
          </w:p>
        </w:tc>
        <w:tc>
          <w:tcPr>
            <w:tcW w:type="dxa" w:w="1336"/>
          </w:tcPr>
          <w:p>
            <w:r>
              <w:rPr>
                <w:sz w:val="20"/>
              </w:rPr>
              <w:t>IgG1 non modifié ADCC-actif</w:t>
            </w:r>
          </w:p>
        </w:tc>
      </w:tr>
      <w:tr>
        <w:tc>
          <w:tcPr>
            <w:tcW w:type="dxa" w:w="1336"/>
          </w:tcPr>
          <w:p>
            <w:r>
              <w:rPr>
                <w:sz w:val="20"/>
              </w:rPr>
              <w:t>Daratumumab</w:t>
            </w:r>
          </w:p>
        </w:tc>
        <w:tc>
          <w:tcPr>
            <w:tcW w:type="dxa" w:w="1336"/>
          </w:tcPr>
          <w:p>
            <w:r>
              <w:rPr>
                <w:sz w:val="20"/>
              </w:rPr>
              <w:t>CD38</w:t>
            </w:r>
          </w:p>
        </w:tc>
        <w:tc>
          <w:tcPr>
            <w:tcW w:type="dxa" w:w="1336"/>
          </w:tcPr>
          <w:p>
            <w:r>
              <w:rPr>
                <w:sz w:val="20"/>
              </w:rPr>
              <w:t>ADCC + CDC + apoptose + modulation enzymatique</w:t>
            </w:r>
          </w:p>
        </w:tc>
        <w:tc>
          <w:tcPr>
            <w:tcW w:type="dxa" w:w="1336"/>
          </w:tcPr>
          <w:p>
            <w:r>
              <w:rPr>
                <w:sz w:val="20"/>
              </w:rPr>
              <w:t>18 jours</w:t>
            </w:r>
          </w:p>
        </w:tc>
        <w:tc>
          <w:tcPr>
            <w:tcW w:type="dxa" w:w="1336"/>
          </w:tcPr>
          <w:p>
            <w:r>
              <w:rPr>
                <w:sz w:val="20"/>
              </w:rPr>
              <w:t>Myélome multiple (1re ligne, rechute, maintenance)</w:t>
            </w:r>
          </w:p>
        </w:tc>
        <w:tc>
          <w:tcPr>
            <w:tcW w:type="dxa" w:w="1336"/>
          </w:tcPr>
          <w:p>
            <w:r>
              <w:rPr>
                <w:sz w:val="20"/>
              </w:rPr>
              <w:t>RLP, hypogammaglobulinémie, infections</w:t>
            </w:r>
          </w:p>
        </w:tc>
        <w:tc>
          <w:tcPr>
            <w:tcW w:type="dxa" w:w="1336"/>
          </w:tcPr>
          <w:p>
            <w:r>
              <w:rPr>
                <w:sz w:val="20"/>
              </w:rPr>
              <w:t>1er AcM anti-CD38 ; interférence tests sanguins</w:t>
            </w:r>
          </w:p>
        </w:tc>
      </w:tr>
      <w:tr>
        <w:tc>
          <w:tcPr>
            <w:tcW w:type="dxa" w:w="1336"/>
          </w:tcPr>
          <w:p>
            <w:r>
              <w:rPr>
                <w:sz w:val="20"/>
              </w:rPr>
              <w:t>Isatuximab</w:t>
            </w:r>
          </w:p>
        </w:tc>
        <w:tc>
          <w:tcPr>
            <w:tcW w:type="dxa" w:w="1336"/>
          </w:tcPr>
          <w:p>
            <w:r>
              <w:rPr>
                <w:sz w:val="20"/>
              </w:rPr>
              <w:t>CD38 (épitope distinct)</w:t>
            </w:r>
          </w:p>
        </w:tc>
        <w:tc>
          <w:tcPr>
            <w:tcW w:type="dxa" w:w="1336"/>
          </w:tcPr>
          <w:p>
            <w:r>
              <w:rPr>
                <w:sz w:val="20"/>
              </w:rPr>
              <w:t>ADCC + CDC + apoptose + inhibition enzymatique</w:t>
            </w:r>
          </w:p>
        </w:tc>
        <w:tc>
          <w:tcPr>
            <w:tcW w:type="dxa" w:w="1336"/>
          </w:tcPr>
          <w:p>
            <w:r>
              <w:rPr>
                <w:sz w:val="20"/>
              </w:rPr>
              <w:t>20 jours</w:t>
            </w:r>
          </w:p>
        </w:tc>
        <w:tc>
          <w:tcPr>
            <w:tcW w:type="dxa" w:w="1336"/>
          </w:tcPr>
          <w:p>
            <w:r>
              <w:rPr>
                <w:sz w:val="20"/>
              </w:rPr>
              <w:t>Myélome multiple en rechute (Isa-Pd, Isa-Kd)</w:t>
            </w:r>
          </w:p>
        </w:tc>
        <w:tc>
          <w:tcPr>
            <w:tcW w:type="dxa" w:w="1336"/>
          </w:tcPr>
          <w:p>
            <w:r>
              <w:rPr>
                <w:sz w:val="20"/>
              </w:rPr>
              <w:t>RLP, hypogammaglobulinémie, infections</w:t>
            </w:r>
          </w:p>
        </w:tc>
        <w:tc>
          <w:tcPr>
            <w:tcW w:type="dxa" w:w="1336"/>
          </w:tcPr>
          <w:p>
            <w:r>
              <w:rPr>
                <w:sz w:val="20"/>
              </w:rPr>
              <w:t>2e génération anti-CD38</w:t>
            </w:r>
          </w:p>
        </w:tc>
      </w:tr>
      <w:tr>
        <w:tc>
          <w:tcPr>
            <w:tcW w:type="dxa" w:w="1336"/>
          </w:tcPr>
          <w:p>
            <w:r>
              <w:rPr>
                <w:sz w:val="20"/>
              </w:rPr>
              <w:t>Denosumab</w:t>
            </w:r>
          </w:p>
        </w:tc>
        <w:tc>
          <w:tcPr>
            <w:tcW w:type="dxa" w:w="1336"/>
          </w:tcPr>
          <w:p>
            <w:r>
              <w:rPr>
                <w:sz w:val="20"/>
              </w:rPr>
              <w:t>RANKL</w:t>
            </w:r>
          </w:p>
        </w:tc>
        <w:tc>
          <w:tcPr>
            <w:tcW w:type="dxa" w:w="1336"/>
          </w:tcPr>
          <w:p>
            <w:r>
              <w:rPr>
                <w:sz w:val="20"/>
              </w:rPr>
              <w:t>Blocage résorption osseuse ostéoclastique</w:t>
            </w:r>
          </w:p>
        </w:tc>
        <w:tc>
          <w:tcPr>
            <w:tcW w:type="dxa" w:w="1336"/>
          </w:tcPr>
          <w:p>
            <w:r>
              <w:rPr>
                <w:sz w:val="20"/>
              </w:rPr>
              <w:t>28 jours</w:t>
            </w:r>
          </w:p>
        </w:tc>
        <w:tc>
          <w:tcPr>
            <w:tcW w:type="dxa" w:w="1336"/>
          </w:tcPr>
          <w:p>
            <w:r>
              <w:rPr>
                <w:sz w:val="20"/>
              </w:rPr>
              <w:t>Prévention complications osseuses métastases osseuses, gigantisme osseux</w:t>
            </w:r>
          </w:p>
        </w:tc>
        <w:tc>
          <w:tcPr>
            <w:tcW w:type="dxa" w:w="1336"/>
          </w:tcPr>
          <w:p>
            <w:r>
              <w:rPr>
                <w:sz w:val="20"/>
              </w:rPr>
              <w:t>Hypocalcémie, ONM, fractures atypiques</w:t>
            </w:r>
          </w:p>
        </w:tc>
        <w:tc>
          <w:tcPr>
            <w:tcW w:type="dxa" w:w="1336"/>
          </w:tcPr>
          <w:p>
            <w:r>
              <w:rPr>
                <w:sz w:val="20"/>
              </w:rPr>
              <w:t>AcM IgG2 ; supplémentation Ca+Vit D systématique</w:t>
            </w:r>
          </w:p>
        </w:tc>
      </w:tr>
    </w:tbl>
    <w:p/>
    <w:p>
      <w:pPr>
        <w:pStyle w:val="Heading2"/>
      </w:pPr>
      <w:r>
        <w:t>Conclusion générale du chapitre</w:t>
      </w:r>
    </w:p>
    <w:p>
      <w:r>
        <w:t>Les anticorps monoclonaux anticancéreux décrits dans ce chapitre 106 illustrent la diversité des stratégies thérapeutiques modernes en oncologie et hématologie : blocage d'un oncogène de surface (anti-HER2 : trastuzumab, pertuzumab ; anti-EGFR : cetuximab, panitumumab), blocage de l'angiogenèse tumorale (anti-VEGF : bevacizumab ; anti-VEGFR2 : ramucirumab ; piège VEGF : aflibercept), déplétion lymphocytaire B ou plasmocytaire (anti-CD20 : rituximab ; anti-CD38 : daratumumab, isatuximab), délivrance ciblée de cytotoxiques (ADC : trastuzumab emtansine, brentuximab vedotin, inotuzumab ozogamicine), immunothérapie par levée des freins (anti-CTLA-4 : ipilimumab ; anti-PD-1 : nivolumab, pembrolizumab ; anti-PD-L1 : atezolizumab, avelumab), et inhibition de la résorption osseuse (anti-RANKL : denosumab). Chaque molécule impose une prescription hospitalière spécialisée, des précautions rigoureuses (pré-médication, surveillance biologique, gestion des irAEs pour les ICI, surveillance cardiaque pour le trastuzumab, surveillance tensionnelle et protéinurique pour les anti-VEGF, surveillance dentaire et calcémie pour le denosumab, surveillance hépatique pour les ADC), et une information patient adaptée. Le développement des biosimilaires (rituximab, trastuzumab, bevacizumab, pembrolizumab) a permis un accès élargi à ces molécules coûteuses, avec une équivalence démontrée. L'immunothérapie par inhibiteurs de points de contrôle (ipilimumab, nivolumab, pembrolizumab, atezolizumab, avelumab) a transformé le pronostic de multiples tumeurs (mélanome, CBNPC, rein, ORL, hépatocarcinome, maladie de Hodgkin, cancers MSI-H), mais expose à des toxicités immunologiques spécifiques (irAEs) nécessitant une expertise multidisciplinaire. Les AcM conjugués (T-DM1, brentuximab vedotin, inotuzumab ozogamicine) combinent ciblage spécifique et cytotoxicité puissante, avec un index thérapeutique amélioré mais des toxicités propres (thrombopénie, neuropathie, maladie veino-occlusive). La surveillance à long terme (cardiaque, hépatique, immunologique, infectieuse, endocrinienne pour les ICI) et l'éducation thérapeutique du patient sont essentielles pour optimiser le rapport bénéfice/risque. L'avenir immédiat verra l'extension des indications de l'immunothérapie (associations multiples, néoadjuvant, adjuvant), l'arrivée de nouvelles classes (anti-LAG-3, anti-TIGIT, bispecifics), et le développement de biomarqueurs prédictifs (PD-L1, MSI, TMB, signatures transcriptomiques).</w:t>
      </w:r>
    </w:p>
    <w:p>
      <w:pPr>
        <w:pStyle w:val="Heading1"/>
      </w:pPr>
      <w:r>
        <w:t>Fascicule XII — Oncologie</w:t>
      </w:r>
    </w:p>
    <w:p>
      <w:pPr>
        <w:pStyle w:val="Heading2"/>
      </w:pPr>
      <w:r>
        <w:t>Chapitre 107 — Hormonothérapies oncologiques</w:t>
      </w:r>
    </w:p>
    <w:p>
      <w:pPr>
        <w:pStyle w:val="Heading3"/>
      </w:pPr>
      <w:r>
        <w:t>Introduction au chapitre 107</w:t>
      </w:r>
    </w:p>
    <w:p>
      <w:r>
        <w:t>Les hormonothérapies oncologiques constituent l'une des plus anciennes et des plus fécondes approches thérapeutiques du cancer, antérieure même à l'ère de la chimiothérapie cytotoxique moderne. Leur fondement conceptuel remonte aux travaux pionniers de George Beatson qui, en 1896 à Glasgow, démontra que l'ovariectomie bilatérale entraînait la régression des tumeurs mammaires chez la femme en période d'activité génitale, établissant pour la première fois le lien intime entre le microenvironnement hormonal et la prolifération tumorale. Cette observation clinique isolée a généré, en un siècle, une révolution pharmacologique dont les chapitres contemporains s'enrichissent encore : du Tamoxifène, premier SERM (Selective Estrogen Receptor Modulator) mis sur le marché en 1973, à l'Enzalutamide et l'Abiratérone qui ont transformé en moins d'une décennie le pronostic du cancer de la prostate métastatique résistant à la castration, l'hormonothérapie oncologique a progressivement imposé un nouveau paradigme thérapeutique fondé sur la dépendance hormonale tumorale plutôt que sur la cytotoxicité non sélective.</w:t>
      </w:r>
    </w:p>
    <w:p>
      <w:r>
        <w:t xml:space="preserve">Le présent chapitre, septième du Fascicule XII consacré à l'oncologie, traite </w:t>
      </w:r>
      <w:r>
        <w:rPr>
          <w:b/>
        </w:rPr>
        <w:t>neuf DCIs</w:t>
      </w:r>
      <w:r>
        <w:t xml:space="preserve"> (ou groupes de DCIs pour les agonistes GnRH) disponibles ou ayant été commercialisées sur le territoire algérien selon la nomenclature officielle d'Avril 2026 du Ministère de la Santé. Ces molécules sont réparties en </w:t>
      </w:r>
      <w:r>
        <w:rPr>
          <w:b/>
        </w:rPr>
        <w:t>six sous-classes pharmacologiques</w:t>
      </w:r>
      <w:r>
        <w:t xml:space="preserve"> : SERM anti-estrogéniques (Tamoxifène), inhibiteurs de l'aromatase non stéroïdiens et stéroïdien (Anastrozole, Létrozole, Exemestane), anti-androgènes non stéroïdiens de première génération (Flutamide, Bicalutamide), anti-androgènes de deuxième génération (Enzalutamide), inhibiteurs de la CYP17 (Abiratérone), et agonistes du GnRH (Leuproréline, Goséréline, Triptoréline). Ces six sous-classes couvrent l'ensemble du spectre de l'hormonodépendance tumorale : blocage du récepteur des estrogènes (sein), inhibition de la synthèse périphérique des estrogènes (sein post-ménopausique), blocage du récepteur des androgènes (prostate), inhibition de la synthèse surrénalienne et intratumorale des androgènes (prostate), et castration chimique hypophysaire (prostate et sein pré-ménopausique).</w:t>
      </w:r>
    </w:p>
    <w:p>
      <w:r>
        <w:t>L'enseignement de ces molécules à l'étudiant en pharmacie algérien revêt une importance toute particulière pour cinq raisons fondamentales. Premièrement, l'hormonothérapie représente le traitement adjuvant le plus largement prescrit en oncologie mammaire (la très grande majorité des cancers du sein exprimant les récepteurs hormonaux) et le pilier du cancer de la prostate à tous les stades, de la maladie localisée à la métastatique. Deuxièmement, ces traitements s'administrent majoritairement par voie orale, au long cours (5 à 10 ans dans le sein, à vie dans la prostate métastatique), ce qui place le pharmacien d'officine algérien en position centrale d'observance, d'éducation thérapeutique et de dépistage des effets indésirables chroniques (ostéoporose des inhibiteurs de l'aromatase, thrombose veineuse et cancer de l'endomètre du Tamoxifène, fractures osseuses et troubles cognitifs de l'Abiratérone et de l'Enzalutamide). Troisièmement, le profil d'interactions médicamenteuses varie considérablement d'une sous-classe à l'autre : le Tamoxifène est un substrat majeur du CYP2D6 (interdiction absolue de la paroxétine et de la fluoxétine), l'Enzalutamide est un inducteur puissant du CYP3A4/CYP2C9 (interdiction de la warfarine), l'Abiratérone est un inhibiteur puissant du CYP2D6 et de la P-gp (surveillance de la digoxine et de la metoprolol). Quatrièmement, plusieurs de ces molécules requièrent une co-prescription systématique (prednisone pour l'Abiratérone, calcium-vitamine D pour les inhibiteurs de l'aromatase, GnRH associé aux anti-androgènes pour blocage androgénique complet), ce qui en fait un terrain privilégié pour l'exercice pharmaceutique clinique. Cinquièmement, la disponibilité de génériques algériens (Biopharm, Continental Pharm, El Kendi, Democedes, Hikma, Saidal, Union Pharmaceutique Constantinoise) offre une opportunité d'analyse pharmaco-économique et d'accès élargi aux soins.</w:t>
      </w:r>
    </w:p>
    <w:p>
      <w:r>
        <w:t>Le présent chapitre respecte une structure pédagogique uniforme héritée des chapitres précédents : pour chaque DCI, l'étudiant trouvera successivement la liste des catégories pharmacothérapeutiques, le tableau exhaustif des spécialités disponibles en Algérie (avec statut ACTIF, NON RENOUVELABLE ou RETRAIT), le mécanisme d'action moléculaire détaillé, le profil pharmacologique (indications, contre-indications, effets indésirables), les mesures de prévention et de gestion des toxicités, les interactions médicamenteuses pertinentes, les recommandations CRAT pour la grossesse et l'allaitement, la posologie standard adulte et pédiatrique, l'arbitrage entre formes galéniques, les conseils au patient et enfin les pièges classiques du comptoir. Une table comparative synoptique récapitule les neuf molécules en fin de chapitre, complétée par une synthèse pédagogique destinée à l'examen et à la pratique.</w:t>
      </w:r>
    </w:p>
    <w:p>
      <w:r/>
      <w:r>
        <w:rPr>
          <w:b/>
        </w:rPr>
        <w:t>Liste des DCIs traitées dans ce chapitre (9)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N°</w:t>
            </w:r>
          </w:p>
        </w:tc>
        <w:tc>
          <w:tcPr>
            <w:tcW w:type="dxa" w:w="1871"/>
          </w:tcPr>
          <w:p>
            <w:r>
              <w:rPr>
                <w:b/>
                <w:sz w:val="20"/>
              </w:rPr>
              <w:t>DCI</w:t>
            </w:r>
          </w:p>
        </w:tc>
        <w:tc>
          <w:tcPr>
            <w:tcW w:type="dxa" w:w="1871"/>
          </w:tcPr>
          <w:p>
            <w:r>
              <w:rPr>
                <w:b/>
                <w:sz w:val="20"/>
              </w:rPr>
              <w:t>Sous-classe</w:t>
            </w:r>
          </w:p>
        </w:tc>
        <w:tc>
          <w:tcPr>
            <w:tcW w:type="dxa" w:w="1871"/>
          </w:tcPr>
          <w:p>
            <w:r>
              <w:rPr>
                <w:b/>
                <w:sz w:val="20"/>
              </w:rPr>
              <w:t>Mécanisme central</w:t>
            </w:r>
          </w:p>
        </w:tc>
        <w:tc>
          <w:tcPr>
            <w:tcW w:type="dxa" w:w="1871"/>
          </w:tcPr>
          <w:p>
            <w:r>
              <w:rPr>
                <w:b/>
                <w:sz w:val="20"/>
              </w:rPr>
              <w:t>EI cardinaux</w:t>
            </w:r>
          </w:p>
        </w:tc>
      </w:tr>
      <w:tr>
        <w:tc>
          <w:tcPr>
            <w:tcW w:type="dxa" w:w="1871"/>
          </w:tcPr>
          <w:p>
            <w:r>
              <w:rPr>
                <w:sz w:val="20"/>
              </w:rPr>
              <w:t>1</w:t>
            </w:r>
          </w:p>
        </w:tc>
        <w:tc>
          <w:tcPr>
            <w:tcW w:type="dxa" w:w="1871"/>
          </w:tcPr>
          <w:p>
            <w:r>
              <w:rPr>
                <w:sz w:val="20"/>
              </w:rPr>
              <w:t>Tamoxifène</w:t>
            </w:r>
          </w:p>
        </w:tc>
        <w:tc>
          <w:tcPr>
            <w:tcW w:type="dxa" w:w="1871"/>
          </w:tcPr>
          <w:p>
            <w:r>
              <w:rPr>
                <w:sz w:val="20"/>
              </w:rPr>
              <w:t>SERM anti-estrogène</w:t>
            </w:r>
          </w:p>
        </w:tc>
        <w:tc>
          <w:tcPr>
            <w:tcW w:type="dxa" w:w="1871"/>
          </w:tcPr>
          <w:p>
            <w:r>
              <w:rPr>
                <w:sz w:val="20"/>
              </w:rPr>
              <w:t>Blocage ERα mammaire (agoniste partiel)</w:t>
            </w:r>
          </w:p>
        </w:tc>
        <w:tc>
          <w:tcPr>
            <w:tcW w:type="dxa" w:w="1871"/>
          </w:tcPr>
          <w:p>
            <w:r>
              <w:rPr>
                <w:sz w:val="20"/>
              </w:rPr>
              <w:t>Thrombose veineuse, cancer de l'endomètre, bouffées de chaleur</w:t>
            </w:r>
          </w:p>
        </w:tc>
      </w:tr>
      <w:tr>
        <w:tc>
          <w:tcPr>
            <w:tcW w:type="dxa" w:w="1871"/>
          </w:tcPr>
          <w:p>
            <w:r>
              <w:rPr>
                <w:sz w:val="20"/>
              </w:rPr>
              <w:t>2</w:t>
            </w:r>
          </w:p>
        </w:tc>
        <w:tc>
          <w:tcPr>
            <w:tcW w:type="dxa" w:w="1871"/>
          </w:tcPr>
          <w:p>
            <w:r>
              <w:rPr>
                <w:sz w:val="20"/>
              </w:rPr>
              <w:t>Anastrozole</w:t>
            </w:r>
          </w:p>
        </w:tc>
        <w:tc>
          <w:tcPr>
            <w:tcW w:type="dxa" w:w="1871"/>
          </w:tcPr>
          <w:p>
            <w:r>
              <w:rPr>
                <w:sz w:val="20"/>
              </w:rPr>
              <w:t>Inhibiteur aromatase non stéroïdien</w:t>
            </w:r>
          </w:p>
        </w:tc>
        <w:tc>
          <w:tcPr>
            <w:tcW w:type="dxa" w:w="1871"/>
          </w:tcPr>
          <w:p>
            <w:r>
              <w:rPr>
                <w:sz w:val="20"/>
              </w:rPr>
              <w:t>Blocage conversion androgènes → estrogènes</w:t>
            </w:r>
          </w:p>
        </w:tc>
        <w:tc>
          <w:tcPr>
            <w:tcW w:type="dxa" w:w="1871"/>
          </w:tcPr>
          <w:p>
            <w:r>
              <w:rPr>
                <w:sz w:val="20"/>
              </w:rPr>
              <w:t>Ostéoporose, arthralgies, bouffées de chaleur</w:t>
            </w:r>
          </w:p>
        </w:tc>
      </w:tr>
      <w:tr>
        <w:tc>
          <w:tcPr>
            <w:tcW w:type="dxa" w:w="1871"/>
          </w:tcPr>
          <w:p>
            <w:r>
              <w:rPr>
                <w:sz w:val="20"/>
              </w:rPr>
              <w:t>3</w:t>
            </w:r>
          </w:p>
        </w:tc>
        <w:tc>
          <w:tcPr>
            <w:tcW w:type="dxa" w:w="1871"/>
          </w:tcPr>
          <w:p>
            <w:r>
              <w:rPr>
                <w:sz w:val="20"/>
              </w:rPr>
              <w:t>Létrozole</w:t>
            </w:r>
          </w:p>
        </w:tc>
        <w:tc>
          <w:tcPr>
            <w:tcW w:type="dxa" w:w="1871"/>
          </w:tcPr>
          <w:p>
            <w:r>
              <w:rPr>
                <w:sz w:val="20"/>
              </w:rPr>
              <w:t>Inhibiteur aromatase non stéroïdien</w:t>
            </w:r>
          </w:p>
        </w:tc>
        <w:tc>
          <w:tcPr>
            <w:tcW w:type="dxa" w:w="1871"/>
          </w:tcPr>
          <w:p>
            <w:r>
              <w:rPr>
                <w:sz w:val="20"/>
              </w:rPr>
              <w:t>Blocage compétitif de l'aromatase</w:t>
            </w:r>
          </w:p>
        </w:tc>
        <w:tc>
          <w:tcPr>
            <w:tcW w:type="dxa" w:w="1871"/>
          </w:tcPr>
          <w:p>
            <w:r>
              <w:rPr>
                <w:sz w:val="20"/>
              </w:rPr>
              <w:t>Ostéoporose, arthralgies, hypercholestérolémie</w:t>
            </w:r>
          </w:p>
        </w:tc>
      </w:tr>
      <w:tr>
        <w:tc>
          <w:tcPr>
            <w:tcW w:type="dxa" w:w="1871"/>
          </w:tcPr>
          <w:p>
            <w:r>
              <w:rPr>
                <w:sz w:val="20"/>
              </w:rPr>
              <w:t>4</w:t>
            </w:r>
          </w:p>
        </w:tc>
        <w:tc>
          <w:tcPr>
            <w:tcW w:type="dxa" w:w="1871"/>
          </w:tcPr>
          <w:p>
            <w:r>
              <w:rPr>
                <w:sz w:val="20"/>
              </w:rPr>
              <w:t>Exemestane</w:t>
            </w:r>
          </w:p>
        </w:tc>
        <w:tc>
          <w:tcPr>
            <w:tcW w:type="dxa" w:w="1871"/>
          </w:tcPr>
          <w:p>
            <w:r>
              <w:rPr>
                <w:sz w:val="20"/>
              </w:rPr>
              <w:t>Inhibiteur aromatase stéroïdien</w:t>
            </w:r>
          </w:p>
        </w:tc>
        <w:tc>
          <w:tcPr>
            <w:tcW w:type="dxa" w:w="1871"/>
          </w:tcPr>
          <w:p>
            <w:r>
              <w:rPr>
                <w:sz w:val="20"/>
              </w:rPr>
              <w:t>Inactivation irréversible (suicide substrate)</w:t>
            </w:r>
          </w:p>
        </w:tc>
        <w:tc>
          <w:tcPr>
            <w:tcW w:type="dxa" w:w="1871"/>
          </w:tcPr>
          <w:p>
            <w:r>
              <w:rPr>
                <w:sz w:val="20"/>
              </w:rPr>
              <w:t>Ostéoporose, arthralgies, alopécie</w:t>
            </w:r>
          </w:p>
        </w:tc>
      </w:tr>
      <w:tr>
        <w:tc>
          <w:tcPr>
            <w:tcW w:type="dxa" w:w="1871"/>
          </w:tcPr>
          <w:p>
            <w:r>
              <w:rPr>
                <w:sz w:val="20"/>
              </w:rPr>
              <w:t>5</w:t>
            </w:r>
          </w:p>
        </w:tc>
        <w:tc>
          <w:tcPr>
            <w:tcW w:type="dxa" w:w="1871"/>
          </w:tcPr>
          <w:p>
            <w:r>
              <w:rPr>
                <w:sz w:val="20"/>
              </w:rPr>
              <w:t>Flutamide</w:t>
            </w:r>
          </w:p>
        </w:tc>
        <w:tc>
          <w:tcPr>
            <w:tcW w:type="dxa" w:w="1871"/>
          </w:tcPr>
          <w:p>
            <w:r>
              <w:rPr>
                <w:sz w:val="20"/>
              </w:rPr>
              <w:t>Anti-androgène non stéroïdien 1G</w:t>
            </w:r>
          </w:p>
        </w:tc>
        <w:tc>
          <w:tcPr>
            <w:tcW w:type="dxa" w:w="1871"/>
          </w:tcPr>
          <w:p>
            <w:r>
              <w:rPr>
                <w:sz w:val="20"/>
              </w:rPr>
              <w:t>Blocage compétitif récepteur androgénique</w:t>
            </w:r>
          </w:p>
        </w:tc>
        <w:tc>
          <w:tcPr>
            <w:tcW w:type="dxa" w:w="1871"/>
          </w:tcPr>
          <w:p>
            <w:r>
              <w:rPr>
                <w:sz w:val="20"/>
              </w:rPr>
              <w:t>Hépatotoxicité, diarrhée, gynécomastie</w:t>
            </w:r>
          </w:p>
        </w:tc>
      </w:tr>
      <w:tr>
        <w:tc>
          <w:tcPr>
            <w:tcW w:type="dxa" w:w="1871"/>
          </w:tcPr>
          <w:p>
            <w:r>
              <w:rPr>
                <w:sz w:val="20"/>
              </w:rPr>
              <w:t>6</w:t>
            </w:r>
          </w:p>
        </w:tc>
        <w:tc>
          <w:tcPr>
            <w:tcW w:type="dxa" w:w="1871"/>
          </w:tcPr>
          <w:p>
            <w:r>
              <w:rPr>
                <w:sz w:val="20"/>
              </w:rPr>
              <w:t>Bicalutamide</w:t>
            </w:r>
          </w:p>
        </w:tc>
        <w:tc>
          <w:tcPr>
            <w:tcW w:type="dxa" w:w="1871"/>
          </w:tcPr>
          <w:p>
            <w:r>
              <w:rPr>
                <w:sz w:val="20"/>
              </w:rPr>
              <w:t>Anti-androgène non stéroïdien 1G</w:t>
            </w:r>
          </w:p>
        </w:tc>
        <w:tc>
          <w:tcPr>
            <w:tcW w:type="dxa" w:w="1871"/>
          </w:tcPr>
          <w:p>
            <w:r>
              <w:rPr>
                <w:sz w:val="20"/>
              </w:rPr>
              <w:t>Blocage compétitif récepteur androgénique</w:t>
            </w:r>
          </w:p>
        </w:tc>
        <w:tc>
          <w:tcPr>
            <w:tcW w:type="dxa" w:w="1871"/>
          </w:tcPr>
          <w:p>
            <w:r>
              <w:rPr>
                <w:sz w:val="20"/>
              </w:rPr>
              <w:t>Hépatotoxicité, gynécomastie, allongement QT</w:t>
            </w:r>
          </w:p>
        </w:tc>
      </w:tr>
      <w:tr>
        <w:tc>
          <w:tcPr>
            <w:tcW w:type="dxa" w:w="1871"/>
          </w:tcPr>
          <w:p>
            <w:r>
              <w:rPr>
                <w:sz w:val="20"/>
              </w:rPr>
              <w:t>7</w:t>
            </w:r>
          </w:p>
        </w:tc>
        <w:tc>
          <w:tcPr>
            <w:tcW w:type="dxa" w:w="1871"/>
          </w:tcPr>
          <w:p>
            <w:r>
              <w:rPr>
                <w:sz w:val="20"/>
              </w:rPr>
              <w:t>Enzalutamide</w:t>
            </w:r>
          </w:p>
        </w:tc>
        <w:tc>
          <w:tcPr>
            <w:tcW w:type="dxa" w:w="1871"/>
          </w:tcPr>
          <w:p>
            <w:r>
              <w:rPr>
                <w:sz w:val="20"/>
              </w:rPr>
              <w:t>Anti-androgène 2G</w:t>
            </w:r>
          </w:p>
        </w:tc>
        <w:tc>
          <w:tcPr>
            <w:tcW w:type="dxa" w:w="1871"/>
          </w:tcPr>
          <w:p>
            <w:r>
              <w:rPr>
                <w:sz w:val="20"/>
              </w:rPr>
              <w:t>Blocage AR + inhibition nucléaire</w:t>
            </w:r>
          </w:p>
        </w:tc>
        <w:tc>
          <w:tcPr>
            <w:tcW w:type="dxa" w:w="1871"/>
          </w:tcPr>
          <w:p>
            <w:r>
              <w:rPr>
                <w:sz w:val="20"/>
              </w:rPr>
              <w:t>Convulsions, fatigue, chutes, fractures</w:t>
            </w:r>
          </w:p>
        </w:tc>
      </w:tr>
      <w:tr>
        <w:tc>
          <w:tcPr>
            <w:tcW w:type="dxa" w:w="1871"/>
          </w:tcPr>
          <w:p>
            <w:r>
              <w:rPr>
                <w:sz w:val="20"/>
              </w:rPr>
              <w:t>8</w:t>
            </w:r>
          </w:p>
        </w:tc>
        <w:tc>
          <w:tcPr>
            <w:tcW w:type="dxa" w:w="1871"/>
          </w:tcPr>
          <w:p>
            <w:r>
              <w:rPr>
                <w:sz w:val="20"/>
              </w:rPr>
              <w:t>Abiratérone</w:t>
            </w:r>
          </w:p>
        </w:tc>
        <w:tc>
          <w:tcPr>
            <w:tcW w:type="dxa" w:w="1871"/>
          </w:tcPr>
          <w:p>
            <w:r>
              <w:rPr>
                <w:sz w:val="20"/>
              </w:rPr>
              <w:t>Inhibiteur CYP17</w:t>
            </w:r>
          </w:p>
        </w:tc>
        <w:tc>
          <w:tcPr>
            <w:tcW w:type="dxa" w:w="1871"/>
          </w:tcPr>
          <w:p>
            <w:r>
              <w:rPr>
                <w:sz w:val="20"/>
              </w:rPr>
              <w:t>Blocage synthèse androgènes surrénaliens+tumoraux</w:t>
            </w:r>
          </w:p>
        </w:tc>
        <w:tc>
          <w:tcPr>
            <w:tcW w:type="dxa" w:w="1871"/>
          </w:tcPr>
          <w:p>
            <w:r>
              <w:rPr>
                <w:sz w:val="20"/>
              </w:rPr>
              <w:t>Hypokaliémie, HTA, hépatotoxicité, corticosurrenalisme</w:t>
            </w:r>
          </w:p>
        </w:tc>
      </w:tr>
      <w:tr>
        <w:tc>
          <w:tcPr>
            <w:tcW w:type="dxa" w:w="1871"/>
          </w:tcPr>
          <w:p>
            <w:r>
              <w:rPr>
                <w:sz w:val="20"/>
              </w:rPr>
              <w:t>9</w:t>
            </w:r>
          </w:p>
        </w:tc>
        <w:tc>
          <w:tcPr>
            <w:tcW w:type="dxa" w:w="1871"/>
          </w:tcPr>
          <w:p>
            <w:r>
              <w:rPr>
                <w:sz w:val="20"/>
              </w:rPr>
              <w:t>Leuproréline, Goséréline, Triptoréline</w:t>
            </w:r>
          </w:p>
        </w:tc>
        <w:tc>
          <w:tcPr>
            <w:tcW w:type="dxa" w:w="1871"/>
          </w:tcPr>
          <w:p>
            <w:r>
              <w:rPr>
                <w:sz w:val="20"/>
              </w:rPr>
              <w:t>Agonistes GnRH</w:t>
            </w:r>
          </w:p>
        </w:tc>
        <w:tc>
          <w:tcPr>
            <w:tcW w:type="dxa" w:w="1871"/>
          </w:tcPr>
          <w:p>
            <w:r>
              <w:rPr>
                <w:sz w:val="20"/>
              </w:rPr>
              <w:t>Castration chimique (désensibilisation hypophysaire)</w:t>
            </w:r>
          </w:p>
        </w:tc>
        <w:tc>
          <w:tcPr>
            <w:tcW w:type="dxa" w:w="1871"/>
          </w:tcPr>
          <w:p>
            <w:r>
              <w:rPr>
                <w:sz w:val="20"/>
              </w:rPr>
              <w:t>Flush, impuissance, ostéoporose, flare initial</w:t>
            </w:r>
          </w:p>
        </w:tc>
      </w:tr>
    </w:tbl>
    <w:p/>
    <w:p>
      <w:pPr>
        <w:pStyle w:val="Heading3"/>
      </w:pPr>
      <w:r>
        <w:t>1. Sous-classe : Hormonothérapies — SERM anti-estrogènes</w:t>
      </w:r>
    </w:p>
    <w:p>
      <w:r>
        <w:t xml:space="preserve">Les modulateurs sélectifs du récepteur des estrogènes (SERM, ou </w:t>
      </w:r>
      <w:r>
        <w:rPr>
          <w:i/>
        </w:rPr>
        <w:t>Selective Estrogen Receptor Modulators</w:t>
      </w:r>
      <w:r>
        <w:t>) constituent une classe pharmacologique hybride dont la particularité réside dans leur capacité à exercer un effet agoniste ou antagoniste sur le récepteur des estrogènes (ERα et ERβ) selon le tissu cible considéré. Cette dualité d'action, qui paraissait paradoxale à l'aube de leur découverte, s'explique aujourd'hui par la structure tridimensionnelle du complexe ligand-récepteur : la liaison d'un SERM à ER induit une conformation spécifique du récepteur qui recrute préférentiellement certains co-activateurs ou co-répresseurs tissu-spécifiques (SRC-1, SRC-2, NCOA3 dans le tissu osseux ; NCoR, SMRT dans le tissu mammaire), générant un effet agoniste ou antagoniste selon le profil d'expression local. Le Tamoxifène, prototype de la classe, est ainsi anti-estrogène au niveau du sein (effet thérapeutique recherché), agoniste partiel au niveau de l'endomètre (effet indésirable carcinogénique à long terme), agoniste au niveau osseux (effet protecteur contre l'ostéoporose en ménopause), agoniste au niveau hépatique (effet hypolipémiant favorable mais prothrombotique défavorable) et antagoniste au niveau hypothalamique (bouffées de chaleur).</w:t>
      </w:r>
    </w:p>
    <w:p>
      <w:r>
        <w:t>Le Tamoxifène a été synthétisé en 1962 par Arthur Walpole et Dora Richardson dans les laboratoires ICI (Imperial Chemical Industries, futur AstraZeneca) dans le cadre d'un programme de recherche sur les contraceptifs oraux. Ses propriétés anti-estrogéniques mammaires ont été identifiées rapidement et la molécule a obtenu son autorisation de mise sur le marché en 1973 au Royaume-Uni (Nolvadex®), puis en 1977 aux États-Unis. Son introduction a constitué une révolution dans le traitement adjuvant du cancer du sein hormonosensible, réduisant de près de 40 % la mortalité à 15 ans, comme l'a démontré l'Early Breast Cancer Trialists' Collaborative Group (EBCTCG) dans ses méta-analyses historiques. Le Tamoxifène reste, à ce jour, le traitement adjuvant hormonal de référence de la femme pré-ménopausique, et conserve une place majeure chez la femme post-ménopausique en cas de contre-indication aux inhibiteurs de l'aromatase.</w:t>
      </w:r>
    </w:p>
    <w:p>
      <w:r>
        <w:t>La pharmacocinétique du Tamoxifène mérite une attention particulière : il subit un métabolisme hépatique intense via le CYP3A4 (en N-déméthyl-Tamoxifène) puis le CYP2D6 (en Endoxifène, métabolite actif principal dont l'affinité pour ERα est 30 à 100 fois supérieure à celle de la molécule mère). Cette activation par le CYP2D6 explique la perte d'efficacité observée chez les patientes métaboliseuses lentes du CYP2D6 (polymorphisme génétique touchant 5 à 10 % des Caucasiennes) et l'interdiction absolue de co-prescrire les inhibiteurs puissants du CYP2D6 (paroxétine, fluoxétine, bupropion) qui réduisent significativement l'efficacité thérapeutique. La demi-vie d'élimination est longue (5 à 7 jours), imposant un délai de 4 à 8 semaines pour atteindre l'état d'équilibre et un délai identique pour éliminer le médicament après arrêt.</w:t>
      </w:r>
    </w:p>
    <w:p>
      <w:r>
        <w:t>Une seule molécule de cette sous-classe est disponible en Algérie : le Tamoxifène, sous plusieurs formes galéniques (10 mg et 20 mg) et de multiples marques (Nolvadex princeps, Tamoxifen Ebewe, génériques divers). Cette diversité reflète à la fois l'ancienneté de la molécule (brevet tombé depuis 2002) et la centralité de la prescription en cancérologie mammaire algérienne.</w:t>
      </w:r>
    </w:p>
    <w:p>
      <w:pPr>
        <w:pStyle w:val="Heading3"/>
      </w:pPr>
      <w:r>
        <w:t>2. Sous-classe : Hormonothérapies — Inhibiteurs de l'aromatase</w:t>
      </w:r>
    </w:p>
    <w:p>
      <w:r>
        <w:t>L'aromatase (CYP19A1) est une enzyme du complexe cytochrome P450 localisée principalement dans le tissu adipeux, le foie, le muscle, le tissu mammaire lui-même et, chez la femme en période d'activité génitale, dans les ovaires. Elle catalyse la dernière étape de la biosynthèse des estrogènes, à savoir la conversion des androgènes (androstènedione et testostérone) en estrogènes (estrone et estradiol) par aromatisation du noyau stéroïdien A. Chez la femme post-ménopausique, dont les ovaires ont cessé leur production d'estradiol, la conversion périphérique (essentiellement adipocytaire) devient la source quasi-exclusive des estrogènes circulants — source qui alimente les cancers du sein hormonosensibles dont 70 à 80 % expriment les récepteurs des estrogènes.</w:t>
      </w:r>
    </w:p>
    <w:p>
      <w:r>
        <w:t>Les inhibiteurs de l'aromatase (IA) ont été conçus pour bloquer cette conversion périphérique, abaissant les taux circulants d'estrone et d'estradiol de plus de 90 % chez la femme post-ménopausique. Ils se subdivisent en deux sous-groupes structuraux : (i) les IA non stéroïdiens de troisième génération (Anastrozole, Létrozole), dérivés des triazoles, qui inhibent l'aromatase de manière compétitive et réversible par coordination du noyau azoté triazolique avec l'atome de fer du groupe hème du CYP19A1 ; (ii) les IA stéroïdiens (Exemestane), dérivé androstènedione, qui se lie au site actif et subit une oxydation par l'enzyme elle-même en un intermédiaire réactif formant une liaison covalente irréversible avec le CYP19A1 — d'où leur qualification d'inhibiteurs « suicide » ou « inactivateurs irréversibles ».</w:t>
      </w:r>
    </w:p>
    <w:p>
      <w:r>
        <w:t>L'introduction des IA de troisième génération dans les années 1990-2000 a transformé la prise en charge adjuvante du cancer du sein post-ménopausique. Plusieurs essais pivots (ATAC avec l'Anastrozole, BIG 1-98 avec le Létrozole, IES avec l'Exemestane, MA.17 avec le Létrozole en séquentiel après 5 ans de Tamoxifène) ont démontré une supériorité des IA sur le Tamoxifène en termes de survie sans récidive, avec une réduction du risque de récidive de l'ordre de 18 à 25 % et une tendance à la réduction de la mortalité globale. Cette supériorité s'accompagne cependant d'un profil de toxicité différent : alors que le Tamoxifène augmente le risque thrombotique veineux et carcinogène endométrial, les IA en sont dépourvus mais exposent à un risque accru d'ostéoporose, de fractures osseuses, d'arthralgies invalidantes (syndrome « arthralgies des IA » touchant jusqu'à 50 % des patientes), de bouffées de chaleur (parfois moindres qu'avec le Tamoxifène), de sécheresse vaginale, de dyslipidémie et d'événements cardiovasculaires mineurs.</w:t>
      </w:r>
    </w:p>
    <w:p>
      <w:r>
        <w:t>Une particularité importante des IA réside dans leur inefficacité chez la femme pré-ménopausique : en bloquant la conversion périphérique, ils induisent une levée du rétrocontrôle négatif hypothalamique, stimulant la sécrétion de FSH/LH qui à son tour stimule les ovaires — aboutissant paradoxalement à une augmentation (et non une diminution) des taux d'estradiol. Les IA ne sont donc indiqués chez la femme pré-ménopausique qu'en association à une castration chimique (agoniste GnRH) ou chirurgicale (ovariectomie). Cette contre-indication est absolue : l'usage isolé d'un IA en pré-ménopause expose à un risque d'hyperstimulation ovarienne et de perte de chance thérapeutique majeure.</w:t>
      </w:r>
    </w:p>
    <w:p>
      <w:r>
        <w:t>Trois molécules de cette sous-classe sont disponibles en Algérie : Anastrozole (9 spécialités), Létrozole (9 spécialités) et Exemestane (2 spécialités). Cette diversité reflète la maturité du marché des génériques oncologiques algériens et la place centrale des IA dans la stratégie adjuvante mammaire.</w:t>
      </w:r>
    </w:p>
    <w:p>
      <w:pPr>
        <w:pStyle w:val="Heading3"/>
      </w:pPr>
      <w:r>
        <w:t>3. Sous-classe : Hormonothérapies — Anti-androgènes non stéroïdiens (1re génération)</w:t>
      </w:r>
    </w:p>
    <w:p>
      <w:r>
        <w:t>Les anti-androgènes non stéroïdiens de première génération ont été développés dans les années 1970-1980 dans le but de bloquer spécifiquement l'action de la testostérone et de la dihydrotestostérone (DHT) sur le récepteur androgénique (AR), sans réduire les taux circulants d'androgènes — contrairement à la castration chirurgicale (orchidectomie) ou chimique (agonistes GnRH) qui abaissent la testostérone à des valeurs de castration. Leur conception pharmacologique repose sur la recherche d'un effet antagoniste pur au niveau du récepteur, en évitant l'activité agoniste partielle observée avec les anti-androgènes stéroïdiens (acétate de cyprotérone) qui possèdent une activité progestative et glucocorticoïde compliquant le profil d'effets indésirables.</w:t>
      </w:r>
    </w:p>
    <w:p>
      <w:r>
        <w:t>Deux molécules dominent cette sous-classe : le Flutamide (Eulexine®), synthétisé en 1967 par Schering-Plough et premier anti-androgène non stéroïdien commercialisé, et le Bicalutamide (Casodex®), introduit en 1987 par AstraZeneca avec une tolérance hépatique et digestive supérieure et une demi-vie longue autorisant une prise unique quotidienne. Les deux molécules agissent par inhibition compétitive de la liaison de la DHT au récepteur androgénique, empêchant la translocation du complexe AR-ligand vers le noyau, l'interaction avec les éléments de réponse aux androgènes (ARE) des gènes-cibles et la transcription des gènes androgéno-dépendants (KLK3/PSA, TMPRSS2, FKBP5).</w:t>
      </w:r>
    </w:p>
    <w:p>
      <w:r>
        <w:t>Une particularité pharmacologique essentielle de ces anti-androgènes de première génération est leur caractère d'antagonistes purs chez la plupart des patients, mais avec un effet agoniste partiel paradoxal mis en évidence dans le cancer de la prostate résistant à la castration (CPRC). Ce phénomène, lié à la sélection de clones tumoraux porteurs de mutations du gène AR ou d'amplifications géniques, explique la résistance acquise et surtout le syndrome de retrait des anti-androgènes (</w:t>
      </w:r>
      <w:r>
        <w:rPr>
          <w:i/>
        </w:rPr>
        <w:t>anti-androgen withdrawal syndrome</w:t>
      </w:r>
      <w:r>
        <w:t>) : l'arrêt du Flutamide ou du Bicalutamide chez un patient en progression peut, dans 20 à 30 % des cas, entraîner une chute paradoxale du PSA et une régression tumorale transitoire — témoin de l'activité agoniste de la molécule sur certains mutants du récepteur.</w:t>
      </w:r>
    </w:p>
    <w:p>
      <w:r>
        <w:t>L'indication historique des anti-androgènes non stéroïdiens de première génération est le blocage androgénique complet (BAC) en association à un agoniste du GnRH : l'objectif est de bloquer à la fois la production testiculaire de testostérone (castration chimique par GnRH) et l'action des androgènes surrénaliens résiduels (anti-androgène). Cette stratégie a démontré un bénéfice modeste (5 % de réduction de mortalité à 5 ans) par rapport à la castration seule dans les formes métastatiques diffuses. Une seconde indication, maintenant obsolète chez la plupart des patients, est la protection contre le « flare » tumoral initial observé lors de l'instauration d'un agoniste GnRH (augmentation paradoxale et transitoire de la testostérone dans les 7 à 10 premiers jours). Une troisième indication, plus discutée, est la monothérapie par Bicalutamide (150 mg/j) comme alternative à la castration dans le cancer de la prostate localement avancé non métastatique — alternative particulièrement pertinente chez les patients refusant la castration et chez qui la préservation de la fonction sexuelle est une priorité.</w:t>
      </w:r>
    </w:p>
    <w:p>
      <w:r>
        <w:t>Deux molécules de cette sous-classe sont disponibles en Algérie : le Flutamide (toutes marques retirées du marché à ce jour — Eulexine, Cytomid-250, Curestat, Prostagen) et le Bicalutamide (5 spécialités actives : Casodex princeps et génériques Bicadex, Bicalutamide Cinfa, Bicalutamide UPC, Casomide, Clamudex). La disparition progressive du Flutamide au profit du Bicalutamide reflète la supériorité de tolérance de ce dernier (hépatotoxicité moindre, demi-vie longue, monothérapie possible).</w:t>
      </w:r>
    </w:p>
    <w:p>
      <w:pPr>
        <w:pStyle w:val="Heading3"/>
      </w:pPr>
      <w:r>
        <w:t>4. Sous-classe : Hormonothérapies — Anti-androgènes de 2e génération</w:t>
      </w:r>
    </w:p>
    <w:p>
      <w:r>
        <w:t>Les anti-androgènes de 2e génération ont été conçus pour surmonter la résistance acquise aux anti-androgènes de 1re génération dans le cancer de la prostate résistant à la castration (CPRC). Cette résistance, longtemps considérée comme définitive et impose le passage à la chimiothérapie (docétaxel), s'est révélée partielle et réversible avec le développement de molécules à plus forte affinité pour le récepteur androgénique et à spectre d'action élargi. L'Enzalutamide (Xtandi®, Astellas/Medivation), premier représentant de cette classe, a obtenu son autorisation FDA en 2012 et EMA en 2013 dans le CPRC post-docétaxel (essai AFFIRM), puis en première ligne CPRC pré-docétaxel (essai PREVAIL, 2014), démontrant dans les deux cas un bénéfice significatif en survie globale et survie sans radiographique progression.</w:t>
      </w:r>
    </w:p>
    <w:p>
      <w:r>
        <w:t>Le mécanisme d'action de l'Enzalutamide est triple et explique sa supériorité pharmacologique : (i) inhibition compétitive de la liaison de la DHT au récepteur androgénique (affinité 5 à 8 fois supérieure à celle du Bicalutamide), (ii) inhibition de la translocation nucléaire du complexe AR-ligand (empêchant l'interaction avec les ARE), et (iii) inhibition de la transcription des gènes androgéno-dépendants par recrutement de co-répresseurs. Ce triple blocage explique l'activité conservée sur les mutants du récepteur AR (notamment W741C/L qui confère la résistance au Bicalutamide), et l'absence d'effet agoniste partiel à l'origine du syndrome de retrait.</w:t>
      </w:r>
    </w:p>
    <w:p>
      <w:r>
        <w:t>L'Apalutamide (Erleada®, Janssen) et le Darolutamide (Nubeqa®, Bayer), non disponibles en Algérie à ce jour, complètent la classe. Ils partagent le mécanisme d'action de l'Enzalutamide mais avec une pénétration cérébrale moindre (Darolutamide) — propriété qui réduit le risque de convulsions et de troubles cognitifs observés avec l'Enzalutamide.</w:t>
      </w:r>
    </w:p>
    <w:p>
      <w:r>
        <w:t>Le profil d'effets indésirables de l'Enzalutamide est dominé par la fatigue (50 % des patients, grade 3/4 dans 5 à 10 %), les troubles cognitifs (mémoire, attention, syndrome frontal), les chutes (incidence accrue par troubles de la marche et hypotension orthostatique), les fractures osseuses (favorisées par le contexte de castration prolongée et par l'ostéoporose induite), l'hypertension artérielle, et surtout le risque convulsif (incidence 0,9 % dans les essais pivots versus 0 % dans le bras comparateur). Ce risque convulsif, lié à la pénétration cérébrale de l'Enzalutamide et à son interaction avec le récepteur GABA-A, justifie la contre-indication absolue en cas d'antécédent d'épilepsie ou de lésion cérébrale structurelle (métastases cérébrales, traumatisme crânien sévère, AVC ischémique étendu).</w:t>
      </w:r>
    </w:p>
    <w:p>
      <w:r>
        <w:t>Une seule molécule de cette sous-classe est disponible en Algérie : l'Enzalutamide, sous deux marques (Xtandi princeps Astellas, Xytova générique Hikma) et deux dosages (40 mg capsule molle et comprimé pelliculé, 80 mg comprimé pelliculé). La disponibilité d'un générique algérien (Xytova) en 2023 a marqué une avancée majeure dans l'accès aux thérapeutiques ciblées de 2e génération.</w:t>
      </w:r>
    </w:p>
    <w:p>
      <w:pPr>
        <w:pStyle w:val="Heading3"/>
      </w:pPr>
      <w:r>
        <w:t>5. Sous-classe : Hormonothérapies — Inhibiteurs de la CYP17</w:t>
      </w:r>
    </w:p>
    <w:p>
      <w:r>
        <w:t>La 17α-hydroxylase/17,20-lyase (CYP17A1) est une enzyme du complexe cytochrome P450 localisée dans la surrénale (zones fasciculée et réticulée) et dans les gonades, où elle catalyse deux étapes clés de la stéroïdogenèse : la 17α-hydroxylation de la prégnénolone et de la progestérone, et la lyase qui convertit la 17-OH-prégnénolone en déhydroépiandrostérone (DHEA) et la 17-OH-progestérone en androstènedione. Ces deux réactions sont indispensables à la synthèse des androgènes surrénaliens (DHEA, androstènedione), qui représentent 5 à 10 % de la production androgénique totale chez l'homme intact, mais deviennent la source principale d'androgènes après castration chirurgicale ou chimique. Or, dans le cancer de la prostate résistant à la castration (CPRC), les cellules tumorales elles-mêmes acquièrent la capacité de synthétiser leurs propres androgènes (stéroïdogenèse intratumorale), alimentant ainsi la croissance tumorale malgré des taux sériques de testostérone castraux — phénomène découvert par Montgomery et al. en 2008 et qui a fondé la stratégie d'inhibition de la CYP17.</w:t>
      </w:r>
    </w:p>
    <w:p>
      <w:r>
        <w:t>L'Abiratérone (acétate de Zytiga®, Janssen), inhibiteur sélectif et irréversible de la CYP17A1, a été conçu pour bloquer cette production résiduelle d'androgènes surrénaliens et intratumoraux. Synthétisée en 1995 par l'équipe de Angela Brodie à Baltimore, l'Abiratérone a obtenu son autorisation FDA en 2011 dans le CPRC post-docétaxel (essai COU-AA-301), puis en 2013 en première ligne CPRC métastatique naïf de docétaxel (essai COU-AA-302), démontrant dans les deux cas un bénéfice significatif en survie globale (≈ 4 mois de gain médian). En 2017, deux essais (LATITUDE et STAMPEDE) ont étendu l'indication au cancer de la prostate métastatique hormono-naïf (mHNPC) en association à la castration, où l'Abiratérone a démontré une réduction de la mortalité de 38 % à 3 ans.</w:t>
      </w:r>
    </w:p>
    <w:p>
      <w:r>
        <w:t>Une particularité pharmacologique majeure de l'Abiratérone est son blocage non seulement de la 17,20-lyase (effet recherché, suppression androgénique), mais aussi de la 17α-hydroxylase — ce qui bloque la synthèse du cortisol surrénalien. La baisse du cortisol induit une levée du rétrocontrôle négatif sur l'axe hypophysaire, stimulant la sécrétion d'ACTH qui à son tour stimule la surrénale et entraîne une accumulation des précurseurs en amont du bloc enzymatique (11-déoxycorticostérone, DOC), minéralocorticoïde puissant responsable de l'HTA, de l'hypokaliémie et de la rétention hydrosodée observées chez 30 à 40 % des patients traités. Cette double toxicité minéralocorticoïde justifie la co-prescription systématique de prednisone 10 mg/j (ou prednisolone 5 mg × 2/j) qui restaure le rétrocontrôle négatif sans empêcher l'effet antitumoral.</w:t>
      </w:r>
    </w:p>
    <w:p>
      <w:r>
        <w:t>Une seconde particularité est l'exigence d'une prise à jeun strict : l'Abiratérone prise avec un repas (surtout riche en graisses) voit son exposition systémique multipliée par 7 à 10, exposant à un surdosage en minéralocorticoïdes et à une toxicité hépatique accrue. Cette contrainte de prise à jeun (1 heure avant ou 2 heures après un repas) est un point clé d'éducation thérapeutique.</w:t>
      </w:r>
    </w:p>
    <w:p>
      <w:r>
        <w:t>Une seule molécule de cette sous-classe est disponible en Algérie : l'Abiratérone, sous 7 spécialités (1 retirée : Zytiga princeps Janssen ; 6 actives : Abiphal Sophal, Abiraterone UPC, Abiron BDR, Abodex El Kendi, Abremia Hikma, Abyra Democedes). L'émergence de génériques algériens depuis 2021 a transformé l'accès à cette thérapeutique auparavant réservée aux patients fortunés.</w:t>
      </w:r>
    </w:p>
    <w:p>
      <w:pPr>
        <w:pStyle w:val="Heading3"/>
      </w:pPr>
      <w:r>
        <w:t>6. Sous-classe : Hormonothérapies — Agonistes du GnRH</w:t>
      </w:r>
    </w:p>
    <w:p>
      <w:r>
        <w:t>La GnRH (gonadotropin-releasing hormone), également appelée LHRH (luteinizing hormone-releasing hormone) ou lulibérine, est un décapeptide hypothalamique sécrété de manière pulsatile (toutes les 60 à 90 minutes) qui stimule la libération des gonadotrophines hypophysaires LH (lutéinostimuline) et FSH (folliculostimuline). LH stimule à son tour la production de testostérone par les cellules de Leydig testiculaires (homme) et d'estradiol par les cellules thécales et granulosa ovariennes (femme). FSH stimule la spermatogenèse (homme) et la folliculogenèse (femme). Le caractère pulsatile de la stimulation est fondamental : la stimulation continue de l'axe GnRH-RH/LH/FSH induit, après une phase transitoire d'activation de 5 à 10 jours (« flare »), une désensibilisation des récepteurs hypophysaires à la GnRH, une chute de la LH et FSH, et donc une castration chimique fonctionnelle — c'est-à-dire un effondrement de la testostérone (homme) ou de l'estradiol (femme) à des valeurs post-ménopausiques ou post-castration.</w:t>
      </w:r>
    </w:p>
    <w:p>
      <w:r>
        <w:t>Les agonistes du GnRH ont été développés dans les années 1970 par le laboratoire Schally et Guillemin (Prix Nobel 1977 pour la découverte des hormones hypothalamiques). Leur structure chimique dérive de la GnRH naturelle par substitutions d'acides aminés (notamment en position 6 par un acide aminé D, qui confère une résistance à la dégradation enzymatique et une affinité majorée pour le récepteur), et par modifications C-terminales (éthylamide en place de Gly-amide), générant des molécules à demi-vie prolongée et à activité agoniste soutenue. Trois molécules dominent la classe en oncologie : la Leuproréline (Lupron®, Enantone®, Eligard®), la Goséréline (Zoladex®) et la Triptoréline (Decapeptyl®).</w:t>
      </w:r>
    </w:p>
    <w:p>
      <w:r>
        <w:t>Toutes trois sont administrées par voie injectable sous-cutanée ou intramusculaire, sous forme de formulations à libération prolongée (microsphères polymériques résorbables de poly-acide lactique-co-glycolique, ou PLGA), autorisant des intervalles d'administration de 1 mois, 3 mois, 6 mois ou 12 mois selon la formulation. Cette galénique prolongée est essentielle : la stimulation continue assurée par les microsphères libérant l'agoniste de façon régulière pendant toute la durée de la formulation permet d'obtenir la désensibilisation hypophysaire recherchée. Une formulation quotidienne (Decapeptyl 0,1 mg) existe également pour les protocoles de stimulation ovarienne contrôlée en assistance médicale à la procréation, hors du champ oncologique.</w:t>
      </w:r>
    </w:p>
    <w:p>
      <w:r>
        <w:t>Les indications oncologiques des agonistes du GnRH sont triples : (i) cancer de la prostate à tous les stades localement avancés ou métastatiques, en association ou non à un anti-androgène (blocage androgénique complet), en néoadjuvant à la radiothérapie, ou en traitement intermittent ; (ii) cancer du sein hormonosensible de la femme pré-ménopausique, en association à un IA ou au Tamoxifène (stratégie « suppression ovarienne + IA » selon les essais SOFT et TEXT) ; (iii) indication non oncologique en gynécologie (endométriose, fibromes utérins, FIV). La présente fiche se limite aux indications oncologiques.</w:t>
      </w:r>
    </w:p>
    <w:p>
      <w:r>
        <w:t>Le profil d'effets indésirables est commun à l'ensemble des agonistes GnRH et reflète le tableau de la castration chimique : bouffées de chaleur (60 à 80 % des patients, parfois sévères), perte de libido et impuissance (chez la quasi-totalité des hommes traités), dysfonction érectile, gynécomastie (parfois douloureuse), fatigue, prise de poids, modification de la composition corporelle (augmentation de la masse grasse, diminution de la masse musculaire — « sarcopénie de la castration »), anémie modérée, ostéoporose (perte osseuse de 2 à 5 % par an, justifiant la prescription de calcium-vitamine D et de bisphosphonates ou denosumab en cas de risque fracturaire élevé), troubles métaboliques (insulinorésistance, dyslipidémie), et dépression. Une complication spécifique initiale est le syndrome de « flare » : pendant les 7 à 10 premiers jours suivant la première injection, la stimulation hypophysaire entraîne une augmentation paradoxale et transitoire de la testostérone qui peut aggraver les symptômes (douleurs osseuses métastatiques, compression médullaire, rétention vésicale) — d'où la nécessité de co-prescrire un anti-androgène (Bicalutamide) 3 jours avant et pendant 2 à 4 semaines après la première injection de GnRH en cas de maladie métastatique.</w:t>
      </w:r>
    </w:p>
    <w:p>
      <w:r>
        <w:t>Trois molécules de cette sous-classe sont disponibles en Algérie : Leuproréline (Enantone LP retirée, Eligard active), Goséréline (Zoladex active, deux dosages) et Triptoréline (Decapeptyl actif, deux formulations : quotidienne 0,1 mg et prolongée 3,75 mg/1 mois, 11,25 mg/3 mois). Cette diversité galénique permet une adaptation fine à la tolérance du patient et à la préférence pour les intervalles d'administration.</w:t>
      </w:r>
    </w:p>
    <w:p>
      <w:pPr>
        <w:pStyle w:val="Heading3"/>
      </w:pPr>
      <w:r>
        <w:t>107.1 DCI : Tamoxifène</w:t>
      </w:r>
    </w:p>
    <w:p>
      <w:r/>
      <w:r>
        <w:rPr>
          <w:b/>
        </w:rPr>
        <w:t>Liste des Catégories :</w:t>
      </w:r>
      <w:r>
        <w:t xml:space="preserve"> Antinéoplasiques et immunomodulateurs ; Antagoniste hormonal ; SERM (Selective Estrogen Receptor Modulator) anti-estrogénique ; Traitement adjuvant du cancer du sein hormonosensible ; Liste I.</w:t>
      </w:r>
    </w:p>
    <w:p>
      <w:r>
        <w:t>Le Tamoxifène (citrate de Tamoxifène) est le SERM anti-estrogénique de référence dans le traitement adjuvant du cancer du sein à récepteurs hormonaux positifs. Sa structure chimique de triphényléthylène dérivé, proche du diéthylstilbestrol, lui confère une affinité modérée pour le récepteur des estrogènes (ERα et ERβ) avec un profil d'activité tissu-spécifique (antagoniste mammaire, agoniste partiel endométrial, agoniste osseux et hépatique). Découvert en 1962 et commercialisé depuis 1973, le Tamoxifène reste, malgré l'essor des inhibiteurs de l'aromatase chez la femme ménopausée, le traitement hormonal adjuvant de référence chez la femme pré-ménopausique et conserve une place majeure chez la femme ménopausique en cas de contre-indication aux inhibiteurs de l'aromatase. Son administration orale, sa demi-vie longue (5 à 7 jours) autorisant une prise quotidienne unique, son coût modeste et l'existence de multiples génériques en font le traitement adjuvant le plus largement prescrit en oncologie mammaire en Algérie.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NOLVADEX</w:t>
            </w:r>
          </w:p>
        </w:tc>
        <w:tc>
          <w:tcPr>
            <w:tcW w:type="dxa" w:w="1559"/>
          </w:tcPr>
          <w:p>
            <w:r>
              <w:rPr>
                <w:sz w:val="20"/>
              </w:rPr>
              <w:t>ASTRA ZENECA</w:t>
            </w:r>
          </w:p>
        </w:tc>
        <w:tc>
          <w:tcPr>
            <w:tcW w:type="dxa" w:w="1559"/>
          </w:tcPr>
          <w:p>
            <w:r>
              <w:rPr>
                <w:sz w:val="20"/>
              </w:rPr>
              <w:t>Comprimé pelliculé 10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TAMOXIFEN EBEWE 20MG</w:t>
            </w:r>
          </w:p>
        </w:tc>
        <w:tc>
          <w:tcPr>
            <w:tcW w:type="dxa" w:w="1559"/>
          </w:tcPr>
          <w:p>
            <w:r>
              <w:rPr>
                <w:sz w:val="20"/>
              </w:rPr>
              <w:t>EBEWE PHARMA GES MBH NFG KG</w:t>
            </w:r>
          </w:p>
        </w:tc>
        <w:tc>
          <w:tcPr>
            <w:tcW w:type="dxa" w:w="1559"/>
          </w:tcPr>
          <w:p>
            <w:r>
              <w:rPr>
                <w:sz w:val="20"/>
              </w:rPr>
              <w:t>Comprimé 20 mg</w:t>
            </w:r>
          </w:p>
        </w:tc>
        <w:tc>
          <w:tcPr>
            <w:tcW w:type="dxa" w:w="1559"/>
          </w:tcPr>
          <w:p>
            <w:r>
              <w:rPr>
                <w:sz w:val="20"/>
              </w:rPr>
              <w:t>B/30</w:t>
            </w:r>
          </w:p>
        </w:tc>
        <w:tc>
          <w:tcPr>
            <w:tcW w:type="dxa" w:w="1559"/>
          </w:tcPr>
          <w:p>
            <w:r>
              <w:rPr>
                <w:sz w:val="20"/>
              </w:rPr>
              <w:t>—</w:t>
            </w:r>
          </w:p>
        </w:tc>
        <w:tc>
          <w:tcPr>
            <w:tcW w:type="dxa" w:w="1559"/>
          </w:tcPr>
          <w:p>
            <w:r>
              <w:rPr>
                <w:sz w:val="20"/>
              </w:rPr>
              <w:t>Actif</w:t>
            </w:r>
          </w:p>
        </w:tc>
      </w:tr>
      <w:tr>
        <w:tc>
          <w:tcPr>
            <w:tcW w:type="dxa" w:w="1559"/>
          </w:tcPr>
          <w:p>
            <w:r>
              <w:rPr>
                <w:sz w:val="20"/>
              </w:rPr>
              <w:t>ONCOMOX</w:t>
            </w:r>
          </w:p>
        </w:tc>
        <w:tc>
          <w:tcPr>
            <w:tcW w:type="dxa" w:w="1559"/>
          </w:tcPr>
          <w:p>
            <w:r>
              <w:rPr>
                <w:sz w:val="20"/>
              </w:rPr>
              <w:t>SUN PHARMACEUTICAL INDUSTRIES LTD</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TAMOXIFENE MYLAN</w:t>
            </w:r>
          </w:p>
        </w:tc>
        <w:tc>
          <w:tcPr>
            <w:tcW w:type="dxa" w:w="1559"/>
          </w:tcPr>
          <w:p>
            <w:r>
              <w:rPr>
                <w:sz w:val="20"/>
              </w:rPr>
              <w:t>MYLAN SAS</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CYTOTAM-20</w:t>
            </w:r>
          </w:p>
        </w:tc>
        <w:tc>
          <w:tcPr>
            <w:tcW w:type="dxa" w:w="1559"/>
          </w:tcPr>
          <w:p>
            <w:r>
              <w:rPr>
                <w:sz w:val="20"/>
              </w:rPr>
              <w:t>CIPLA LTD</w:t>
            </w:r>
          </w:p>
        </w:tc>
        <w:tc>
          <w:tcPr>
            <w:tcW w:type="dxa" w:w="1559"/>
          </w:tcPr>
          <w:p>
            <w:r>
              <w:rPr>
                <w:sz w:val="20"/>
              </w:rPr>
              <w:t>Comprimé 20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NOLVADEX</w:t>
            </w:r>
          </w:p>
        </w:tc>
        <w:tc>
          <w:tcPr>
            <w:tcW w:type="dxa" w:w="1559"/>
          </w:tcPr>
          <w:p>
            <w:r>
              <w:rPr>
                <w:sz w:val="20"/>
              </w:rPr>
              <w:t>ZENECA PHARMA</w:t>
            </w:r>
          </w:p>
        </w:tc>
        <w:tc>
          <w:tcPr>
            <w:tcW w:type="dxa" w:w="1559"/>
          </w:tcPr>
          <w:p>
            <w:r>
              <w:rPr>
                <w:sz w:val="20"/>
              </w:rPr>
              <w:t>Comprimé pelliculé 10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TAMOCIT</w:t>
            </w:r>
          </w:p>
        </w:tc>
        <w:tc>
          <w:tcPr>
            <w:tcW w:type="dxa" w:w="1559"/>
          </w:tcPr>
          <w:p>
            <w:r>
              <w:rPr>
                <w:sz w:val="20"/>
              </w:rPr>
              <w:t>RAM PHARMACEUTICAL INDUSTRIES</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NOLVADEX</w:t>
            </w:r>
          </w:p>
        </w:tc>
        <w:tc>
          <w:tcPr>
            <w:tcW w:type="dxa" w:w="1559"/>
          </w:tcPr>
          <w:p>
            <w:r>
              <w:rPr>
                <w:sz w:val="20"/>
              </w:rPr>
              <w:t>ZENECA PHARMA</w:t>
            </w:r>
          </w:p>
        </w:tc>
        <w:tc>
          <w:tcPr>
            <w:tcW w:type="dxa" w:w="1559"/>
          </w:tcPr>
          <w:p>
            <w:r>
              <w:rPr>
                <w:sz w:val="20"/>
              </w:rPr>
              <w:t>Comprimé 20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TAMOCIT</w:t>
            </w:r>
          </w:p>
        </w:tc>
        <w:tc>
          <w:tcPr>
            <w:tcW w:type="dxa" w:w="1559"/>
          </w:tcPr>
          <w:p>
            <w:r>
              <w:rPr>
                <w:sz w:val="20"/>
              </w:rPr>
              <w:t>RAM PHARMACEUTICAL INDUSTRIES</w:t>
            </w:r>
          </w:p>
        </w:tc>
        <w:tc>
          <w:tcPr>
            <w:tcW w:type="dxa" w:w="1559"/>
          </w:tcPr>
          <w:p>
            <w:r>
              <w:rPr>
                <w:sz w:val="20"/>
              </w:rPr>
              <w:t>Comprimé 20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ONCOTAM</w:t>
            </w:r>
          </w:p>
        </w:tc>
        <w:tc>
          <w:tcPr>
            <w:tcW w:type="dxa" w:w="1559"/>
          </w:tcPr>
          <w:p>
            <w:r>
              <w:rPr>
                <w:sz w:val="20"/>
              </w:rPr>
              <w:t>MAYOLY SPINDLER</w:t>
            </w:r>
          </w:p>
        </w:tc>
        <w:tc>
          <w:tcPr>
            <w:tcW w:type="dxa" w:w="1559"/>
          </w:tcPr>
          <w:p>
            <w:r>
              <w:rPr>
                <w:sz w:val="20"/>
              </w:rPr>
              <w:t>Comprimé pelliculé 20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CYTOTAM-10</w:t>
            </w:r>
          </w:p>
        </w:tc>
        <w:tc>
          <w:tcPr>
            <w:tcW w:type="dxa" w:w="1559"/>
          </w:tcPr>
          <w:p>
            <w:r>
              <w:rPr>
                <w:sz w:val="20"/>
              </w:rPr>
              <w:t>CIPLA LTD</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NEOPHEDAN-10</w:t>
            </w:r>
          </w:p>
        </w:tc>
        <w:tc>
          <w:tcPr>
            <w:tcW w:type="dxa" w:w="1559"/>
          </w:tcPr>
          <w:p>
            <w:r>
              <w:rPr>
                <w:sz w:val="20"/>
              </w:rPr>
              <w:t>PHARMACARE LIMITED</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TAMOXIFENE</w:t>
            </w:r>
          </w:p>
        </w:tc>
        <w:tc>
          <w:tcPr>
            <w:tcW w:type="dxa" w:w="1559"/>
          </w:tcPr>
          <w:p>
            <w:r>
              <w:rPr>
                <w:sz w:val="20"/>
              </w:rPr>
              <w:t>CHIESI WASSERMANN</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ZITAZONIUM</w:t>
            </w:r>
          </w:p>
        </w:tc>
        <w:tc>
          <w:tcPr>
            <w:tcW w:type="dxa" w:w="1559"/>
          </w:tcPr>
          <w:p>
            <w:r>
              <w:rPr>
                <w:sz w:val="20"/>
              </w:rPr>
              <w:t>EGIS S.A</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ONCOTAM-Gé</w:t>
            </w:r>
          </w:p>
        </w:tc>
        <w:tc>
          <w:tcPr>
            <w:tcW w:type="dxa" w:w="1559"/>
          </w:tcPr>
          <w:p>
            <w:r>
              <w:rPr>
                <w:sz w:val="20"/>
              </w:rPr>
              <w:t>MAYOLY SPINDLER S.A.</w:t>
            </w:r>
          </w:p>
        </w:tc>
        <w:tc>
          <w:tcPr>
            <w:tcW w:type="dxa" w:w="1559"/>
          </w:tcPr>
          <w:p>
            <w:r>
              <w:rPr>
                <w:sz w:val="20"/>
              </w:rPr>
              <w:t>Comprimé pelliculé 10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TAMOXIFEN EBEWE 10MG</w:t>
            </w:r>
          </w:p>
        </w:tc>
        <w:tc>
          <w:tcPr>
            <w:tcW w:type="dxa" w:w="1559"/>
          </w:tcPr>
          <w:p>
            <w:r>
              <w:rPr>
                <w:sz w:val="20"/>
              </w:rPr>
              <w:t>EBEWE PHARMA GES mbH Nfg KG</w:t>
            </w:r>
          </w:p>
        </w:tc>
        <w:tc>
          <w:tcPr>
            <w:tcW w:type="dxa" w:w="1559"/>
          </w:tcPr>
          <w:p>
            <w:r>
              <w:rPr>
                <w:sz w:val="20"/>
              </w:rPr>
              <w:t>Comprimé 10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TAMOXIFENE</w:t>
            </w:r>
          </w:p>
        </w:tc>
        <w:tc>
          <w:tcPr>
            <w:tcW w:type="dxa" w:w="1559"/>
          </w:tcPr>
          <w:p>
            <w:r>
              <w:rPr>
                <w:sz w:val="20"/>
              </w:rPr>
              <w:t>LABORATOIRE PHARMACEUTIQUE ALGERIEN (LPA)</w:t>
            </w:r>
          </w:p>
        </w:tc>
        <w:tc>
          <w:tcPr>
            <w:tcW w:type="dxa" w:w="1559"/>
          </w:tcPr>
          <w:p>
            <w:r>
              <w:rPr>
                <w:sz w:val="20"/>
              </w:rPr>
              <w:t>Comprimé 20 mg</w:t>
            </w:r>
          </w:p>
        </w:tc>
        <w:tc>
          <w:tcPr>
            <w:tcW w:type="dxa" w:w="1559"/>
          </w:tcPr>
          <w:p>
            <w:r>
              <w:rPr>
                <w:sz w:val="20"/>
              </w:rPr>
              <w:t>B/30</w:t>
            </w:r>
          </w:p>
        </w:tc>
        <w:tc>
          <w:tcPr>
            <w:tcW w:type="dxa" w:w="1559"/>
          </w:tcPr>
          <w:p>
            <w:r>
              <w:rPr>
                <w:sz w:val="20"/>
              </w:rPr>
              <w:t>Liste I</w:t>
            </w:r>
          </w:p>
        </w:tc>
        <w:tc>
          <w:tcPr>
            <w:tcW w:type="dxa" w:w="1559"/>
          </w:tcPr>
          <w:p>
            <w:r>
              <w:rPr>
                <w:sz w:val="20"/>
              </w:rPr>
              <w:t>Retrait (R)</w:t>
            </w:r>
          </w:p>
        </w:tc>
      </w:tr>
    </w:tbl>
    <w:p/>
    <w:p>
      <w:r>
        <w:t>Le marché algérien du Tamoxifène est dominé par le princeps NOLVADEX (AstraZeneca/Zeneca Pharma), commercialisé en 10 mg et 20 mg, complété par le générique TAMOXIFEN EBEWE 20 mg (Ebewe Pharma, Autriche) actif. Les formes à 10 mg et 20 mg coexistent pour permettre une titration posologique progressive (initiation à 10 mg × 2/j ou 20 mg × 1/j) et la couverture des schémas courts (5 ans) comme prolongés (10 ans — essai ATLAS et aTTom). La multiplicité des marques retirées (Cytotam, Neophedan, Zitazonium, Oncotam-gé, Tamoxifène LPA) témoigne de l'évolution du marché depuis la chute du brevet en 2002 et de la consolidation progressive sur quelques références fiables.</w:t>
      </w:r>
    </w:p>
    <w:p>
      <w:r/>
      <w:r>
        <w:rPr>
          <w:b/>
        </w:rPr>
        <w:t>Sous-classe et Mécanisme d'action :</w:t>
      </w:r>
      <w:r/>
    </w:p>
    <w:p>
      <w:pPr>
        <w:pStyle w:val="ListBullet"/>
      </w:pPr>
      <w:r>
        <w:t>Sous-classe : SERM anti-estrogénique de la famille des triphényléthylènes (comme le clomifène, le torémifène et le raloxifène, ce dernier étant un benzothiophène distinct).</w:t>
      </w:r>
    </w:p>
    <w:p>
      <w:pPr>
        <w:pStyle w:val="ListBullet"/>
      </w:pPr>
      <w:r>
        <w:t>Mécanisme d'action : le Tamoxifène se lie de manière compétitive au récepteur des estrogènes ERα (et dans une moindre mesure ERβ), empêchant la liaison de l'estradiol endogène. Le complexe ER-Tamoxifène subit un changement conformationnel spécifique qui diffère de celui induit par l'estradiol : il recrute préférentiellement des co-répresseurs (NCoR, SMRT) dans le tissu mammaire, bloquant la transcription des gènes estrogéno-dépendants (cycline D1, MYC, IGF-1), induisant l'apoptose et bloquant la prolifération tumorale. En revanche, dans l'endomètre, le Tamoxifène recrute des co-activateurs (SRC-1, NCOA3) et exerce un effet agoniste partiel qui stimule la prolifération endométriale (effet carcinogénique à long terme). Au niveau osseux, l'effet agoniste maintient la densité minérale osseuse chez la femme ménopausée (effet protecteur). Au niveau hépatique, l'effet agoniste induit une baisse du LDL-cholestérol et une augmentation des facteurs procoagulants (fibrinogène, facteur VIII, antithrombine III diminuée), expliquant la toxicité thrombotique veineuse. Au niveau hypothalamique, l'antagonisme sur les récepteurs estrogéniques hypothalamiques supprime le rétrocontrôle négatif et induit les bouffées de chaleur.</w:t>
      </w:r>
    </w:p>
    <w:p>
      <w:pPr>
        <w:pStyle w:val="ListBullet"/>
      </w:pPr>
      <w:r>
        <w:t>Métabolisme activation : le Tamoxifène est une prodrogue nécessitant une activation hépatique par CYP3A4 (en N-désméthyl-Tamoxifène) puis CYP2D6 (en Endoxifène, métabolite actif principal dont l'affinité pour ERα est 30 à 100 fois supérieure à celle de la molécule mère). Cette activation par le CYP2D6 explique la perte d'efficacité observée chez les patientes métaboliseuses lentes (polymorphisme CYP2D6 *4/*4 touchant 5 à 10 % des Caucasiennes) et l'interdiction de co-prescrire les inhibiteurs puissants du CYP2D6 (paroxétine, fluoxétine, bupropion).</w:t>
      </w:r>
    </w:p>
    <w:p>
      <w:r/>
      <w:r>
        <w:rPr>
          <w:b/>
        </w:rPr>
        <w:t>Profil Pharmacologique :</w:t>
      </w:r>
      <w:r/>
    </w:p>
    <w:p>
      <w:pPr>
        <w:pStyle w:val="ListBullet"/>
      </w:pPr>
      <w:r>
        <w:t>Indications : (1) Cancer du sein adjuvant hormonosensible (ER+ et/ou PR+) chez la femme pré-ménopausique (traitement de référence, 5 à 10 ans selon le risque) ; (2) Cancer du sein adjuvant hormonosensible chez la femme post-ménopausique en alternative aux IA en cas de contre-indication ou d'intolérance, ou en séquentiel après 2 à 5 ans d'IA ; (3) Cancer du sein métastatique hormonosensible (RC+), en première intention en pré-ménopause ; (4) Prévention du cancer du sein chez la femme à haut risque (antécédents familiaux, lésions à risque : hyperplasie atypique, LCIS, mastopathie à risque) ; (5) Cancer du sein chez l'homme (indication rare, schéma identique à la femme) ; (6) Indications non oncologiques : mastodynie cyclique, gynécomastie masculine idiopathique (hors AMM).</w:t>
      </w:r>
    </w:p>
    <w:p>
      <w:pPr>
        <w:pStyle w:val="ListBullet"/>
      </w:pPr>
      <w:r>
        <w:t>Contre-indications : hypersensibilité au Tamoxifène ou à l'un des excipients ; antécédents de thrombose veineuse profonde (TVP) ou d'embolie pulmonaire (EP) ; antécédents d'accident vasculaire cérébral ischémique transitoire ou constitué ; endométriose active (en raison du risque agoniste endométrial) ; antécédent de cancer de l'endomètre (sauf si le cancer est très précoce et curé) ; troubles de la coagulation constitutionnels (facteur V Leiden, déficit en protéine C/S, antithrombine III) ; grossesse (CI absolue, tératogénicité et embryotoxicité) ; allaitement ; association à la paroxétine ou à la fluoxétine (inhibiteurs puissants du CYP2D6). Précautions : insuffisance hépatique, antécédents de cataracte, polymorphisme CYP2D6 métaboliseur lent.</w:t>
      </w:r>
    </w:p>
    <w:p>
      <w:pPr>
        <w:pStyle w:val="ListBullet"/>
      </w:pPr>
      <w:r>
        <w:t>Effets Indésirables : Très fréquents (&gt; 10 %) : bouffées de chaleur (60 à 80 % des patientes, parfois sévères), sueurs nocturnes, troubles du cycle menstruel (en pré-ménopause : aménorrhée, irregularités, métrorragies), pertes vaginales, sécheresse vaginale, dyspareunie, prurit vulvaire, nausées (15 %), fatigue, céphalées, prise de poids modérée (2 à 4 kg en moyenne), baisse de la libido. Fréquents (1 à 10 %) : thrombose veineuse profonde (incidence annuelle 0,3 à 1 %, soit 2 à 3 fois le risque de base), embolie pulmonaire, thrombophlébite superficielle, events thrombotiques artériels (AVC ischémique, infarctus du myocarde — particulièrement chez la femme âgée fumeuse), hyperplasie endométriale bénigne, polypes endométriaux, métrorragies post-ménopausiques (justifiant une exploration gynécologique systématique), cancer de l'endomètre (incidence cumulée 2 pour 1000 patientes-années versus 0,5 pour le placebo, soit 4 fois le risque de base), alitement transitoire, alopécie modérée, rash cutané, troubles visuels (rétinopathie, kératopathie, cataracte). Peu fréquents (0,1 à 1 %) : hépatotoxicité cytolytique ou cholestatique, hypertriglycéridémie, pancréatite (rare), pneumopathie interstitielle, fibrose hépatique. Rares (&lt; 0,1 %) : hépatite médicamenteuse sévère, vascularite, syndrome d'hypersensibilité (DRESS), syndrome de Stevens-Johnson, nécrose épidermique toxique, kératopathie en bandellette, neuropathie optique ischémique, leucémie aiguë myéloïde (très rare, dose-dépendant, observé surtout après protocoles UFT). Spécifique pré-ménopause : kystes ovariens fonctionnels (par levée du rétrocontrôle), endométrioid hyperplasia.</w:t>
      </w:r>
    </w:p>
    <w:p>
      <w:r/>
      <w:r>
        <w:rPr>
          <w:b/>
        </w:rPr>
        <w:t>Prévention et Gestion des Effets Indésirables :</w:t>
      </w:r>
      <w:r/>
    </w:p>
    <w:p>
      <w:pPr>
        <w:pStyle w:val="ListBullet"/>
      </w:pPr>
      <w:r>
        <w:t>Mesures Préventives : consultation gynécologique initiale systématique (examen clinique, frottis cervico-utérin à jour, échographie pelvienne de référence pour mesurer l'épaisseur endométriale) ; consultation ophtalmologique initiale chez la femme à risque (antécédent de cataracte) ; bilan biologique initial (NFS, plaquettes, ALAT, ASAT, bilirubine, γ-GT, PAL, créatinine, TP/TCA, fibrinogène) ; évaluation du risque thrombotique (antécédents personnels et familiaux, obésité, varices, immobilisation prolongée, tabac, âge &gt; 65 ans) ; évaluation du risque cardiovasculaire global (SCORE2) ; conseils de生活方式 (arrêt du tabac, activité physique régulière, hydratation, éviction de l'immobilisation prolongée) ; évaluation du polymorphisme CYP2D6 dans les centres spécialisés (optionnel, non remboursé en Algérie) ; substitution des inhibiteurs du CYP2D6 (paroxétine, fluoxétine) par des alternatives sans interaction (venlafaxine, escitalopram, gabapentine pour les bouffées de chaleur) ; prescription systématique de calcium-vitamine D (1000 mg/j + 800 UI/j) en cas de femme ménopausée ou de risque ostéoporotique élevé ; prescription d'une contraception efficace non hormonale (DIU au cuivre) ou progestative pure (SIU LNG) chez la femme pré-ménopausique (la contraception estroprogestative est contre-indiquée par antagonisme pharmacologique).</w:t>
      </w:r>
    </w:p>
    <w:p>
      <w:pPr>
        <w:pStyle w:val="ListBullet"/>
      </w:pPr>
      <w:r>
        <w:t>Conduite à Tenir : bouffées de chaleur sévères : traiter en première intention par mesures non pharmacologiques (éviction déclencheurs, hydrothérapie, sophrologie), puis venlafaxine 37,5 à 75 mg/j ou gabapentine 300 mg × 3/j (alternatives au Tamoxifène en cas d'échec) ; métrorragies post-ménopausiques : ARRÊT IMMÉDIAT du Tamoxifène, consultation gynécologique urgente, échographie pelvienne, hystéroscopie avec biopsie endométriale systématique ; suspicion de TVP/EP : arrêt immédiat, examen clinique, D-dimères, écho-Doppler veineux des membres inférieurs, angioscanner thoracique si suspicion d'EP, relais par anticoagulation curative (HBPM puis AVK) et switch vers un IA si la patiente est ménopausée ; thrombose artérielle (AVC, IDM) : arrêt définitif, switch vers un IA ; cancer de l'endomètre confirmé : arrêt définitif du Tamoxifène, prise en charge chirurgicale (hystérectomie totale avec annexectomie bilatérale), discussion switch vers un IA ; hypertriglycéridémie &gt; 5,6 mmol/L : arrêt ou switch, contrôle lipidique (fibrates, oméga-3) ; troubles visuels (baisse d'acuité, scotome) : arrêt, consultation ophtalmologique urgente.</w:t>
      </w:r>
    </w:p>
    <w:p>
      <w:r/>
      <w:r>
        <w:rPr>
          <w:b/>
        </w:rPr>
        <w:t>Interactions Médicamenteuses :</w:t>
      </w:r>
      <w:r/>
    </w:p>
    <w:p>
      <w:pPr>
        <w:pStyle w:val="ListBullet"/>
      </w:pPr>
      <w:r>
        <w:t>CYP2D6 (activation majeure) : association CONTRE-INDIQUÉE avec les inhibiteurs puissants du CYP2D6 (paroxétine — réduction de l'Endoxifène de 60 à 80 %, fluoxétine — réduction similaire, bupropion, quinidine, cinacalet) ; à éviter également avec les inhibiteurs modérés (sertraline, duloxétine, terbinafine). Alternatives recommandées : venlafaxine (faible inhibiteur), escitalopram, citalopram, mirtazapine, gabapentine.</w:t>
      </w:r>
    </w:p>
    <w:p>
      <w:pPr>
        <w:pStyle w:val="ListBullet"/>
      </w:pPr>
      <w:r>
        <w:t>CYP3A4 (métabolisme) : inducteurs (rifampicine, phénytoïne, carbamazépine, phénobarbital, millepertuis) — diminution de l'ASC de l'Endoxifène de 50 %, à éviter ; inhibiteurs (kétoconazole, itraconazole, voriconazole, clarithromycine, ritonavir, jus de pamplemousse) — augmentation modérée de l'ASC, surveillance clinique.</w:t>
      </w:r>
    </w:p>
    <w:p>
      <w:pPr>
        <w:pStyle w:val="ListBullet"/>
      </w:pPr>
      <w:r>
        <w:t>Anticoagulants oraux : potentialisation de l'effet anticoagulant des coumariniques (warfarine, acénocoumarol) par déplacement de la liaison protéique et inhibition du métabolisme ; surveiller l'INR de près (cible à reconsidérer), préférer les HBPM en relais.</w:t>
      </w:r>
    </w:p>
    <w:p>
      <w:pPr>
        <w:pStyle w:val="ListBullet"/>
      </w:pPr>
      <w:r>
        <w:t>Estrogènes et progestatifs : antagonisme pharmacologique — association à proscrire (contraception estroprogestative, THM de la ménopause).</w:t>
      </w:r>
    </w:p>
    <w:p>
      <w:pPr>
        <w:pStyle w:val="ListBullet"/>
      </w:pPr>
      <w:r>
        <w:t>Cytotoxiques : le Tamoxifène potentialise la toxicité hématologique du protocole CMF (cyclophosphamide-méthotrexate-5FU) par inhibition du CYP2C9 et de la CYP3A4 — espacer l'introduction du Tamoxifène de 3 à 4 semaines après la fin du protocole CMF.</w:t>
      </w:r>
    </w:p>
    <w:p>
      <w:pPr>
        <w:pStyle w:val="ListBullet"/>
      </w:pPr>
      <w:r>
        <w:t>Allongement du QTc : le Tamoxifène peut allonger modérément le QTc en cas d'hypokaliémie associée ; prudence avec les antiarythmiques (amiodarone, sotalol), les macrolides, les fluoroquinolones.</w:t>
      </w:r>
    </w:p>
    <w:p>
      <w:pPr>
        <w:pStyle w:val="ListBullet"/>
      </w:pPr>
      <w:r>
        <w:t>Bromocriptine : augmente l'ASC du Tamoxifène de 30 %.</w:t>
      </w:r>
    </w:p>
    <w:p>
      <w:pPr>
        <w:pStyle w:val="ListBullet"/>
      </w:pPr>
      <w:r>
        <w:t>Aminoglutéthimide : diminue l'ASC du Tamoxifène de 50 % (interaction historique, peu pertinente en pratique clinique actuelle).</w:t>
      </w:r>
    </w:p>
    <w:p>
      <w:r/>
      <w:r>
        <w:rPr>
          <w:b/>
        </w:rPr>
        <w:t>Grossesse et Allaitement :</w:t>
      </w:r>
      <w:r/>
    </w:p>
    <w:p>
      <w:pPr>
        <w:pStyle w:val="ListBullet"/>
      </w:pPr>
      <w:r>
        <w:t>Grossesse : CONTRE-INDICATION ABSOLUE. Le Tamoxifène est tératogène (anomalies cranio-faciales, squelettiques, urogénitales chez l'animal) ; les données limitées chez la femme ne montrent pas d'augmentation du risque malformatif global, mais le risque théorique justifie la contraception stricte pendant le traitement et 2 mois après l'arrêt (demi-vie longue). Chez la femme pré-ménopausique traitée pour cancer du sein, la contraception est obligatoire : DIU au cuivre ou SIU au lévonorgestrel (Mirena®) à privilégier ; la contraception estroprogestative est contre-indiquée par antagonisme pharmacologique ; la contraception progestative microdosée (desogestrel) est discutée. En cas de désir de grossesse chez une patiente traitée par Tamoxifène : arrêt du Tamoxifène 2 à 3 mois avant la conception, surveillance rapprochée oncologique et obstétricale.</w:t>
      </w:r>
    </w:p>
    <w:p>
      <w:pPr>
        <w:pStyle w:val="ListBullet"/>
      </w:pPr>
      <w:r>
        <w:t>Allaitement : CONTRE-INDICATION ABSOLUE. Le Tamoxifène et son métabolite Endoxifène passent dans le lait maternel (rapport concentrations lait/plasma ~ 0,7) avec une demi-vie d'élimination prolongée (5 à 7 jours) ; le risque pour le nourrisson (perturbation endocrinienne, effet anti-estrogénique) justifie l'interdiction absolue de l'allaitement pendant le traitement et 2 mois après l'arrêt.</w:t>
      </w:r>
    </w:p>
    <w:p>
      <w:r/>
      <w:r>
        <w:rPr>
          <w:b/>
        </w:rPr>
        <w:t>Posologie et Mode d'administration (Standard) :</w:t>
      </w:r>
      <w:r/>
    </w:p>
    <w:p>
      <w:pPr>
        <w:pStyle w:val="ListBullet"/>
      </w:pPr>
      <w:r>
        <w:t>Adulte (cancer adjuvant) : 20 mg une fois par jour en une prise quotidienne unique (préférable) ou 10 mg × 2/j en deux prises ; la dose standard est 20 mg/j en une prise unique (matin ou soir, à heure fixe). En cas d'association à un agoniste du GnRH (femme pré-ménopausique à haut risque, protocole SOFT/TEXT), la posologie reste 20 mg/j. La durée standard est de 5 ans, prolongeable à 10 ans chez les patientes à haut risque (essai ATLAS et aTTom : bénéfice en survie sans récidive et tendance à la baisse de la mortalité). Chez la femme ménopausée, le schéma séquentiel 5 ans de Tamoxifène puis 5 ans de Létrozole (essai MA.17) ou 2 à 3 ans d'IA puis 5 ans de Tamoxifène (essai IES) est une alternative validée.</w:t>
      </w:r>
    </w:p>
    <w:p>
      <w:pPr>
        <w:pStyle w:val="ListBullet"/>
      </w:pPr>
      <w:r>
        <w:t>Adulte (cancer métastatique) : 20 mg une fois par jour, augmentation possible à 40 mg/j en cas de réponse insuffisante (rarement utilisée).</w:t>
      </w:r>
    </w:p>
    <w:p>
      <w:pPr>
        <w:pStyle w:val="ListBullet"/>
      </w:pPr>
      <w:r>
        <w:t>Adulte (prévention) : 20 mg/j pendant 5 ans (essai NSABP P-1).</w:t>
      </w:r>
    </w:p>
    <w:p>
      <w:pPr>
        <w:pStyle w:val="ListBullet"/>
      </w:pPr>
      <w:r>
        <w:t>Sujet âgé : pas d'adaptation posologique, mais surveillance renforcée (risque thrombotique accru).</w:t>
      </w:r>
    </w:p>
    <w:p>
      <w:pPr>
        <w:pStyle w:val="ListBullet"/>
      </w:pPr>
      <w:r>
        <w:t>Enfant/adolescent : non indiqué.</w:t>
      </w:r>
    </w:p>
    <w:p>
      <w:pPr>
        <w:pStyle w:val="ListBullet"/>
      </w:pPr>
      <w:r>
        <w:t>Insuffisance hépatique modérée à sévère : pas d'adaptation posologique recommandée mais surveillance rapprochée (ALAT/ASAT/bilirubine mensuels 3 mois puis trimestriels).</w:t>
      </w:r>
    </w:p>
    <w:p>
      <w:pPr>
        <w:pStyle w:val="ListBullet"/>
      </w:pPr>
      <w:r>
        <w:t>Insuffisance rénale : pas d'adaptation nécessaire.</w:t>
      </w:r>
    </w:p>
    <w:p>
      <w:pPr>
        <w:pStyle w:val="ListBullet"/>
      </w:pPr>
      <w:r>
        <w:t>Mode d'administration : voie orale stricte, à prendre à heure fixe (matin ou soir, indifférent), au cours ou en dehors des repas. Les comprimés ne doivent pas être écrasés ni croqués (amertume, modification de la biodisponibilité). En cas de sonde gastrique : dispersion dans 30 mL d'eau, rinçage.</w:t>
      </w:r>
    </w:p>
    <w:p>
      <w:pPr>
        <w:pStyle w:val="ListBullet"/>
      </w:pPr>
      <w:r>
        <w:t>En cas d'oubli : ne pas doubler la dose ; prendre la dose oubliée si moins de 12 heures se sont écoulées, sinon attendre la prise suivante.</w:t>
      </w:r>
    </w:p>
    <w:p>
      <w:pPr>
        <w:pStyle w:val="ListBullet"/>
      </w:pPr>
      <w:r>
        <w:t>Durée du traitement : 5 à 10 ans selon le protocole ; ne jamais arrêter brutalement sans avis médical.</w:t>
      </w:r>
    </w:p>
    <w:p>
      <w:r/>
      <w:r>
        <w:rPr>
          <w:b/>
        </w:rPr>
        <w:t>Surveillance Biologique et Suivi Clinique :</w:t>
      </w:r>
      <w:r/>
    </w:p>
    <w:p>
      <w:pPr>
        <w:pStyle w:val="ListBullet"/>
      </w:pPr>
      <w:r>
        <w:t>Hématologique : NFS-plaquettes initiale puis tous les 6 mois (surveillance cytopénies, leucémie secondaire).</w:t>
      </w:r>
    </w:p>
    <w:p>
      <w:pPr>
        <w:pStyle w:val="ListBullet"/>
      </w:pPr>
      <w:r>
        <w:t>Hépatique : ALAT, ASAT, bilirubine, γ-GT, PAL initiale puis trimestrielle 1 an puis semestrielle.</w:t>
      </w:r>
    </w:p>
    <w:p>
      <w:pPr>
        <w:pStyle w:val="ListBullet"/>
      </w:pPr>
      <w:r>
        <w:t>Métabolique : bilan lipidique complet (cholestérol total, LDL, HDL, triglycérides) initiale puis annuelle (le Tamoxifène a un effet globalement favorable sur le LDL mais peut induire une hypertriglycéridémie, parfois &gt; 10 mmol/L justifiant un switch vers IA).</w:t>
      </w:r>
    </w:p>
    <w:p>
      <w:pPr>
        <w:pStyle w:val="ListBullet"/>
      </w:pPr>
      <w:r>
        <w:t>Gynécologique : examen clinique gynécologique annuel (examen speculum, toucher vaginal) ; échographie pelvienne de référence initiale puis à la moindre métrorragie ; consultation urgente en cas de saignement post-ménopausique.</w:t>
      </w:r>
    </w:p>
    <w:p>
      <w:pPr>
        <w:pStyle w:val="ListBullet"/>
      </w:pPr>
      <w:r>
        <w:t>Vasculaire : évaluation du risque thrombotique initial (Wells score si suspicion), palpation des mollets, surveillance des signes d'EP (dyspnée, douleur thoracique).</w:t>
      </w:r>
    </w:p>
    <w:p>
      <w:pPr>
        <w:pStyle w:val="ListBullet"/>
      </w:pPr>
      <w:r>
        <w:t>Ophtalmologique : examen ophtalmologique de référence (acuité, fond d'œil) chez la femme à risque ; consultation en cas de troubles visuels.</w:t>
      </w:r>
    </w:p>
    <w:p>
      <w:pPr>
        <w:pStyle w:val="ListBullet"/>
      </w:pPr>
      <w:r>
        <w:t>Osseux : densitométrie osseuse (DEXA) initiale chez la femme ménopausée, à 2 ans puis tous les 2 à 3 ans ; calcium-vitamine D systématique en cas de femme ménopausée ou de risque ostéoporotique élevé.</w:t>
      </w:r>
    </w:p>
    <w:p>
      <w:pPr>
        <w:pStyle w:val="ListBullet"/>
      </w:pPr>
      <w:r>
        <w:t>Moléculaire : évaluation du statut CYP2D6 (optionnel, non systématique) ; recherche de la mutation par tissulaire en cas d'échec thérapeutique précoce.</w:t>
      </w:r>
    </w:p>
    <w:p>
      <w:pPr>
        <w:pStyle w:val="ListBullet"/>
      </w:pPr>
      <w:r>
        <w:t>Consultation oncologique : tous les 6 mois pendant les 5 premières années, puis annuelle.</w:t>
      </w:r>
    </w:p>
    <w:p>
      <w:r/>
      <w:r>
        <w:rPr>
          <w:b/>
        </w:rPr>
        <w:t>Arbitrage et Bénéfices des Formes Galéniques :</w:t>
      </w:r>
      <w:r/>
    </w:p>
    <w:p>
      <w:r>
        <w:t>Les comprimés à 10 mg et 20 mg coexistent pour permettre une modulation fine de la posologie : 20 mg/j (dose standard) = 1 × 20 mg ou 2 × 10 mg ; 10 mg/j (dose d'initiation ou de prévention) = 1 × 10 mg ; 30 mg/j (rare) = 1 × 20 mg + 1 × 10 mg. La prise unique quotidienne à 20 mg est devenue le standard international, simplifiant l'observance. Le choix entre le princeps Nolvadex (AstraZeneca) et les génériques (Tamoxifen Ebewe, etc.) repose sur la disponibilité locale et le coût ; les génériques doivent être bioéquivalents au princeps (biodisponibilité prouvée), mais certains patients rapportent une meilleure tolérance avec le princeps — témoignage probable d'un effet nocebo inverse ou d'une variabilité de biodisponibilité. Le choix entre comprimés pelliculés (Nolvadex) et comprimés nus (Tamoxifen Ebewe) est essentiellement galénique : les comprimés pelliculés sont plus faciles à avaler et masquent l'amertume, les comprimés nus sont moins coûteux.</w:t>
      </w:r>
    </w:p>
    <w:p>
      <w:r/>
      <w:r>
        <w:rPr>
          <w:b/>
        </w:rPr>
        <w:t>Instructions et Conseils au Patient :</w:t>
      </w:r>
      <w:r/>
    </w:p>
    <w:p>
      <w:pPr>
        <w:pStyle w:val="ListBullet"/>
      </w:pPr>
      <w:r>
        <w:t>Communication : « Le Tamoxifène est un médicament anticancéreux oral qui bloque l'action des hormones féminines (estrogènes) sur votre tumeur du sein. Il se prend une fois par jour, à heure fixe, matin ou soir, au cours ou en dehors des repas. Le traitement dure généralement 5 à 10 ans ; il est essentiel de ne jamais l'arrêter sans avis médical, même en cas d'effets indésirables. Prévenez immédiatement votre médecin en cas de saignement vaginal post-ménopausique, de douleur ou gonflement d'une jambe, d'essoufflement, de douleurs thoraciques, de troubles visuels, de douleurs abdominales intenses ou de couleur jaune des yeux (jaunisse). Évitez l'automédication, en particulier le millepertuis et les produits à base de paroxetine ou fluoxetine (interactions). Prévenez tout médecin consulté que vous prenez du Tamoxifène (en particulier avant chirurgie, traitement anticoagulant ou vaccination). »</w:t>
      </w:r>
    </w:p>
    <w:p>
      <w:pPr>
        <w:pStyle w:val="ListBullet"/>
      </w:pPr>
      <w:r>
        <w:t>Observance : prise à heure fixe (matin ou soir), calendrier d'administration, ne jamais doubler la dose en cas d'oubli, ne jamais interrompre sans avis médical.</w:t>
      </w:r>
    </w:p>
    <w:p>
      <w:pPr>
        <w:pStyle w:val="ListBullet"/>
      </w:pPr>
      <w:r>
        <w:t>Alerte : consulter immédiatement en cas de saignement vaginal, douleur/gonflement jambe, essoufflement, douleur thoracique, troubles visuels, fièvre, confusion.</w:t>
      </w:r>
    </w:p>
    <w:p>
      <w:pPr>
        <w:pStyle w:val="ListBullet"/>
      </w:pPr>
      <w:r>
        <w:t>Contraception : obligatoire chez la femme en âge de procréer (DIU au cuivre ou SIU LNG à privilégier), pendant le traitement et 2 mois après l'arrêt.</w:t>
      </w:r>
    </w:p>
    <w:p>
      <w:pPr>
        <w:pStyle w:val="ListBullet"/>
      </w:pPr>
      <w:r>
        <w:t>Hygiène de vie : arrêt du tabac (synergie thrombotique), activité physique régulière (réduit les bouffées de chaleur et protège contre l'ostéoporose), éviction de l'immobilisation prolongée (longs vols : lever toutes les 2 heures, hydratation, contention élastique).</w:t>
      </w:r>
    </w:p>
    <w:p>
      <w:r/>
      <w:r>
        <w:rPr>
          <w:b/>
        </w:rPr>
        <w:t>Notes, Règles d'Or &amp; Pièges au Comptoir :</w:t>
      </w:r>
      <w:r/>
    </w:p>
    <w:p>
      <w:pPr>
        <w:pStyle w:val="ListBullet"/>
      </w:pPr>
      <w:r>
        <w:t>Piège : l'association Tamoxifène + paroxétine ou fluoxétine est CONTRE-INDIQUÉE. Beaucoup de patientes sous Tamoxifène reçoivent un antidépresseur pour les bouffées de chaleur ; vérifier systématiquement la compatibilité. Alternative : venlafaxine (Effexor®), qui n'inhibe pas le CYP2D6.</w:t>
      </w:r>
    </w:p>
    <w:p>
      <w:pPr>
        <w:pStyle w:val="ListBullet"/>
      </w:pPr>
      <w:r>
        <w:t>Piège : le saignement vaginal post-ménopausique sous Tamoxifène n'est JAMAIS banal — il impose une consultation gynécologique urgente avec hystéroscopie-biopsie pour éliminer un cancer de l'endomètre.</w:t>
      </w:r>
    </w:p>
    <w:p>
      <w:pPr>
        <w:pStyle w:val="ListBullet"/>
      </w:pPr>
      <w:r>
        <w:t>Règle : le Tamoxifène ne doit pas être initié en cas d'antécédent de TVP/EP sans discussion spécialisée et mise en place d'une prophylaxie anticoagulante.</w:t>
      </w:r>
    </w:p>
    <w:p>
      <w:pPr>
        <w:pStyle w:val="ListBullet"/>
      </w:pPr>
      <w:r>
        <w:t>Piège : la prise concomitante de Tamoxifène et de contraception estroprogestative antagonise l'effet anti-estrogénique du Tamoxifène et expose à une inefficacité thérapeutique.</w:t>
      </w:r>
    </w:p>
    <w:p>
      <w:pPr>
        <w:pStyle w:val="ListBullet"/>
      </w:pPr>
      <w:r>
        <w:t>Règle : chez la femme pré-ménopausique souhaitant une grossesse, le Tamoxifène doit être interrompu au moins 2 à 3 mois avant la conception (demi-vie longue).</w:t>
      </w:r>
    </w:p>
    <w:p>
      <w:pPr>
        <w:pStyle w:val="ListBullet"/>
      </w:pPr>
      <w:r>
        <w:t>Piège : le polymorphisme CYP2D6 métaboliseur lent (5 à 10 % des Caucasiennes) réduit l'efficacité du Tamoxifène — discuter un switch vers un IA en association à un agoniste GnRH chez ces patientes.</w:t>
      </w:r>
    </w:p>
    <w:p>
      <w:pPr>
        <w:pStyle w:val="ListBullet"/>
      </w:pPr>
      <w:r>
        <w:t>Règle : les patientes devant subir une chirurgie programmée doivent interrompre le Tamoxifène 4 semaines avant l'intervention et 2 semaines après (risque thrombotique accru en péri-opératoire).</w:t>
      </w:r>
    </w:p>
    <w:p>
      <w:pPr>
        <w:pStyle w:val="ListBullet"/>
      </w:pPr>
      <w:r>
        <w:t>Piège : le Tamoxifène peut induire des kystes ovariens fonctionnels en pré-ménopause (par levée du rétrocontrôle) — surveiller par échographie pelvienne.</w:t>
      </w:r>
    </w:p>
    <w:p>
      <w:pPr>
        <w:pStyle w:val="ListBullet"/>
      </w:pPr>
      <w:r>
        <w:t>Règle : la durée prolongée du traitement (5 à 10 ans) expose à un risque d'observance défaillante — insister sur l'importance de la poursuite au-delà de 5 ans chez les patientes à haut risque.</w:t>
      </w:r>
    </w:p>
    <w:p>
      <w:pPr>
        <w:pStyle w:val="Heading3"/>
      </w:pPr>
      <w:r>
        <w:t>107.2 DCI : Anastrozole</w:t>
      </w:r>
    </w:p>
    <w:p>
      <w:r/>
      <w:r>
        <w:rPr>
          <w:b/>
        </w:rPr>
        <w:t>Liste des Catégories :</w:t>
      </w:r>
      <w:r>
        <w:t xml:space="preserve"> Antinéoplasiques et immunomodulateurs ; Antagoniste hormonal ; Inhibiteur de l'aromatase non stéroïdien (3e génération) ; Traitement adjuvant du cancer du sein post-ménopausique ; Liste I.</w:t>
      </w:r>
    </w:p>
    <w:p>
      <w:r>
        <w:t>L'Anastrozole est le premier inhibiteur de l'aromatase (IA) non stéroïdien de 3e génération commercialisé (Arimidex®, AstraZeneca, 1995) et le premier à avoir démontré une supériorité sur le Tamoxifène dans le cancer du sein post-ménopausique adjuvant (essai ATAC, publiée en 2002). Sa structure chimique de dérivé triazolique, simple et non stéroïdienne, lui confère une sélectivité élevée pour le CYP19A1 (aromatase) et une absence d'effet sur les autres cytochromes P450 stéroïdogéniques (CYP17, CYP11A1, CYP21). Son administration orale, sa demi-vie de 40 à 50 heures autorisant une prise quotidienne unique, sa tolérance générale satisfaisante et l'absence de toxicité thrombotique et endométriale en font le traitement adjuvant de référence de la femme post-ménopausique présentant un cancer du sein à récepteurs hormonaux positifs. La disponibilité de 9 spécialités en Algérie (1 princeps Arimidex + 8 génériques) reflète la maturité du marché générique oncologique algérien.</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ANASTRODEX</w:t>
            </w:r>
          </w:p>
        </w:tc>
        <w:tc>
          <w:tcPr>
            <w:tcW w:type="dxa" w:w="1559"/>
          </w:tcPr>
          <w:p>
            <w:r>
              <w:rPr>
                <w:sz w:val="20"/>
              </w:rPr>
              <w:t>CONTINENTAL PHARM</w:t>
            </w:r>
          </w:p>
        </w:tc>
        <w:tc>
          <w:tcPr>
            <w:tcW w:type="dxa" w:w="1559"/>
          </w:tcPr>
          <w:p>
            <w:r>
              <w:rPr>
                <w:sz w:val="20"/>
              </w:rPr>
              <w:t>Comprimé pelliculé 1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ANASTROZOLE CINFA</w:t>
            </w:r>
          </w:p>
        </w:tc>
        <w:tc>
          <w:tcPr>
            <w:tcW w:type="dxa" w:w="1559"/>
          </w:tcPr>
          <w:p>
            <w:r>
              <w:rPr>
                <w:sz w:val="20"/>
              </w:rPr>
              <w:t>CINFA S.A.</w:t>
            </w:r>
          </w:p>
        </w:tc>
        <w:tc>
          <w:tcPr>
            <w:tcW w:type="dxa" w:w="1559"/>
          </w:tcPr>
          <w:p>
            <w:r>
              <w:rPr>
                <w:sz w:val="20"/>
              </w:rPr>
              <w:t>Comprimé pelliculé 1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SEROSOL</w:t>
            </w:r>
          </w:p>
        </w:tc>
        <w:tc>
          <w:tcPr>
            <w:tcW w:type="dxa" w:w="1559"/>
          </w:tcPr>
          <w:p>
            <w:r>
              <w:rPr>
                <w:sz w:val="20"/>
              </w:rPr>
              <w:t>EL KENDI INDUSTRIE DU MEDICAMENT</w:t>
            </w:r>
          </w:p>
        </w:tc>
        <w:tc>
          <w:tcPr>
            <w:tcW w:type="dxa" w:w="1559"/>
          </w:tcPr>
          <w:p>
            <w:r>
              <w:rPr>
                <w:sz w:val="20"/>
              </w:rPr>
              <w:t>Comprimé pelliculé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ANASTROZOLE DEMOCEDES</w:t>
            </w:r>
          </w:p>
        </w:tc>
        <w:tc>
          <w:tcPr>
            <w:tcW w:type="dxa" w:w="1559"/>
          </w:tcPr>
          <w:p>
            <w:r>
              <w:rPr>
                <w:sz w:val="20"/>
              </w:rPr>
              <w:t>DEMOCEDES PHARMA ALGERIE</w:t>
            </w:r>
          </w:p>
        </w:tc>
        <w:tc>
          <w:tcPr>
            <w:tcW w:type="dxa" w:w="1559"/>
          </w:tcPr>
          <w:p>
            <w:r>
              <w:rPr>
                <w:sz w:val="20"/>
              </w:rPr>
              <w:t>Comprimé pelliculé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ANASTROZOLE UPC</w:t>
            </w:r>
          </w:p>
        </w:tc>
        <w:tc>
          <w:tcPr>
            <w:tcW w:type="dxa" w:w="1559"/>
          </w:tcPr>
          <w:p>
            <w:r>
              <w:rPr>
                <w:sz w:val="20"/>
              </w:rPr>
              <w:t>SPA UNION PHARMACEUITIQUE CONSTANTINOISE PRODUCTION</w:t>
            </w:r>
          </w:p>
        </w:tc>
        <w:tc>
          <w:tcPr>
            <w:tcW w:type="dxa" w:w="1559"/>
          </w:tcPr>
          <w:p>
            <w:r>
              <w:rPr>
                <w:sz w:val="20"/>
              </w:rPr>
              <w:t>Comprimé pelliculé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ANATREX</w:t>
            </w:r>
          </w:p>
        </w:tc>
        <w:tc>
          <w:tcPr>
            <w:tcW w:type="dxa" w:w="1559"/>
          </w:tcPr>
          <w:p>
            <w:r>
              <w:rPr>
                <w:sz w:val="20"/>
              </w:rPr>
              <w:t>BIOPHARM</w:t>
            </w:r>
          </w:p>
        </w:tc>
        <w:tc>
          <w:tcPr>
            <w:tcW w:type="dxa" w:w="1559"/>
          </w:tcPr>
          <w:p>
            <w:r>
              <w:rPr>
                <w:sz w:val="20"/>
              </w:rPr>
              <w:t>Comprimé pelliculé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ARIMIDEX</w:t>
            </w:r>
          </w:p>
        </w:tc>
        <w:tc>
          <w:tcPr>
            <w:tcW w:type="dxa" w:w="1559"/>
          </w:tcPr>
          <w:p>
            <w:r>
              <w:rPr>
                <w:sz w:val="20"/>
              </w:rPr>
              <w:t>LABORATOIRE JUVISE PHARMACEUTICALS</w:t>
            </w:r>
          </w:p>
        </w:tc>
        <w:tc>
          <w:tcPr>
            <w:tcW w:type="dxa" w:w="1559"/>
          </w:tcPr>
          <w:p>
            <w:r>
              <w:rPr>
                <w:sz w:val="20"/>
              </w:rPr>
              <w:t>Comprimé pelliculé 1 mg</w:t>
            </w:r>
          </w:p>
        </w:tc>
        <w:tc>
          <w:tcPr>
            <w:tcW w:type="dxa" w:w="1559"/>
          </w:tcPr>
          <w:p>
            <w:r>
              <w:rPr>
                <w:sz w:val="20"/>
              </w:rPr>
              <w:t>B/30 et B/90</w:t>
            </w:r>
          </w:p>
        </w:tc>
        <w:tc>
          <w:tcPr>
            <w:tcW w:type="dxa" w:w="1559"/>
          </w:tcPr>
          <w:p>
            <w:r>
              <w:rPr>
                <w:sz w:val="20"/>
              </w:rPr>
              <w:t>Liste I</w:t>
            </w:r>
          </w:p>
        </w:tc>
        <w:tc>
          <w:tcPr>
            <w:tcW w:type="dxa" w:w="1559"/>
          </w:tcPr>
          <w:p>
            <w:r>
              <w:rPr>
                <w:sz w:val="20"/>
              </w:rPr>
              <w:t>Actif</w:t>
            </w:r>
          </w:p>
        </w:tc>
      </w:tr>
      <w:tr>
        <w:tc>
          <w:tcPr>
            <w:tcW w:type="dxa" w:w="1559"/>
          </w:tcPr>
          <w:p>
            <w:r>
              <w:rPr>
                <w:sz w:val="20"/>
              </w:rPr>
              <w:t>GERDOL</w:t>
            </w:r>
          </w:p>
        </w:tc>
        <w:tc>
          <w:tcPr>
            <w:tcW w:type="dxa" w:w="1559"/>
          </w:tcPr>
          <w:p>
            <w:r>
              <w:rPr>
                <w:sz w:val="20"/>
              </w:rPr>
              <w:t>GERDA</w:t>
            </w:r>
          </w:p>
        </w:tc>
        <w:tc>
          <w:tcPr>
            <w:tcW w:type="dxa" w:w="1559"/>
          </w:tcPr>
          <w:p>
            <w:r>
              <w:rPr>
                <w:sz w:val="20"/>
              </w:rPr>
              <w:t>Comprimé pelliculé 1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NOSTROGENE</w:t>
            </w:r>
          </w:p>
        </w:tc>
        <w:tc>
          <w:tcPr>
            <w:tcW w:type="dxa" w:w="1559"/>
          </w:tcPr>
          <w:p>
            <w:r>
              <w:rPr>
                <w:sz w:val="20"/>
              </w:rPr>
              <w:t>HIKMA PHARMA ALGERIA</w:t>
            </w:r>
          </w:p>
        </w:tc>
        <w:tc>
          <w:tcPr>
            <w:tcW w:type="dxa" w:w="1559"/>
          </w:tcPr>
          <w:p>
            <w:r>
              <w:rPr>
                <w:sz w:val="20"/>
              </w:rPr>
              <w:t>Comprimé pelliculé 1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marché algérien de l'Anastrozole est exemplaire de la dynamique du générique oncologique : le princeps ARIMIDEX (Juvise Pharmaceuticals, ex-AstraZeneca) coexiste avec 8 génériques produits majoritairement par l'industrie locale algérienne (Biopharm, Continental Pharm, El Kendi, Democedes, Hikma, UPC) et des partenaires européens (Cinfa, Gerda). La dose unique (1 mg) simplifie la prescription et la dispensation ; le conditionnement de 28 comprimés correspond à la durée de prescription mensuelle (4 semaines). L'absence de dosage alternatif interdit l'adaptation posologique progressive — chez la patiente ne tolérant pas la dose pleine, l'alternative est le switch vers un autre IA ou le Tamoxifène.</w:t>
      </w:r>
    </w:p>
    <w:p>
      <w:r/>
      <w:r>
        <w:rPr>
          <w:b/>
        </w:rPr>
        <w:t>Sous-classe et Mécanisme d'action :</w:t>
      </w:r>
      <w:r/>
    </w:p>
    <w:p>
      <w:pPr>
        <w:pStyle w:val="ListBullet"/>
      </w:pPr>
      <w:r>
        <w:t>Sous-classe : Inhibiteur de l'aromatase non stéroïdien de 3e génération, classe des triazoles (comme le Létrozole), distinct des IA stéroïdiens (Exemestane) qui sont des inactivateurs irréversibles.</w:t>
      </w:r>
    </w:p>
    <w:p>
      <w:pPr>
        <w:pStyle w:val="ListBullet"/>
      </w:pPr>
      <w:r>
        <w:t>Mécanisme d'action : l'Anastrozole inhibe de manière compétitive et réversible l'aromatase (CYP19A1) en coordinant le noyau triazolique avec l'atome de fer du groupe hème de l'enzyme, empêchant la conversion des androgènes (androstènedione, testostérone) en estrogènes (estrone, estradiol). Le blocage est sélectif pour la CYP19A1 (plus de 10 000 fois plus sélectif que pour les autres cytochromes stéroïdogéniques — CYP17, CYP11A1, CYP21, aldosterase synthase). Chez la femme post-ménopausique, dont la production ovarienne d'estradiol est nulle, la conversion périphérique (adipocytaire, hépatique, musculaire, surrénalienne) représente la source quasi-exclusive des estrogènes circulants : l'Anastrozole abaisse l'estrone et l'estradiol sériques de plus de 80 % en 24 heures et de plus de 95 % à l'état d'équilibre, sans affecter la production surrénalienne de cortisol, d'aldostérone ou de thyroxine.</w:t>
      </w:r>
    </w:p>
    <w:p>
      <w:pPr>
        <w:pStyle w:val="ListBullet"/>
      </w:pPr>
      <w:r>
        <w:t>Particularité pharmacologique : l'Anastrozole est INACTIF chez la femme pré-ménopausique (contre-indication absolue) — en bloquant la conversion périphérique, il induit une levée du rétrocontrôle négatif hypothalamique, stimulant la sécrétion de FSH/LH qui à son tour stimule les ovaires — aboutissant paradoxalement à une AUGMENTATION (et non une diminution) des taux d'estradiol et à un risque d'hyperstimulation ovarienne. Chez la femme pré-ménopausique nécessitant un IA, l'association à un agoniste du GnRH (castration chimique) est obligatoire (protocole SOFT/TEXT).</w:t>
      </w:r>
    </w:p>
    <w:p>
      <w:pPr>
        <w:pStyle w:val="ListBullet"/>
      </w:pPr>
      <w:r>
        <w:t>Pharmacocinétique : absorption orale rapide (Tmax 1 à 2 heures), biodisponibilité de 80 à 85 % non affectée par la prise alimentaire, liaison protéique faible (40 %), volume de distribution important, métabolisme hépatique principal par N-déalcylation (CYP3A4) et hydroxylation (CYP3A5), élimination urinaire à 85 % sous forme de métabolites (métabolite principal : triazole, inactif), demi-vie d'élimination de 40 à 50 heures autorisant une prise unique quotidienne. État d'équilibre atteint en 7 à 10 jours.</w:t>
      </w:r>
    </w:p>
    <w:p>
      <w:r/>
      <w:r>
        <w:rPr>
          <w:b/>
        </w:rPr>
        <w:t>Profil Pharmacologique :</w:t>
      </w:r>
      <w:r/>
    </w:p>
    <w:p>
      <w:pPr>
        <w:pStyle w:val="ListBullet"/>
      </w:pPr>
      <w:r>
        <w:t>Indications : (1) Cancer du sein adjuvant post-ménopausique hormonosensible (ER+ et/ou PR+) en première intention (5 ans, prolongeable à 7 à 10 ans selon le risque), en alternative au Tamoxifène en cas de contre-indication ou en switch après 2 à 5 ans de Tamoxifène (essai IES adapté à l'Anastrozole) ; (2) Cancer du sein métastatique post-ménopausique hormonosensible, en première ou seconde ligne (après échec du Tamoxifène) ; (3) Prévention du cancer du sein chez la femme post-ménopausique à haut risque (indication non validée par AMM en Algérie, mais étudiée — essai IBIS-II, efficacité démontrée) ; (4) Cancer du sein masculin (indication rare, hors AMM).</w:t>
      </w:r>
    </w:p>
    <w:p>
      <w:pPr>
        <w:pStyle w:val="ListBullet"/>
      </w:pPr>
      <w:r>
        <w:t>Contre-indications : hypersensibilité à l'Anastrozole ou à l'un des excipients ; femme pré-ménopausique (CI absolue) ; grossesse (CI absolue) ; allaitement (CI absolue) ; insuffisance hépatique sévère (Child-Pugh C) ; insuffisance rénale sévère (clairance créatinine &lt; 20 mL/min) sans dialyse ; association à un THM estrogénique (antagonisme pharmacologique). Précautions : femme âgée (&gt; 75 ans, risque accru de fractures osseuses et d'événements cardiovasculaires), antécédent d'ostéoporose (DEXA T-score &lt; -2,5), antécédent thrombotique veineux ou artériel, hypercholestérolémie préexistante, insuffisance hépatique modérée.</w:t>
      </w:r>
    </w:p>
    <w:p>
      <w:pPr>
        <w:pStyle w:val="ListBullet"/>
      </w:pPr>
      <w:r>
        <w:t>Effets Indésirables : Très fréquents (&gt; 10 %) : bouffées de chaleur (40 à 60 %, parfois moins sévères qu'avec le Tamoxifène), sueurs nocturnes, sécheresse vaginale, dyspareunie, arthralgies (30 à 50 % — syndrome « arthralgies des IA », caractérisé par raideurs matinales des petites articulations des mains et des grosses articulations des épaules, genoux, hanches, souvent invalidantes, pouvant justifier un switch), myalgies, raideur articulaire, fatigue, céphalées, nausées modérées (15 %), diarrhée (10 %), rash cutané, alopécie modérée (15 à 20 %, parfois plus marquée que sous Tamoxifène), bouffées vasomotrices. Fréquents (1 à 10 %) : ostéoporose (perte osseuse de 2 à 4 % par an, densité minérale osseuse diminuée à 5 ans par rapport au Tamoxifène), fractures osseuses (incidence accrue de 30 à 40 % par rapport au Tamoxifène, particulièrement vertébrales et de la hanche), dépression, anxiété, troubles du sommeil, hypercholestérolémie (incidence 8 à 10 % versus 3 % sous Tamoxifène), hypertension artérielle modérée, sécheresse oculaire, syndrome de Raynaud, démangeaisons vaginales, pertes vaginales, vaginite, dysurie. Peu fréquents (0,1 à 1 %) : hépatotoxicité cytolytique modérée, événements thrombotiques veineux (incidence plus faible qu'avec le Tamoxifène, 0,3 % vs 0,5 %), événements cardiovasculaires ischémiques (infarctus du myocarde, angor, AVC ischémique — incidence comparable ou légèrement supérieure au Tamoxifène selon les essais), endométrie atrophique, cervical atypia. Rares (&lt; 0,1 %) : hépatite médicamenteuse sévère, anaphylaxie, angioedème, syndrome d'hypersensibilité (DRESS), ulcération buccale, hypersensibilité cutanée sévère (Stevens-Johnson, nécrose épidermique toxique), hypercalcémie paradoxale (en cas de métastases osseuses).</w:t>
      </w:r>
    </w:p>
    <w:p>
      <w:r/>
      <w:r>
        <w:rPr>
          <w:b/>
        </w:rPr>
        <w:t>Prévention et Gestion des Effets Indésirables :</w:t>
      </w:r>
      <w:r/>
    </w:p>
    <w:p>
      <w:pPr>
        <w:pStyle w:val="ListBullet"/>
      </w:pPr>
      <w:r>
        <w:t>Mesures Préventives : densitométrie osseuse (DEXA) initiale systématique chez toute patiente post-ménopausique, à 1 an puis tous les 2 ans (ou annuelle si T-score &lt; -1,5) ; prescription systématique de calcium-vitamine D (1000 mg/j + 800 UI/j) ; activité physique régulière (marche 30 minutes/jour) ; bilan lipidique complet initial et annuel ; bilan hépatique (ALAT, ASAT, bilirubine, γ-GT, PAL) initial puis trimestriel 1 an puis annuel ; NFS-plaquettes initiale puis annuelle ; consultation gynécologique initiale avec frottis à jour ; évaluation cardiovasculaire (SCORE2) initiale et annuelle ; conseils hygiéno-diététiques (arrêt du tabac, contrôle du poids, activité physique).</w:t>
      </w:r>
    </w:p>
    <w:p>
      <w:pPr>
        <w:pStyle w:val="ListBullet"/>
      </w:pPr>
      <w:r>
        <w:t>Conduite à Tenir : arthralgies sévères : antalgiques de palier 1 (paracétamol), AINS si nécessaire (en cure courte), kinésithérapie, activité physique adaptée ; en cas d'inefficacité, switch vers un autre IA (Exemestane mieux toléré sur les arthralgies selon l'essai MA.27) ou vers le Tamoxifène ; ostéoporose confirmée (T-score &lt; -2,5) ou fractures par fragilité osseuse : introduction d'un bisphosphonate (acide zolédronique 4 mg IV/6 mois ou alendronate 70 mg/sem) ou denosumab 60 mg SC/6 mois (selon les recommandations locales) ; bouffées de chaleur sévères : mesures non pharmacologiques en première intention, venlafaxine 37,5 à 75 mg/j, gabapentine, isoflavones (efficacité modeste) ; hypercholestérolémie : contrôle diététique, statine si LDL élevé (préférer pravastatine ou rosuvastatine, sans interaction médicamenteuse) ; saignement vaginal post-ménopausique : examen gynécologique urgent (risque moindre que sous Tamoxifène mais non nul) ; troubles visuels (sécheresse oculaire) : larmes artificielles.</w:t>
      </w:r>
    </w:p>
    <w:p>
      <w:r/>
      <w:r>
        <w:rPr>
          <w:b/>
        </w:rPr>
        <w:t>Interactions Médicamenteuses :</w:t>
      </w:r>
      <w:r/>
    </w:p>
    <w:p>
      <w:pPr>
        <w:pStyle w:val="ListBullet"/>
      </w:pPr>
      <w:r>
        <w:t>L'Anastrozole présente un profil d'interactions médicamenteuses exceptionnellement favorable, reflet de son métabolisme principal par N-déalcylation (CYP3A4) sans accumulation de métabolites actifs et de sa faible liaison protéique.</w:t>
      </w:r>
    </w:p>
    <w:p>
      <w:pPr>
        <w:pStyle w:val="ListBullet"/>
      </w:pPr>
      <w:r>
        <w:t>Estrogènes et progestatifs : association CONTRE-INDIQUÉE (THM de la ménopause, contraception estroprogestative) — antagonisme pharmacologique.</w:t>
      </w:r>
    </w:p>
    <w:p>
      <w:pPr>
        <w:pStyle w:val="ListBullet"/>
      </w:pPr>
      <w:r>
        <w:t>Tamoxifène : association CONTRE-INDIQUÉE — l'Anastrozole et le Tamoxifène ne doivent pas être associés (antagonisme pharmacocinétique, l'Anastrozole réduit l'ASC de l'Endoxifène de 27 %, et le Tamoxifène réduit l'ASC de l'Anastrozole de 25 %). L'essai ATAC a démontré la supériorité de l'Anastrozole en monothérapie sur l'association Tamoxifène + Anastrozole.</w:t>
      </w:r>
    </w:p>
    <w:p>
      <w:pPr>
        <w:pStyle w:val="ListBullet"/>
      </w:pPr>
      <w:r>
        <w:t>CYP3A4 (métabolisme mineur) : inducteurs (rifampicine, phénytoïne, carbamazépine, phénobarbital, millepertuis) — diminution modérée de l'ASC (non chiffrée), à éviter ; inhibiteurs (kétoconazole, itraconazole, clarithromycine, ritonavir, jus de pamplemousse) — augmentation modeste de l'ASC, surveillance clinique.</w:t>
      </w:r>
    </w:p>
    <w:p>
      <w:pPr>
        <w:pStyle w:val="ListBullet"/>
      </w:pPr>
      <w:r>
        <w:t>Warfarine et AVK : pas d'interaction cliniquement significative (à la différence du Tamoxifène).</w:t>
      </w:r>
    </w:p>
    <w:p>
      <w:pPr>
        <w:pStyle w:val="ListBullet"/>
      </w:pPr>
      <w:r>
        <w:t>Transporteurs : l'Anastrozole n'est pas un substrat significatif de la P-gp ou de la BCRP, et n'a pas d'effet inducteur ou inhibiteur notable sur ces transporteurs.</w:t>
      </w:r>
    </w:p>
    <w:p>
      <w:pPr>
        <w:pStyle w:val="ListBullet"/>
      </w:pPr>
      <w:r>
        <w:t>Antiacides, IPP, anti-H2 : pas d'interaction (l'absorption de l'Anastrozole n'est pas pH-dépendante).</w:t>
      </w:r>
    </w:p>
    <w:p>
      <w:r/>
      <w:r>
        <w:rPr>
          <w:b/>
        </w:rPr>
        <w:t>Grossesse et Allaitement :</w:t>
      </w:r>
      <w:r/>
    </w:p>
    <w:p>
      <w:pPr>
        <w:pStyle w:val="ListBullet"/>
      </w:pPr>
      <w:r>
        <w:t>Grossesse : CONTRE-INDICATION ABSOLUE. L'Anastrozole est tératogène chez l'animal (anomalies squelettiques, foetales, embryotoxicité). En pratique clinique, l'indication est limitée à la femme post-ménopausique (donc théoriquement stérile) ; en cas de doute sur la ménopause (aménorrhée prolongée mais FSH non élevée), la prescription impose une vérification préalable du statut hormonal (FSH &gt; 30 UI/L, estradiol &lt; 20 pg/mL confirmant la ménopause) et une contraception efficace (DIU cuivre ou SIU LNG) tant que la ménopause n'est pas confirmée. En cas de désir de grossesse : arrêt de l'Anastrozole, switch vers le Tamoxifène pendant la grossesse puis retour à l'Anastrozole après l'allaitement.</w:t>
      </w:r>
    </w:p>
    <w:p>
      <w:pPr>
        <w:pStyle w:val="ListBullet"/>
      </w:pPr>
      <w:r>
        <w:t>Allaitement : CONTRE-INDICATION ABSOLUE. Passage de l'Anastrozole et de ses métabolites dans le lait maternel probable (données animales) ; le risque pour le nourrisson (perturbation endocrinienne, inhibition de l'aromatase chez le nourrisson en croissance) justifie l'interdiction absolue de l'allaitement pendant le traitement et 7 jours après l'arrêt (5 demi-vies).</w:t>
      </w:r>
    </w:p>
    <w:p>
      <w:r/>
      <w:r>
        <w:rPr>
          <w:b/>
        </w:rPr>
        <w:t>Posologie et Mode d'administration (Standard) :</w:t>
      </w:r>
      <w:r/>
    </w:p>
    <w:p>
      <w:pPr>
        <w:pStyle w:val="ListBullet"/>
      </w:pPr>
      <w:r>
        <w:t>Adulte : 1 mg une fois par jour en une prise quotidienne unique (matin ou soir, indifférent), au cours ou en dehors des repas. La dose standard est 1 mg/j ; il n'existe pas d'adaptation posologique (dose unique disponible).</w:t>
      </w:r>
    </w:p>
    <w:p>
      <w:pPr>
        <w:pStyle w:val="ListBullet"/>
      </w:pPr>
      <w:r>
        <w:t>Schéma adjuvant : 5 ans en première intention, prolongeable à 7 à 10 ans selon le risque (essai MA.17R avec le Létrozole, données extrapolées à l'Anastrozole) ; switch après 2 à 5 ans de Tamoxifène pour compléter 5 ans d'hormonothérapie (données de l'essai ABCSG-8/ARNO avec l'Anastrozole).</w:t>
      </w:r>
    </w:p>
    <w:p>
      <w:pPr>
        <w:pStyle w:val="ListBullet"/>
      </w:pPr>
      <w:r>
        <w:t>Cancer métastatique : 1 mg/j jusqu'à progression ou intolérance.</w:t>
      </w:r>
    </w:p>
    <w:p>
      <w:pPr>
        <w:pStyle w:val="ListBullet"/>
      </w:pPr>
      <w:r>
        <w:t>Sujet âgé : pas d'adaptation posologique, mais surveillance renforcée (risque osseux et cardiovasculaire accru).</w:t>
      </w:r>
    </w:p>
    <w:p>
      <w:pPr>
        <w:pStyle w:val="ListBullet"/>
      </w:pPr>
      <w:r>
        <w:t>Enfant : non indiqué.</w:t>
      </w:r>
    </w:p>
    <w:p>
      <w:pPr>
        <w:pStyle w:val="ListBullet"/>
      </w:pPr>
      <w:r>
        <w:t>Insuffisance hépatique légère à modérée : pas d'adaptation ; insuffisance hépatique sévère : CONTRE-INDIQUÉE (Child-Pugh C).</w:t>
      </w:r>
    </w:p>
    <w:p>
      <w:pPr>
        <w:pStyle w:val="ListBullet"/>
      </w:pPr>
      <w:r>
        <w:t>Insuffisance rénale légère à modérée : pas d'adaptation ; insuffisance rénale sévère (ClCr &lt; 20 mL/min) sans dialyse : utiliser avec prudence, surveillance clinique.</w:t>
      </w:r>
    </w:p>
    <w:p>
      <w:pPr>
        <w:pStyle w:val="ListBullet"/>
      </w:pPr>
      <w:r>
        <w:t>Mode d'administration : voie orale stricte, à prendre à heure fixe (matin ou soir), au cours ou en dehors des repas. Les comprimés ne doivent pas être écrasés ni croqués. En cas de sonde gastrique : dispersion dans 30 mL d'eau, rinçage.</w:t>
      </w:r>
    </w:p>
    <w:p>
      <w:pPr>
        <w:pStyle w:val="ListBullet"/>
      </w:pPr>
      <w:r>
        <w:t>En cas d'oubli : ne pas doubler la dose ; prendre la dose oubliée si moins de 12 heures se sont écoulées, sinon attendre la prise suivante.</w:t>
      </w:r>
    </w:p>
    <w:p>
      <w:pPr>
        <w:pStyle w:val="ListBullet"/>
      </w:pPr>
      <w:r>
        <w:t>Durée du traitement : 5 à 10 ans selon le protocole ; ne jamais arrêter sans avis médical.</w:t>
      </w:r>
    </w:p>
    <w:p>
      <w:r/>
      <w:r>
        <w:rPr>
          <w:b/>
        </w:rPr>
        <w:t>Surveillance Biologique et Suivi Clinique :</w:t>
      </w:r>
      <w:r/>
    </w:p>
    <w:p>
      <w:pPr>
        <w:pStyle w:val="ListBullet"/>
      </w:pPr>
      <w:r>
        <w:t>Hématologique : NFS-plaquettes initiale puis annuelle (surveillance cytopénies rares).</w:t>
      </w:r>
    </w:p>
    <w:p>
      <w:pPr>
        <w:pStyle w:val="ListBullet"/>
      </w:pPr>
      <w:r>
        <w:t>Hépatique : ALAT, ASAT, bilirubine, γ-GT, PAL initiale puis trimestrielle 3 mois, puis semestrielle 1 an, puis annuelle.</w:t>
      </w:r>
    </w:p>
    <w:p>
      <w:pPr>
        <w:pStyle w:val="ListBullet"/>
      </w:pPr>
      <w:r>
        <w:t>Métabolique : bilan lipidique complet (cholestérol total, LDL, HDL, triglycérides) initiale puis annuelle ; glycémie à jeun initiale puis annuelle.</w:t>
      </w:r>
    </w:p>
    <w:p>
      <w:pPr>
        <w:pStyle w:val="ListBullet"/>
      </w:pPr>
      <w:r>
        <w:t>Osseux : densitométrie osseuse (DEXA) initiale systématique, à 1 an puis tous les 2 ans (ou annuelle si T-score &lt; -1,5) ; calcium et vitamine D sériques initiale puis annuelle ; prescription systématique de calcium-vitamine D (1000 mg/j + 800 UI/j).</w:t>
      </w:r>
    </w:p>
    <w:p>
      <w:pPr>
        <w:pStyle w:val="ListBullet"/>
      </w:pPr>
      <w:r>
        <w:t>Cardiovasculaire : mesure de la pression artérielle initiale puis semestrielle ; ECG initial ; évaluation du risque cardiovasculaire (SCORE2) initiale puis annuelle.</w:t>
      </w:r>
    </w:p>
    <w:p>
      <w:pPr>
        <w:pStyle w:val="ListBullet"/>
      </w:pPr>
      <w:r>
        <w:t>Gynécologique : examen clinique gynécologique annuel (examen speculum, toucher vaginal) ; frottis cervico-utérin annuel ; échographie pelvienne si symptôme (saignement, douleur).</w:t>
      </w:r>
    </w:p>
    <w:p>
      <w:pPr>
        <w:pStyle w:val="ListBullet"/>
      </w:pPr>
      <w:r>
        <w:t>Consultation oncologique : tous les 6 mois pendant les 5 premières années, puis annuelle.</w:t>
      </w:r>
    </w:p>
    <w:p>
      <w:r/>
      <w:r>
        <w:rPr>
          <w:b/>
        </w:rPr>
        <w:t>Arbitrage et Bénéfices des Formes Galéniques :</w:t>
      </w:r>
      <w:r/>
    </w:p>
    <w:p>
      <w:r>
        <w:t>L'Anastrozole est disponible exclusivement en comprimé pelliculé à 1 mg, ce qui simplifie la dispensation et la posologie. Le conditionnement standard est B/28 (4 semaines de traitement mensuel) ou B/30 (variante selon les fabricants) ; le princeps Arimidex est également disponible en B/90 (3 mois de traitement, intéressant pour les patientes éloignées des pharmacies). Le choix entre le princeps et les génériques repose sur la disponibilité locale, le coût (les génériques algériens sont significativement moins chers) et la préférence de la patiente ; les génériques algériens (Anatrex Biopharm, Serosol El Kendi, Anastrozole UPC, Nostrogene Hikma, Anastrodex Continental Pharm) sont soumis aux mêmes exigences de bioéquivalence. L'absence d'autres dosages impose le switch vers un autre IA (Létrozole 2,5 mg ou Exemestane 25 mg) en cas d'intolérance à la dose pleine.</w:t>
      </w:r>
    </w:p>
    <w:p>
      <w:r/>
      <w:r>
        <w:rPr>
          <w:b/>
        </w:rPr>
        <w:t>Instructions et Conseils au Patient :</w:t>
      </w:r>
      <w:r/>
    </w:p>
    <w:p>
      <w:pPr>
        <w:pStyle w:val="ListBullet"/>
      </w:pPr>
      <w:r>
        <w:t>Communication : « L'Anastrozole est un médicament anticancéreux oral qui bloque la production d'hormones féminines (estrogènes) par votre organisme, ce qui prive les cellules cancéreuses du sein de leur carburant. Il se prend une fois par jour, à heure fixe, matin ou soir, au cours ou en dehors des repas. Le traitement dure généralement 5 à 10 ans ; il est essentiel de ne jamais l'arrêter sans avis médical, même en cas d'effets indésirables. Prévenez immédiatement votre médecin en cas de douleurs articulaires invalidantes, de raideurs matinales, de fracture (même minime), de douleurs thoraciques, d'essoufflement, de saignement vaginal, de douleurs abdominales intenses, de couleur jaune des yeux. Évitez le pamplemousse et le millepertuis (interactions). Prévenez tout médecin consulté que vous prenez de l'Anastrozole (en particulier avant chirurgie ou traitement hormonal). »</w:t>
      </w:r>
    </w:p>
    <w:p>
      <w:pPr>
        <w:pStyle w:val="ListBullet"/>
      </w:pPr>
      <w:r>
        <w:t>Observance : prise à heure fixe, calendrier d'administration, ne jamais doubler la dose en cas d'oubli, ne jamais interrompre sans avis médical.</w:t>
      </w:r>
    </w:p>
    <w:p>
      <w:pPr>
        <w:pStyle w:val="ListBullet"/>
      </w:pPr>
      <w:r>
        <w:t>Alerte : consulter immédiatement en cas de fracture, douleur thoracique, dyspnée, saignement vaginal, douleur articulaire sévère, jaunisse.</w:t>
      </w:r>
    </w:p>
    <w:p>
      <w:pPr>
        <w:pStyle w:val="ListBullet"/>
      </w:pPr>
      <w:r>
        <w:t>Prévention osseuse : calcium (1000 mg/j) + vitamine D (800 UI/j) systématiques, activité physique régulière (marche 30 min/jour), exposition solaire modérée, arrêt du tabac.</w:t>
      </w:r>
    </w:p>
    <w:p>
      <w:pPr>
        <w:pStyle w:val="ListBullet"/>
      </w:pPr>
      <w:r>
        <w:t>Hygiène de vie : arrêt du tabac, contrôle du poids, activité physique régulière (réduit les arthralgies et protège l'os), éviction de l'immobilisation prolongée.</w:t>
      </w:r>
    </w:p>
    <w:p>
      <w:r/>
      <w:r>
        <w:rPr>
          <w:b/>
        </w:rPr>
        <w:t>Notes, Règles d'Or &amp; Pièges au Comptoir :</w:t>
      </w:r>
      <w:r/>
    </w:p>
    <w:p>
      <w:pPr>
        <w:pStyle w:val="ListBullet"/>
      </w:pPr>
      <w:r>
        <w:t>Piège : l'Anastrozole ne doit JAMAIS être prescrit chez une femme pré-ménopausique sans association à un agoniste du GnRH — vérifier systématiquement le statut ménopausique (FSH, estradiol) avant l'initiation.</w:t>
      </w:r>
    </w:p>
    <w:p>
      <w:pPr>
        <w:pStyle w:val="ListBullet"/>
      </w:pPr>
      <w:r>
        <w:t>Piège : l'association Tamoxifène + Anastrozole est CONTRE-INDIQUÉE (antagonisme pharmacocinétique et infériorité clinique démontrée dans l'essai ATAC).</w:t>
      </w:r>
    </w:p>
    <w:p>
      <w:pPr>
        <w:pStyle w:val="ListBullet"/>
      </w:pPr>
      <w:r>
        <w:t>Règle : la densitométrie osseuse (DEXA) initiale est systématique avant initiation de l'Anastrozole — l'ostéoporose est une toxicité cumulative dose-dépendante.</w:t>
      </w:r>
    </w:p>
    <w:p>
      <w:pPr>
        <w:pStyle w:val="ListBullet"/>
      </w:pPr>
      <w:r>
        <w:t>Piège : les arthralgies des IA peuvent être confondues avec une polyarthrite rhumatoïde — orienter vers un rhumatologue en cas de raideurs matinales prolongées et de synovite objective.</w:t>
      </w:r>
    </w:p>
    <w:p>
      <w:pPr>
        <w:pStyle w:val="ListBullet"/>
      </w:pPr>
      <w:r>
        <w:t>Règle : les patientes sous Anastrozole doivent recevoir calcium-vitamine D systématiquement ; en cas de T-score &lt; -2,5 ou de fracture par fragilité, introduire un bisphosphonate ou denosumab.</w:t>
      </w:r>
    </w:p>
    <w:p>
      <w:pPr>
        <w:pStyle w:val="ListBullet"/>
      </w:pPr>
      <w:r>
        <w:t>Piège : le switch entre Anastrozole et Létrozole (ou inversement) est légitime en cas d'arthralgies sévères — la tolérance articulaire est variable d'un IA à l'autre chez la même patiente.</w:t>
      </w:r>
    </w:p>
    <w:p>
      <w:pPr>
        <w:pStyle w:val="ListBullet"/>
      </w:pPr>
      <w:r>
        <w:t>Règle : en cas de cancer du sein pré-ménopausique à haut risque nécessitant un IA, l'association IA + agoniste GnRH (castration chimique) est obligatoire (protocole SOFT/TEXT, bénéfice démontré en survie sans récidive à 8 ans).</w:t>
      </w:r>
    </w:p>
    <w:p>
      <w:pPr>
        <w:pStyle w:val="ListBullet"/>
      </w:pPr>
      <w:r>
        <w:t>Piège : la prise concomitante d'un THM de la ménopause antagonise l'effet thérapeutique de l'Anastrozole — association formellement contre-indiquée.</w:t>
      </w:r>
    </w:p>
    <w:p>
      <w:pPr>
        <w:pStyle w:val="Heading3"/>
      </w:pPr>
      <w:r>
        <w:t>107.3 DCI : Létrozole</w:t>
      </w:r>
    </w:p>
    <w:p>
      <w:r/>
      <w:r>
        <w:rPr>
          <w:b/>
        </w:rPr>
        <w:t>Liste des Catégories :</w:t>
      </w:r>
      <w:r>
        <w:t xml:space="preserve"> Antinéoplasiques et immunomodulateurs ; Antagoniste hormonal ; Inhibiteur de l'aromatase non stéroïdien (3e génération) ; Traitement adjuvant du cancer du sein post-ménopausique ; Liste I.</w:t>
      </w:r>
    </w:p>
    <w:p>
      <w:r>
        <w:t>Le Létrozole (Femara®, Novartis, 1996) est le second inhibiteur de l'aromatase non stéroïdien de 3e génération commercialisé, partageant la structure triazolique et le mécanisme compétitif réversible de l'Anastrozole mais avec une puissance supérieure (inhibition de l'aromatase de 98 % versus 90 % à doses thérapeutiques) et un profil d'efficacité au moins équivalent, voire supérieur selon l'essai BIG 1-98 qui a démontré une supériorité en survie sans récidive à 5 ans par rapport au Tamoxifène en première intention. Sa place particulière dans l'arsenal thérapeutique mammaire réside dans son indication dans le protocole séquentiel d'extension adjuvante après 5 ans de Tamoxifène (essai MA.17, bénéfice démontré en survie sans récidive et tendance à la baisse de la mortalité), dans l'induction de l'ovulation en assistance médicale à la procréation (indication hors oncologie), et dans le traitement adjuvant du cancer du sein localement avancé néoadjuvant. Sa disponibilité sous 9 spécialités en Algérie (princeps Femara non renouvelé, 7 génériques actifs) en fait une alternative majeure à l'Anastrozole.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LENAZAX</w:t>
            </w:r>
          </w:p>
        </w:tc>
        <w:tc>
          <w:tcPr>
            <w:tcW w:type="dxa" w:w="1559"/>
          </w:tcPr>
          <w:p>
            <w:r>
              <w:rPr>
                <w:sz w:val="20"/>
              </w:rPr>
              <w:t>BIOPHARM</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LETRODEX</w:t>
            </w:r>
          </w:p>
        </w:tc>
        <w:tc>
          <w:tcPr>
            <w:tcW w:type="dxa" w:w="1559"/>
          </w:tcPr>
          <w:p>
            <w:r>
              <w:rPr>
                <w:sz w:val="20"/>
              </w:rPr>
              <w:t>CONTINENTAL PHARM</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LETROZOLE CINFA</w:t>
            </w:r>
          </w:p>
        </w:tc>
        <w:tc>
          <w:tcPr>
            <w:tcW w:type="dxa" w:w="1559"/>
          </w:tcPr>
          <w:p>
            <w:r>
              <w:rPr>
                <w:sz w:val="20"/>
              </w:rPr>
              <w:t>CINFA S.A.</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MAMOZOL</w:t>
            </w:r>
          </w:p>
        </w:tc>
        <w:tc>
          <w:tcPr>
            <w:tcW w:type="dxa" w:w="1559"/>
          </w:tcPr>
          <w:p>
            <w:r>
              <w:rPr>
                <w:sz w:val="20"/>
              </w:rPr>
              <w:t>DEMOCEDES PHARMA ALGERIE</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LETRAGEN</w:t>
            </w:r>
          </w:p>
        </w:tc>
        <w:tc>
          <w:tcPr>
            <w:tcW w:type="dxa" w:w="1559"/>
          </w:tcPr>
          <w:p>
            <w:r>
              <w:rPr>
                <w:sz w:val="20"/>
              </w:rPr>
              <w:t>EL KENDI INDUSTRIE DU MEDICAMENT</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LETROZOLE UPC</w:t>
            </w:r>
          </w:p>
        </w:tc>
        <w:tc>
          <w:tcPr>
            <w:tcW w:type="dxa" w:w="1559"/>
          </w:tcPr>
          <w:p>
            <w:r>
              <w:rPr>
                <w:sz w:val="20"/>
              </w:rPr>
              <w:t>SPA UNION PHARMACEUITIQUE CONSTANTINOISE PRODUCTION</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LIFUNOR</w:t>
            </w:r>
          </w:p>
        </w:tc>
        <w:tc>
          <w:tcPr>
            <w:tcW w:type="dxa" w:w="1559"/>
          </w:tcPr>
          <w:p>
            <w:r>
              <w:rPr>
                <w:sz w:val="20"/>
              </w:rPr>
              <w:t>HIKMA PHARMA ALGERIA</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FEMARA</w:t>
            </w:r>
          </w:p>
        </w:tc>
        <w:tc>
          <w:tcPr>
            <w:tcW w:type="dxa" w:w="1559"/>
          </w:tcPr>
          <w:p>
            <w:r>
              <w:rPr>
                <w:sz w:val="20"/>
              </w:rPr>
              <w:t>NOVARTIS PHARMA S.A.</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r>
        <w:tc>
          <w:tcPr>
            <w:tcW w:type="dxa" w:w="1559"/>
          </w:tcPr>
          <w:p>
            <w:r>
              <w:rPr>
                <w:sz w:val="20"/>
              </w:rPr>
              <w:t>FEMAZOL</w:t>
            </w:r>
          </w:p>
        </w:tc>
        <w:tc>
          <w:tcPr>
            <w:tcW w:type="dxa" w:w="1559"/>
          </w:tcPr>
          <w:p>
            <w:r>
              <w:rPr>
                <w:sz w:val="20"/>
              </w:rPr>
              <w:t>BIOVITAL</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bl>
    <w:p/>
    <w:p>
      <w:r>
        <w:t>Le marché du Létrozole en Algérie est dominé par les génériques locaux (Lenazax Biopharm, Letrodex Continental Pharm, Letragen El Kendi, Mamozol Democedes, Lifunor Hikma, Létrozole UPC) et un partenaire européen (Létrozole Cinfa). Le princeps FEMARA (Novartis) est marqué « non renouvelable », indiquant qu'il n'est plus commercialisé en l'état sous ce nom, mais ses génériques assurent la continuité thérapeutique. Le dosage unique (2,5 mg) simplifie la prescription. La molécule est largement disponible sur le territoire algérien à un coût modeste grâce à la concurrence entre génériqueurs.</w:t>
      </w:r>
    </w:p>
    <w:p>
      <w:r/>
      <w:r>
        <w:rPr>
          <w:b/>
        </w:rPr>
        <w:t>Sous-classe et Mécanisme d'action :</w:t>
      </w:r>
      <w:r/>
    </w:p>
    <w:p>
      <w:pPr>
        <w:pStyle w:val="ListBullet"/>
      </w:pPr>
      <w:r>
        <w:t>Sous-classe : Inhibiteur de l'aromatase non stéroïdien de 3e génération, classe des triazoles, comme l'Anastrozole. Puissance supérieure à l'Anastrozole (inhibition de l'aromatase périphérique de 98 à 99 % versus 90 % à l'état d'équilibre).</w:t>
      </w:r>
    </w:p>
    <w:p>
      <w:pPr>
        <w:pStyle w:val="ListBullet"/>
      </w:pPr>
      <w:r>
        <w:t>Mécanisme d'action : inhibition compétitive et réversible de l'aromatase (CYP19A1) par coordination du noyau triazolique avec l'atome de fer du groupe hème de l'enzyme. Sélectivité plus de 19 000 fois supérieure pour la CYP19A1 par rapport aux autres cytochromes stéroïdogéniques, ce qui en fait l'IA le plus sélectif de la classe. Chez la femme post-ménopausique, le Létrozole abaisse l'estradiol sérique de 95 % en 2 semaines, l'estrone de 90 %, et l'estrone sulfate de 95 %, avec un effet maximal plus rapide que l'Anastrozole (état d'équilibre à 2 à 6 semaines). Comme pour l'Anastrozole, le Létrozole est INACTIF et CONTRE-INDIQUÉ chez la femme pré-ménopausique non castrée.</w:t>
      </w:r>
    </w:p>
    <w:p>
      <w:pPr>
        <w:pStyle w:val="ListBullet"/>
      </w:pPr>
      <w:r>
        <w:t>Pharmacocinétique : absorption orale rapide et complète (biodisponibilité 99,9 %), indépendante de la prise alimentaire ; liaison protéique faible (60 %, principalement l'albumine) ; volume de distribution important (1,9 L/kg, distribution tissulaire étendue) ; métabolisme hépatique par CYP3A4 et CYP2A6 en métabolite inactif carbinol ; clairance plasmatique de 1,5 L/h ; demi-vie d'élimination d'environ 42 heures (2 jours) autorisant une prise unique quotidienne ; élimination urinaire à 90 % sous forme de métabolites glucuronoconjugués. État d'équilibre atteint en 2 à 6 semaines.</w:t>
      </w:r>
    </w:p>
    <w:p>
      <w:r/>
      <w:r>
        <w:rPr>
          <w:b/>
        </w:rPr>
        <w:t>Profil Pharmacologique :</w:t>
      </w:r>
      <w:r/>
    </w:p>
    <w:p>
      <w:pPr>
        <w:pStyle w:val="ListBullet"/>
      </w:pPr>
      <w:r>
        <w:t>Indications : (1) Cancer du sein adjuvant post-ménopausique hormonosensible en première intention (5 ans, schéma monothérapie) selon l'essai BIG 1-98 ; (2) Switch après 2 à 3 ans de Tamoxifène pour compléter 5 ans d'hormonothérapie (essai BIG 1-98 bras séquentiel) ; (3) Extension adjuvante après 5 ans de Tamoxifène pour 5 ans supplémentaires (essai MA.17, bénéfice démontré en survie sans récidive) ; (4) Cancer du sein localement avancé ou métastatique post-ménopausique, en première ou seconde ligne ; (5) Cancer du sein localement avancé néoadjuvant (pré-opératoire) — protocole de chimiothérapie néoadjuvante hormonale (essai P024, taux de réponse clinique objective de 55 % à 4 mois) ; (6) Indications non oncologiques : induction de l'ovulation chez la femme infertile anovulatoire (induction à la dose de 2,5 à 7,5 mg/j pendant 5 jours du cycle, hors AMM oncologique).</w:t>
      </w:r>
    </w:p>
    <w:p>
      <w:pPr>
        <w:pStyle w:val="ListBullet"/>
      </w:pPr>
      <w:r>
        <w:t>Contre-indications : hypersensibilité au Létrozole ; femme pré-ménopausique (CI absolue) ; grossesse (CI absolue, mais utilisée hors AMM en induction d'ovulation pour infertilité — indication très spécifique sous contrôle spécialisé) ; allaitement (CI absolue) ; insuffisance hépatique sévère ; insuffisance rénale sévère (ClCr &lt; 10 mL/min) ; association à un THM estrogénique. Précautions : femme âgée, ostéoporose préexistante, hypercholestérolémie, antécédents thrombotiques, hépatite chronique.</w:t>
      </w:r>
    </w:p>
    <w:p>
      <w:pPr>
        <w:pStyle w:val="ListBullet"/>
      </w:pPr>
      <w:r>
        <w:t>Effets Indésirables : Très fréquents (&gt; 10 %) : bouffées de chaleur (40 à 60 %), sueurs nocturnes, arthralgies (30 à 50 %, parfois plus sévères qu'avec l'Anastrozole selon certaines études observationnelles), myalgies, raideur articulaire, fatigue, céphalées, nausées modérées (15 %), alopécie modérée (15 à 20 %), hypercholestérolémie (incidence 10 à 15 %, plus élevée qu'avec l'Anastrozole dans l'essai BIG 1-98), sécheresse vaginale, dyspareunie. Fréquents (1 à 10 %) : ostéoporose (perte osseuse de 2 à 4 % par an, comparable à l'Anastrozole), fractures osseuses (incidence accrue, vertébrales et périphériques), dépression, anxiété, insomnie, hypertension artérielle modérée, bouffées congestives, sueurs, vertiges, somnolence, diarrhée, vomissements, dyspepsie, constipation, rash cutané, prurit, sécheresse cutanée. Peu fréquents (0,1 à 1 %) : événements thrombotiques veineux (incidence faible, comparable à l'Anastrozole), événements cardiovasculaires ischémiques (infarctus du myocarde, AVC ischémique — incidence comparable ou légèrement supérieure au Tamoxifène dans BIG 1-98), hépatotoxicité cytolytique, hypertriglycéridémie, hyperglycémie, hypothyroïdie, cataracte. Rares (&lt; 0,1 %) : hépatite médicamenteuse sévère, anaphylaxie, angioedème, syndrome d'hypersensibilité (DRESS), ulcère gastrique, saignement vaginal, hypercalcémie paradoxale (en cas de métastases osseuses).</w:t>
      </w:r>
    </w:p>
    <w:p>
      <w:r/>
      <w:r>
        <w:rPr>
          <w:b/>
        </w:rPr>
        <w:t>Prévention et Gestion des Effets Indésirables :</w:t>
      </w:r>
      <w:r/>
    </w:p>
    <w:p>
      <w:pPr>
        <w:pStyle w:val="ListBullet"/>
      </w:pPr>
      <w:r>
        <w:t>Mesures Préventives : densitométrie osseuse (DEXA) initiale systématique, à 1 an puis tous les 2 ans (ou annuelle si T-score &lt; -1,5) ; prescription systématique de calcium-vitamine D (1000 mg/j + 800 UI/j) ; bilan lipidique complet initial et annuel (le Létrozole induit plus d'hypercholestérolémie que l'Anastrozole) ; bilan hépatique initial puis trimestriel 1 an puis annuel ; évaluation cardiovasculaire (SCORE2) initiale puis annuelle ; activité physique régulière ; conseils hygiéno-diététiques (arrêt du tabac, contrôle du poids, alimentation méditerranéenne).</w:t>
      </w:r>
    </w:p>
    <w:p>
      <w:pPr>
        <w:pStyle w:val="ListBullet"/>
      </w:pPr>
      <w:r>
        <w:t>Conduite à Tenir : arthralgies sévères : antalgiques de palier 1, AINS en cure courte, kinésithérapie, activité physique adaptée ; switch vers un autre IA ou vers le Tamoxifène si échec ; hypercholestérolémie : contrôle diététique, statine si LDL élevé (pravastatine ou rosuvastatine sans interaction) ; ostéoporose confirmée : bisphosphonate (acide zolédronique 4 mg IV/6 mois, alendronate 70 mg/sem) ou denosumab 60 mg SC/6 mois ; bouffées de chaleur sévères : venlafaxine, gabapentine.</w:t>
      </w:r>
    </w:p>
    <w:p>
      <w:r/>
      <w:r>
        <w:rPr>
          <w:b/>
        </w:rPr>
        <w:t>Interactions Médicamenteuses :</w:t>
      </w:r>
      <w:r/>
    </w:p>
    <w:p>
      <w:pPr>
        <w:pStyle w:val="ListBullet"/>
      </w:pPr>
      <w:r>
        <w:t>Comme l'Anastrozole, le Létrozole présente un profil d'interactions médicamenteuses favorable.</w:t>
      </w:r>
    </w:p>
    <w:p>
      <w:pPr>
        <w:pStyle w:val="ListBullet"/>
      </w:pPr>
      <w:r>
        <w:t>Estrogènes et progestatifs : association CONTRE-INDIQUÉE (THM, contraception estroprogestative) — antagonisme pharmacologique.</w:t>
      </w:r>
    </w:p>
    <w:p>
      <w:pPr>
        <w:pStyle w:val="ListBullet"/>
      </w:pPr>
      <w:r>
        <w:t>Tamoxifène : association CONTRE-INDIQUÉE — antagonisme pharmacocinétique (le Tamoxifène réduit l'ASC du Létrozole de 20 %) et infériorité clinique (essai BIG 1-98, bras combinatoire arrêté prématurément).</w:t>
      </w:r>
    </w:p>
    <w:p>
      <w:pPr>
        <w:pStyle w:val="ListBullet"/>
      </w:pPr>
      <w:r>
        <w:t>CYP3A4 et CYP2A6 (métabolisme) : inducteurs (rifampicine, phénytoïne, carbamazépine, phénobarbital, millepertuis) — diminution modérée de l'ASC, à éviter ; inhibiteurs (kétoconazole, itraconazole, clarithromycine, ritonavir, jus de pamplemousse) — augmentation modeste de l'ASC, surveillance clinique.</w:t>
      </w:r>
    </w:p>
    <w:p>
      <w:pPr>
        <w:pStyle w:val="ListBullet"/>
      </w:pPr>
      <w:r>
        <w:t>Warfarine et AVK : pas d'interaction cliniquement significative.</w:t>
      </w:r>
    </w:p>
    <w:p>
      <w:pPr>
        <w:pStyle w:val="ListBullet"/>
      </w:pPr>
      <w:r>
        <w:t>Antiacides, IPP, anti-H2 : pas d'interaction.</w:t>
      </w:r>
    </w:p>
    <w:p>
      <w:pPr>
        <w:pStyle w:val="ListBullet"/>
      </w:pPr>
      <w:r>
        <w:t>Tamoxifène en switch : respecter un délai d'au moins 4 semaines entre l'arrêt du Tamoxifène et l'introduction du Létrozole (et inversement) pour éviter l'antagonisme pharmacocinétique transitoire.</w:t>
      </w:r>
    </w:p>
    <w:p>
      <w:r/>
      <w:r>
        <w:rPr>
          <w:b/>
        </w:rPr>
        <w:t>Grossesse et Allaitement :</w:t>
      </w:r>
      <w:r/>
    </w:p>
    <w:p>
      <w:pPr>
        <w:pStyle w:val="ListBullet"/>
      </w:pPr>
      <w:r>
        <w:t>Grossesse : CONTRE-INDICATION ABSOLUE en oncologie. Le Létrozole est tératogène chez l'animal. Particularité : utilisation hors AMM en induction de l'ovulation chez la femme infertile anovulatoire (à la dose de 2,5 à 7,5 mg/j pendant 5 jours du cycle), indiquée et validée par les sociétés savantes de médecine de la reproduction (mécanisme : augmentation endogène de FSH par levée du rétrocontrôle estrogénique) — le Létrozole est alors administré en début de cycle et INTERROMPU avant l'ovulation, sans poursuite pendant la phase lutéale ni pendant la grossesse. En cas de prescription oncologique chez une femme périménopausique : vérifier systématiquement le statut ménopausique (FSH, estradiol) avant initiation, contraception efficace (DIU cuivre ou SIU LNG) si la ménopause n'est pas confirmée.</w:t>
      </w:r>
    </w:p>
    <w:p>
      <w:pPr>
        <w:pStyle w:val="ListBullet"/>
      </w:pPr>
      <w:r>
        <w:t>Allaitement : CONTRE-INDICATION ABSOLUE. Passage probable dans le lait maternel ; risque pour le nourrisson (inhibition de l'aromatose en croissance, perturbation endocrinienne). Interdiction pendant le traitement et 7 jours après l'arrêt.</w:t>
      </w:r>
    </w:p>
    <w:p>
      <w:r/>
      <w:r>
        <w:rPr>
          <w:b/>
        </w:rPr>
        <w:t>Posologie et Mode d'administration (Standard) :</w:t>
      </w:r>
      <w:r/>
    </w:p>
    <w:p>
      <w:pPr>
        <w:pStyle w:val="ListBullet"/>
      </w:pPr>
      <w:r>
        <w:t>Adulte (cancer adjuvant et métastatique) : 2,5 mg une fois par jour en une prise quotidienne unique, au cours ou en dehors des repas. Dose standard 2,5 mg/j ; pas d'adaptation posologique.</w:t>
      </w:r>
    </w:p>
    <w:p>
      <w:pPr>
        <w:pStyle w:val="ListBullet"/>
      </w:pPr>
      <w:r>
        <w:t>Schéma adjuvant : 5 ans en première intention, prolongeable à 7 à 10 ans selon le risque (essai MA.17R avec extension après 5 ans de Tamoxifène) ; switch après 2 à 5 ans de Tamoxifène pour compléter 5 à 10 ans d'hormonothérapie.</w:t>
      </w:r>
    </w:p>
    <w:p>
      <w:pPr>
        <w:pStyle w:val="ListBullet"/>
      </w:pPr>
      <w:r>
        <w:t>Néoadjuvant (cancer localement avancé) : 2,5 mg/j pendant 4 mois avant chirurgie (essai P024).</w:t>
      </w:r>
    </w:p>
    <w:p>
      <w:pPr>
        <w:pStyle w:val="ListBullet"/>
      </w:pPr>
      <w:r>
        <w:t>Induction de l'ovulation (hors AMM oncologique) : 2,5 à 7,5 mg/j pendant 5 jours du cycle (du J3 au J7), sous surveillance spécialisée en médecine de la reproduction.</w:t>
      </w:r>
    </w:p>
    <w:p>
      <w:pPr>
        <w:pStyle w:val="ListBullet"/>
      </w:pPr>
      <w:r>
        <w:t>Sujet âgé : pas d'adaptation posologique.</w:t>
      </w:r>
    </w:p>
    <w:p>
      <w:pPr>
        <w:pStyle w:val="ListBullet"/>
      </w:pPr>
      <w:r>
        <w:t>Enfant : non indiqué (sauf protocoles pédiatriques spécifiques en oncologie, hors AMM).</w:t>
      </w:r>
    </w:p>
    <w:p>
      <w:pPr>
        <w:pStyle w:val="ListBullet"/>
      </w:pPr>
      <w:r>
        <w:t>Insuffisance hépatique légère à modérée : pas d'adaptation ; insuffisance hépatique sévère : CONTRE-INDIQUÉE.</w:t>
      </w:r>
    </w:p>
    <w:p>
      <w:pPr>
        <w:pStyle w:val="ListBullet"/>
      </w:pPr>
      <w:r>
        <w:t>Insuffisance rénale légère à modérée : pas d'adaptation ; insuffisance rénale sévère (ClCr &lt; 10 mL/min) : surveillance rapprochée.</w:t>
      </w:r>
    </w:p>
    <w:p>
      <w:pPr>
        <w:pStyle w:val="ListBullet"/>
      </w:pPr>
      <w:r>
        <w:t>Mode d'administration : voie orale stricte, prise à heure fixe, au cours ou en dehors des repas. Comprimés non écrasés.</w:t>
      </w:r>
    </w:p>
    <w:p>
      <w:pPr>
        <w:pStyle w:val="ListBullet"/>
      </w:pPr>
      <w:r>
        <w:t>En cas d'oubli : ne pas doubler la dose ; prise si &lt; 12 heures, sinon attendre la prise suivante.</w:t>
      </w:r>
    </w:p>
    <w:p>
      <w:pPr>
        <w:pStyle w:val="ListBullet"/>
      </w:pPr>
      <w:r>
        <w:t>Durée du traitement : 5 à 10 ans selon le protocole ; ne jamais arrêter sans avis médical.</w:t>
      </w:r>
    </w:p>
    <w:p>
      <w:r/>
      <w:r>
        <w:rPr>
          <w:b/>
        </w:rPr>
        <w:t>Surveillance Biologique et Suivi Clinique :</w:t>
      </w:r>
      <w:r/>
    </w:p>
    <w:p>
      <w:pPr>
        <w:pStyle w:val="ListBullet"/>
      </w:pPr>
      <w:r>
        <w:t>Hématologique : NFS-plaquettes initiale puis annuelle.</w:t>
      </w:r>
    </w:p>
    <w:p>
      <w:pPr>
        <w:pStyle w:val="ListBullet"/>
      </w:pPr>
      <w:r>
        <w:t>Hépatique : ALAT, ASAT, bilirubine, γ-GT, PAL initiale puis trimestrielle 3 mois, puis semestrielle 1 an, puis annuelle.</w:t>
      </w:r>
    </w:p>
    <w:p>
      <w:pPr>
        <w:pStyle w:val="ListBullet"/>
      </w:pPr>
      <w:r>
        <w:t>Métabolique : bilan lipidique complet (cholestérol total, LDL, HDL, triglycérides) initiale puis semestrielle 1 an puis annuelle (le Létrozole induit plus d'hypercholestérolémie que l'Anastrozole) ; glycémie à jeun initiale puis annuelle.</w:t>
      </w:r>
    </w:p>
    <w:p>
      <w:pPr>
        <w:pStyle w:val="ListBullet"/>
      </w:pPr>
      <w:r>
        <w:t>Osseux : densitométrie osseuse (DEXA) initiale systématique, à 1 an puis tous les 2 ans ; calcium et vitamine D sériques initiale puis annuelle ; calcium-vitamine D systématique.</w:t>
      </w:r>
    </w:p>
    <w:p>
      <w:pPr>
        <w:pStyle w:val="ListBullet"/>
      </w:pPr>
      <w:r>
        <w:t>Cardiovasculaire : pression artérielle initiale puis semestrielle ; ECG initial ; SCORE2 initiale puis annuelle.</w:t>
      </w:r>
    </w:p>
    <w:p>
      <w:pPr>
        <w:pStyle w:val="ListBullet"/>
      </w:pPr>
      <w:r>
        <w:t>Gynécologique : examen clinique gynécologique annuel.</w:t>
      </w:r>
    </w:p>
    <w:p>
      <w:pPr>
        <w:pStyle w:val="ListBullet"/>
      </w:pPr>
      <w:r>
        <w:t>Consultation oncologique : tous les 6 mois pendant 5 ans, puis annuelle.</w:t>
      </w:r>
    </w:p>
    <w:p>
      <w:r/>
      <w:r>
        <w:rPr>
          <w:b/>
        </w:rPr>
        <w:t>Arbitrage et Bénéfices des Formes Galéniques :</w:t>
      </w:r>
      <w:r/>
    </w:p>
    <w:p>
      <w:r>
        <w:t>Le Létrozole est disponible exclusivement en comprimé pelliculé à 2,5 mg, en conditionnement B/30 (1 mois de traitement). Le choix entre le princeps Femara (non renouvelé en Algérie) et les génériques algériens (Lenazax, Letrodex, Letragen, Mamozol, Lifunor, Létrozole UPC) ou le partenaire européen (Létrozole Cinfa) repose sur la disponibilité et le coût. Les génériques algériens assurent une accessibilité thérapeutique élargie à un coût modeste. Le switch Anastrozole → Létrozole (ou inversement) est légitime en cas d'intolérance à l'un des deux IA, la tolérance articulaire pouvant varier d'une molécule à l'autre chez la même patiente.</w:t>
      </w:r>
    </w:p>
    <w:p>
      <w:r/>
      <w:r>
        <w:rPr>
          <w:b/>
        </w:rPr>
        <w:t>Instructions et Conseils au Patient :</w:t>
      </w:r>
      <w:r/>
    </w:p>
    <w:p>
      <w:pPr>
        <w:pStyle w:val="ListBullet"/>
      </w:pPr>
      <w:r>
        <w:t>Communication : « Le Létrozole est un médicament anticancéreux oral qui bloque la production d'hormones féminines (estrogènes) par votre organisme, ce qui prive les cellules cancéreuses du sein de leur carburant. Il se prend une fois par jour, à heure fixe, matin ou soir, au cours ou en dehors des repas. Le traitement dure généralement 5 à 10 ans ; il est essentiel de ne jamais l'arrêter sans avis médical. Prévenez votre médecin en cas de douleurs articulaires invalidantes, de raideurs matinales, de fracture, de douleurs thoraciques, d'essoufflement, de saignement vaginal, de douleurs abdominales. Évitez le pamplemousse et le millepertuis. Prévenez tout médecin consulté que vous prenez du Létrozole. »</w:t>
      </w:r>
    </w:p>
    <w:p>
      <w:pPr>
        <w:pStyle w:val="ListBullet"/>
      </w:pPr>
      <w:r>
        <w:t>Observance : prise à heure fixe, calendrier d'administration, ne jamais doubler la dose, ne jamais interrompre sans avis médical.</w:t>
      </w:r>
    </w:p>
    <w:p>
      <w:pPr>
        <w:pStyle w:val="ListBullet"/>
      </w:pPr>
      <w:r>
        <w:t>Alerte : consulter en cas de fracture, douleur thoracique, dyspnée, saignement vaginal, douleur articulaire sévère, jaunisse.</w:t>
      </w:r>
    </w:p>
    <w:p>
      <w:pPr>
        <w:pStyle w:val="ListBullet"/>
      </w:pPr>
      <w:r>
        <w:t>Prévention osseuse : calcium-vitamine D systématiques, activité physique, arrêt du tabac.</w:t>
      </w:r>
    </w:p>
    <w:p>
      <w:r/>
      <w:r>
        <w:rPr>
          <w:b/>
        </w:rPr>
        <w:t>Notes, Règles d'Or &amp; Pièges au Comptoir :</w:t>
      </w:r>
      <w:r/>
    </w:p>
    <w:p>
      <w:pPr>
        <w:pStyle w:val="ListBullet"/>
      </w:pPr>
      <w:r>
        <w:t>Piège : le Létrozole ne doit JAMAIS être prescrit chez une femme pré-ménopausique sans association à un agoniste du GnRH.</w:t>
      </w:r>
    </w:p>
    <w:p>
      <w:pPr>
        <w:pStyle w:val="ListBullet"/>
      </w:pPr>
      <w:r>
        <w:t>Piège : l'association Tamoxifène + Létrozole est CONTRE-INDIQUÉE (essai BIG 1-98, infériorité démontrée).</w:t>
      </w:r>
    </w:p>
    <w:p>
      <w:pPr>
        <w:pStyle w:val="ListBullet"/>
      </w:pPr>
      <w:r>
        <w:t>Règle : la densitométrie osseuse initiale et le suivi bisannuel sont systématiques.</w:t>
      </w:r>
    </w:p>
    <w:p>
      <w:pPr>
        <w:pStyle w:val="ListBullet"/>
      </w:pPr>
      <w:r>
        <w:t>Piège : le Létrozole induit plus d'hypercholestérolémie que l'Anastrozole — surveillance lipidique renforcée.</w:t>
      </w:r>
    </w:p>
    <w:p>
      <w:pPr>
        <w:pStyle w:val="ListBullet"/>
      </w:pPr>
      <w:r>
        <w:t>Règle : en cas d'arthralgies sévères, le switch vers l'Exemestane (IA stéroïdien) peut être mieux toléré sur le plan articulaire.</w:t>
      </w:r>
    </w:p>
    <w:p>
      <w:pPr>
        <w:pStyle w:val="ListBullet"/>
      </w:pPr>
      <w:r>
        <w:t>Piège : l'indication d'induction de l'ovulation est strictement encadrée (spécialiste en médecine de la reproduction) et ne doit pas être confondue avec l'indication oncologique.</w:t>
      </w:r>
    </w:p>
    <w:p>
      <w:pPr>
        <w:pStyle w:val="ListBullet"/>
      </w:pPr>
      <w:r>
        <w:t>Règle : la durée prolongée (5 à 10 ans) impose une observance rigoureuse — éducation thérapeutique renforcée.</w:t>
      </w:r>
    </w:p>
    <w:p>
      <w:pPr>
        <w:pStyle w:val="Heading3"/>
      </w:pPr>
      <w:r>
        <w:t>107.4 DCI : Exemestane</w:t>
      </w:r>
    </w:p>
    <w:p>
      <w:r/>
      <w:r>
        <w:rPr>
          <w:b/>
        </w:rPr>
        <w:t>Liste des Catégories :</w:t>
      </w:r>
      <w:r>
        <w:t xml:space="preserve"> Antinéoplasiques et immunomodulateurs ; Antagoniste hormonal ; Inhibiteur de l'aromatase stéroïdien (inactivateur irréversible, 3e génération) ; Traitement adjuvant du cancer du sein post-ménopausique ; Liste I.</w:t>
      </w:r>
    </w:p>
    <w:p>
      <w:r>
        <w:t>L'Exemestane (Aromasin®, Pfizer, 1999) occupe une place singulière dans la classe des inhibiteurs de l'aromatase (IA) de 3e génération : il en est le seul représentant stéroïdien, dérivé structurel de l'androstènedione (substrat naturel de l'aromatase), ce qui lui confère un mécanisme d'action original par inactivation irréversible (ou « suicide ») de l'enzyme. Cette particularité mécanistique a deux conséquences cliniques majeures : (i) l'inhibition de l'aromatase persiste plusieurs jours après l'arrêt du traitement, imposant une récupération enzymatique par synthèse de novo (demi-vie de récupération de 3 à 4 jours) ; (ii) la molécule possède une activité androgénique intrinsèque faible (dérivé androstènedione), ce qui pourrait expliquer la moindre incidence d'arthralgies observée sous Exemestane par rapport aux IA non stéroïdiens (essai MA.27 comparant Exemestane à Anastrozole en adjuvant). Sa place dans la stratégie mammaire algérienne est également marquée par son indication en switch après 2 à 3 ans de Tamoxifène (essai IES, bénéfice démontré en survie sans récidive), avec une meilleure tolérance articulaire que les IA non stéroïdiens en switch.</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AROMEX</w:t>
            </w:r>
          </w:p>
        </w:tc>
        <w:tc>
          <w:tcPr>
            <w:tcW w:type="dxa" w:w="1559"/>
          </w:tcPr>
          <w:p>
            <w:r>
              <w:rPr>
                <w:sz w:val="20"/>
              </w:rPr>
              <w:t>SPA UNION PHARMACEUITIQUE CONSTANTINOISE PRODUCTION</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AROMASINE</w:t>
            </w:r>
          </w:p>
        </w:tc>
        <w:tc>
          <w:tcPr>
            <w:tcW w:type="dxa" w:w="1559"/>
          </w:tcPr>
          <w:p>
            <w:r>
              <w:rPr>
                <w:sz w:val="20"/>
              </w:rPr>
              <w:t>PFIZER HOLDING FRANCE</w:t>
            </w:r>
          </w:p>
        </w:tc>
        <w:tc>
          <w:tcPr>
            <w:tcW w:type="dxa" w:w="1559"/>
          </w:tcPr>
          <w:p>
            <w:r>
              <w:rPr>
                <w:sz w:val="20"/>
              </w:rPr>
              <w:t>Comprimé pelliculé 25 mg</w:t>
            </w:r>
          </w:p>
        </w:tc>
        <w:tc>
          <w:tcPr>
            <w:tcW w:type="dxa" w:w="1559"/>
          </w:tcPr>
          <w:p>
            <w:r>
              <w:rPr>
                <w:sz w:val="20"/>
              </w:rPr>
              <w:t>B/30</w:t>
            </w:r>
          </w:p>
        </w:tc>
        <w:tc>
          <w:tcPr>
            <w:tcW w:type="dxa" w:w="1559"/>
          </w:tcPr>
          <w:p>
            <w:r>
              <w:rPr>
                <w:sz w:val="20"/>
              </w:rPr>
              <w:t>Liste I</w:t>
            </w:r>
          </w:p>
        </w:tc>
        <w:tc>
          <w:tcPr>
            <w:tcW w:type="dxa" w:w="1559"/>
          </w:tcPr>
          <w:p>
            <w:r>
              <w:rPr>
                <w:sz w:val="20"/>
              </w:rPr>
              <w:t>Non Renouvelable</w:t>
            </w:r>
          </w:p>
        </w:tc>
      </w:tr>
    </w:tbl>
    <w:p/>
    <w:p>
      <w:r>
        <w:t>Le marché algérien de l'Exemestane est restreint à deux spécialités : le princeps AROMASINE (Pfizer, marqué « non renouvelable ») et un seul générique local AROMEX (Union Pharmaceutique Constantinoise Production). Cette offre limitée reflète à la fois la moindre prescription de l'Exemestane par rapport à l'Anastrozole et au Létrozole (préférence des oncologues pour les IA non stéroïdiens en première intention), et la difficulté technique de produire un générique stéroïdien conforme. La dose unique (25 mg) simplifie la dispensation. Le conditionnement B/30 correspond à 1 mois de traitement.</w:t>
      </w:r>
    </w:p>
    <w:p>
      <w:r/>
      <w:r>
        <w:rPr>
          <w:b/>
        </w:rPr>
        <w:t>Sous-classe et Mécanisme d'action :</w:t>
      </w:r>
      <w:r/>
    </w:p>
    <w:p>
      <w:pPr>
        <w:pStyle w:val="ListBullet"/>
      </w:pPr>
      <w:r>
        <w:t>Sous-classe : Inhibiteur de l'aromatase stéroïdien de 3e génération, classe des androstènediones modifiées (structure 6-méthylidène-androst-1,4-diène-3,17-dione). Seul représentant stéroïdien de la classe des IA de 3e génération.</w:t>
      </w:r>
    </w:p>
    <w:p>
      <w:pPr>
        <w:pStyle w:val="ListBullet"/>
      </w:pPr>
      <w:r>
        <w:t>Mécanisme d'action : l'Exemestane est un substrate synthétique de l'aromatase qui se lie au site actif de l'enzyme avec une affinité comparable à celle du substrate naturel (androstènedione). L'aromatase catalyse la conversion de l'Exemestane en un intermédiaire réactif (un céto-allyl), qui forme une liaison covalente irréversible avec le CYP19A1 (au niveau du groupe hème ou d'un résidu aminoacide proche) — d'où la qualification d'inhibiteur « suicide » ou d'inactivateur irréversible. La conséquence fonctionnelle est une inhibition complète et durable de l'aromatase, ne cédant qu'après synthèse de novo de nouvelles molécules enzymatiques (demi-vie de récupération de 3 à 4 jours). L'inhibition de l'aromatase périphérique atteint 98 % chez la femme post-ménopausique, avec une baisse de l'estrone de 92 %, de l'estradiol de 85 % et de l'estrone sulfate de 58 %. Comme pour les IA non stéroïdiens, l'Exemestane est INACTIF et CONTRE-INDIQUÉ chez la femme pré-ménopausique non castrée.</w:t>
      </w:r>
    </w:p>
    <w:p>
      <w:pPr>
        <w:pStyle w:val="ListBullet"/>
      </w:pPr>
      <w:r>
        <w:t>Activité androgénique : l'Exemestane possède une affinité faible pour le récepteur androgénique (5 % de celle de la DHT), ce qui pourrait expliquer une incidence moindre d'arthralgies et d'ostéoporose par rapport aux IA non stéroïdiens (hypothèse non confirmée en pratique clinique, mais suggérée par l'essai MA.27).</w:t>
      </w:r>
    </w:p>
    <w:p>
      <w:pPr>
        <w:pStyle w:val="ListBullet"/>
      </w:pPr>
      <w:r>
        <w:t>Pharmacocinétique : absorption orale rapide (Tmax 1 à 2 heures), biodisponibilité modeste de 42 % (effet de premier passage hépatique important, augmentée par la prise alimentaire — d'où la recommandation de prise au cours du repas) ; liaison protéique de 90 % ; métabolisme hépatique par CYP3A4 (en 6-hydroxy-Exemestane, actif mais moins puissant) puis conjugué ; demi-vie d'élimination de 24 heures (molécule mère) mais effet pharmacologique prolongé par inactivation irréversible (récupération enzymatique en 3 à 4 jours) ; élimination urinaire et fécale à parts égales. État d'équilibre atteint en 7 jours.</w:t>
      </w:r>
    </w:p>
    <w:p>
      <w:r/>
      <w:r>
        <w:rPr>
          <w:b/>
        </w:rPr>
        <w:t>Profil Pharmacologique :</w:t>
      </w:r>
      <w:r/>
    </w:p>
    <w:p>
      <w:pPr>
        <w:pStyle w:val="ListBullet"/>
      </w:pPr>
      <w:r>
        <w:t>Indications : (1) Cancer du sein adjuvant post-ménopausique hormonosensible en première intention (5 ans) — alternative à l'Anastrozole et au Létrozole (essai TEAM, efficacité comparable à Anastrozole en première ligne, avec un schéma séquentiel 5 ans validé) ; (2) Switch après 2 à 3 ans de Tamoxifène pour compléter 5 à 7 ans d'hormonothérapie (essai IES, bénéfice démontré en survie sans récidive et tendance à la baisse de la mortalité) ; (3) Cancer du sein métastatique post-ménopausique en seconde ligne après échec du Tamoxifène ; (4) Indications hors oncologie : prévention du cancer du sein chez la femme post-ménopausique à haut risque (essai MAP.3, efficacité démontrée — indication non validée par AMM en Algérie).</w:t>
      </w:r>
    </w:p>
    <w:p>
      <w:pPr>
        <w:pStyle w:val="ListBullet"/>
      </w:pPr>
      <w:r>
        <w:t>Contre-indications : hypersensibilité à l'Exemestane ou à l'un des excipients ; femme pré-ménopausique (CI absolue) ; grossesse (CI absolue) ; allaitement (CI absolue) ; insuffisance hépatique sévère ; insuffisance rénale sévère (ClCr &lt; 30 mL/min) ; association à un THM estrogénique. Précautions : femme âgée, ostéoporose préexistante, hypercholestérolémie, antécédents thrombotiques.</w:t>
      </w:r>
    </w:p>
    <w:p>
      <w:pPr>
        <w:pStyle w:val="ListBullet"/>
      </w:pPr>
      <w:r>
        <w:t>Effets Indésirables : Très fréquents (&gt; 10 %) : bouffées de chaleur (25 à 40 %, parfois moindres qu'avec les IA non stéroïdiens), sueurs nocturnes, arthralgies (20 à 35 %, incidence potentiellement moindre qu'avec l'Anastrozole ou le Létrozole selon MA.27, mais non confirmée en pratique), fatigue, céphalées, nausées modérées (15 %), insomnie, dépression, alopécie modérée (15 à 25 %, parfois plus marquée qu'avec les IA non stéroïdiens), sécheresse vaginale, dyspareunie. Fréquents (1 à 10 %) : ostéoporose (perte osseuse de 2 à 3 % par an, potentiellement moindre qu'avec les IA non stéroïdiens), fractures osseuses (incidence comparable aux autres IA), hypertension artérielle modérée, hypercholestérolémie (incidence moindre qu'avec le Létrozole), vertiges, somnolence, diarrhée, vomissements, dyspepsie, constipation, rash cutané, prurit, sécheresse cutanée. Peu fréquents (0,1 à 1 %) : événements thrombotiques veineux (incidence faible), événements cardiovasculaires ischémiques, hépatotoxicité cytolytique, hypertriglycéridémie, hyperglycémie, hypothyroïdie, cataracte. Rares (&lt; 0,1 %) : hépatite médicamenteuse sévère, anaphylaxie, angioedème, syndrome d'hypersensibilité (DRESS), ulcère gastrique, saignement vaginal, hypercalcémie paradoxale (en cas de métastases osseuses), pancytopénie.</w:t>
      </w:r>
    </w:p>
    <w:p>
      <w:r/>
      <w:r>
        <w:rPr>
          <w:b/>
        </w:rPr>
        <w:t>Prévention et Gestion des Effets Indésirables :</w:t>
      </w:r>
      <w:r/>
    </w:p>
    <w:p>
      <w:pPr>
        <w:pStyle w:val="ListBullet"/>
      </w:pPr>
      <w:r>
        <w:t>Mesures Préventives : densitométrie osseuse (DEXA) initiale systématique, à 1 an puis tous les 2 ans ; calcium-vitamine D systématique (1000 mg/j + 800 UI/j) ; bilan lipidique initial puis annuel ; bilan hépatique initial puis trimestriel 1 an puis annuel ; activité physique régulière ; conseils hygiéno-diététiques.</w:t>
      </w:r>
    </w:p>
    <w:p>
      <w:pPr>
        <w:pStyle w:val="ListBullet"/>
      </w:pPr>
      <w:r>
        <w:t>Conduite à Tenir : arthralgies sévères : antalgiques de palier 1, AINS, kinésithérapie, switch vers un autre IA ou le Tamoxifène si échec (l'Exemestane étant parfois mieux toléré que les IA non stéroïdiens, il peut être proposé comme alternative en cas d'arthralgies sous Anastrozole ou Létrozole) ; ostéoporose confirmée : bisphosphonate ou denosumab ; bouffées de chaleur : venlafaxine, gabapentine.</w:t>
      </w:r>
    </w:p>
    <w:p>
      <w:r/>
      <w:r>
        <w:rPr>
          <w:b/>
        </w:rPr>
        <w:t>Interactions Médicamenteuses :</w:t>
      </w:r>
      <w:r/>
    </w:p>
    <w:p>
      <w:pPr>
        <w:pStyle w:val="ListBullet"/>
      </w:pPr>
      <w:r>
        <w:t>L'Exemestane présente un profil d'interactions médicamenteuses comparable à celui des autres IA.</w:t>
      </w:r>
    </w:p>
    <w:p>
      <w:pPr>
        <w:pStyle w:val="ListBullet"/>
      </w:pPr>
      <w:r>
        <w:t>Estrogènes et progestatifs : association CONTRE-INDIQUÉE (THM, contraception estroprogestative).</w:t>
      </w:r>
    </w:p>
    <w:p>
      <w:pPr>
        <w:pStyle w:val="ListBullet"/>
      </w:pPr>
      <w:r>
        <w:t>Tamoxifène : association CONTRE-INDIQUÉE — le Tamoxifène réduit l'ASC de l'Exemestane de 50 % (antagonisme pharmacocinétique majeur, probablement par compétition au niveau du CYP3A4).</w:t>
      </w:r>
    </w:p>
    <w:p>
      <w:pPr>
        <w:pStyle w:val="ListBullet"/>
      </w:pPr>
      <w:r>
        <w:t>CYP3A4 (métabolisme principal) : inducteurs (rifampicine, phénytoïne, carbamazépine, phénobarbital, millepertuis) — diminution de l'ASC de 50 %, à éviter ; inhibiteurs (kétoconazole, itraconazole, clarithromycine, ritonavir, jus de pamplemousse) — augmentation modeste de l'ASC, surveillance clinique.</w:t>
      </w:r>
    </w:p>
    <w:p>
      <w:pPr>
        <w:pStyle w:val="ListBullet"/>
      </w:pPr>
      <w:r>
        <w:t>Prise alimentaire : la prise au cours du repas augmente l'ASC de 40 % et le Cmax de 25 % — recommandation de prise au cours du repas (à l'inverse des IA non stéroïdiens qui peuvent être pris indifféremment).</w:t>
      </w:r>
    </w:p>
    <w:p>
      <w:pPr>
        <w:pStyle w:val="ListBullet"/>
      </w:pPr>
      <w:r>
        <w:t>Warfarine et AVK : pas d'interaction cliniquement significative.</w:t>
      </w:r>
    </w:p>
    <w:p>
      <w:pPr>
        <w:pStyle w:val="ListBullet"/>
      </w:pPr>
      <w:r>
        <w:t>Antiacides, IPP, anti-H2 : pas d'interaction.</w:t>
      </w:r>
    </w:p>
    <w:p>
      <w:r/>
      <w:r>
        <w:rPr>
          <w:b/>
        </w:rPr>
        <w:t>Grossesse et Allaitement :</w:t>
      </w:r>
      <w:r/>
    </w:p>
    <w:p>
      <w:pPr>
        <w:pStyle w:val="ListBullet"/>
      </w:pPr>
      <w:r>
        <w:t>Grossesse : CONTRE-INDICATION ABSOLUE. Tératogénicité chez l'animal. Vérifier systématiquement le statut ménopausique avant initiation ; contraception efficace (DIU cuivre ou SIU LNG) si la ménopause n'est pas confirmée.</w:t>
      </w:r>
    </w:p>
    <w:p>
      <w:pPr>
        <w:pStyle w:val="ListBullet"/>
      </w:pPr>
      <w:r>
        <w:t>Allaitement : CONTRE-INDICATION ABSOLUE. Passage probable dans le lait ; risque pour le nourrisson. Interdiction pendant le traitement et 7 jours après l'arrêt.</w:t>
      </w:r>
    </w:p>
    <w:p>
      <w:r/>
      <w:r>
        <w:rPr>
          <w:b/>
        </w:rPr>
        <w:t>Posologie et Mode d'administration (Standard) :</w:t>
      </w:r>
      <w:r/>
    </w:p>
    <w:p>
      <w:pPr>
        <w:pStyle w:val="ListBullet"/>
      </w:pPr>
      <w:r>
        <w:t>Adulte : 25 mg une fois par jour en une prise quotidienne unique, AU COURS DU REPAS (à l'inverse des IA non stéroïdiens qui peuvent être pris indifféremment). Dose standard 25 mg/j ; pas d'adaptation posologique.</w:t>
      </w:r>
    </w:p>
    <w:p>
      <w:pPr>
        <w:pStyle w:val="ListBullet"/>
      </w:pPr>
      <w:r>
        <w:t>Schéma adjuvant : 5 ans en première intention ou en switch après 2 à 3 ans de Tamoxifène pour compléter 5 ans d'hormonothérapie.</w:t>
      </w:r>
    </w:p>
    <w:p>
      <w:pPr>
        <w:pStyle w:val="ListBullet"/>
      </w:pPr>
      <w:r>
        <w:t>Cancer métastatique : 25 mg/j jusqu'à progression ou intolérance.</w:t>
      </w:r>
    </w:p>
    <w:p>
      <w:pPr>
        <w:pStyle w:val="ListBullet"/>
      </w:pPr>
      <w:r>
        <w:t>Sujet âgé : pas d'adaptation posologique.</w:t>
      </w:r>
    </w:p>
    <w:p>
      <w:pPr>
        <w:pStyle w:val="ListBullet"/>
      </w:pPr>
      <w:r>
        <w:t>Enfant : non indiqué.</w:t>
      </w:r>
    </w:p>
    <w:p>
      <w:pPr>
        <w:pStyle w:val="ListBullet"/>
      </w:pPr>
      <w:r>
        <w:t>Insuffisance hépatique légère à modérée : pas d'adaptation ; insuffisance hépatique sévère : surveillance rapprochée (ASC ×2 à 3 selon les études pharmacocinétiques).</w:t>
      </w:r>
    </w:p>
    <w:p>
      <w:pPr>
        <w:pStyle w:val="ListBullet"/>
      </w:pPr>
      <w:r>
        <w:t>Insuffisance rénale légère à modérée : pas d'adaptation ; insuffisance rénale sévère (ClCr &lt; 30 mL/min) : surveillance clinique (ASC ×2 selon les études).</w:t>
      </w:r>
    </w:p>
    <w:p>
      <w:pPr>
        <w:pStyle w:val="ListBullet"/>
      </w:pPr>
      <w:r>
        <w:t>Mode d'administration : voie orale stricte, prise à heure fixe, AU COURS DU REPAS (petit-déjeuner ou déjeuner). Comprimés non écrasés.</w:t>
      </w:r>
    </w:p>
    <w:p>
      <w:pPr>
        <w:pStyle w:val="ListBullet"/>
      </w:pPr>
      <w:r>
        <w:t>En cas d'oubli : ne pas doubler la dose ; prise si &lt; 8 heures, sinon attendre la prise suivante.</w:t>
      </w:r>
    </w:p>
    <w:p>
      <w:pPr>
        <w:pStyle w:val="ListBullet"/>
      </w:pPr>
      <w:r>
        <w:t>Durée du traitement : 5 ans en standard, prolongeable selon le risque.</w:t>
      </w:r>
    </w:p>
    <w:p>
      <w:r/>
      <w:r>
        <w:rPr>
          <w:b/>
        </w:rPr>
        <w:t>Surveillance Biologique et Suivi Clinique :</w:t>
      </w:r>
      <w:r/>
    </w:p>
    <w:p>
      <w:pPr>
        <w:pStyle w:val="ListBullet"/>
      </w:pPr>
      <w:r>
        <w:t>Hématologique : NFS-plaquettes initiale puis annuelle.</w:t>
      </w:r>
    </w:p>
    <w:p>
      <w:pPr>
        <w:pStyle w:val="ListBullet"/>
      </w:pPr>
      <w:r>
        <w:t>Hépatique : ALAT, ASAT, bilirubine, γ-GT, PAL initiale puis trimestrielle 3 mois, puis semestrielle 1 an, puis annuelle.</w:t>
      </w:r>
    </w:p>
    <w:p>
      <w:pPr>
        <w:pStyle w:val="ListBullet"/>
      </w:pPr>
      <w:r>
        <w:t>Métabolique : bilan lipidique complet initial puis annuelle ; glycémie à jeun initiale puis annuelle.</w:t>
      </w:r>
    </w:p>
    <w:p>
      <w:pPr>
        <w:pStyle w:val="ListBullet"/>
      </w:pPr>
      <w:r>
        <w:t>Osseux : densitométrie osseuse (DEXA) initiale systématique, à 1 an puis tous les 2 ans ; calcium-vitamine D systématique.</w:t>
      </w:r>
    </w:p>
    <w:p>
      <w:pPr>
        <w:pStyle w:val="ListBullet"/>
      </w:pPr>
      <w:r>
        <w:t>Cardiovasculaire : pression artérielle initiale puis semestrielle ; ECG initial ; SCORE2 initiale puis annuelle.</w:t>
      </w:r>
    </w:p>
    <w:p>
      <w:pPr>
        <w:pStyle w:val="ListBullet"/>
      </w:pPr>
      <w:r>
        <w:t>Gynécologique : examen clinique gynécologique annuel.</w:t>
      </w:r>
    </w:p>
    <w:p>
      <w:pPr>
        <w:pStyle w:val="ListBullet"/>
      </w:pPr>
      <w:r>
        <w:t>Consultation oncologique : tous les 6 mois pendant 5 ans, puis annuelle.</w:t>
      </w:r>
    </w:p>
    <w:p>
      <w:r/>
      <w:r>
        <w:rPr>
          <w:b/>
        </w:rPr>
        <w:t>Arbitrage et Bénéfices des Formes Galéniques :</w:t>
      </w:r>
      <w:r/>
    </w:p>
    <w:p>
      <w:r>
        <w:t>L'Exemestane est disponible exclusivement en comprimé pelliculé à 25 mg, en conditionnement B/30. La particularité galénique essentielle est la recommandation de prise AU COURS DU REPAS (à l'inverse des IA non stéroïdiens qui peuvent être pris indifféremment), en raison de l'augmentation de 40 % de l'ASC par la prise alimentaire — recommandation à expliciter clairement à la patiente pour optimiser l'efficacité thérapeutique. Le choix entre le princeps Aromasine (Pfizer, non renouvelé) et le générique Aromex (UPC) repose sur la disponibilité et le coût. Le switch Exemestane ↔ Anastrozole ou Létrozole est légitime en cas d'arthralgies, l'Exemestane étant parfois mieux toléré sur le plan articulaire grâce à son activité androgénique résiduelle.</w:t>
      </w:r>
    </w:p>
    <w:p>
      <w:r/>
      <w:r>
        <w:rPr>
          <w:b/>
        </w:rPr>
        <w:t>Instructions et Conseils au Patient :</w:t>
      </w:r>
      <w:r/>
    </w:p>
    <w:p>
      <w:pPr>
        <w:pStyle w:val="ListBullet"/>
      </w:pPr>
      <w:r>
        <w:t>Communication : « L'Exemestane est un médicament anticancéreux oral qui bloque de manière définitive la production d'hormones féminines (estrogènes) par votre organisme. Il se prend une fois par jour, à heure fixe, AU COURS DU REPAS (c'est important pour son efficacité). Le traitement dure généralement 5 ans ; ne jamais l'arrêter sans avis médical. Prévenez votre médecin en cas de douleurs articulaires, de raideurs matinales, de fracture, de douleurs thoraciques, d'essoufflement, de saignement vaginal, de douleurs abdominales. Évitez le pamplemousse et le millepertuis. Prévenez tout médecin consulté que vous prenez de l'Exemestane. »</w:t>
      </w:r>
    </w:p>
    <w:p>
      <w:pPr>
        <w:pStyle w:val="ListBullet"/>
      </w:pPr>
      <w:r>
        <w:t>Observance : prise à heure fixe, AU COURS DU REPAS, calendrier d'administration.</w:t>
      </w:r>
    </w:p>
    <w:p>
      <w:pPr>
        <w:pStyle w:val="ListBullet"/>
      </w:pPr>
      <w:r>
        <w:t>Alerte : consulter en cas de fracture, douleur thoracique, dyspnée, saignement vaginal, douleur articulaire sévère, jaunisse.</w:t>
      </w:r>
    </w:p>
    <w:p>
      <w:pPr>
        <w:pStyle w:val="ListBullet"/>
      </w:pPr>
      <w:r>
        <w:t>Prévention osseuse : calcium-vitamine D systématiques, activité physique, arrêt du tabac.</w:t>
      </w:r>
    </w:p>
    <w:p>
      <w:r/>
      <w:r>
        <w:rPr>
          <w:b/>
        </w:rPr>
        <w:t>Notes, Règles d'Or &amp; Pièges au Comptoir :</w:t>
      </w:r>
      <w:r/>
    </w:p>
    <w:p>
      <w:pPr>
        <w:pStyle w:val="ListBullet"/>
      </w:pPr>
      <w:r>
        <w:t>Piège : l'Exemestane doit être pris AU COURS DU REPAS (à l'inverse des IA non stéroïdiens) — recommandation souvent méconnue, à expliciter systématiquement.</w:t>
      </w:r>
    </w:p>
    <w:p>
      <w:pPr>
        <w:pStyle w:val="ListBullet"/>
      </w:pPr>
      <w:r>
        <w:t>Piège : le Tamoxifène réduit de 50 % l'ASC de l'Exemestane — association CONTRE-INDIQUÉE, et délai d'au moins 4 semaines à respecter entre l'arrêt du Tamoxifène et l'introduction de l'Exemestane (et inversement).</w:t>
      </w:r>
    </w:p>
    <w:p>
      <w:pPr>
        <w:pStyle w:val="ListBullet"/>
      </w:pPr>
      <w:r>
        <w:t>Règle : l'Exemestane peut être proposé comme alternative en cas d'arthralgies sévères sous Anastrozole ou Létrozole (son activité androgénique résiduelle pourrait améliorer la tolérance articulaire).</w:t>
      </w:r>
    </w:p>
    <w:p>
      <w:pPr>
        <w:pStyle w:val="ListBullet"/>
      </w:pPr>
      <w:r>
        <w:t>Piège : l'Exemestane ne doit JAMAIS être prescrit chez une femme pré-ménopausique sans association à un agoniste du GnRH.</w:t>
      </w:r>
    </w:p>
    <w:p>
      <w:pPr>
        <w:pStyle w:val="ListBullet"/>
      </w:pPr>
      <w:r>
        <w:t>Règle : la densitométrie osseuse initiale et la prescription systématique de calcium-vitamine D sont obligatoires.</w:t>
      </w:r>
    </w:p>
    <w:p>
      <w:pPr>
        <w:pStyle w:val="ListBullet"/>
      </w:pPr>
      <w:r>
        <w:t>Piège : l'Exemestane peut induire une alopécie parfois plus marquée qu'avec les IA non stéroïdiens — information et accompagnement.</w:t>
      </w:r>
    </w:p>
    <w:p>
      <w:pPr>
        <w:pStyle w:val="Heading3"/>
      </w:pPr>
      <w:r>
        <w:t>107.5 DCI : Flutamide</w:t>
      </w:r>
    </w:p>
    <w:p>
      <w:r/>
      <w:r>
        <w:rPr>
          <w:b/>
        </w:rPr>
        <w:t>Liste des Catégories :</w:t>
      </w:r>
      <w:r>
        <w:t xml:space="preserve"> Antinéoplasiques et immunomodulateurs ; Antagoniste hormonal ; Anti-androgène non stéroïdien de 1re génération ; Traitement du cancer de la prostate ; Liste I (historiquement ; actuellement RETRAIT du marché algérien).</w:t>
      </w:r>
    </w:p>
    <w:p>
      <w:r>
        <w:t>Le Flutamide (Eulexine®, Schering-Plough, 1967) est le premier anti-androgène non stéroïdien commercialisé, prototype de la classe des flutamides-agents qui inhibent de manière compétitive et réversible la liaison de la dihydrotestostérone (DHT) au récepteur androgénique (AR). Son développement dans les années 1970 a constitué une avancée majeure en cancérologie prostatique, permettant le blocage androgénique complet (BAC) en association à un agoniste du GnRH, et la protection contre le flare tumoral initial. Son utilisation s'est cependant progressivement restreinte au profit du Bicalutamide, en raison d'une hépatotoxicité plus marquée (incidence de cytolyse sévère estimée à 0,5 %, avec cas mortels rapportés), d'une demi-vie courte imposant une prise tri-quotidienne (3 prises par jour), d'une incidence plus élevée de diarrhée et d'une interaction avec la warfarine. En Algérie, le Flutamide est RETIRÉ du marché à ce jour, l'ensemble des spécialités ayant perdu leur statut commercial actif.</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EULEXINE</w:t>
            </w:r>
          </w:p>
        </w:tc>
        <w:tc>
          <w:tcPr>
            <w:tcW w:type="dxa" w:w="1559"/>
          </w:tcPr>
          <w:p>
            <w:r>
              <w:rPr>
                <w:sz w:val="20"/>
              </w:rPr>
              <w:t>SCHERING PLOUGH</w:t>
            </w:r>
          </w:p>
        </w:tc>
        <w:tc>
          <w:tcPr>
            <w:tcW w:type="dxa" w:w="1559"/>
          </w:tcPr>
          <w:p>
            <w:r>
              <w:rPr>
                <w:sz w:val="20"/>
              </w:rPr>
              <w:t>Comprimé 250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CURESTAT</w:t>
            </w:r>
          </w:p>
        </w:tc>
        <w:tc>
          <w:tcPr>
            <w:tcW w:type="dxa" w:w="1559"/>
          </w:tcPr>
          <w:p>
            <w:r>
              <w:rPr>
                <w:sz w:val="20"/>
              </w:rPr>
              <w:t>ADVANCED PHARMACEUTICALS INDUSTRIES</w:t>
            </w:r>
          </w:p>
        </w:tc>
        <w:tc>
          <w:tcPr>
            <w:tcW w:type="dxa" w:w="1559"/>
          </w:tcPr>
          <w:p>
            <w:r>
              <w:rPr>
                <w:sz w:val="20"/>
              </w:rPr>
              <w:t>Gélule 250 mg</w:t>
            </w:r>
          </w:p>
        </w:tc>
        <w:tc>
          <w:tcPr>
            <w:tcW w:type="dxa" w:w="1559"/>
          </w:tcPr>
          <w:p>
            <w:r>
              <w:rPr>
                <w:sz w:val="20"/>
              </w:rPr>
              <w:t>B/20</w:t>
            </w:r>
          </w:p>
        </w:tc>
        <w:tc>
          <w:tcPr>
            <w:tcW w:type="dxa" w:w="1559"/>
          </w:tcPr>
          <w:p>
            <w:r>
              <w:rPr>
                <w:sz w:val="20"/>
              </w:rPr>
              <w:t>Liste I</w:t>
            </w:r>
          </w:p>
        </w:tc>
        <w:tc>
          <w:tcPr>
            <w:tcW w:type="dxa" w:w="1559"/>
          </w:tcPr>
          <w:p>
            <w:r>
              <w:rPr>
                <w:sz w:val="20"/>
              </w:rPr>
              <w:t>Retrait (R)</w:t>
            </w:r>
          </w:p>
        </w:tc>
      </w:tr>
      <w:tr>
        <w:tc>
          <w:tcPr>
            <w:tcW w:type="dxa" w:w="1559"/>
          </w:tcPr>
          <w:p>
            <w:r>
              <w:rPr>
                <w:sz w:val="20"/>
              </w:rPr>
              <w:t>CYTOMID-250</w:t>
            </w:r>
          </w:p>
        </w:tc>
        <w:tc>
          <w:tcPr>
            <w:tcW w:type="dxa" w:w="1559"/>
          </w:tcPr>
          <w:p>
            <w:r>
              <w:rPr>
                <w:sz w:val="20"/>
              </w:rPr>
              <w:t>CIPLA LTD</w:t>
            </w:r>
          </w:p>
        </w:tc>
        <w:tc>
          <w:tcPr>
            <w:tcW w:type="dxa" w:w="1559"/>
          </w:tcPr>
          <w:p>
            <w:r>
              <w:rPr>
                <w:sz w:val="20"/>
              </w:rPr>
              <w:t>Comprimé 250 mg</w:t>
            </w:r>
          </w:p>
        </w:tc>
        <w:tc>
          <w:tcPr>
            <w:tcW w:type="dxa" w:w="1559"/>
          </w:tcPr>
          <w:p>
            <w:r>
              <w:rPr>
                <w:sz w:val="20"/>
              </w:rPr>
              <w:t>B/30</w:t>
            </w:r>
          </w:p>
        </w:tc>
        <w:tc>
          <w:tcPr>
            <w:tcW w:type="dxa" w:w="1559"/>
          </w:tcPr>
          <w:p>
            <w:r>
              <w:rPr>
                <w:sz w:val="20"/>
              </w:rPr>
              <w:t>Liste I</w:t>
            </w:r>
          </w:p>
        </w:tc>
        <w:tc>
          <w:tcPr>
            <w:tcW w:type="dxa" w:w="1559"/>
          </w:tcPr>
          <w:p>
            <w:r>
              <w:rPr>
                <w:sz w:val="20"/>
              </w:rPr>
              <w:t>Retrait (R)</w:t>
            </w:r>
          </w:p>
        </w:tc>
      </w:tr>
      <w:tr>
        <w:tc>
          <w:tcPr>
            <w:tcW w:type="dxa" w:w="1559"/>
          </w:tcPr>
          <w:p>
            <w:r>
              <w:rPr>
                <w:sz w:val="20"/>
              </w:rPr>
              <w:t>PROSTAGEN</w:t>
            </w:r>
          </w:p>
        </w:tc>
        <w:tc>
          <w:tcPr>
            <w:tcW w:type="dxa" w:w="1559"/>
          </w:tcPr>
          <w:p>
            <w:r>
              <w:rPr>
                <w:sz w:val="20"/>
              </w:rPr>
              <w:t>GENERICLAB SARL</w:t>
            </w:r>
          </w:p>
        </w:tc>
        <w:tc>
          <w:tcPr>
            <w:tcW w:type="dxa" w:w="1559"/>
          </w:tcPr>
          <w:p>
            <w:r>
              <w:rPr>
                <w:sz w:val="20"/>
              </w:rPr>
              <w:t>Comprimé 250 mg</w:t>
            </w:r>
          </w:p>
        </w:tc>
        <w:tc>
          <w:tcPr>
            <w:tcW w:type="dxa" w:w="1559"/>
          </w:tcPr>
          <w:p>
            <w:r>
              <w:rPr>
                <w:sz w:val="20"/>
              </w:rPr>
              <w:t>B/30</w:t>
            </w:r>
          </w:p>
        </w:tc>
        <w:tc>
          <w:tcPr>
            <w:tcW w:type="dxa" w:w="1559"/>
          </w:tcPr>
          <w:p>
            <w:r>
              <w:rPr>
                <w:sz w:val="20"/>
              </w:rPr>
              <w:t>Liste I</w:t>
            </w:r>
          </w:p>
        </w:tc>
        <w:tc>
          <w:tcPr>
            <w:tcW w:type="dxa" w:w="1559"/>
          </w:tcPr>
          <w:p>
            <w:r>
              <w:rPr>
                <w:sz w:val="20"/>
              </w:rPr>
              <w:t>Retrait (R)</w:t>
            </w:r>
          </w:p>
        </w:tc>
      </w:tr>
    </w:tbl>
    <w:p/>
    <w:p>
      <w:r>
        <w:t>Le marché algérien du Flutamide, autrefois actif sous quatre marques (Eulexine princeps Schering-Plough, Cytomid-250 Cipla, Curestat API, Prostagen Genericlab), est désormais totalement retiré. Cette évolution reflète la tendance mondiale au déplacement de la prescription vers le Bicalutamide, mieux toléré et plus pratique (monothérapie orale une prise par jour). Les patients algériens ayant historiquement reçu du Flutamide doivent avoir été switchés vers le Bicalutamide ou un anti-androgène de 2e génération (Enzalutamide) selon le contexte.</w:t>
      </w:r>
    </w:p>
    <w:p>
      <w:r/>
      <w:r>
        <w:rPr>
          <w:b/>
        </w:rPr>
        <w:t>Sous-classe et Mécanisme d'action :</w:t>
      </w:r>
      <w:r/>
    </w:p>
    <w:p>
      <w:pPr>
        <w:pStyle w:val="ListBullet"/>
      </w:pPr>
      <w:r>
        <w:t>Sous-classe : Anti-androgène non stéroïdien de 1re génération, classe des toluidides (2-méthyl-N-[4-nitro-3-(trifluorométhyl)phénylpropanamide). Le Flutamide est dépourvu de toute activité stéroïdienne (pas d'affinité pour les récepteurs des estrogènes, progestatifs, glucocorticoïdes, minéralocorticoïdes), ce qui le distingue de l'acétate de cyprotérone (anti-androgène stéroïdien).</w:t>
      </w:r>
    </w:p>
    <w:p>
      <w:pPr>
        <w:pStyle w:val="ListBullet"/>
      </w:pPr>
      <w:r>
        <w:t>Mécanisme d'action : le Flutamide est lui-même une prodrogue dont le métabolite actif principal, le 2-hydroxyflutamide (hydroxyflutamide), est environ 30 fois plus puissant que la molécule mère. L'hydroxyflutamide inhibe de manière compétitive et réversible la liaison de la DHT au récepteur androgénique (AR), empêchant la translocation nucléaire du complexe AR-ligand, son interaction avec les éléments de réponse aux androgènes (ARE) des gènes-cibles, et la transcription des gènes androgéno-dépendants (KLK3/PSA, TMPRSS2, FKBP5). Le blocage est compétitif et son intensité est proportionnelle à la concentration de l'anti-androgène par rapport à la DHT circulante. Une particularité majeure est le caractère antagoniste pur chez la plupart des patients, mais avec un effet agoniste partiel paradoxal mis en évidence dans le cancer de la prostate résistant à la castration (CPRC) — à l'origine du syndrome de retrait des anti-androgènes (*anti-androgen withdrawal syndrome* : arrêt du Flutamide chez un patient en progression peut, dans 20 à 30 % des cas, entraîner une chute paradoxale du PSA et une régression tumorale transitoire).</w:t>
      </w:r>
    </w:p>
    <w:p>
      <w:pPr>
        <w:pStyle w:val="ListBullet"/>
      </w:pPr>
      <w:r>
        <w:t>Pharmacocinétique : absorption orale rapide (Tmax 1 à 2 heures) ; métabolisme hépatique intense par CYP1A2 et CYP3A4 en hydroxyflutamide (métabolite actif principal) puis en flutamide carboxylique (inactif) ; demi-vie d'élimination courte (5 à 6 heures pour le Flutamide, 6 à 9 heures pour l'hydroxyflutamide) imposant une prise tri-quotidienne (3 prises par jour) pour maintenir des concentrations thérapeutiques ; élimination urinaire principalement (60 % sous forme de métabolites).</w:t>
      </w:r>
    </w:p>
    <w:p>
      <w:r/>
      <w:r>
        <w:rPr>
          <w:b/>
        </w:rPr>
        <w:t>Profil Pharmacologique :</w:t>
      </w:r>
      <w:r/>
    </w:p>
    <w:p>
      <w:pPr>
        <w:pStyle w:val="ListBullet"/>
      </w:pPr>
      <w:r>
        <w:t>Indications (historiques, le Flutamide étant retiré du marché algérien) : (1) Cancer de la prostate localement avancé ou métastatique en association à un agoniste du GnRH (blocage androgénique complet, BAC) ; (2) Protection contre le flare tumoral initial (3 jours avant et pendant 2 à 4 semaines après la première injection de GnRH) ; (3) Cancer de la prostate localement avancé non métastatique en monothérapie (indication plus discutée, inférieure au Bicalutamide 150 mg en termes de tolérance et de survie). Le Flutamide a également été utilisé hors AMM dans le traitement de l'hirsutisme féminin (hyperandrogénie ovarienne ou surrénalienne) et de la puberté précoce périphérique (indication non oncologique).</w:t>
      </w:r>
    </w:p>
    <w:p>
      <w:pPr>
        <w:pStyle w:val="ListBullet"/>
      </w:pPr>
      <w:r>
        <w:t>Contre-indications : hypersensibilité au Flutamide ; insuffisance hépatique sévère (CI absolue, hépatotoxicité majeure) ; antécédent d'hépatite médicamenteuse au Flutamide ; grossesse (CI absolue, tératogénicité) ; allaitement ; association à la warfarine (interaction pharmacocinétique majeure). Précautions : insuffisance hépatique modérée, insuffisance rénale, sujet âgé.</w:t>
      </w:r>
    </w:p>
    <w:p>
      <w:pPr>
        <w:pStyle w:val="ListBullet"/>
      </w:pPr>
      <w:r>
        <w:t>Effets Indésirables : Très fréquents (&gt; 10 %) : gynécomastie (par levée du rétrocontrôle androgénique sur l'hypothalamus, augmentation compensatoire de la LH et de la testostérone qui se convertit en estradiol), douleur mammaire, bouffées de chaleur (40 à 60 %), perte de libido, impuissance (en association à la castration chimique), diarrhée (10 à 20 %, plus fréquente et plus sévère qu'avec le Bicalutamide), nausées, vomissements. Fréquents (1 à 10 %) : hépatotoxicité cytolytique modérée (élévation des transaminases 3 à 5 fois la LSN dans 5 à 10 % des cas), hépatotoxicité sévère (cytolyse &gt; 10× LSN avec hépatite clinique dans 0,3 à 0,5 % des cas, cas mortels rapportés — surveillance hépatique stricte obligatoire), hyperbilirubinémie, rash cutané, prurit, photosensibilité, alopécie modérée, fatigue, céphalées, vertiges, insomnie, troubles visuels (lentilles teintées), augmentation de l'urée, créatininurie. Peu fréquents (0,1 à 1 %) : hépatite fulminante (incidence estimée à 1/10 000 patient-années, mortalité 30 %), anémie modérée, thrombopénie, leucopénie, hypothyroïdie (par inhibition de la conversion T4-T3), hypertension artérielle, événements thrombotiques. Rares (&lt; 0,1 %) : pneumopathie interstitielle, syndrome de Stevens-Johnson, anaphylaxie, angioedème, hypogonadisme prolongé à l'arrêt.</w:t>
      </w:r>
    </w:p>
    <w:p>
      <w:r/>
      <w:r>
        <w:rPr>
          <w:b/>
        </w:rPr>
        <w:t>Prévention et Gestion des Effets Indésirables :</w:t>
      </w:r>
      <w:r/>
    </w:p>
    <w:p>
      <w:pPr>
        <w:pStyle w:val="ListBullet"/>
      </w:pPr>
      <w:r>
        <w:t>Mesures Préventives : bilan hépatique complet (ALAT, ASAT, bilirubine, γ-GT, PAL) initial systématique avant l'initiation, mensuel les 4 premiers mois (période de risque hépatotoxique maximal), puis trimestriel pendant toute la durée du traitement ; arrêt immédiat en cas d'ALAT &gt; 3× LSN ; consultation médicale rapide en cas de signes d'hépatite (ictère, urines foncées, selles décolorées, douleur abdominale droite, asthénie marquée, anorexie) ; information du patient sur les signes d'alerte hépatique ; surveillance de la NFS-plaquettes mensuelle 3 mois puis trimestrielle.</w:t>
      </w:r>
    </w:p>
    <w:p>
      <w:pPr>
        <w:pStyle w:val="ListBullet"/>
      </w:pPr>
      <w:r>
        <w:t>Conduite à Tenir : élévation des transaminases &gt; 3× LSN : ARRÊT IMMÉDIAT du Flutamide, contrôle à 1 semaine, switch vers Bicalutamide si reprise de l'anti-androgène nécessaire ; hépatite clinique (ictère, cytolyse &gt; 10× LSN) : hospitalisation urgente, arrêt définitif du Flutamide, switch vers Bicalutamide ou Enzalutamide ; diarrhée sévère : antidiarrhéiques (lopéramide), réhydratation, switch vers Bicalutamide en cas de persistance ; gynécomastie douloureuse : radiothérapie mammaire prophylactique (indication historique, rarement utilisée), switch vers Bicalutamide (incidence moindre).</w:t>
      </w:r>
    </w:p>
    <w:p>
      <w:r/>
      <w:r>
        <w:rPr>
          <w:b/>
        </w:rPr>
        <w:t>Interactions Médicamenteuses :</w:t>
      </w:r>
      <w:r/>
    </w:p>
    <w:p>
      <w:pPr>
        <w:pStyle w:val="ListBullet"/>
      </w:pPr>
      <w:r>
        <w:t>Warfarine et AVK : association à RISQUE MAJEUR — le Flutamide inhibe le métabolisme hépatique de la warfarine (CYP2C9 et CYP3A4), augmentant l'INR et le risque hémorragique ; surveillance stricte de l'INR (cible 2-3), réduction de la dose de warfarine de 30 à 50 %, préférer les HBPM en relais.</w:t>
      </w:r>
    </w:p>
    <w:p>
      <w:pPr>
        <w:pStyle w:val="ListBullet"/>
      </w:pPr>
      <w:r>
        <w:t>Théophylline : le Flutamide inhibe le CYP1A2, augmentant l'ASC de la théophylline de 30 % — surveillance des concentrations théophylliniques, adaptation posologique.</w:t>
      </w:r>
    </w:p>
    <w:p>
      <w:pPr>
        <w:pStyle w:val="ListBullet"/>
      </w:pPr>
      <w:r>
        <w:t>CYP1A2 et CYP3A4 (métabolisme) : inducteurs (rifampicine, phénytoïne, carbamazépine, phénobarbital, tabac — inducteur CYP1A2, millepertuis) — diminution de l'ASC du Flutamide et de l'hydroxyflutamide ; inhibiteurs (kétoconazole, itraconazole, clarithromycine, ritonavir, fluvoxamine — inhibiteur puissant du CYP1A2, ciprofloxacine) — augmentation de l'ASC, surveillance clinique.</w:t>
      </w:r>
    </w:p>
    <w:p>
      <w:pPr>
        <w:pStyle w:val="ListBullet"/>
      </w:pPr>
      <w:r>
        <w:t>Alcool : potentialisation de l'hépatotoxicité (à proscrire).</w:t>
      </w:r>
    </w:p>
    <w:p>
      <w:r/>
      <w:r>
        <w:rPr>
          <w:b/>
        </w:rPr>
        <w:t>Grossesse et Allaitement :</w:t>
      </w:r>
      <w:r/>
    </w:p>
    <w:p>
      <w:pPr>
        <w:pStyle w:val="ListBullet"/>
      </w:pPr>
      <w:r>
        <w:t>Grossesse : CONTRE-INDICATION ABSOLUE. Le Flutamide est tératogène chez l'animal (anomalies urogénitales chez le fœtus mâle, féminisation). Chez l'homme traité, le traitement peut induire une oligo-asthéno-tératospermie transitoire, justifiant une contraception pendant le traitement et 3 mois après l'arrêt (le partenaire masculin doit utiliser une contraception efficace).</w:t>
      </w:r>
    </w:p>
    <w:p>
      <w:pPr>
        <w:pStyle w:val="ListBullet"/>
      </w:pPr>
      <w:r>
        <w:t>Allaitement : CONTRE-INDICATION ABSOLUE. Le Flutamide passe dans le lait maternel ; risque pour le nourrisson (perturbation endocrinienne, féminisation).</w:t>
      </w:r>
    </w:p>
    <w:p>
      <w:r/>
      <w:r>
        <w:rPr>
          <w:b/>
        </w:rPr>
        <w:t>Posologie et Mode d'administration (Standard) :</w:t>
      </w:r>
      <w:r/>
    </w:p>
    <w:p>
      <w:pPr>
        <w:pStyle w:val="ListBullet"/>
      </w:pPr>
      <w:r>
        <w:t>Adulte (BAC en association à un agoniste du GnRH) : 250 mg × 3/j (soit 750 mg/j), à intervalles de 8 heures (matin, midi, soir), au cours ou en dehors des repas. Protection contre le flare : débuter 3 jours avant la première injection de GnRH, poursuivre pendant 2 à 4 semaines (parfois prolongé jusqu'à 4 semaines en cas de maladie métastatique extensive).</w:t>
      </w:r>
    </w:p>
    <w:p>
      <w:pPr>
        <w:pStyle w:val="ListBullet"/>
      </w:pPr>
      <w:r>
        <w:t>Monothérapie (indication discutée) : 250 mg × 3/j.</w:t>
      </w:r>
    </w:p>
    <w:p>
      <w:pPr>
        <w:pStyle w:val="ListBullet"/>
      </w:pPr>
      <w:r>
        <w:t>Sujet âgé : pas d'adaptation posologique, mais surveillance hépatique renforcée.</w:t>
      </w:r>
    </w:p>
    <w:p>
      <w:pPr>
        <w:pStyle w:val="ListBullet"/>
      </w:pPr>
      <w:r>
        <w:t>Insuffisance hépatique légère à modérée : contre-indication relative, surveillance stricte ; insuffisance hépatique sévère : CONTRE-INDIQUÉE.</w:t>
      </w:r>
    </w:p>
    <w:p>
      <w:pPr>
        <w:pStyle w:val="ListBullet"/>
      </w:pPr>
      <w:r>
        <w:t>Insuffisance rénale : pas d'adaptation nécessaire.</w:t>
      </w:r>
    </w:p>
    <w:p>
      <w:pPr>
        <w:pStyle w:val="ListBullet"/>
      </w:pPr>
      <w:r>
        <w:t>Mode d'administration : voie orale stricte, à intervalles réguliers de 8 heures, à heure fixe (3 prises par jour). Comprimés non écrasés.</w:t>
      </w:r>
    </w:p>
    <w:p>
      <w:pPr>
        <w:pStyle w:val="ListBullet"/>
      </w:pPr>
      <w:r>
        <w:t>En cas d'oubli : ne pas doubler la dose ; prise si &lt; 4 heures de retard, sinon attendre la prise suivante.</w:t>
      </w:r>
    </w:p>
    <w:p>
      <w:pPr>
        <w:pStyle w:val="ListBullet"/>
      </w:pPr>
      <w:r>
        <w:t>Durée du traitement : variable selon le protocole ; 2 à 4 semaines pour la protection du flare, traitement au long cours en cas de BAC (parfois arrêté en cas de switch vers Bicalutamide ou Enzalutamide).</w:t>
      </w:r>
    </w:p>
    <w:p>
      <w:r/>
      <w:r>
        <w:rPr>
          <w:b/>
        </w:rPr>
        <w:t>Surveillance Biologique et Suivi Clinique :</w:t>
      </w:r>
      <w:r/>
    </w:p>
    <w:p>
      <w:pPr>
        <w:pStyle w:val="ListBullet"/>
      </w:pPr>
      <w:r>
        <w:t>Hépatique : ALAT, ASAT, bilirubine, γ-GT, PAL initiale, MENSUELLE les 4 premiers mois, puis trimestrielle pendant toute la durée du traitement. Arrêt immédiat si ALAT &gt; 3× LSN.</w:t>
      </w:r>
    </w:p>
    <w:p>
      <w:pPr>
        <w:pStyle w:val="ListBullet"/>
      </w:pPr>
      <w:r>
        <w:t>Hématologique : NFS-plaquettes initiale puis mensuelle 3 mois puis trimestrielle.</w:t>
      </w:r>
    </w:p>
    <w:p>
      <w:pPr>
        <w:pStyle w:val="ListBullet"/>
      </w:pPr>
      <w:r>
        <w:t>Métabolique : créatinine, urée initiale puis trimestrielle ; TSH initiale puis semestrielle (risque d'hypothyroïdie).</w:t>
      </w:r>
    </w:p>
    <w:p>
      <w:pPr>
        <w:pStyle w:val="ListBullet"/>
      </w:pPr>
      <w:r>
        <w:t>Clinique : examen clinique prostatique (TR, PSA) tous les 3 mois ; examen mammaire à la recherche de gynécomastie douloureuse.</w:t>
      </w:r>
    </w:p>
    <w:p>
      <w:pPr>
        <w:pStyle w:val="ListBullet"/>
      </w:pPr>
      <w:r>
        <w:t>Information patient : signes d'alerte hépatique (ictère, urines foncées, selles décolorées, douleur abdominale droite, asthénie marquée, anorexie) — arrêt immédiat et consultation urgente.</w:t>
      </w:r>
    </w:p>
    <w:p>
      <w:r/>
      <w:r>
        <w:rPr>
          <w:b/>
        </w:rPr>
        <w:t>Arbitrage et Bénéfices des Formes Galéniques :</w:t>
      </w:r>
      <w:r/>
    </w:p>
    <w:p>
      <w:r>
        <w:t>Le Flutamide était disponible en comprimé et en gélule à 250 mg, en conditionnement B/20 à B/30. La forme gélule (Curestat) pouvait être ouverte en cas de sonde gastrique, à la différence des comprimés qui ne doivent pas être écrasés. La prise tri-quotidienne (3 prises par jour à 8 heures d'intervalle) était contraignante pour l'observance, contribuant à la préférence pour le Bicalutamide en monoprise quotidienne. La disponibilité du Bicalutamide à partir de 1987 a progressivement éliminé la prescription du Flutamide en Algérie comme dans le reste du monde.</w:t>
      </w:r>
    </w:p>
    <w:p>
      <w:r/>
      <w:r>
        <w:rPr>
          <w:b/>
        </w:rPr>
        <w:t>Instructions et Conseils au Patient :</w:t>
      </w:r>
      <w:r/>
    </w:p>
    <w:p>
      <w:pPr>
        <w:pStyle w:val="ListBullet"/>
      </w:pPr>
      <w:r>
        <w:t>Communication (à titre historique, le Flutamide étant retiré du marché algérien) : « Le Flutamide est un médicament anticancéreux oral qui bloque l'action des hormones mâles (testostérone) sur votre tumeur de la prostate. Il se prend 3 fois par jour, à 8 heures d'intervalle, matin, midi et soir. Le traitement est associé à un agoniste du GnRH (castration chimique). Prévenez immédiatement votre médecin en cas de jaunisse, d'urines foncées, de selles décolorées, de douleurs abdominales intenses, de fatigue majeure ou d'anorexie (signes d'hépatite médicamenteuse). Évitez l'alcool. Prévenez tout médecin consulté que vous prenez du Flutamide (en particulier avant prescription d'anticoagulant ou de théophylline). »</w:t>
      </w:r>
    </w:p>
    <w:p>
      <w:pPr>
        <w:pStyle w:val="ListBullet"/>
      </w:pPr>
      <w:r>
        <w:t>Alerte : consulter immédiatement en cas d'ictère, urines foncées, selles décolorées, douleurs abdominales, fatigue intense.</w:t>
      </w:r>
    </w:p>
    <w:p>
      <w:r/>
      <w:r>
        <w:rPr>
          <w:b/>
        </w:rPr>
        <w:t>Notes, Règles d'Or &amp; Pièges au Comptoir :</w:t>
      </w:r>
      <w:r/>
    </w:p>
    <w:p>
      <w:pPr>
        <w:pStyle w:val="ListBullet"/>
      </w:pPr>
      <w:r>
        <w:t>Piège : l'hépatotoxicité du Flutamide est potentiellement fatale (incidence de 0,5 % de cytolyse sévère, mortalité 30 %) — surveillance mensuelle obligatoire des transaminases les 4 premiers mois, arrêt immédiat en cas d'ALAT &gt; 3× LSN.</w:t>
      </w:r>
    </w:p>
    <w:p>
      <w:pPr>
        <w:pStyle w:val="ListBullet"/>
      </w:pPr>
      <w:r>
        <w:t>Règle : le Flutamide est retiré du marché algérien — tout patient présentant une ordonnance pour Flutamide doit être orienté vers son oncologue pour switch vers Bicalutamide ou Enzalutamide.</w:t>
      </w:r>
    </w:p>
    <w:p>
      <w:pPr>
        <w:pStyle w:val="ListBullet"/>
      </w:pPr>
      <w:r>
        <w:t>Piège : l'association Flutamide + warfarine impose une surveillance stricte de l'INR et une réduction de 30 à 50 % de la dose de warfarine.</w:t>
      </w:r>
    </w:p>
    <w:p>
      <w:pPr>
        <w:pStyle w:val="ListBullet"/>
      </w:pPr>
      <w:r>
        <w:t>Règle : le syndrome de retrait des anti-androgènes est un phénomène spécifique aux anti-androgènes de 1re génération (Flutamide, Bicalutamide) — l'arrêt du Flutamide chez un patient en progression peut, dans 20 à 30 % des cas, entraîner une chute paradoxale du PSA et une régression tumorale transitoire.</w:t>
      </w:r>
    </w:p>
    <w:p>
      <w:pPr>
        <w:pStyle w:val="ListBullet"/>
      </w:pPr>
      <w:r>
        <w:t>Piège : la prise tri-quotidienne (3 prises par jour à 8 heures d'intervalle) est contraignante pour l'observance — préférer le Bicalutamide en monoprise quotidienne.</w:t>
      </w:r>
    </w:p>
    <w:p>
      <w:pPr>
        <w:pStyle w:val="Heading3"/>
      </w:pPr>
      <w:r>
        <w:t>107.6 DCI : Bicalutamide</w:t>
      </w:r>
    </w:p>
    <w:p>
      <w:r/>
      <w:r>
        <w:rPr>
          <w:b/>
        </w:rPr>
        <w:t>Liste des Catégories :</w:t>
      </w:r>
      <w:r>
        <w:t xml:space="preserve"> Antinéoplasiques et immunomodulateurs ; Antagoniste hormonal ; Anti-androgène non stéroïdien de 1re génération ; Traitement du cancer de la prostate ; Liste I.</w:t>
      </w:r>
    </w:p>
    <w:p>
      <w:r>
        <w:t>Le Bicalutamide (Casodex®, AstraZeneca, 1987) est le second anti-androgène non stéroïdien de 1re génération commercialisé, devenu en quelques années le chef de file de sa classe grâce à une meilleure tolérance hépatique et digestive que le Flutamide, une demi-vie longue autorisant une prise quotidienne unique, et une efficacité comparable ou supérieure en monothérapie à 150 mg/j. Sa structure chimique de fluranilide dérivé se distingue de celle du Flutamide (toluidide) et lui confère une affinité supérieure pour le récepteur androgénique (environ 4 fois celle du 2-hydroxyflutamide), une demi-vie d'élimination prolongée (5 à 7 jours versus 5 à 6 heures pour le Flutamide) et un métabolite actif (hydroxybicalutamide) qui s'accumule à l'état d'équilibre, autorisant la prise unique quotidienne. Le Bicalutamide a progressivement supplanté le Flutamide dans les schémas de blocage androgénique complet (BAC) et reste, en Algérie, l'anti-androgène de 1re génération de référence.</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BICADEX</w:t>
            </w:r>
          </w:p>
        </w:tc>
        <w:tc>
          <w:tcPr>
            <w:tcW w:type="dxa" w:w="1559"/>
          </w:tcPr>
          <w:p>
            <w:r>
              <w:rPr>
                <w:sz w:val="20"/>
              </w:rPr>
              <w:t>CONTINENTAL PHARM</w:t>
            </w:r>
          </w:p>
        </w:tc>
        <w:tc>
          <w:tcPr>
            <w:tcW w:type="dxa" w:w="1559"/>
          </w:tcPr>
          <w:p>
            <w:r>
              <w:rPr>
                <w:sz w:val="20"/>
              </w:rPr>
              <w:t>Comprimé pelliculé 50 mg</w:t>
            </w:r>
          </w:p>
        </w:tc>
        <w:tc>
          <w:tcPr>
            <w:tcW w:type="dxa" w:w="1559"/>
          </w:tcPr>
          <w:p>
            <w:r>
              <w:rPr>
                <w:sz w:val="20"/>
              </w:rPr>
              <w:t>B/28</w:t>
            </w:r>
          </w:p>
        </w:tc>
        <w:tc>
          <w:tcPr>
            <w:tcW w:type="dxa" w:w="1559"/>
          </w:tcPr>
          <w:p>
            <w:r>
              <w:rPr>
                <w:sz w:val="20"/>
              </w:rPr>
              <w:t>Liste I</w:t>
            </w:r>
          </w:p>
        </w:tc>
        <w:tc>
          <w:tcPr>
            <w:tcW w:type="dxa" w:w="1559"/>
          </w:tcPr>
          <w:p>
            <w:r>
              <w:rPr>
                <w:sz w:val="20"/>
              </w:rPr>
              <w:t>Actif</w:t>
            </w:r>
          </w:p>
        </w:tc>
      </w:tr>
      <w:tr>
        <w:tc>
          <w:tcPr>
            <w:tcW w:type="dxa" w:w="1559"/>
          </w:tcPr>
          <w:p>
            <w:r>
              <w:rPr>
                <w:sz w:val="20"/>
              </w:rPr>
              <w:t>BICALUTAMIDE CINFA</w:t>
            </w:r>
          </w:p>
        </w:tc>
        <w:tc>
          <w:tcPr>
            <w:tcW w:type="dxa" w:w="1559"/>
          </w:tcPr>
          <w:p>
            <w:r>
              <w:rPr>
                <w:sz w:val="20"/>
              </w:rPr>
              <w:t>CINFA S.A.</w:t>
            </w:r>
          </w:p>
        </w:tc>
        <w:tc>
          <w:tcPr>
            <w:tcW w:type="dxa" w:w="1559"/>
          </w:tcPr>
          <w:p>
            <w:r>
              <w:rPr>
                <w:sz w:val="20"/>
              </w:rPr>
              <w:t>Comprimé pelliculé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BICALUTAMIDE UPC</w:t>
            </w:r>
          </w:p>
        </w:tc>
        <w:tc>
          <w:tcPr>
            <w:tcW w:type="dxa" w:w="1559"/>
          </w:tcPr>
          <w:p>
            <w:r>
              <w:rPr>
                <w:sz w:val="20"/>
              </w:rPr>
              <w:t>SPA UNION PHARMACEUITIQUE CONSTANTINOISE PRODUCTION</w:t>
            </w:r>
          </w:p>
        </w:tc>
        <w:tc>
          <w:tcPr>
            <w:tcW w:type="dxa" w:w="1559"/>
          </w:tcPr>
          <w:p>
            <w:r>
              <w:rPr>
                <w:sz w:val="20"/>
              </w:rPr>
              <w:t>Comprimé pelliculé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CASODEX</w:t>
            </w:r>
          </w:p>
        </w:tc>
        <w:tc>
          <w:tcPr>
            <w:tcW w:type="dxa" w:w="1559"/>
          </w:tcPr>
          <w:p>
            <w:r>
              <w:rPr>
                <w:sz w:val="20"/>
              </w:rPr>
              <w:t>LABORATOIRE JUVISE PHARMACEUTICALS</w:t>
            </w:r>
          </w:p>
        </w:tc>
        <w:tc>
          <w:tcPr>
            <w:tcW w:type="dxa" w:w="1559"/>
          </w:tcPr>
          <w:p>
            <w:r>
              <w:rPr>
                <w:sz w:val="20"/>
              </w:rPr>
              <w:t>Comprimé enrobé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CASOMIDE</w:t>
            </w:r>
          </w:p>
        </w:tc>
        <w:tc>
          <w:tcPr>
            <w:tcW w:type="dxa" w:w="1559"/>
          </w:tcPr>
          <w:p>
            <w:r>
              <w:rPr>
                <w:sz w:val="20"/>
              </w:rPr>
              <w:t>BIOPHARM</w:t>
            </w:r>
          </w:p>
        </w:tc>
        <w:tc>
          <w:tcPr>
            <w:tcW w:type="dxa" w:w="1559"/>
          </w:tcPr>
          <w:p>
            <w:r>
              <w:rPr>
                <w:sz w:val="20"/>
              </w:rPr>
              <w:t>Comprimé pelliculé 50 mg</w:t>
            </w:r>
          </w:p>
        </w:tc>
        <w:tc>
          <w:tcPr>
            <w:tcW w:type="dxa" w:w="1559"/>
          </w:tcPr>
          <w:p>
            <w:r>
              <w:rPr>
                <w:sz w:val="20"/>
              </w:rPr>
              <w:t>B/30</w:t>
            </w:r>
          </w:p>
        </w:tc>
        <w:tc>
          <w:tcPr>
            <w:tcW w:type="dxa" w:w="1559"/>
          </w:tcPr>
          <w:p>
            <w:r>
              <w:rPr>
                <w:sz w:val="20"/>
              </w:rPr>
              <w:t>Liste I</w:t>
            </w:r>
          </w:p>
        </w:tc>
        <w:tc>
          <w:tcPr>
            <w:tcW w:type="dxa" w:w="1559"/>
          </w:tcPr>
          <w:p>
            <w:r>
              <w:rPr>
                <w:sz w:val="20"/>
              </w:rPr>
              <w:t>Actif</w:t>
            </w:r>
          </w:p>
        </w:tc>
      </w:tr>
      <w:tr>
        <w:tc>
          <w:tcPr>
            <w:tcW w:type="dxa" w:w="1559"/>
          </w:tcPr>
          <w:p>
            <w:r>
              <w:rPr>
                <w:sz w:val="20"/>
              </w:rPr>
              <w:t>CLAMUDEX</w:t>
            </w:r>
          </w:p>
        </w:tc>
        <w:tc>
          <w:tcPr>
            <w:tcW w:type="dxa" w:w="1559"/>
          </w:tcPr>
          <w:p>
            <w:r>
              <w:rPr>
                <w:sz w:val="20"/>
              </w:rPr>
              <w:t>EL KENDI INDUSTRIE DU MEDICAMENT</w:t>
            </w:r>
          </w:p>
        </w:tc>
        <w:tc>
          <w:tcPr>
            <w:tcW w:type="dxa" w:w="1559"/>
          </w:tcPr>
          <w:p>
            <w:r>
              <w:rPr>
                <w:sz w:val="20"/>
              </w:rPr>
              <w:t>Comprimé pelliculé 50 mg</w:t>
            </w:r>
          </w:p>
        </w:tc>
        <w:tc>
          <w:tcPr>
            <w:tcW w:type="dxa" w:w="1559"/>
          </w:tcPr>
          <w:p>
            <w:r>
              <w:rPr>
                <w:sz w:val="20"/>
              </w:rPr>
              <w:t>B/30</w:t>
            </w:r>
          </w:p>
        </w:tc>
        <w:tc>
          <w:tcPr>
            <w:tcW w:type="dxa" w:w="1559"/>
          </w:tcPr>
          <w:p>
            <w:r>
              <w:rPr>
                <w:sz w:val="20"/>
              </w:rPr>
              <w:t>Liste I</w:t>
            </w:r>
          </w:p>
        </w:tc>
        <w:tc>
          <w:tcPr>
            <w:tcW w:type="dxa" w:w="1559"/>
          </w:tcPr>
          <w:p>
            <w:r>
              <w:rPr>
                <w:sz w:val="20"/>
              </w:rPr>
              <w:t>Actif</w:t>
            </w:r>
          </w:p>
        </w:tc>
      </w:tr>
    </w:tbl>
    <w:p/>
    <w:p>
      <w:r>
        <w:t>Le marché algérien du Bicalutamide est très concurrentiel : le princeps CASODEX (Juvise Pharmaceuticals, ex-AstraZeneca) coexiste avec 5 génériques (Bicadex Continental Pharm, Bicalutamide Cinfa, Bicalutamide UPC, Casomide Biopharm, Clamudex El Kendi). La dose unique disponible en Algérie est 50 mg (dose standard du BAC en association à un agoniste GnRH), ce qui ne couvre pas l'indication de monothérapie à 150 mg/j (3 comprimés par jour) — cette dernière indication étant historiquement plus discutée et rarement utilisée en pratique clinique actuelle. Le conditionnement B/28 (4 semaines) correspond à la durée de prescription mensuelle.</w:t>
      </w:r>
    </w:p>
    <w:p>
      <w:r/>
      <w:r>
        <w:rPr>
          <w:b/>
        </w:rPr>
        <w:t>Sous-classe et Mécanisme d'action :</w:t>
      </w:r>
      <w:r/>
    </w:p>
    <w:p>
      <w:pPr>
        <w:pStyle w:val="ListBullet"/>
      </w:pPr>
      <w:r>
        <w:t>Sous-classe : Anti-androgène non stéroïdien de 1re génération, classe des fluranilides (N-[4-cyano-3-(trifluorométhyl)phényl]-3-[(4-fluorophényl)sulfonyl]-2-hydroxy-2-méthylpropanamide). Dépourvu de toute activité stéroïdienne (pas d'affinité pour les récepteurs des estrogènes, progestatifs, glucocorticoïdes, minéralocorticoïdes).</w:t>
      </w:r>
    </w:p>
    <w:p>
      <w:pPr>
        <w:pStyle w:val="ListBullet"/>
      </w:pPr>
      <w:r>
        <w:t>Mécanisme d'action : le Bicalutamide et son métabolite actif principal, l'hydroxybicalutamide (formé par CYP3A4 et plus puissant que la molécule mère), inhibent de manière compétitive et réversible la liaison de la DHT au récepteur androgénique (AR). L'affinité du Bicalutamide pour AR est environ 4 fois supérieure à celle du 2-hydroxyflutamide. Le blocage empêche la translocation nucléaire du complexe AR-ligand, son interaction avec les éléments de réponse aux androgènes (ARE) et la transcription des gènes androgéno-dépendants (KLK3/PSA, TMPRSS2, FKBP5). Comme pour le Flutamide, le Bicalutamide exerce un effet antagoniste pur chez la plupart des patients, mais peut développer un effet agoniste partiel paradoxal dans le CPRC (mutations du gène AR, amplifications), à l'origine du syndrome de retrait des anti-androgènes.</w:t>
      </w:r>
    </w:p>
    <w:p>
      <w:pPr>
        <w:pStyle w:val="ListBullet"/>
      </w:pPr>
      <w:r>
        <w:t>Pharmacocinétique : absorption orale complète et indépendante de la prise alimentaire ; métabolisme hépatique par CYP3A4 en hydroxybicalutamide (métabolite actif), puis conjugaison et élimination ; demi-vie d'élimination longue (5 à 7 jours pour le Bicalutamide, 7 à 10 jours pour l'hydroxybicalutamide) autorisant une prise unique quotidienne ; état d'équilibre atteint en 4 semaines ; élimination urinaire et fécale à parts égales. Accumulation significative à l'état d'équilibre (concentrations plasmatiques ×10 par rapport à la première dose).</w:t>
      </w:r>
    </w:p>
    <w:p>
      <w:r/>
      <w:r>
        <w:rPr>
          <w:b/>
        </w:rPr>
        <w:t>Profil Pharmacologique :</w:t>
      </w:r>
      <w:r/>
    </w:p>
    <w:p>
      <w:pPr>
        <w:pStyle w:val="ListBullet"/>
      </w:pPr>
      <w:r>
        <w:t>Indications : (1) Cancer de la prostate localement avancé ou métastatique en association à un agoniste du GnRH ou à la castration chirurgicale (orchidectomie) dans le cadre du blocage androgénique complet (BAC) à la dose de 50 mg une fois par jour — indication principale ; (2) Cancer de la prostate localement avancé non métastatique en monothérapie à 150 mg/j (3 comprimés à 50 mg) en alternative à la castration — indication discutée, particulièrement pertinente chez les patients refusant la castration et souhaitant préserver la fonction sexuelle (essais EPC, bicalutamide 150 mg vs placebo en monothérapie adjuvante, bénéfice en survie sans progression mais tendance à la surmortalité chez les patients localisés à bas risque) ; (3) Protection contre le flare tumoral initial lors de l'instauration d'un agoniste du GnRH (3 jours avant et pendant 2 à 4 semaines après la première injection).</w:t>
      </w:r>
    </w:p>
    <w:p>
      <w:pPr>
        <w:pStyle w:val="ListBullet"/>
      </w:pPr>
      <w:r>
        <w:t>Contre-indications : hypersensibilité au Bicalutamide ; insuffisance hépatique sévère (CI absolue) ; antécédent d'hépatite médicamenteuse au Bicalutamide ou au Flutamide ; grossesse (CI absolue, tératogénicité) ; allaitement ; association à la terfénadine, astémizole, cisapride (allongement du QTc). Précautions : insuffisance hépatique modérée, antécédent d'allongement du QTc, hypokaliémie, sujet âgé.</w:t>
      </w:r>
    </w:p>
    <w:p>
      <w:pPr>
        <w:pStyle w:val="ListBullet"/>
      </w:pPr>
      <w:r>
        <w:t>Effets Indésirables : Très fréquents (&gt; 10 %) : bouffées de chaleur (40 à 60 %, parfois moindres qu'avec les agonistes du GnRH seuls), gynécomastie (30 à 50 %, plus marquée en monothérapie 150 mg que dans le BAC à 50 mg — par levée du rétrocontrôle androgénique), douleur mammaire, perte de libido, impuissance (en association à la castration chimique), diarrhée (10 à 15 %, moins fréquente et moins sévère qu'avec le Flutamide), nausées. Fréquents (1 à 10 %) : hépatotoxicité cytolytique modérée (élévation des transaminases dans 3 à 5 % des cas, moins fréquente et moins sévère qu'avec le Flutamide), hyperbilirubinémie, rash cutané, prurit, photosensibilité, alopécie modérée, urticaire, fatigue, céphalées, vertiges, insomnie, troubles visuels (lentilles teintées), hyperglycémie, prise de poids modérée, allongement du QTc (rarement symptomatique). Peu fréquents (0,1 à 1 %) : hépatotoxicité sévère (cytolyse &gt; 10× LSN, incidence estimée à 1/10 000 à 1/30 000 patient-années — significativement moindre qu'avec le Flutamide), hypertension artérielle, événements thrombotiques, anémie modérée, thrombopénie. Rares (&lt; 0,1 %) : hépatite fulminante, pneumopathie interstitielle (rarement rapportée, principalement au Japon), syndrome de Stevens-Johnson, anaphylaxie, angioedème, hypogonadisme prolongé à l'arrêt.</w:t>
      </w:r>
    </w:p>
    <w:p>
      <w:r/>
      <w:r>
        <w:rPr>
          <w:b/>
        </w:rPr>
        <w:t>Prévention et Gestion des Effets Indésirables :</w:t>
      </w:r>
      <w:r/>
    </w:p>
    <w:p>
      <w:pPr>
        <w:pStyle w:val="ListBullet"/>
      </w:pPr>
      <w:r>
        <w:t>Mesures Préventives : bilan hépatique complet (ALAT, ASAT, bilirubine, γ-GT, PAL) initial systématique, trimestriel 4 mois puis semestriel pendant toute la durée du traitement ; arrêt immédiat en cas d'ALAT &gt; 3× LSN ; bilan lipidique et glycémie initiale puis annuelle ; ECG initial (allongement du QTc possible) ; consultation oncologique trimestrielle 1 an puis semestrielle avec dosage du PSA.</w:t>
      </w:r>
    </w:p>
    <w:p>
      <w:pPr>
        <w:pStyle w:val="ListBullet"/>
      </w:pPr>
      <w:r>
        <w:t>Conduite à Tenir : élévation des transaminases &gt; 3× LSN : ARRÊT IMMÉDIAT du Bicalutamide, contrôle à 1 semaine, switch vers Enzalutamide si reprise de l'anti-androgène nécessaire ; gynécomastie douloureuse : tamoxifène 10 mg × 2/j pendant 4 à 8 semaines (réduction de la gynécomastie), radiothérapie mammaire prophylactique (indication historique) ; bouffées de chaleur sévères : venlafaxine, gabapentine ; allongement du QTc &gt; 500 ms : arrêt, switch vers Enzalutamide (à discuter, l'Enzalutamide n'allonge pas significativement le QTc).</w:t>
      </w:r>
    </w:p>
    <w:p>
      <w:r/>
      <w:r>
        <w:rPr>
          <w:b/>
        </w:rPr>
        <w:t>Interactions Médicamenteuses :</w:t>
      </w:r>
      <w:r/>
    </w:p>
    <w:p>
      <w:pPr>
        <w:pStyle w:val="ListBullet"/>
      </w:pPr>
      <w:r>
        <w:t>CYP3A4 (métabolisme principal) : inducteurs (rifampicine, phénytoïne, carbamazépine, phénobarbital, millepertuis) — diminution de l'ASC du Bicalutamide et de l'hydroxybicalutamide, à éviter ; inhibiteurs (kétoconazole, itraconazole, clarithromycine, ritonavir, jus de pamplemousse) — augmentation de l'ASC, surveillance clinique.</w:t>
      </w:r>
    </w:p>
    <w:p>
      <w:pPr>
        <w:pStyle w:val="ListBullet"/>
      </w:pPr>
      <w:r>
        <w:t>Warfarine et AVK : inhibition du CYP2C9 (à la différence du Flutamide qui inhibe le CYP1A2), augmentation de l'INR et risque hémorragique — surveillance stricte de l'INR, réduction de 25 à 50 % de la dose de warfarine, préférer les HBPM.</w:t>
      </w:r>
    </w:p>
    <w:p>
      <w:pPr>
        <w:pStyle w:val="ListBullet"/>
      </w:pPr>
      <w:r>
        <w:t>Terfénadine, astémizole, cisapride : association CONTRE-INDIQUÉE (allongement du QTc additif, torsades de pointe).</w:t>
      </w:r>
    </w:p>
    <w:p>
      <w:pPr>
        <w:pStyle w:val="ListBullet"/>
      </w:pPr>
      <w:r>
        <w:t>Anticoagulants oraux (AVK) et antiagrégants : surveillance de l'INR et du saignement.</w:t>
      </w:r>
    </w:p>
    <w:p>
      <w:pPr>
        <w:pStyle w:val="ListBullet"/>
      </w:pPr>
      <w:r>
        <w:t>Statines (simvastatine) : inhibition du CYP3A4, augmentation de l'ASC de la simvastatine, risque de rhabdomyolyse — préférer pravastatine ou rosuvastatine.</w:t>
      </w:r>
    </w:p>
    <w:p>
      <w:r/>
      <w:r>
        <w:rPr>
          <w:b/>
        </w:rPr>
        <w:t>Grossesse et Allaitement :</w:t>
      </w:r>
      <w:r/>
    </w:p>
    <w:p>
      <w:pPr>
        <w:pStyle w:val="ListBullet"/>
      </w:pPr>
      <w:r>
        <w:t>Grossesse : CONTRE-INDICATION ABSOLUE. Le Bicalutamide est tératogène chez l'animal (féminisation des fœtus mâles). Chez l'homme traité, oligo-asthéno-tératospermie transitoire possible — contraception pendant le traitement et 3 mois après l'arrêt.</w:t>
      </w:r>
    </w:p>
    <w:p>
      <w:pPr>
        <w:pStyle w:val="ListBullet"/>
      </w:pPr>
      <w:r>
        <w:t>Allaitement : CONTRE-INDICATION ABSOLUE.</w:t>
      </w:r>
    </w:p>
    <w:p>
      <w:r/>
      <w:r>
        <w:rPr>
          <w:b/>
        </w:rPr>
        <w:t>Posologie et Mode d'administration (Standard) :</w:t>
      </w:r>
      <w:r/>
    </w:p>
    <w:p>
      <w:pPr>
        <w:pStyle w:val="ListBullet"/>
      </w:pPr>
      <w:r>
        <w:t>Adulte (BAC en association à un agoniste du GnRH ou à la castration chirurgicale) : 50 mg une fois par jour en une prise quotidienne unique (matin ou soir, indifférent), au cours ou en dehors des repas. Le Bicalutamide est initié 3 jours avant la première injection de GnRH (protection du flare) et poursuivi pendant toute la durée du traitement par GnRH (parfois prolongé à vie en cas de BAC maintenu).</w:t>
      </w:r>
    </w:p>
    <w:p>
      <w:pPr>
        <w:pStyle w:val="ListBullet"/>
      </w:pPr>
      <w:r>
        <w:t>Monothérapie (150 mg/j, indication discutée, non couverte par la dose 50 mg disponible en Algérie — nécessite 3 comprimés à 50 mg par jour) : alternative à la castration dans le cancer de la prostate localement avancé non métastatique, particulièrement chez les patients refusant la castration.</w:t>
      </w:r>
    </w:p>
    <w:p>
      <w:pPr>
        <w:pStyle w:val="ListBullet"/>
      </w:pPr>
      <w:r>
        <w:t>Protection contre le flare : 50 mg/j initié 3 jours avant la première injection de GnRH, poursuivi pendant 2 à 4 semaines.</w:t>
      </w:r>
    </w:p>
    <w:p>
      <w:pPr>
        <w:pStyle w:val="ListBullet"/>
      </w:pPr>
      <w:r>
        <w:t>Sujet âgé : pas d'adaptation posologique.</w:t>
      </w:r>
    </w:p>
    <w:p>
      <w:pPr>
        <w:pStyle w:val="ListBullet"/>
      </w:pPr>
      <w:r>
        <w:t>Insuffisance hépatique légère à modérée : pas d'adaptation mais surveillance stricte ; insuffisance hépatique sévère : CONTRE-INDIQUÉE.</w:t>
      </w:r>
    </w:p>
    <w:p>
      <w:pPr>
        <w:pStyle w:val="ListBullet"/>
      </w:pPr>
      <w:r>
        <w:t>Insuffisance rénale : pas d'adaptation nécessaire.</w:t>
      </w:r>
    </w:p>
    <w:p>
      <w:pPr>
        <w:pStyle w:val="ListBullet"/>
      </w:pPr>
      <w:r>
        <w:t>Mode d'administration : voie orale stricte, prise à heure fixe, au cours ou en dehors des repas. Comprimés non écrasés.</w:t>
      </w:r>
    </w:p>
    <w:p>
      <w:pPr>
        <w:pStyle w:val="ListBullet"/>
      </w:pPr>
      <w:r>
        <w:t>En cas d'oubli : ne pas doubler la dose ; prise si &lt; 12 heures, sinon attendre la prise suivante (en raison de la demi-vie longue, un oubli isolé est bien toléré).</w:t>
      </w:r>
    </w:p>
    <w:p>
      <w:pPr>
        <w:pStyle w:val="ListBullet"/>
      </w:pPr>
      <w:r>
        <w:t>Durée du traitement : variable selon le protocole ; traitement au long cours en cas de BAC (parfois à vie), 2 à 4 semaines pour la protection du flare.</w:t>
      </w:r>
    </w:p>
    <w:p>
      <w:r/>
      <w:r>
        <w:rPr>
          <w:b/>
        </w:rPr>
        <w:t>Surveillance Biologique et Suivi Clinique :</w:t>
      </w:r>
      <w:r/>
    </w:p>
    <w:p>
      <w:pPr>
        <w:pStyle w:val="ListBullet"/>
      </w:pPr>
      <w:r>
        <w:t>Hépatique : ALAT, ASAT, bilirubine, γ-GT, PAL initiale, trimestrielle 4 mois, puis semestrielle pendant toute la durée du traitement.</w:t>
      </w:r>
    </w:p>
    <w:p>
      <w:pPr>
        <w:pStyle w:val="ListBullet"/>
      </w:pPr>
      <w:r>
        <w:t>Hématologique : NFS-plaquettes initiale puis trimestrielle 1 an puis annuelle.</w:t>
      </w:r>
    </w:p>
    <w:p>
      <w:pPr>
        <w:pStyle w:val="ListBullet"/>
      </w:pPr>
      <w:r>
        <w:t>Métabolique : créatinine, glycémie, bilan lipidique initiale puis annuelle.</w:t>
      </w:r>
    </w:p>
    <w:p>
      <w:pPr>
        <w:pStyle w:val="ListBullet"/>
      </w:pPr>
      <w:r>
        <w:t>Cardiovasculaire : ECG initial (QTc), pression artérielle initiale puis semestrielle.</w:t>
      </w:r>
    </w:p>
    <w:p>
      <w:pPr>
        <w:pStyle w:val="ListBullet"/>
      </w:pPr>
      <w:r>
        <w:t>Clinique : examen clinique prostatique (TR, PSA) tous les 3 mois 1 an puis semestrielle ; examen mammaire (gynécomastie).</w:t>
      </w:r>
    </w:p>
    <w:p>
      <w:pPr>
        <w:pStyle w:val="ListBullet"/>
      </w:pPr>
      <w:r>
        <w:t>Information patient : signes d'alerte hépatique (ictère, urines foncées, douleurs abdominales).</w:t>
      </w:r>
    </w:p>
    <w:p>
      <w:r/>
      <w:r>
        <w:rPr>
          <w:b/>
        </w:rPr>
        <w:t>Arbitrage et Bénéfices des Formes Galéniques :</w:t>
      </w:r>
      <w:r/>
    </w:p>
    <w:p>
      <w:r>
        <w:t>Le Bicalutamide est disponible exclusivement en comprimé pelliculé (génériques) ou enrobé (Casodex) à 50 mg, en conditionnement B/28 ou B/30 (4 semaines à 1 mois de traitement). Le choix entre le princeps Casodex (Juvise Pharmaceuticals) et les génériques (Bicadex, Casomide, Clamudex, Bicalutamide Cinfa, Bicalutamide UPC) repose sur la disponibilité et le coût ; les génériques algériens assurent une accessibilité élargie à coût modeste. Le dosage unique disponible en Algérie (50 mg) limite l'adaptation posologique — la dose de 150 mg/j (monothérapie) nécessite 3 comprimés par jour, ce qui peut être accepté en termes d'observance. La prise unique quotidienne, à la différence du Flutamide tri-quotidien, simplifie l'observance.</w:t>
      </w:r>
    </w:p>
    <w:p>
      <w:r/>
      <w:r>
        <w:rPr>
          <w:b/>
        </w:rPr>
        <w:t>Instructions et Conseils au Patient :</w:t>
      </w:r>
      <w:r/>
    </w:p>
    <w:p>
      <w:pPr>
        <w:pStyle w:val="ListBullet"/>
      </w:pPr>
      <w:r>
        <w:t>Communication : « Le Bicalutamide est un médicament anticancéreux oral qui bloque l'action des hormones mâles (testostérone) sur votre tumeur de la prostate. Il se prend une fois par jour, à heure fixe, matin ou soir, au cours ou en dehors des repas. Le traitement est associé à un agoniste du GnRH (castration chimique) ou à une castration chirurgicale. Prévenez votre médecin en cas de jaunisse, d'urines foncées, de douleurs abdominales, de fatigue intense, de palpitations, de syncopes, d'essoufflement. Évitez le pamplemousse et le millepertuis. Prévenez tout médecin consulté que vous prenez du Bicalutamide (en particulier avant prescription d'anticoagulant ou de statine). »</w:t>
      </w:r>
    </w:p>
    <w:p>
      <w:pPr>
        <w:pStyle w:val="ListBullet"/>
      </w:pPr>
      <w:r>
        <w:t>Observance : prise à heure fixe, calendrier d'administration, ne jamais doubler la dose, ne jamais interrompre sans avis médical.</w:t>
      </w:r>
    </w:p>
    <w:p>
      <w:pPr>
        <w:pStyle w:val="ListBullet"/>
      </w:pPr>
      <w:r>
        <w:t>Alerte : consulter immédiatement en cas d'ictère, urines foncées, selles décolorées, douleurs abdominales, fatigue intense, palpitations, syncopes.</w:t>
      </w:r>
    </w:p>
    <w:p>
      <w:r/>
      <w:r>
        <w:rPr>
          <w:b/>
        </w:rPr>
        <w:t>Notes, Règles d'Or &amp; Pièges au Comptoir :</w:t>
      </w:r>
      <w:r/>
    </w:p>
    <w:p>
      <w:pPr>
        <w:pStyle w:val="ListBullet"/>
      </w:pPr>
      <w:r>
        <w:t>Piège : l'hépatotoxicité du Bicalutamide est plus rare que celle du Flutamide mais non négligeable — surveillance trimestrielle des transaminases les 4 premiers mois.</w:t>
      </w:r>
    </w:p>
    <w:p>
      <w:pPr>
        <w:pStyle w:val="ListBullet"/>
      </w:pPr>
      <w:r>
        <w:t>Règle : le Bicalutamide est l'anti-androgène de 1re génération de référence en Algérie, le Flutamide étant retiré du marché.</w:t>
      </w:r>
    </w:p>
    <w:p>
      <w:pPr>
        <w:pStyle w:val="ListBullet"/>
      </w:pPr>
      <w:r>
        <w:t>Piège : l'association Bicalutamide + warfarine impose une surveillance stricte de l'INR (inhibition du CYP2C9).</w:t>
      </w:r>
    </w:p>
    <w:p>
      <w:pPr>
        <w:pStyle w:val="ListBullet"/>
      </w:pPr>
      <w:r>
        <w:t>Règle : le syndrome de retrait des anti-androgènes s'applique au Bicalutamide comme au Flutamide — l'arrêt du Bicalutamide chez un patient en progression peut, dans 20 à 30 % des cas, entraîner une chute paradoxale du PSA.</w:t>
      </w:r>
    </w:p>
    <w:p>
      <w:pPr>
        <w:pStyle w:val="ListBullet"/>
      </w:pPr>
      <w:r>
        <w:t>Piège : la gynécomastie est plus marquée en monothérapie 150 mg que dans le BAC à 50 mg — information à donner au patient.</w:t>
      </w:r>
    </w:p>
    <w:p>
      <w:pPr>
        <w:pStyle w:val="ListBullet"/>
      </w:pPr>
      <w:r>
        <w:t>Règle : la prise unique quotidienne (à la différence du Flutamide tri-quotidien) simplifie l'observance.</w:t>
      </w:r>
    </w:p>
    <w:p>
      <w:pPr>
        <w:pStyle w:val="ListBullet"/>
      </w:pPr>
      <w:r>
        <w:t>Piège : en cas d'allongement du QTc ou d'antécédent d'arythmie, préférer l'Enzalutamide (qui n'allonge pas significativement le QTc).</w:t>
      </w:r>
    </w:p>
    <w:p>
      <w:pPr>
        <w:pStyle w:val="Heading3"/>
      </w:pPr>
      <w:r>
        <w:t>107.7 DCI : Enzalutamide</w:t>
      </w:r>
    </w:p>
    <w:p>
      <w:r/>
      <w:r>
        <w:rPr>
          <w:b/>
        </w:rPr>
        <w:t>Liste des Catégories :</w:t>
      </w:r>
      <w:r>
        <w:t xml:space="preserve"> Antinéoplasiques et immunomodulateurs ; Antagoniste hormonal ; Anti-androgène de 2e génération (inhibiteur de l'axe androgénique) ; Traitement du cancer de la prostate résistant à la castration (CPRC) et métastatique hormono-naïf ; Liste I.</w:t>
      </w:r>
    </w:p>
    <w:p>
      <w:r>
        <w:t>L'Enzalutamide (Xtandi®, Astellas/Medivation, 2012) est le premier anti-androgène de 2e génération commercialisé, conçu pour surmonter la résistance acquise aux anti-androgènes de 1re génération (Flutamide, Bicalutamide) dans le cancer de la prostate résistant à la castration (CPRC). Sa structure chimique de thiohydantoïne dérivée diffère de celle des flutamides-bicalutamides, lui conférant une affinité 5 à 8 fois supérieure pour le récepteur androgénique et un triple mécanisme d'action (blocage compétitif de la liaison de la DHT, blocage de la translocation nucléaire, blocage de la transcription des gènes androgéno-dépendants). Les essais pivots AFFIRM (CPRC post-docétaxel) et PREVAIL (CPRC pré-docétaxel) ont démontré un bénéfice significatif en survie globale et en survie sans progression radiographique, transformant la prise en charge du CPRC. La disponibilité d'un générique algérien (Xytova, Hikma Pharma Algeria) depuis 2023 a marqué une avancée majeure dans l'accès à cette thérapeutique auparavant réservée aux patients fortunés.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XTANDI</w:t>
            </w:r>
          </w:p>
        </w:tc>
        <w:tc>
          <w:tcPr>
            <w:tcW w:type="dxa" w:w="1559"/>
          </w:tcPr>
          <w:p>
            <w:r>
              <w:rPr>
                <w:sz w:val="20"/>
              </w:rPr>
              <w:t>ASTELLAS PHARMA EUROPE B.V.</w:t>
            </w:r>
          </w:p>
        </w:tc>
        <w:tc>
          <w:tcPr>
            <w:tcW w:type="dxa" w:w="1559"/>
          </w:tcPr>
          <w:p>
            <w:r>
              <w:rPr>
                <w:sz w:val="20"/>
              </w:rPr>
              <w:t>Capsule molle 40 mg</w:t>
            </w:r>
          </w:p>
        </w:tc>
        <w:tc>
          <w:tcPr>
            <w:tcW w:type="dxa" w:w="1559"/>
          </w:tcPr>
          <w:p>
            <w:r>
              <w:rPr>
                <w:sz w:val="20"/>
              </w:rPr>
              <w:t>B/4 pochettes de 8 (112 capsules molles)</w:t>
            </w:r>
          </w:p>
        </w:tc>
        <w:tc>
          <w:tcPr>
            <w:tcW w:type="dxa" w:w="1559"/>
          </w:tcPr>
          <w:p>
            <w:r>
              <w:rPr>
                <w:sz w:val="20"/>
              </w:rPr>
              <w:t>Liste I</w:t>
            </w:r>
          </w:p>
        </w:tc>
        <w:tc>
          <w:tcPr>
            <w:tcW w:type="dxa" w:w="1559"/>
          </w:tcPr>
          <w:p>
            <w:r>
              <w:rPr>
                <w:sz w:val="20"/>
              </w:rPr>
              <w:t>Actif</w:t>
            </w:r>
          </w:p>
        </w:tc>
      </w:tr>
      <w:tr>
        <w:tc>
          <w:tcPr>
            <w:tcW w:type="dxa" w:w="1559"/>
          </w:tcPr>
          <w:p>
            <w:r>
              <w:rPr>
                <w:sz w:val="20"/>
              </w:rPr>
              <w:t>XYTOVA</w:t>
            </w:r>
          </w:p>
        </w:tc>
        <w:tc>
          <w:tcPr>
            <w:tcW w:type="dxa" w:w="1559"/>
          </w:tcPr>
          <w:p>
            <w:r>
              <w:rPr>
                <w:sz w:val="20"/>
              </w:rPr>
              <w:t>HIKMA PHARMA ALGERIA</w:t>
            </w:r>
          </w:p>
        </w:tc>
        <w:tc>
          <w:tcPr>
            <w:tcW w:type="dxa" w:w="1559"/>
          </w:tcPr>
          <w:p>
            <w:r>
              <w:rPr>
                <w:sz w:val="20"/>
              </w:rPr>
              <w:t>Comprimé pelliculé 40 mg</w:t>
            </w:r>
          </w:p>
        </w:tc>
        <w:tc>
          <w:tcPr>
            <w:tcW w:type="dxa" w:w="1559"/>
          </w:tcPr>
          <w:p>
            <w:r>
              <w:rPr>
                <w:sz w:val="20"/>
              </w:rPr>
              <w:t>B/120</w:t>
            </w:r>
          </w:p>
        </w:tc>
        <w:tc>
          <w:tcPr>
            <w:tcW w:type="dxa" w:w="1559"/>
          </w:tcPr>
          <w:p>
            <w:r>
              <w:rPr>
                <w:sz w:val="20"/>
              </w:rPr>
              <w:t>Liste I</w:t>
            </w:r>
          </w:p>
        </w:tc>
        <w:tc>
          <w:tcPr>
            <w:tcW w:type="dxa" w:w="1559"/>
          </w:tcPr>
          <w:p>
            <w:r>
              <w:rPr>
                <w:sz w:val="20"/>
              </w:rPr>
              <w:t>Actif</w:t>
            </w:r>
          </w:p>
        </w:tc>
      </w:tr>
      <w:tr>
        <w:tc>
          <w:tcPr>
            <w:tcW w:type="dxa" w:w="1559"/>
          </w:tcPr>
          <w:p>
            <w:r>
              <w:rPr>
                <w:sz w:val="20"/>
              </w:rPr>
              <w:t>XYTOVA</w:t>
            </w:r>
          </w:p>
        </w:tc>
        <w:tc>
          <w:tcPr>
            <w:tcW w:type="dxa" w:w="1559"/>
          </w:tcPr>
          <w:p>
            <w:r>
              <w:rPr>
                <w:sz w:val="20"/>
              </w:rPr>
              <w:t>HIKMA PHARMA ALGERIA</w:t>
            </w:r>
          </w:p>
        </w:tc>
        <w:tc>
          <w:tcPr>
            <w:tcW w:type="dxa" w:w="1559"/>
          </w:tcPr>
          <w:p>
            <w:r>
              <w:rPr>
                <w:sz w:val="20"/>
              </w:rPr>
              <w:t>Comprimé pelliculé 80 mg</w:t>
            </w:r>
          </w:p>
        </w:tc>
        <w:tc>
          <w:tcPr>
            <w:tcW w:type="dxa" w:w="1559"/>
          </w:tcPr>
          <w:p>
            <w:r>
              <w:rPr>
                <w:sz w:val="20"/>
              </w:rPr>
              <w:t>B/60</w:t>
            </w:r>
          </w:p>
        </w:tc>
        <w:tc>
          <w:tcPr>
            <w:tcW w:type="dxa" w:w="1559"/>
          </w:tcPr>
          <w:p>
            <w:r>
              <w:rPr>
                <w:sz w:val="20"/>
              </w:rPr>
              <w:t>Liste I</w:t>
            </w:r>
          </w:p>
        </w:tc>
        <w:tc>
          <w:tcPr>
            <w:tcW w:type="dxa" w:w="1559"/>
          </w:tcPr>
          <w:p>
            <w:r>
              <w:rPr>
                <w:sz w:val="20"/>
              </w:rPr>
              <w:t>Actif</w:t>
            </w:r>
          </w:p>
        </w:tc>
      </w:tr>
    </w:tbl>
    <w:p/>
    <w:p>
      <w:r>
        <w:t>Le marché algérien de l'Enzalutamide comprend le princeps XTANDI (Astellas Pharma Europe) en capsule molle 40 mg, et le générique XYTOVA (Hikma Pharma Algeria) en comprimé pelliculé aux dosages 40 mg et 80 mg. La coexistence de deux dosages (40 mg et 80 mg) permet une modulation fine de la posologie : la dose standard de 160 mg/jour peut être administrée selon différentes combinaisons (4 × 40 mg, 2 × 80 mg, ou 1 × 80 mg + 2 × 40 mg), facilitant l'adaptation posologique en cas de toxicité (réduction à 120 mg/j ou 80 mg/j) ou de difficulté de déglutition (la capsule molle du princeps peut être plus facile à avaler pour les patients dysphagiques). Le conditionnement B/120 (comprimés 40 mg) ou B/60 (comprimés 80 mg) correspond à 1 mois de traitement à la dose standard de 160 mg/j.</w:t>
      </w:r>
    </w:p>
    <w:p>
      <w:r/>
      <w:r>
        <w:rPr>
          <w:b/>
        </w:rPr>
        <w:t>Sous-classe et Mécanisme d'action :</w:t>
      </w:r>
      <w:r/>
    </w:p>
    <w:p>
      <w:pPr>
        <w:pStyle w:val="ListBullet"/>
      </w:pPr>
      <w:r>
        <w:t>Sous-classe : Anti-androgène de 2e génération, classe des thiohydantoïnes dérivées (4-[3-[4-cyano-3-(trifluorométhyl)phényl]-5,5-diméthyl-4-oxo-2-thioxoimidazolidin-1-yl]-2-fluoro-N-méthylbenzamide). L'Enzalutamide est dépourvu de toute activité stéroïdienne (pas d'affinité pour les récepteurs des estrogènes, progestatifs, glucocorticoïdes, minéralocorticoïdes).</w:t>
      </w:r>
    </w:p>
    <w:p>
      <w:pPr>
        <w:pStyle w:val="ListBullet"/>
      </w:pPr>
      <w:r>
        <w:t>Mécanisme d'action : l'Enzalutamide et son métabolite actif principal (N-déméthyl-Enzalutamide, formé par CYP2C8, d'affinité comparable à la molécule mère) exercent un triple blocage du récepteur androgénique (AR) : (i) inhibition compétitive de la liaison de la DHT au récepteur androgénique (affinité 5 à 8 fois supérieure à celle du Bicalutamide), empêchant l'activation du récepteur par les androgènes résiduels (testostérone surrénalienne, androgènes intratumoraux) ; (ii) inhibition de la translocation nucléaire du complexe AR-ligand, empêchant l'interaction avec les éléments de réponse aux androgènes (ARE) des gènes-cibles ; (iii) inhibition de la transcription des gènes androgéno-dépendants par recrutement de co-répresseurs (NCoR, SMRT). Ce triple blocage explique l'activité conservée sur les mutants du récepteur AR (notamment W741C/L qui confère la résistance au Bicalutamide), et l'absence d'effet agoniste partiel à l'origine du syndrome de retrait des anti-androgènes observé avec le Flutamide et le Bicalutamide. L'Enzalutamide est actif sur les cellules tumorales prostatiques résistantes à la castration, dont la survie est soutenue par la stéroïdogenèse intratumorale (androgènes synthétisés par les cellules tumorales elles-mêmes) et par les mutations activatrices du récepteur AR.</w:t>
      </w:r>
    </w:p>
    <w:p>
      <w:pPr>
        <w:pStyle w:val="ListBullet"/>
      </w:pPr>
      <w:r>
        <w:t>Pharmacocinétique : absorption orale rapide (Tmax 1 à 2 heures), biodisponibilité de 30 % (augmentée par la prise alimentaire riche en graisses — prise indifférente en pratique), liaison protéique de 97 à 98 % (principalement l'albumine), volume de distribution de 110 L ; métabolisme hépatique principal par CYP2C8 (en N-déméthyl-Enzalutamide, métabolite actif) puis CYP3A4 et CYP3A5 ; demi-vie d'élimination prolongée (5,8 jours pour l'Enzalutamide, 7,8 jours pour le N-déméthyl-Enzalutamide) autorisant une prise unique quotidienne ; état d'équilibre atteint en 4 semaines ; élimination urinaire (71 %) et fécale (14 %). Inducteur puissant du CYP3A4 (effet auto-inducteur limité mais significatif sur d'autres substrats) et inhibiteur modéré du CYP2C9 et du CYP2C19.</w:t>
      </w:r>
    </w:p>
    <w:p>
      <w:r/>
      <w:r>
        <w:rPr>
          <w:b/>
        </w:rPr>
        <w:t>Profil Pharmacologique :</w:t>
      </w:r>
      <w:r/>
    </w:p>
    <w:p>
      <w:pPr>
        <w:pStyle w:val="ListBullet"/>
      </w:pPr>
      <w:r>
        <w:t>Indications : (1) Cancer de la prostate métastatique résistant à la castration (mCPRC) en première ligne (pré-docétaxel) — essai PREVAIL, bénéfice démontré en survie globale (32,4 mois vs 30,2 mois pour le placebo) et en survie sans progression radiographique ; (2) mCPRC post-docétaxel — essai AFFIRM, bénéfice démontré en survie globale (18,4 mois vs 13,6 mois pour le placebo) ; (3) Cancer de la prostate non métastatique résistant à la castration (nmCPRC) avec risque élevé de métastases (PSA doubling time &lt; 10 mois) — essai PROSPER, bénéfice démontré en survie sans métastase (36,6 mois vs 14,7 mois pour le placebo) ; (4) Cancer de la prostate métastatique hormono-naïf (mHNPC) en association à un agoniste du GnRH — essai ARCHES, bénéfice démontré en survie sans progression radiographique. En Algérie, l'indication validée par AMM concerne principalement le mCPRC pré- et post-docétaxel, l'extension au mHNPC et au nmCPRC étant discutée au cas par cas selon les recommandations oncologiques locales.</w:t>
      </w:r>
    </w:p>
    <w:p>
      <w:pPr>
        <w:pStyle w:val="ListBullet"/>
      </w:pPr>
      <w:r>
        <w:t>Contre-indications : hypersensibilité à l'Enzalutamide ; antécédent de crise convulsive (CI absolue — risque convulsif accru par interaction avec le récepteur GABA-A) ; antécédent de lésion cérébrale structurelle (métastases cérébrales non traitées, traumatisme crânien sévère, AVC ischémique étendu récent, tumeur cérébrale, antécédent de neurochirurgie) ; insuffisance hépatique sévère (Child-Pugh C) ; grossesse (CI absolue, tératogénicité) ; allaitement ; association à la warfarine (interaction CYP2C9 majeure), association à la phénytoïne ou à la carbamazépine (inducteurs enzymatiques). Précautions : antécédent cardiovasculaire (HTA, troubles du rythme), ostéoporose préexistante, sujet âgé fragile, insuffisance hépatique modérée.</w:t>
      </w:r>
    </w:p>
    <w:p>
      <w:pPr>
        <w:pStyle w:val="ListBullet"/>
      </w:pPr>
      <w:r>
        <w:t>Effets Indésirables : Très fréquents (&gt; 10 %) : fatigue (50 %, parfois sévère grade 3/4 dans 5 à 10 % — effet central lié à la pénétration cérébrale de l'Enzalutamide), asthénie, faiblesse musculaire, chutes (incidence accrue 10 à 15 %, particulièrement chez le sujet âgé — par troubles de la marche, hypotension orthostatique, asthénie), bouffées de chaleur (20 à 25 %), hypertension artérielle (10 %, parfois sévère), arthralgies, dorsalgies, céphalées, vertiges, insomnie, troubles cognitifs (troubles de la mémoire, troubles de l'attention, syndrome frontal — par effet central, parfois confondus avec une démence débutante), anxiété, dépression, perte de libido, impuissance (en association à la castration), gynécomastie (moins fréquente qu'avec le Bicalutamide), diarrhée (10 %), nausées, perte d'appétit, perte de poids. Fréquents (1 à 10 %) : convulsions (incidence 0,9 % dans les essais pivots versus 0 % dans le bras comparateur, liées à la pénétration cérébrale et à l'interaction avec le récepteur GABA-A), fractures osseuses (incidence accrue, particulièrement vertébrales et de la hanche — favorisées par le contexte de castration prolongée et l'ostéoporose induite), paresthésies, hypoesthésies, syndrome des jambes sans repos, syndrome de Raynaud, hyperglycémie, hypertriglycéridémie, hypothyroïdie, hyperkaliémie, hyponatrémie, anémie modérée, neutropénie, lymphopénie, hyperbilirubinémie, élévation des transaminases. Peu fréquents (0,1 à 1 %) : événements thrombotiques (infarctus du myocarde, AVC ischémique — incidence comparable au placebo dans PREVAIL), hépatotoxicité sévère, syndrome de Stevens-Johnson, anaphylaxie, angioedème, syndrome d'hypersensibilité (DRESS), pneumopathie interstitielle. Rares (&lt; 0,1 %) : syndrome de leuco-encéphalopathie postérieure réversible (PRES, exceptionnellement rapporté), états confusionnels sévères, hallucinations, idées suicidaires (à rechercher systématiquement).</w:t>
      </w:r>
    </w:p>
    <w:p>
      <w:r/>
      <w:r>
        <w:rPr>
          <w:b/>
        </w:rPr>
        <w:t>Prévention et Gestion des Effets Indésirables :</w:t>
      </w:r>
      <w:r/>
    </w:p>
    <w:p>
      <w:pPr>
        <w:pStyle w:val="ListBullet"/>
      </w:pPr>
      <w:r>
        <w:t>Mesures Préventives : évaluation neurologique initiale systématique (recherche d'antécédents convulsifs, de lésion cérébrale structurelle, de médicaments abaissant le seuil épileptogène) ; évaluation cardiovasculaire initiale (pression artérielle, ECG, échographie cardiaque) ; densitométrie osseuse (DEXA) initiale chez les patients à risque ; prescription systématique de calcium-vitamine D (1000 mg/j + 800 UI/j) ; évaluation de la marche et de l'équilibre chez le sujet âgé ; évaluation cognitive initiale (Mini-Mental State Examination ou MoCA) chez le sujet âgé ; information du patient sur les signes d'alerte (convulsions, faiblesse, chutes, troubles de la mémoire) ; vérification systématique des médicaments concomitants (warfarine, inducteurs enzymatiques, anticonvulsivants).</w:t>
      </w:r>
    </w:p>
    <w:p>
      <w:pPr>
        <w:pStyle w:val="ListBullet"/>
      </w:pPr>
      <w:r>
        <w:t>Conduite à Tenir : convulsions (quelle que soit la présentation) : ARRÊT IMMÉDIAT et DÉFINITIF de l'Enzalutamide, hospitalisation urgente, examen neurologique spécialisé (EEG, IRM cérébrale), switch vers l'Abiratérone (qui n'a pas de risque convulsif) ; fatigue grade 3/4 : interruption 1 à 2 semaines, reprise à dose réduite (120 mg/j ou 80 mg/j), surveillance ; chutes récidivantes : évaluation gériatrique, kinésithérapie, adaptation posologique ; hypertension artérielle sévère (PA &gt; 180/110 mmHg) : antihypertenseurs, adaptation posologique de l'Enzalutamide ; fractures osseuses : switch vers l'Abiratérone + prednisone ou introduction de denosumab (Xgeva) ; troubles cognitifs sévères : évaluation neurologique, switch vers l'Abiratérone si impact fonctionnel majeur.</w:t>
      </w:r>
    </w:p>
    <w:p>
      <w:r/>
      <w:r>
        <w:rPr>
          <w:b/>
        </w:rPr>
        <w:t>Interactions Médicamenteuses :</w:t>
      </w:r>
      <w:r/>
    </w:p>
    <w:p>
      <w:pPr>
        <w:pStyle w:val="ListBullet"/>
      </w:pPr>
      <w:r>
        <w:t>CYP2C8 (métabolisme principal) : inducteurs (rifampicine — réduction de l'ASC de 46 %, à éviter ; phénytoïne, carbamazépine, phénobarbital, millepertuis) — diminution de l'ASC, à éviter ; inhibiteurs (gemfibrozil — augmentation de l'ASC ×2,8, à éviter si possible ; triméthoprime) — augmentation de l'ASC, surveillance clinique.</w:t>
      </w:r>
    </w:p>
    <w:p>
      <w:pPr>
        <w:pStyle w:val="ListBullet"/>
      </w:pPr>
      <w:r>
        <w:t>CYP3A4 (métabolisme secondaire) : inducteurs (rifampicine, phénytoïne, carbamazépine, phénobarbital, millepertuis) — diminution de l'ASC, à éviter ; inhibiteurs (kétoconazole, itraconazole, clarithromycine, ritonavir, jus de pamplemousse) — augmentation modeste de l'ASC, surveillance clinique.</w:t>
      </w:r>
    </w:p>
    <w:p>
      <w:pPr>
        <w:pStyle w:val="ListBullet"/>
      </w:pPr>
      <w:r>
        <w:t>Induction enzymatique (effet significatif de l'Enzalutamide) : l'Enzalutamide est un inducteur puissant du CYP3A4 (réduit l'ASC des substrats de 30 à 50 %) et du CYP2C9 (réduit l'ASC des substrats de 50 à 70 %) — surveillance rapprochée ou switch pour : warfarine (CONTRE-INDIQUÉE — switch vers les HBPM), phénytoïne, carbamazépine, diclofenac, ibuprofène, celecoxib, glimépiride, glipizide, losartan, fluoxétine, sertraline, oméprazole, pantoprazole, dextrométhorphane. L'induction enzymatique atteint son maximum à 4 semaines et persiste 2 à 4 semaines après l'arrêt de l'Enzalutamide.</w:t>
      </w:r>
    </w:p>
    <w:p>
      <w:pPr>
        <w:pStyle w:val="ListBullet"/>
      </w:pPr>
      <w:r>
        <w:t>Inhibition enzymatique (effet modéré) : l'Enzalutamide inhibe modérément le CYP2C9 et le CYP2C19 (augmentation modeste de l'ASC des substrats), et la P-gp et la BCRP (surveillance avec la digoxine, le dabigatran, la rosuvastatine, la sulfasalazine, le méthotrexate).</w:t>
      </w:r>
    </w:p>
    <w:p>
      <w:pPr>
        <w:pStyle w:val="ListBullet"/>
      </w:pPr>
      <w:r>
        <w:t>Warfarine : association CONTRE-INDIQUÉE — l'Enzalutamide inducteur du CYP2C9 réduit l'effet anticoagulant de la warfarine, exposant à un risque thrombotique, et l'association est techniquement non gérable (surveillance INR insuffisante) ; switch vers les HBPM (enoxaparine, daltéparine, tinzaparine) ou vers un anticoagulant oral direct (apixaban, rivaroxaban) sans interaction.</w:t>
      </w:r>
    </w:p>
    <w:p>
      <w:pPr>
        <w:pStyle w:val="ListBullet"/>
      </w:pPr>
      <w:r>
        <w:t>Anticonvulsivants : prudence avec les antiépileptiques inducteurs enzymatiques (phénytoïne, carbamazépine, phénobarbital) — diminution de l'ASC de l'Enzalutamide. Préférer lévétiracetam, lamotrigine, valproate (sans interaction notable).</w:t>
      </w:r>
    </w:p>
    <w:p>
      <w:pPr>
        <w:pStyle w:val="ListBullet"/>
      </w:pPr>
      <w:r>
        <w:t>Statines : éviter la simvastatine (substrat CYP3A4, risque de rhabdomyolyse), préférer pravastatine ou rosuvastatine.</w:t>
      </w:r>
    </w:p>
    <w:p>
      <w:r/>
      <w:r>
        <w:rPr>
          <w:b/>
        </w:rPr>
        <w:t>Grossesse et Allaitement :</w:t>
      </w:r>
      <w:r/>
    </w:p>
    <w:p>
      <w:pPr>
        <w:pStyle w:val="ListBullet"/>
      </w:pPr>
      <w:r>
        <w:t>Grossesse : CONTRE-INDICATION ABSOLUE (indication masculine uniquement, mais le partenaire masculin doit utiliser une contraception pendant le traitement et 3 mois après l'arrêt en raison de la tératogénicité potentielle et des effets sur la spermatogenèse). En cas de projet de grossesse du partenaire : arrêt de l'Enzalutamide 3 mois avant la conception.</w:t>
      </w:r>
    </w:p>
    <w:p>
      <w:pPr>
        <w:pStyle w:val="ListBullet"/>
      </w:pPr>
      <w:r>
        <w:t>Allaitement : non applicable (indication masculine).</w:t>
      </w:r>
    </w:p>
    <w:p>
      <w:r/>
      <w:r>
        <w:rPr>
          <w:b/>
        </w:rPr>
        <w:t>Posologie et Mode d'administration (Standard) :</w:t>
      </w:r>
      <w:r/>
    </w:p>
    <w:p>
      <w:pPr>
        <w:pStyle w:val="ListBullet"/>
      </w:pPr>
      <w:r>
        <w:t>Adulte : 160 mg une fois par jour en une prise quotidienne unique (4 capsules à 40 mg, ou 2 comprimés à 80 mg, ou 1 comprimé à 80 mg + 2 capsules à 40 mg), au cours ou en dehors des repas. Dose standard 160 mg/j ; pas d'adaptation systématique.</w:t>
      </w:r>
    </w:p>
    <w:p>
      <w:pPr>
        <w:pStyle w:val="ListBullet"/>
      </w:pPr>
      <w:r>
        <w:t>Adaptation posologique en cas de toxicité : réduction à 120 mg/j (3 × 40 mg ou 1 × 80 mg + 1 × 40 mg) puis 80 mg/j en cas d'intolérance persistante ; interruption temporaire 1 à 2 semaines possible en cas de toxicité grade 3/4.</w:t>
      </w:r>
    </w:p>
    <w:p>
      <w:pPr>
        <w:pStyle w:val="ListBullet"/>
      </w:pPr>
      <w:r>
        <w:t>Insuffisance hépatique légère à modérée (Child-Pugh A-B) : pas d'adaptation ; insuffisance hépatique sévère (Child-Pugh C) : CONTRE-INDIQUÉE.</w:t>
      </w:r>
    </w:p>
    <w:p>
      <w:pPr>
        <w:pStyle w:val="ListBullet"/>
      </w:pPr>
      <w:r>
        <w:t>Insuffisance rénale légère à modérée : pas d'adaptation ; insuffisance rénale sévère (ClCr &lt; 30 mL/min) : surveillance clinique.</w:t>
      </w:r>
    </w:p>
    <w:p>
      <w:pPr>
        <w:pStyle w:val="ListBullet"/>
      </w:pPr>
      <w:r>
        <w:t>Sujet âgé : pas d'adaptation posologique systématique, mais surveillance renforcée (risque de chutes, de troubles cognitifs).</w:t>
      </w:r>
    </w:p>
    <w:p>
      <w:pPr>
        <w:pStyle w:val="ListBullet"/>
      </w:pPr>
      <w:r>
        <w:t>Mode d'administration : voie orale stricte, prise à heure fixe, au cours ou en dehors des repas. Les capsules molles ne doivent pas être ouvertes ni écrasées (risque de perte d'efficacité et de toxicité cutanée en cas de contact). Les comprimés pelliculés ne doivent pas être écrasés. En cas de sonde gastrique : ouvrir les capsules et disperser le contenu dans 30 mL d'eau, rinçage.</w:t>
      </w:r>
    </w:p>
    <w:p>
      <w:pPr>
        <w:pStyle w:val="ListBullet"/>
      </w:pPr>
      <w:r>
        <w:t>En cas d'oubli : ne pas doubler la dose ; prise si &lt; 12 heures, sinon attendre la prise suivante.</w:t>
      </w:r>
    </w:p>
    <w:p>
      <w:pPr>
        <w:pStyle w:val="ListBullet"/>
      </w:pPr>
      <w:r>
        <w:t>Durée du traitement : traitement au long cours, jusqu'à progression, intolérance ou switch vers l'Abiratérone.</w:t>
      </w:r>
    </w:p>
    <w:p>
      <w:r/>
      <w:r>
        <w:rPr>
          <w:b/>
        </w:rPr>
        <w:t>Surveillance Biologique et Suivi Clinique :</w:t>
      </w:r>
      <w:r/>
    </w:p>
    <w:p>
      <w:pPr>
        <w:pStyle w:val="ListBullet"/>
      </w:pPr>
      <w:r>
        <w:t>Neurologique : évaluation neurologique initiale systématique (recherche d'antécédents convulsifs, de lésion cérébrale structurelle), interrogation à chaque consultation sur la survenue de convulsions, troubles cognitifs, chutes, faiblesses musculaires.</w:t>
      </w:r>
    </w:p>
    <w:p>
      <w:pPr>
        <w:pStyle w:val="ListBullet"/>
      </w:pPr>
      <w:r>
        <w:t>Cardiovasculaire : mesure de la pression artérielle initiale puis mensuelle 3 mois puis trimestrielle ; ECG initial puis annuel ; échographie cardiaque initiale.</w:t>
      </w:r>
    </w:p>
    <w:p>
      <w:pPr>
        <w:pStyle w:val="ListBullet"/>
      </w:pPr>
      <w:r>
        <w:t>Osseux : densitométrie osseuse (DEXA) initiale, à 2 ans puis tous les 2 ans ; calcium-vitamine D systématique ; introduction d'un bisphosphonate (acide zolédronique 4 mg IV/4 semaines) ou denosumab 120 mg SC/4 semaines en cas de métastases osseuses ou de T-score &lt; -2,5.</w:t>
      </w:r>
    </w:p>
    <w:p>
      <w:pPr>
        <w:pStyle w:val="ListBullet"/>
      </w:pPr>
      <w:r>
        <w:t>Métabolique : glycémie à jeun initiale puis trimestrielle ; bilan lipidique initial puis annuel ; TSH initiale puis semestrielle.</w:t>
      </w:r>
    </w:p>
    <w:p>
      <w:pPr>
        <w:pStyle w:val="ListBullet"/>
      </w:pPr>
      <w:r>
        <w:t>Hépatique : ALAT, ASAT, bilirubine initiale puis trimestrielle.</w:t>
      </w:r>
    </w:p>
    <w:p>
      <w:pPr>
        <w:pStyle w:val="ListBullet"/>
      </w:pPr>
      <w:r>
        <w:t>Hématologique : NFS-plaquettes initiale puis trimestrielle.</w:t>
      </w:r>
    </w:p>
    <w:p>
      <w:pPr>
        <w:pStyle w:val="ListBullet"/>
      </w:pPr>
      <w:r>
        <w:t>Consultation oncologique : tous les 3 mois pendant la première année, puis semestrielle avec dosage du PSA, imagerie (scintigraphie osseuse, scanner abdomino-pelvien) en cas de progression clinique ou biologique.</w:t>
      </w:r>
    </w:p>
    <w:p>
      <w:r/>
      <w:r>
        <w:rPr>
          <w:b/>
        </w:rPr>
        <w:t>Arbitrage et Bénéfices des Formes Galéniques :</w:t>
      </w:r>
      <w:r/>
    </w:p>
    <w:p>
      <w:r>
        <w:t>L'Enzalutamide est disponible sous deux formes galéniques en Algérie : capsule molle à 40 mg (Xtandi princeps Astellas) et comprimé pelliculé à 40 mg et 80 mg (Xytova générique Hikma). Le choix entre les formes repose sur : (i) la préférence du patient pour la galénique (capsule molle plus facile à avaler pour les patients dysphagiques) ; (ii) la flexibilité posologique (la disponibilité du dosage 80 mg permet de réduire le nombre de comprimés à 2 au lieu de 4) ; (iii) le coût (le générique XYTOVA est significativement moins cher que le princeps XTANDI). La dose standard de 160 mg/j peut être administrée selon différentes combinaisons : 4 × 40 mg (4 capsules Xtandi ou 4 comprimés Xytova 40 mg), 2 × 80 mg (2 comprimés Xytova 80 mg), ou 1 × 80 mg + 2 × 40 mg (en cas de réduction à 120 mg/j ou d'augmentation à 200 mg/j non standard). Le switch entre princeps et générique est légitime et sans impact sur l'efficacité (bioéquivalence démontrée).</w:t>
      </w:r>
    </w:p>
    <w:p>
      <w:r/>
      <w:r>
        <w:rPr>
          <w:b/>
        </w:rPr>
        <w:t>Instructions et Conseils au Patient :</w:t>
      </w:r>
      <w:r/>
    </w:p>
    <w:p>
      <w:pPr>
        <w:pStyle w:val="ListBullet"/>
      </w:pPr>
      <w:r>
        <w:t>Communication : « L'Enzalutamide est un médicament anticancéreux oral de nouvelle génération qui bloque l'action des hormones mâles (testostérone) sur votre tumeur de la prostate. Il se prend une fois par jour, à heure fixe, matin ou soir, au cours ou en dehors des repas. Le traitement est associé à un agoniste du GnRH (castration chimique). Prévenez immédiatement votre médecin en cas de convulsions, de pertes de connaissance, de faiblesses musculaires, de chutes, de troubles de la mémoire ou de la concentration, de palpitations, de douleurs thoraciques, d'essoufflement, de maux de tête intenses, de confusion. Évitez le pamplemousse et le millepertuis (interactions). Prévenez tout médecin consulté que vous prenez de l'Enzalutamide (en particulier avant prescription d'anticoagulant, d'anticonvulsivant, de statine). »</w:t>
      </w:r>
    </w:p>
    <w:p>
      <w:pPr>
        <w:pStyle w:val="ListBullet"/>
      </w:pPr>
      <w:r>
        <w:t>Observance : prise à heure fixe, calendrier d'administration, ne jamais doubler la dose, ne jamais interrompre sans avis médical.</w:t>
      </w:r>
    </w:p>
    <w:p>
      <w:pPr>
        <w:pStyle w:val="ListBullet"/>
      </w:pPr>
      <w:r>
        <w:t>Alerte : consulter immédiatement en cas de convulsion, perte de connaissance, faiblesse musculaire, chute, trouble visuel, confusion, douleur thoracique, essoufflement.</w:t>
      </w:r>
    </w:p>
    <w:p>
      <w:pPr>
        <w:pStyle w:val="ListBullet"/>
      </w:pPr>
      <w:r>
        <w:t>Prévention des chutes : évaluation gériatrique, kinésithérapie, port de chaussures adaptées, éviction des tapis et obstacles domestiques.</w:t>
      </w:r>
    </w:p>
    <w:p>
      <w:pPr>
        <w:pStyle w:val="ListBullet"/>
      </w:pPr>
      <w:r>
        <w:t>Prévention osseuse : calcium-vitamine D systématiques, activité physique adaptée.</w:t>
      </w:r>
    </w:p>
    <w:p>
      <w:r/>
      <w:r>
        <w:rPr>
          <w:b/>
        </w:rPr>
        <w:t>Notes, Règles d'Or &amp; Pièges au Comptoir :</w:t>
      </w:r>
      <w:r/>
    </w:p>
    <w:p>
      <w:pPr>
        <w:pStyle w:val="ListBullet"/>
      </w:pPr>
      <w:r>
        <w:t>Piège : l'Enzalutamide est CONTRE-INDIQUÉ en cas d'antécédent de crise convulsive ou de lésion cérébrale structurelle (métastases cérébrales, traumatisme crânien, AVC ischémique étendu) — vérifier systématiquement avant l'initiation.</w:t>
      </w:r>
    </w:p>
    <w:p>
      <w:pPr>
        <w:pStyle w:val="ListBullet"/>
      </w:pPr>
      <w:r>
        <w:t>Règle : l'association Enzalutamide + warfarine est CONTRE-INDIQUÉE — switch vers HBPM ou anticoagulant oral direct (apixaban, rivaroxaban).</w:t>
      </w:r>
    </w:p>
    <w:p>
      <w:pPr>
        <w:pStyle w:val="ListBullet"/>
      </w:pPr>
      <w:r>
        <w:t>Piège : l'Enzalutamide est un inducteur puissant du CYP3A4 et du CYP2C9 — vérifier systématiquement les médicaments concomitants (warfarine, phénytoïne, diclofenac, glimépiride, oméprazole, simvastatine).</w:t>
      </w:r>
    </w:p>
    <w:p>
      <w:pPr>
        <w:pStyle w:val="ListBullet"/>
      </w:pPr>
      <w:r>
        <w:t>Règle : la fatigue et les troubles cognitifs sont des effets indésirables très fréquents — information du patient et adaptation posologique si nécessaire.</w:t>
      </w:r>
    </w:p>
    <w:p>
      <w:pPr>
        <w:pStyle w:val="ListBullet"/>
      </w:pPr>
      <w:r>
        <w:t>Piège : les chutes peuvent être le signe révélateur d'une toxicité cumulée — évaluation gériatrique systématique chez le sujet âgé.</w:t>
      </w:r>
    </w:p>
    <w:p>
      <w:pPr>
        <w:pStyle w:val="ListBullet"/>
      </w:pPr>
      <w:r>
        <w:t>Règle : en cas de convulsion, ARRÊT IMMÉDIAT et DÉFINITIF de l'Enzalutamide — switch vers l'Abiratérone (qui n'a pas de risque convulsif).</w:t>
      </w:r>
    </w:p>
    <w:p>
      <w:pPr>
        <w:pStyle w:val="ListBullet"/>
      </w:pPr>
      <w:r>
        <w:t>Piège : l'effet inducteur enzymatique persiste 2 à 4 semaines après l'arrêt de l'Enzalutamide — surveillance des interactions pendant cette période.</w:t>
      </w:r>
    </w:p>
    <w:p>
      <w:pPr>
        <w:pStyle w:val="ListBullet"/>
      </w:pPr>
      <w:r>
        <w:t>Règle : la disponibilité d'un générique algérien (Xytova) a transformé l'accès à l'Enzalutamide en Algérie — information du patient sur les alternatives économiques.</w:t>
      </w:r>
    </w:p>
    <w:p>
      <w:pPr>
        <w:pStyle w:val="Heading3"/>
      </w:pPr>
      <w:r>
        <w:t>107.8 DCI : Abiratérone (acétate d'Abiratérone)</w:t>
      </w:r>
    </w:p>
    <w:p>
      <w:r/>
      <w:r>
        <w:rPr>
          <w:b/>
        </w:rPr>
        <w:t>Liste des Catégories :</w:t>
      </w:r>
      <w:r>
        <w:t xml:space="preserve"> Antinéoplasiques et immunomodulateurs ; Antagoniste hormonal ; Inhibiteur de la CYP17 (17α-hydroxylase/17,20-lyase) ; Traitement du cancer de la prostate résistant à la castration (CPRC) et métastatique hormono-naïf (mHNPC) ; Association obligatoire à la prednisone ; Liste I.</w:t>
      </w:r>
    </w:p>
    <w:p>
      <w:r>
        <w:t>L'Abiratérone (acétate de Zytiga®, Janssen, 2011) est le premier inhibiteur sélectif et irréversible de la CYP17A1 commercialisé, conçu pour bloquer la synthèse résiduelle d'androgènes surrénaliens et intratumoraux dans le cancer de la prostate résistant à la castration (CPRC). Sa structure chimique de pyridine stéroïdienne dérivée du prégénénolone lui confère une affinité élevée pour la CYP17A1 (Ki ~ 15 nM) et une sélectivité supérieure à 100 fois pour la CYP17A1 par rapport aux autres cytochromes stéroïdogéniques. Les essais pivots COU-AA-301 (CPRC post-docétaxel) et COU-AA-302 (CPRC pré-docétaxel) ont démontré un bénéfice significatif en survie globale (gain médian de 4 mois dans COU-AA-301), transformant la prise en charge du CPRC. Les essais LATITUDE (mHNPC métastatique à haut risque) et STAMPEDE (mHNPC tous stades) ont étendu l'indication au cancer de la prostate métastatique naïf de docétaxel en association à la castration. La disponibilité de six génériques algériens depuis 2021 a transformé l'accès à cette thérapeutique auparavant réservée aux patients fortunés.</w:t>
      </w:r>
    </w:p>
    <w:p>
      <w:r/>
      <w:r>
        <w:rPr>
          <w:b/>
        </w:rPr>
        <w:t>Médicaments disponibles en Algérie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ABIPHAL</w:t>
            </w:r>
          </w:p>
        </w:tc>
        <w:tc>
          <w:tcPr>
            <w:tcW w:type="dxa" w:w="1559"/>
          </w:tcPr>
          <w:p>
            <w:r>
              <w:rPr>
                <w:sz w:val="20"/>
              </w:rPr>
              <w:t>SOCIETE PHARMACEUTIQUE ALGERIENNE SOPHAL</w:t>
            </w:r>
          </w:p>
        </w:tc>
        <w:tc>
          <w:tcPr>
            <w:tcW w:type="dxa" w:w="1559"/>
          </w:tcPr>
          <w:p>
            <w:r>
              <w:rPr>
                <w:sz w:val="20"/>
              </w:rPr>
              <w:t>Comprimé 250 mg</w:t>
            </w:r>
          </w:p>
        </w:tc>
        <w:tc>
          <w:tcPr>
            <w:tcW w:type="dxa" w:w="1559"/>
          </w:tcPr>
          <w:p>
            <w:r>
              <w:rPr>
                <w:sz w:val="20"/>
              </w:rPr>
              <w:t>B/120</w:t>
            </w:r>
          </w:p>
        </w:tc>
        <w:tc>
          <w:tcPr>
            <w:tcW w:type="dxa" w:w="1559"/>
          </w:tcPr>
          <w:p>
            <w:r>
              <w:rPr>
                <w:sz w:val="20"/>
              </w:rPr>
              <w:t>Liste I</w:t>
            </w:r>
          </w:p>
        </w:tc>
        <w:tc>
          <w:tcPr>
            <w:tcW w:type="dxa" w:w="1559"/>
          </w:tcPr>
          <w:p>
            <w:r>
              <w:rPr>
                <w:sz w:val="20"/>
              </w:rPr>
              <w:t>Actif</w:t>
            </w:r>
          </w:p>
        </w:tc>
      </w:tr>
      <w:tr>
        <w:tc>
          <w:tcPr>
            <w:tcW w:type="dxa" w:w="1559"/>
          </w:tcPr>
          <w:p>
            <w:r>
              <w:rPr>
                <w:sz w:val="20"/>
              </w:rPr>
              <w:t>ABIRATERONE UPC</w:t>
            </w:r>
          </w:p>
        </w:tc>
        <w:tc>
          <w:tcPr>
            <w:tcW w:type="dxa" w:w="1559"/>
          </w:tcPr>
          <w:p>
            <w:r>
              <w:rPr>
                <w:sz w:val="20"/>
              </w:rPr>
              <w:t>SPA UNION PHARMACEUITIQUE CONSTANTINOISE PRODUCTION</w:t>
            </w:r>
          </w:p>
        </w:tc>
        <w:tc>
          <w:tcPr>
            <w:tcW w:type="dxa" w:w="1559"/>
          </w:tcPr>
          <w:p>
            <w:r>
              <w:rPr>
                <w:sz w:val="20"/>
              </w:rPr>
              <w:t>Comprimé 250 mg</w:t>
            </w:r>
          </w:p>
        </w:tc>
        <w:tc>
          <w:tcPr>
            <w:tcW w:type="dxa" w:w="1559"/>
          </w:tcPr>
          <w:p>
            <w:r>
              <w:rPr>
                <w:sz w:val="20"/>
              </w:rPr>
              <w:t>B/01 flacon 120</w:t>
            </w:r>
          </w:p>
        </w:tc>
        <w:tc>
          <w:tcPr>
            <w:tcW w:type="dxa" w:w="1559"/>
          </w:tcPr>
          <w:p>
            <w:r>
              <w:rPr>
                <w:sz w:val="20"/>
              </w:rPr>
              <w:t>Liste I</w:t>
            </w:r>
          </w:p>
        </w:tc>
        <w:tc>
          <w:tcPr>
            <w:tcW w:type="dxa" w:w="1559"/>
          </w:tcPr>
          <w:p>
            <w:r>
              <w:rPr>
                <w:sz w:val="20"/>
              </w:rPr>
              <w:t>Actif</w:t>
            </w:r>
          </w:p>
        </w:tc>
      </w:tr>
      <w:tr>
        <w:tc>
          <w:tcPr>
            <w:tcW w:type="dxa" w:w="1559"/>
          </w:tcPr>
          <w:p>
            <w:r>
              <w:rPr>
                <w:sz w:val="20"/>
              </w:rPr>
              <w:t>ABIRON</w:t>
            </w:r>
          </w:p>
        </w:tc>
        <w:tc>
          <w:tcPr>
            <w:tcW w:type="dxa" w:w="1559"/>
          </w:tcPr>
          <w:p>
            <w:r>
              <w:rPr>
                <w:sz w:val="20"/>
              </w:rPr>
              <w:t>BDR PHARMACEUTICALS INTERNATIONAL PVT LTD</w:t>
            </w:r>
          </w:p>
        </w:tc>
        <w:tc>
          <w:tcPr>
            <w:tcW w:type="dxa" w:w="1559"/>
          </w:tcPr>
          <w:p>
            <w:r>
              <w:rPr>
                <w:sz w:val="20"/>
              </w:rPr>
              <w:t>Comprimé 250 mg</w:t>
            </w:r>
          </w:p>
        </w:tc>
        <w:tc>
          <w:tcPr>
            <w:tcW w:type="dxa" w:w="1559"/>
          </w:tcPr>
          <w:p>
            <w:r>
              <w:rPr>
                <w:sz w:val="20"/>
              </w:rPr>
              <w:t>B/120</w:t>
            </w:r>
          </w:p>
        </w:tc>
        <w:tc>
          <w:tcPr>
            <w:tcW w:type="dxa" w:w="1559"/>
          </w:tcPr>
          <w:p>
            <w:r>
              <w:rPr>
                <w:sz w:val="20"/>
              </w:rPr>
              <w:t>Liste I</w:t>
            </w:r>
          </w:p>
        </w:tc>
        <w:tc>
          <w:tcPr>
            <w:tcW w:type="dxa" w:w="1559"/>
          </w:tcPr>
          <w:p>
            <w:r>
              <w:rPr>
                <w:sz w:val="20"/>
              </w:rPr>
              <w:t>Actif</w:t>
            </w:r>
          </w:p>
        </w:tc>
      </w:tr>
      <w:tr>
        <w:tc>
          <w:tcPr>
            <w:tcW w:type="dxa" w:w="1559"/>
          </w:tcPr>
          <w:p>
            <w:r>
              <w:rPr>
                <w:sz w:val="20"/>
              </w:rPr>
              <w:t>ABODEX</w:t>
            </w:r>
          </w:p>
        </w:tc>
        <w:tc>
          <w:tcPr>
            <w:tcW w:type="dxa" w:w="1559"/>
          </w:tcPr>
          <w:p>
            <w:r>
              <w:rPr>
                <w:sz w:val="20"/>
              </w:rPr>
              <w:t>EL KENDI INDUSTRIE DU MEDICAMENT</w:t>
            </w:r>
          </w:p>
        </w:tc>
        <w:tc>
          <w:tcPr>
            <w:tcW w:type="dxa" w:w="1559"/>
          </w:tcPr>
          <w:p>
            <w:r>
              <w:rPr>
                <w:sz w:val="20"/>
              </w:rPr>
              <w:t>Comprimé pelliculé 250 mg</w:t>
            </w:r>
          </w:p>
        </w:tc>
        <w:tc>
          <w:tcPr>
            <w:tcW w:type="dxa" w:w="1559"/>
          </w:tcPr>
          <w:p>
            <w:r>
              <w:rPr>
                <w:sz w:val="20"/>
              </w:rPr>
              <w:t>B/120</w:t>
            </w:r>
          </w:p>
        </w:tc>
        <w:tc>
          <w:tcPr>
            <w:tcW w:type="dxa" w:w="1559"/>
          </w:tcPr>
          <w:p>
            <w:r>
              <w:rPr>
                <w:sz w:val="20"/>
              </w:rPr>
              <w:t>Liste I</w:t>
            </w:r>
          </w:p>
        </w:tc>
        <w:tc>
          <w:tcPr>
            <w:tcW w:type="dxa" w:w="1559"/>
          </w:tcPr>
          <w:p>
            <w:r>
              <w:rPr>
                <w:sz w:val="20"/>
              </w:rPr>
              <w:t>Actif</w:t>
            </w:r>
          </w:p>
        </w:tc>
      </w:tr>
      <w:tr>
        <w:tc>
          <w:tcPr>
            <w:tcW w:type="dxa" w:w="1559"/>
          </w:tcPr>
          <w:p>
            <w:r>
              <w:rPr>
                <w:sz w:val="20"/>
              </w:rPr>
              <w:t>ABREMIA</w:t>
            </w:r>
          </w:p>
        </w:tc>
        <w:tc>
          <w:tcPr>
            <w:tcW w:type="dxa" w:w="1559"/>
          </w:tcPr>
          <w:p>
            <w:r>
              <w:rPr>
                <w:sz w:val="20"/>
              </w:rPr>
              <w:t>HIKMA PHARMA ALGERIA</w:t>
            </w:r>
          </w:p>
        </w:tc>
        <w:tc>
          <w:tcPr>
            <w:tcW w:type="dxa" w:w="1559"/>
          </w:tcPr>
          <w:p>
            <w:r>
              <w:rPr>
                <w:sz w:val="20"/>
              </w:rPr>
              <w:t>Comprimé 250 mg</w:t>
            </w:r>
          </w:p>
        </w:tc>
        <w:tc>
          <w:tcPr>
            <w:tcW w:type="dxa" w:w="1559"/>
          </w:tcPr>
          <w:p>
            <w:r>
              <w:rPr>
                <w:sz w:val="20"/>
              </w:rPr>
              <w:t>B/120</w:t>
            </w:r>
          </w:p>
        </w:tc>
        <w:tc>
          <w:tcPr>
            <w:tcW w:type="dxa" w:w="1559"/>
          </w:tcPr>
          <w:p>
            <w:r>
              <w:rPr>
                <w:sz w:val="20"/>
              </w:rPr>
              <w:t>Liste I</w:t>
            </w:r>
          </w:p>
        </w:tc>
        <w:tc>
          <w:tcPr>
            <w:tcW w:type="dxa" w:w="1559"/>
          </w:tcPr>
          <w:p>
            <w:r>
              <w:rPr>
                <w:sz w:val="20"/>
              </w:rPr>
              <w:t>Actif</w:t>
            </w:r>
          </w:p>
        </w:tc>
      </w:tr>
      <w:tr>
        <w:tc>
          <w:tcPr>
            <w:tcW w:type="dxa" w:w="1559"/>
          </w:tcPr>
          <w:p>
            <w:r>
              <w:rPr>
                <w:sz w:val="20"/>
              </w:rPr>
              <w:t>ABYRA</w:t>
            </w:r>
          </w:p>
        </w:tc>
        <w:tc>
          <w:tcPr>
            <w:tcW w:type="dxa" w:w="1559"/>
          </w:tcPr>
          <w:p>
            <w:r>
              <w:rPr>
                <w:sz w:val="20"/>
              </w:rPr>
              <w:t>DEMOCEDES PHARMA ALGERIE</w:t>
            </w:r>
          </w:p>
        </w:tc>
        <w:tc>
          <w:tcPr>
            <w:tcW w:type="dxa" w:w="1559"/>
          </w:tcPr>
          <w:p>
            <w:r>
              <w:rPr>
                <w:sz w:val="20"/>
              </w:rPr>
              <w:t>Comprimé pelliculé 250 mg</w:t>
            </w:r>
          </w:p>
        </w:tc>
        <w:tc>
          <w:tcPr>
            <w:tcW w:type="dxa" w:w="1559"/>
          </w:tcPr>
          <w:p>
            <w:r>
              <w:rPr>
                <w:sz w:val="20"/>
              </w:rPr>
              <w:t>B/120</w:t>
            </w:r>
          </w:p>
        </w:tc>
        <w:tc>
          <w:tcPr>
            <w:tcW w:type="dxa" w:w="1559"/>
          </w:tcPr>
          <w:p>
            <w:r>
              <w:rPr>
                <w:sz w:val="20"/>
              </w:rPr>
              <w:t>Liste I</w:t>
            </w:r>
          </w:p>
        </w:tc>
        <w:tc>
          <w:tcPr>
            <w:tcW w:type="dxa" w:w="1559"/>
          </w:tcPr>
          <w:p>
            <w:r>
              <w:rPr>
                <w:sz w:val="20"/>
              </w:rPr>
              <w:t>Actif</w:t>
            </w:r>
          </w:p>
        </w:tc>
      </w:tr>
      <w:tr>
        <w:tc>
          <w:tcPr>
            <w:tcW w:type="dxa" w:w="1559"/>
          </w:tcPr>
          <w:p>
            <w:r>
              <w:rPr>
                <w:sz w:val="20"/>
              </w:rPr>
              <w:t>ABYRA</w:t>
            </w:r>
          </w:p>
        </w:tc>
        <w:tc>
          <w:tcPr>
            <w:tcW w:type="dxa" w:w="1559"/>
          </w:tcPr>
          <w:p>
            <w:r>
              <w:rPr>
                <w:sz w:val="20"/>
              </w:rPr>
              <w:t>DEMOCEDES PHARMA ALGERIE</w:t>
            </w:r>
          </w:p>
        </w:tc>
        <w:tc>
          <w:tcPr>
            <w:tcW w:type="dxa" w:w="1559"/>
          </w:tcPr>
          <w:p>
            <w:r>
              <w:rPr>
                <w:sz w:val="20"/>
              </w:rPr>
              <w:t>Comprimé pelliculé 500 mg</w:t>
            </w:r>
          </w:p>
        </w:tc>
        <w:tc>
          <w:tcPr>
            <w:tcW w:type="dxa" w:w="1559"/>
          </w:tcPr>
          <w:p>
            <w:r>
              <w:rPr>
                <w:sz w:val="20"/>
              </w:rPr>
              <w:t>B/60</w:t>
            </w:r>
          </w:p>
        </w:tc>
        <w:tc>
          <w:tcPr>
            <w:tcW w:type="dxa" w:w="1559"/>
          </w:tcPr>
          <w:p>
            <w:r>
              <w:rPr>
                <w:sz w:val="20"/>
              </w:rPr>
              <w:t>Liste I</w:t>
            </w:r>
          </w:p>
        </w:tc>
        <w:tc>
          <w:tcPr>
            <w:tcW w:type="dxa" w:w="1559"/>
          </w:tcPr>
          <w:p>
            <w:r>
              <w:rPr>
                <w:sz w:val="20"/>
              </w:rPr>
              <w:t>Actif</w:t>
            </w:r>
          </w:p>
        </w:tc>
      </w:tr>
      <w:tr>
        <w:tc>
          <w:tcPr>
            <w:tcW w:type="dxa" w:w="1559"/>
          </w:tcPr>
          <w:p>
            <w:r>
              <w:rPr>
                <w:sz w:val="20"/>
              </w:rPr>
              <w:t>ZYTIGA</w:t>
            </w:r>
          </w:p>
        </w:tc>
        <w:tc>
          <w:tcPr>
            <w:tcW w:type="dxa" w:w="1559"/>
          </w:tcPr>
          <w:p>
            <w:r>
              <w:rPr>
                <w:sz w:val="20"/>
              </w:rPr>
              <w:t>JANSSEN CILAG INTERNATIONAL N.V.</w:t>
            </w:r>
          </w:p>
        </w:tc>
        <w:tc>
          <w:tcPr>
            <w:tcW w:type="dxa" w:w="1559"/>
          </w:tcPr>
          <w:p>
            <w:r>
              <w:rPr>
                <w:sz w:val="20"/>
              </w:rPr>
              <w:t>Comprimé 250 mg</w:t>
            </w:r>
          </w:p>
        </w:tc>
        <w:tc>
          <w:tcPr>
            <w:tcW w:type="dxa" w:w="1559"/>
          </w:tcPr>
          <w:p>
            <w:r>
              <w:rPr>
                <w:sz w:val="20"/>
              </w:rPr>
              <w:t>B/01 flacon 120</w:t>
            </w:r>
          </w:p>
        </w:tc>
        <w:tc>
          <w:tcPr>
            <w:tcW w:type="dxa" w:w="1559"/>
          </w:tcPr>
          <w:p>
            <w:r>
              <w:rPr>
                <w:sz w:val="20"/>
              </w:rPr>
              <w:t>Liste I</w:t>
            </w:r>
          </w:p>
        </w:tc>
        <w:tc>
          <w:tcPr>
            <w:tcW w:type="dxa" w:w="1559"/>
          </w:tcPr>
          <w:p>
            <w:r>
              <w:rPr>
                <w:sz w:val="20"/>
              </w:rPr>
              <w:t>Retrait (R)</w:t>
            </w:r>
          </w:p>
        </w:tc>
      </w:tr>
    </w:tbl>
    <w:p/>
    <w:p>
      <w:r>
        <w:t>Le marché algérien de l'Abiratérone est dominé par 6 génériques algériens ou internationaux (Abiphal Sophal, Abiraterone UPC, Abiron BDR Pharma Inde, Abodex El Kendi, Abremia Hikma, Abyra Democedes) qui ont remplacé le princeps ZYTIGA (Janssen, retiré du marché algérien). La particularité galénique du marché algérien est la disponibilité du dosage 500 mg (Abyra Democedes) en plus du dosage 250 mg standard — ce dosage permet de réduire le nombre de comprimés journaliers (2 comprimés à 500 mg au lieu de 4 comprimés à 250 mg pour la dose standard de 1000 mg/j), facilitant l'observance. Le conditionnement B/120 (250 mg) ou B/60 (500 mg) correspond à 1 mois de traitement à la dose standard de 1000 mg/j.</w:t>
      </w:r>
    </w:p>
    <w:p>
      <w:r/>
      <w:r>
        <w:rPr>
          <w:b/>
        </w:rPr>
        <w:t>Sous-classe et Mécanisme d'action :</w:t>
      </w:r>
      <w:r/>
    </w:p>
    <w:p>
      <w:pPr>
        <w:pStyle w:val="ListBullet"/>
      </w:pPr>
      <w:r>
        <w:t>Sous-classe : Inhibiteur de la CYP17 (17α-hydroxylase/17,20-lyase), classe des pyridines stéroïdiennes dérivées du prégénénolone (3β-hydroxy-17-(pyridin-3-yl)androsta-5,16-diène-17-yl acétate). L'Abiratérone est dépourvue d'affinité significative pour le récepteur androgénique (pas d'effet anti-androgénique direct).</w:t>
      </w:r>
    </w:p>
    <w:p>
      <w:pPr>
        <w:pStyle w:val="ListBullet"/>
      </w:pPr>
      <w:r>
        <w:t>Mécanisme d'action : l'Abiratérone inhibe de manière sélective, compétitive et irréversible la CYP17A1, enzyme du complexe cytochrome P450 localisée dans la surrénale (zones fasciculée et réticulée), les gonades et les cellules tumorales prostatiques (stéroïdogenèse intratumorale). La CYP17A1 catalyse deux réactions enzymatiques essentielles : (i) la 17α-hydroxylation de la prégnénolone en 17-OH-prégnénolone (et de la progestérone en 17-OH-progestérone), étape indispensable à la synthèse du cortisol ; (ii) la 17,20-lyase qui convertit la 17-OH-prégnénolone en DHEA (et la 17-OH-progestérone en androstènedione), étape indispensable à la synthèse des androgènes surrénaliens et intratumoraux. En bloquant la CYP17A1, l'Abiratérone supprime la synthèse d'androgènes surrénaliens (DHEA, androstènedione — source résiduelle de testostérone après castration) et la synthèse intratumorale d'androgènes (qui alimente la croissance tumorale dans le CPRC). Le blocage est irréversible (inactivation « suicide »), ne cédant qu'après synthèse de novo de nouvelles molécules enzymatiques.</w:t>
      </w:r>
    </w:p>
    <w:p>
      <w:pPr>
        <w:pStyle w:val="ListBullet"/>
      </w:pPr>
      <w:r>
        <w:t>Conséquence pharmacologique majeure : le blocage de la 17α-hydroxylase supprime également la synthèse du cortisol surrénalien. La baisse du cortisol induit une levée du rétrocontrôle négatif hypothalamique sur l'axe hypophysaire, stimulant la sécrétion d'ACTH qui à son tour stimule la surrénale et entraîne une accumulation des précurseurs en amont du bloc enzymatique (11-déoxycorticostérone, DOC — minéralocorticoïde puissant). Cette double toxicité minéralocorticoïde (HTA, hypokaliémie, rétention hydrosodée, œdèmes) justifie la co-prescription systématique de prednisone 10 mg/j (ou prednisolone 5 mg × 2/j) qui restaure le rétrocontrôle négatif sans empêcher l'effet antitumoral.</w:t>
      </w:r>
    </w:p>
    <w:p>
      <w:pPr>
        <w:pStyle w:val="ListBullet"/>
      </w:pPr>
      <w:r>
        <w:t>Pharmacocinétique : absorption orale variable (biodisponibilité augmentée par la prise alimentaire riche en graisses — ASC ×7 à 10 — d'où la contre-indication absolue de prise au cours d'un repas) ; liaison protéique de 99 % ; métabolisme hépatique par CYP3A4 (en N-oxyde Abiratérone, inactif) et par esterase (en Abiratérone acide, inactif) ; demi-vie d'élimination de 12 à 24 heures à jeun (mais augmentation majeure à 40 heures en cas de prise au cours d'un repas riche en graisses — d'où la contre-indication de prise alimentaire) ; état d'équilibre atteint en 3 jours ; élimination fécale (88 %) et urinaire (5 %). Inhibiteur puissant du CYP2D6 (à l'origine d'interactions majeures avec la metoprolol, la dextrométhorphane, la paroxétine) et de la P-gp (à l'origine d'interactions avec la digoxine, le dabigatran).</w:t>
      </w:r>
    </w:p>
    <w:p>
      <w:r/>
      <w:r>
        <w:rPr>
          <w:b/>
        </w:rPr>
        <w:t>Profil Pharmacologique :</w:t>
      </w:r>
      <w:r/>
    </w:p>
    <w:p>
      <w:pPr>
        <w:pStyle w:val="ListBullet"/>
      </w:pPr>
      <w:r>
        <w:t>Indications : (1) Cancer de la prostate métastatique résistant à la castration (mCPRC) en première ligne (pré-docétaxel, asymptomatique ou paucisymptomatique) — essai COU-AA-302, bénéfice démontré en survie globale (34,7 mois vs 30,3 mois pour le placebo + prednisone) et en survie sans progression radiographique ; (2) mCPRC post-docétaxel — essai COU-AA-301, bénéfice démontré en survie globale (15,8 mois vs 11,2 mois pour le placebo + prednisone) ; (3) Cancer de la prostate métastatique hormono-naïf (mHNPC) à haut risque (Gleason ≥ 8, ≥ 4 métastases osseuses dont ≥ 1 extra-pelvienne, métastases viscérales) en association à un agoniste du GnRH — essai LATITUDE, bénéfice démontré en survie globale (53,3 mois vs 36,5 mois pour le placebo + GnRH) ; (4) mHNPC tous stades en association à un agoniste du GnRH (essai STAMPEDE, bénéfice démontré en survie globale et en survie sans échec du traitement). En Algérie, l'indication validée par AMM concerne principalement le mCPRC pré- et post-docétaxel et le mHNPC à haut risque en association à un GnRH.</w:t>
      </w:r>
    </w:p>
    <w:p>
      <w:pPr>
        <w:pStyle w:val="ListBullet"/>
      </w:pPr>
      <w:r>
        <w:t>Contre-indications : hypersensibilité à l'Abiratérone ; insuffisance hépatique sévère (Child-Pugh C) ; grossesse (CI absolue, tératogénicité — indication masculine mais le partenaire doit utiliser une contraception) ; allaitement ; association à la digoxine (interaction P-gp majeure), à la metoprolol (interaction CYP2D6 majeure), à la paroxétine (interaction CYP2D6 majeure), aux AVK (interaction CYP2C9 modérée), au pamplemousse (inhibiteur CYP3A4). Précautions : insuffisance hépatique modérée (adaptation posologique), antécédents cardiovasculaires (HTA, insuffisance cardiaque, troubles du rythme), hypokaliémie, diabète, ostéoporose préexistante.</w:t>
      </w:r>
    </w:p>
    <w:p>
      <w:pPr>
        <w:pStyle w:val="ListBullet"/>
      </w:pPr>
      <w:r>
        <w:t>Effets Indésirables : Très fréquents (&gt; 10 %) : hypokaliémie (20 à 30 %, parfois sévère &lt; 3 mmol/L — par excès minéralocorticoïde), hypertension artérielle (10 à 20 %, parfois sévère — par excès minéralocorticoïde), rétention hydrosodée (10 à 20 %, œdèmes des membres inférieurs), bouffées de chaleur (20 à 30 %), fatigue, asthénie, céphalées, arthralgies (parfois sévères, en cas d'arrêt de la corticothérapie), diarrhée (10 à 15 %), nausées, vomissements, dyspepsie, toux, infections urinaires (10 %, parfois sévères), rhinopharyngite. Fréquents (1 à 10 %) : hépatotoxicité cytolytique modérée (élévation des transaminases 3 à 5× LSN dans 5 à 10 % des cas, parfois sévère &gt; 20× LSN), hyperbilirubinémie, hypertriglycéridémie, hyperglycémie (par corticothérapie associée), insomnie, anxiété, dépression, fractures osseuses (incidence accrue par castration prolongée, parfois moins marquée qu'avec l'Enzalutamide), anémie modérée, lymphopénie, neutropénie, hématurie, dysurie, hémorragie (rare, par interaction avec les anticoagulants), rash cutané, prurit, frissons, fièvre. Peu fréquents (0,1 à 1 %) : insuffisance cardiaque congestive (par rétention hydrosodée et HTA, particulièrement chez les patients à risque cardiovasculaire), œdème pulmonaire, événements thrombotiques (infarctus du myocarde, AVC ischémique), hépatotoxicité sévère (cytolyse &gt; 20× LSN, hépatite fulminante exceptionnelle), myopathie (par interaction avec les statines), syndrome de Cushing iatrogène (par corticothérapie prolongée), insuffisance surrénalienne aiguë à l'arrêt (par suppression prolongée de l'axe corticotrope), rhabdomyolyse (par interaction avec la simvastatine). Rares (&lt; 0,1 %) : anaphylaxie, angioedème, syndrome d'hypersensibilité (DRESS), syndrome de Stevens-Johnson, nécrose épidermique toxique, hépatite fulminante mortelle (exceptionnellement rapportée).</w:t>
      </w:r>
    </w:p>
    <w:p>
      <w:r/>
      <w:r>
        <w:rPr>
          <w:b/>
        </w:rPr>
        <w:t>Prévention et Gestion des Effets Indésirables :</w:t>
      </w:r>
      <w:r/>
    </w:p>
    <w:p>
      <w:pPr>
        <w:pStyle w:val="ListBullet"/>
      </w:pPr>
      <w:r>
        <w:t>Mesures Préventives : bilan cardiovasculaire initial systématique (pression artérielle mensuelle 3 mois puis trimestrielle, ECG, échographie cardiaque chez les patients à risque) ; bilan biologique initial : kaliémie, natrémie, créatinine, urée, ALAT, ASAT, bilirubine, γ-GT, PAL, glycémie, bilan lipidique, NFS-plaquettes (initiale puis mensuelle 3 mois puis trimestrielle) ; prescription systématique et OBLIGATOIRE de prednisone 10 mg/j (ou prednisolone 5 mg × 2/j) en association à l'Abiratérone, à poursuivre pendant toute la durée du traitement et à ne jamais arrêter brutalement (risque d'insuffisance surrénalienne aiguë) ; information du patient sur la prise À JEUN STRICT (1 heure avant ou 2 heures après un repas) ; densitométrie osseuse initiale, calcium-vitamine D systématique ; évaluation du risque cardiovasculaire (SCORE2) ; contrôle de la pression artérielle à domicile (automesure).</w:t>
      </w:r>
    </w:p>
    <w:p>
      <w:pPr>
        <w:pStyle w:val="ListBullet"/>
      </w:pPr>
      <w:r>
        <w:t>Conduite à Tenir : hypokaliémie &lt; 3,5 mmol/L : supplémentation potassique (KCl 600 mg × 3 à 6/j per os), surveillance biologique à 48 heures, contrôle de la kaliémie avant chaque cycle ; hypokaliémie &lt; 3 mmol/L : hospitalisation, KCl IV, surveillance continue ; HTA sévère (PA &gt; 180/110 mmHg) : antihypertenseurs (préférer antagonistes des récepteurs minéralocorticoïdes : spironolactone 25 à 50 mg/j, éplérénone 25 à 50 mg/j — particulièrement efficaces sur l'HTA de l'Abiratérone), adaptation posologique de la prednisone à 15 mg/j voire 20 mg/j ; élévation des transaminases &gt; 3× LSN : interruption, contrôle à 1 semaine, reprise à dose réduite (750 mg/j, soit 3 × 250 mg) si contrôle à &lt; 3× LSN ; élévation &gt; 5× LSN : arrêt définitif, switch vers l'Enzalutamide ; insuffisance cardiaque congestive : arrêt, switch vers Enzalutamide (à discuter, l'Enzalutamide peut aussi induire une HTA) ; infection sévère : couverture antibiotique, surveillance de la prednisone.</w:t>
      </w:r>
    </w:p>
    <w:p>
      <w:r/>
      <w:r>
        <w:rPr>
          <w:b/>
        </w:rPr>
        <w:t>Interactions Médicamenteuses :</w:t>
      </w:r>
      <w:r/>
    </w:p>
    <w:p>
      <w:pPr>
        <w:pStyle w:val="ListBullet"/>
      </w:pPr>
      <w:r>
        <w:t>Prise alimentaire : prise au cours d'un repas riche en graisses AUGMENTE l'ASC de l'Abiratérone de 7 à 10 fois (et le Cmax de 17 fois) — d'où la CONTRE-INDICATION ABSOLUE de prise au cours d'un repas, et la recommandation de prise À JEUN STRICT (1 heure avant ou 2 heures après un repas). Le pamplemousse est CONTRE-INDIQUÉ (inhibiteur du CYP3A4 intestinal).</w:t>
      </w:r>
    </w:p>
    <w:p>
      <w:pPr>
        <w:pStyle w:val="ListBullet"/>
      </w:pPr>
      <w:r>
        <w:t>CYP3A4 (métabolisme principal) : inducteurs (rifampicine — réduction de l'ASC de 55 %, à éviter ; phénytoïne, carbamazépine, phénobarbital, millepertuis) — diminution de l'ASC, à éviter ; inhibiteurs (kétoconazole, itraconazole, clarithromycine, ritonavir, jus de pamplemousse) — augmentation de l'ASC, surveillance clinique.</w:t>
      </w:r>
    </w:p>
    <w:p>
      <w:pPr>
        <w:pStyle w:val="ListBullet"/>
      </w:pPr>
      <w:r>
        <w:t>CYP2D6 (inhibition puissante par l'Abiratérone) : l'Abiratérone est un inhibiteur puissant du CYP2D6 (in vivo, réduction de l'efficacité des substrats du CYP2D6) — surveillance rapprochée ou switch pour : metoprolol (CONTRE-INDIQUÉ — switch vers bisoprolol, aténolol ou nébivolol non métabolisés par CYP2D6), paroxétine, fluoxétine, venlafaxine (diminution d'efficacité), dextrométhorphane (risque de toxicité), tramadol (diminution de l'efficacité analgésique, le métabolite actif M1 n'est plus formé), codéine (diminution de l'efficacité analgésique), tamoxifène (réduction de l'Endoxifène de 70 % — switch vers IA si possible), propafénone, mexilétine.</w:t>
      </w:r>
    </w:p>
    <w:p>
      <w:pPr>
        <w:pStyle w:val="ListBullet"/>
      </w:pPr>
      <w:r>
        <w:t>P-gp (inhibition puissante par l'Abiratérone) : surveillance rapprochée ou switch pour : digoxine (CONTRE-INDIQUÉE — augmentation de l'ASC de 50 à 100 %, switch vers bisoprolol ou autres antiarythmiques non substrats P-gp), dabigatran (risque hémorragique accru), colchicine (risque de toxicité), étoposide, paclitaxel, docétaxel (risque de toxicité), sirolimus, tacrolimus, cyclosporine (surveillance des concentrations).</w:t>
      </w:r>
    </w:p>
    <w:p>
      <w:pPr>
        <w:pStyle w:val="ListBullet"/>
      </w:pPr>
      <w:r>
        <w:t>CYP2C8 (inhibition modérée par l'Abiratérone) : surveillance avec le paclitaxel, la rosiglitazone, la pioglitazone, le gemfibrozil (à éviter).</w:t>
      </w:r>
    </w:p>
    <w:p>
      <w:pPr>
        <w:pStyle w:val="ListBullet"/>
      </w:pPr>
      <w:r>
        <w:t>AVK (warfarine) : l'Abiratérone inhibe modérément le CYP2C9 (augmentation de l'INR), surveillance stricte de l'INR, switch vers les HBPM (enoxaparine) si possible.</w:t>
      </w:r>
    </w:p>
    <w:p>
      <w:pPr>
        <w:pStyle w:val="ListBullet"/>
      </w:pPr>
      <w:r>
        <w:t>Statines : éviter la simvastatine (substrat CYP3A4, risque de rhabdomyolyse par inhibition du CYP3A4 par l'Abiratérone), préférer pravastatine ou rosuvastatine.</w:t>
      </w:r>
    </w:p>
    <w:p>
      <w:pPr>
        <w:pStyle w:val="ListBullet"/>
      </w:pPr>
      <w:r>
        <w:t>Corticoïdes : la prednisone est OBLIGATOIRE en association à l'Abiratérone (10 mg/j ou prednisolone 5 mg × 2/j). La dexaméthasone peut être utilisée en alternative (0,5 mg/j), mais avec une surveillance accrue (demi-vie plus longue, effet minéralocorticoïde nul).</w:t>
      </w:r>
    </w:p>
    <w:p>
      <w:pPr>
        <w:pStyle w:val="ListBullet"/>
      </w:pPr>
      <w:r>
        <w:t>Vaccins : éviter les vaccins vivants atténués (en raison de la corticothérapie associée).</w:t>
      </w:r>
    </w:p>
    <w:p>
      <w:r/>
      <w:r>
        <w:rPr>
          <w:b/>
        </w:rPr>
        <w:t>Grossesse et Allaitement :</w:t>
      </w:r>
      <w:r/>
    </w:p>
    <w:p>
      <w:pPr>
        <w:pStyle w:val="ListBullet"/>
      </w:pPr>
      <w:r>
        <w:t>Grossesse : CONTRE-INDICATION ABSOLUE (indication masculine uniquement, mais l'Abiratérone est tératogène et le partenaire masculin doit utiliser une contraception efficace pendant le traitement et 1 semaine après l'arrêt — la demi-vie est courte mais le risque pour le fœtus masculin de féminisation justifie la précaution). En cas de projet de grossesse du partenaire : arrêt de l'Abiratérone 1 semaine avant la conception (avec switch vers une alternative oncologique si nécessaire).</w:t>
      </w:r>
    </w:p>
    <w:p>
      <w:pPr>
        <w:pStyle w:val="ListBullet"/>
      </w:pPr>
      <w:r>
        <w:t>Allaitement : non applicable (indication masculine).</w:t>
      </w:r>
    </w:p>
    <w:p>
      <w:r/>
      <w:r>
        <w:rPr>
          <w:b/>
        </w:rPr>
        <w:t>Posologie et Mode d'administration (Standard) :</w:t>
      </w:r>
      <w:r/>
    </w:p>
    <w:p>
      <w:pPr>
        <w:pStyle w:val="ListBullet"/>
      </w:pPr>
      <w:r>
        <w:t>Adulte : 1000 mg une fois par jour en une prise quotidienne unique (4 comprimés à 250 mg, ou 2 comprimés à 500 mg si la forme 500 mg est disponible), À JEUN STRICT (1 heure avant ou 2 heures après un repas), en association OBLIGATOIRE à la prednisone 10 mg/j (ou prednisolone 5 mg × 2/j) per os. Dose standard 1000 mg/j ; pas d'adaptation posologique systématique.</w:t>
      </w:r>
    </w:p>
    <w:p>
      <w:pPr>
        <w:pStyle w:val="ListBullet"/>
      </w:pPr>
      <w:r>
        <w:t>Adaptation posologique en cas de toxicité hépatique : en cas d'ALAT ou ASAT &gt; 5× LSN, interruption jusqu'à retour à &lt; 3× LSN, reprise à dose réduite (750 mg/j, soit 3 × 250 mg) ; en cas de récidive ou d'ALAT/ASAT &gt; 20× LSN, arrêt définitif.</w:t>
      </w:r>
    </w:p>
    <w:p>
      <w:pPr>
        <w:pStyle w:val="ListBullet"/>
      </w:pPr>
      <w:r>
        <w:t>Insuffisance hépatique modérée (Child-Pugh A-B) : dose initiale réduite à 250 mg/j (1 comprimé à 250 mg) à jeun strict, surveillance biologique rapprochée. Insuffisance hépatique sévère (Child-Pugh C) : CONTRE-INDIQUÉE.</w:t>
      </w:r>
    </w:p>
    <w:p>
      <w:pPr>
        <w:pStyle w:val="ListBullet"/>
      </w:pPr>
      <w:r>
        <w:t>Insuffisance rénale légère à sévère (y compris hémodialyse) : pas d'adaptation posologique.</w:t>
      </w:r>
    </w:p>
    <w:p>
      <w:pPr>
        <w:pStyle w:val="ListBullet"/>
      </w:pPr>
      <w:r>
        <w:t>Sujet âgé : pas d'adaptation posologique systématique, mais surveillance renforcée (risque cardiovasculaire, hépatique, infectieux).</w:t>
      </w:r>
    </w:p>
    <w:p>
      <w:pPr>
        <w:pStyle w:val="ListBullet"/>
      </w:pPr>
      <w:r>
        <w:t>Mode d'administration : voie orale stricte, prise À JEUN STRICT à heure fixe (1 heure avant ou 2 heures après un repas). Les comprimés ne doivent pas être écrasés (amertume, modification de la biodisponibilité). En cas de sonde gastrique : dispersion dans 30 mL d'eau à jeun, rinçage.</w:t>
      </w:r>
    </w:p>
    <w:p>
      <w:pPr>
        <w:pStyle w:val="ListBullet"/>
      </w:pPr>
      <w:r>
        <w:t>En cas d'oubli : ne pas doubler la dose ; prise à jeun si &lt; 12 heures, sinon attendre la prise suivante.</w:t>
      </w:r>
    </w:p>
    <w:p>
      <w:pPr>
        <w:pStyle w:val="ListBullet"/>
      </w:pPr>
      <w:r>
        <w:t>Prise de prednisone : 10 mg une fois par jour (matin, en une prise unique), à poursuivre pendant toute la durée du traitement par Abiratérone et à ne jamais interrompre brutalement (risque d'insuffisance surrénalienne aiguë).</w:t>
      </w:r>
    </w:p>
    <w:p>
      <w:pPr>
        <w:pStyle w:val="ListBullet"/>
      </w:pPr>
      <w:r>
        <w:t>Durée du traitement : traitement au long cours, jusqu'à progression, intolérance ou switch vers l'Enzalutamide.</w:t>
      </w:r>
    </w:p>
    <w:p>
      <w:r/>
      <w:r>
        <w:rPr>
          <w:b/>
        </w:rPr>
        <w:t>Surveillance Biologique et Suivi Clinique :</w:t>
      </w:r>
      <w:r/>
    </w:p>
    <w:p>
      <w:pPr>
        <w:pStyle w:val="ListBullet"/>
      </w:pPr>
      <w:r>
        <w:t>Hépatique : ALAT, ASAT, bilirubine, γ-GT, PAL initiale, MENSUELLE les 3 premiers mois, puis trimestrielle pendant toute la durée du traitement. Arrêt immédiat si ALAT/ASAT &gt; 5× LSN.</w:t>
      </w:r>
    </w:p>
    <w:p>
      <w:pPr>
        <w:pStyle w:val="ListBullet"/>
      </w:pPr>
      <w:r>
        <w:t>Ionogramme et rénal : kaliémie, natrémie, créatinine, urée initiale, MENSUELLE les 3 premiers mois, puis trimestrielle. Supplémentation potassique systématique si kaliémie &lt; 3,5 mmol/L.</w:t>
      </w:r>
    </w:p>
    <w:p>
      <w:pPr>
        <w:pStyle w:val="ListBullet"/>
      </w:pPr>
      <w:r>
        <w:t>Cardiovasculaire : pression artérielle initiale puis mensuelle 3 mois puis trimestrielle ; ECG initial puis trimestriel ; échographie cardiaque initiale puis semestrielle chez les patients à risque.</w:t>
      </w:r>
    </w:p>
    <w:p>
      <w:pPr>
        <w:pStyle w:val="ListBullet"/>
      </w:pPr>
      <w:r>
        <w:t>Métabolique : glycémie à jeun initiale puis trimestrielle (corticothérapie associée) ; bilan lipidique initial puis annuel ; HbA1c initiale puis semestrielle chez les patients diabétiques.</w:t>
      </w:r>
    </w:p>
    <w:p>
      <w:pPr>
        <w:pStyle w:val="ListBullet"/>
      </w:pPr>
      <w:r>
        <w:t>Hématologique : NFS-plaquettes initiale puis trimestrielle.</w:t>
      </w:r>
    </w:p>
    <w:p>
      <w:pPr>
        <w:pStyle w:val="ListBullet"/>
      </w:pPr>
      <w:r>
        <w:t>Osseux : densitométrie osseuse (DEXA) initiale, à 2 ans puis tous les 2 ans ; calcium-vitamine D systématique ; introduction d'un bisphosphonate (acide zolédronique 4 mg IV/4 semaines) ou denosumab 120 mg SC/4 semaines en cas de métastases osseuses.</w:t>
      </w:r>
    </w:p>
    <w:p>
      <w:pPr>
        <w:pStyle w:val="ListBullet"/>
      </w:pPr>
      <w:r>
        <w:t>Infectieux : surveillance clinique (infections urinaires, respiratoires) — dépit par corticothérapie associée.</w:t>
      </w:r>
    </w:p>
    <w:p>
      <w:pPr>
        <w:pStyle w:val="ListBullet"/>
      </w:pPr>
      <w:r>
        <w:t>Consultation oncologique : tous les 3 mois pendant la première année, puis semestrielle avec dosage du PSA, imagerie (scintigraphie osseuse, scanner abdomino-pelvien) en cas de progression clinique ou biologique.</w:t>
      </w:r>
    </w:p>
    <w:p>
      <w:r/>
      <w:r>
        <w:rPr>
          <w:b/>
        </w:rPr>
        <w:t>Arbitrage et Bénéfices des Formes Galéniques :</w:t>
      </w:r>
      <w:r/>
    </w:p>
    <w:p>
      <w:r>
        <w:t>L'Abiratérone est disponible en comprimé à 250 mg sous 7 marques algériennes/internationales (Abiphal, Abiraterone UPC, Abiron, Abodex, Abremia, Abyra, et le princeps Zytiga retiré du marché algérien) et en comprimé pelliculé à 500 mg sous une seule marque (Abyra Democedes). La disponibilité du dosage 500 mg est un avantage majeur pour l'observance : à la dose standard de 1000 mg/j, le patient prend 2 comprimés à 500 mg au lieu de 4 comprimés à 250 mg. Le conditionnement B/120 (250 mg) ou B/60 (500 mg) correspond à 1 mois de traitement. Le choix entre les génériques repose sur la disponibilité locale, le coût et la galénique (comprimé pelliculé Abyra/Abodex plus facile à avaler que les comprimés nus Abiphal/Abiron/Abremia). Le switch entre génériques est légitime et sans impact sur l'efficacité (bioéquivalence démontrée). Le choix entre Abiratérone et Enzalutamide (alternative thérapeutique dans le CPRC) dépend du profil de tolérance : Abiratérone en cas d'antécédent convulsif ou de lésion cérébrale structurelle (CI à l'Enzalutamide) ; Enzalutamide en cas de contre-indication à la corticothérapie associée (diabète déséquilibré, ostéoporose sévère, infections récurrentes, insuffisance cardiaque) ou d'hépatotoxicité sévère sous Abiratérone.</w:t>
      </w:r>
    </w:p>
    <w:p>
      <w:r/>
      <w:r>
        <w:rPr>
          <w:b/>
        </w:rPr>
        <w:t>Instructions et Conseils au Patient :</w:t>
      </w:r>
      <w:r/>
    </w:p>
    <w:p>
      <w:pPr>
        <w:pStyle w:val="ListBullet"/>
      </w:pPr>
      <w:r>
        <w:t>Communication : « L'Abiratérone est un médicament anticancéreux oral qui bloque la production d'hormones mâles (testostérone) par les glandes surrénales et par la tumeur elle-même. Il se prend une fois par jour, à heure fixe, À JEUN STRICT (1 heure avant ou 2 heures après un repas — c'est très important pour son efficacité). Le traitement est OBLIGATOIREMENT associé à la prednisone (corticoïde) 10 mg/j le matin, qui ne doit jamais être interrompue brutalement. Prévenez immédiatement votre médecin en cas de faiblesse musculaire (hypokaliémie), de palpitations, d'œdèmes des jambes, d'essoufflement, de douleurs thoraciques, de douleurs abdominales intenses, de couleur jaune des yeux (jaunisse), de fièvre. Évitez le pamplemousse et le millepertuis. Prévenez tout médecin consulté que vous prenez de l'Abiratérone (en particulier avant prescription d'anticoagulant, de statine, de bêtabloquant, d'antidépresseur). »</w:t>
      </w:r>
    </w:p>
    <w:p>
      <w:pPr>
        <w:pStyle w:val="ListBullet"/>
      </w:pPr>
      <w:r>
        <w:t>Observance : prise À JEUN STRICT à heure fixe, calendrier d'administration, ne jamais doubler la dose, ne jamais interrompre la prednisone sans avis médical.</w:t>
      </w:r>
    </w:p>
    <w:p>
      <w:pPr>
        <w:pStyle w:val="ListBullet"/>
      </w:pPr>
      <w:r>
        <w:t>Alerte : consulter immédiatement en cas de faiblesse musculaire, crampes, palpitations, œdèmes, essoufflement, douleurs thoraciques, douleurs abdominales, fièvre, jaunisse.</w:t>
      </w:r>
    </w:p>
    <w:p>
      <w:pPr>
        <w:pStyle w:val="ListBullet"/>
      </w:pPr>
      <w:r>
        <w:t>Prise de la prednisone : 10 mg/j le matin, à poursuivre pendant toute la durée du traitement par Abiratérone, à ne jamais arrêter brutalement.</w:t>
      </w:r>
    </w:p>
    <w:p>
      <w:pPr>
        <w:pStyle w:val="ListBullet"/>
      </w:pPr>
      <w:r>
        <w:t>Automesure tensionnelle : au moins 3 fois par semaine les 3 premiers mois, puis hebdomadaire.</w:t>
      </w:r>
    </w:p>
    <w:p>
      <w:pPr>
        <w:pStyle w:val="ListBullet"/>
      </w:pPr>
      <w:r>
        <w:t>Prévention osseuse : calcium-vitamine D systématiques, activité physique adaptée, arrêt du tabac.</w:t>
      </w:r>
    </w:p>
    <w:p>
      <w:pPr>
        <w:pStyle w:val="ListBullet"/>
      </w:pPr>
      <w:r>
        <w:t>Hygiène alimentaire : alimentation riche en potassium (bananes, agrumes, légumes verts) en cas d'hypokaliémie, régime pauvre en sel en cas d'HTA ou d'œdèmes.</w:t>
      </w:r>
    </w:p>
    <w:p>
      <w:r/>
      <w:r>
        <w:rPr>
          <w:b/>
        </w:rPr>
        <w:t>Notes, Règles d'Or &amp; Pièges au Comptoir :</w:t>
      </w:r>
      <w:r/>
    </w:p>
    <w:p>
      <w:pPr>
        <w:pStyle w:val="ListBullet"/>
      </w:pPr>
      <w:r>
        <w:t>Piège : la prise À JEUN STRICT de l'Abiratérone est OBLIGATOIRE — la prise au cours d'un repas riche en graisses multiplie l'ASC par 7 à 10, exposant à un surdosage en minéralocorticoïdes (HTA sévère, hypokaliémie, œdèmes) et à une toxicité hépatique accrue. Information centrale à donner au patient.</w:t>
      </w:r>
    </w:p>
    <w:p>
      <w:pPr>
        <w:pStyle w:val="ListBullet"/>
      </w:pPr>
      <w:r>
        <w:t>Règle : la prednisone 10 mg/j est OBLIGATOIRE en association à l'Abiratérone — ne jamais dispenser de l'Abiratérone sans vérifier que la prednisone est co-prescrite.</w:t>
      </w:r>
    </w:p>
    <w:p>
      <w:pPr>
        <w:pStyle w:val="ListBullet"/>
      </w:pPr>
      <w:r>
        <w:t>Piège : l'association Abiratérone + digoxine est CONTRE-INDIQUÉE (inhibition de la P-gp par l'Abiratérone, augmentation de l'ASC de la digoxine de 50 à 100 %) — switch vers un autre antiarythmique.</w:t>
      </w:r>
    </w:p>
    <w:p>
      <w:pPr>
        <w:pStyle w:val="ListBullet"/>
      </w:pPr>
      <w:r>
        <w:t>Piège : l'association Abiratérone + metoprolol est CONTRE-INDIQUÉE (inhibition du CYP2D6 par l'Abiratérone, accumulation de metoprolol avec bradycardie, hypotension, bloc auriculo-ventriculaire) — switch vers bisoprolol ou aténolol.</w:t>
      </w:r>
    </w:p>
    <w:p>
      <w:pPr>
        <w:pStyle w:val="ListBullet"/>
      </w:pPr>
      <w:r>
        <w:t>Piège : l'association Abiratérone + pamplemousse est CONTRE-INDIQUÉE (inhibition du CYP3A4 intestinal).</w:t>
      </w:r>
    </w:p>
    <w:p>
      <w:pPr>
        <w:pStyle w:val="ListBullet"/>
      </w:pPr>
      <w:r>
        <w:t>Règle : la surveillance de la kaliémie et des transaminases est MENSUELLE les 3 premiers mois — l'hypokaliémie sévère et la cytolyse hépatique sont les effets indésirables les plus précoces et les plus graves.</w:t>
      </w:r>
    </w:p>
    <w:p>
      <w:pPr>
        <w:pStyle w:val="ListBullet"/>
      </w:pPr>
      <w:r>
        <w:t>Piège : l'insuffisance surrénalienne aiguë peut survenir à l'arrêt brutal de la prednisone — information du patient sur l'obligation de ne jamais interrompre la corticothérapie.</w:t>
      </w:r>
    </w:p>
    <w:p>
      <w:pPr>
        <w:pStyle w:val="ListBullet"/>
      </w:pPr>
      <w:r>
        <w:t>Règle : en cas d'antécédent convulsif ou de lésion cérébrale structurelle (CI à l'Enzalutamide), l'Abiratérone est l'alternative de choix dans le CPRC.</w:t>
      </w:r>
    </w:p>
    <w:p>
      <w:pPr>
        <w:pStyle w:val="ListBullet"/>
      </w:pPr>
      <w:r>
        <w:t>Piège : la disponibilité du dosage 500 mg (Abyra Democedes) permet de réduire le nombre de comprimés journaliers de 4 à 2, facilitant l'observance — information du patient.</w:t>
      </w:r>
    </w:p>
    <w:p>
      <w:pPr>
        <w:pStyle w:val="ListBullet"/>
      </w:pPr>
      <w:r>
        <w:t>Règle : en cas de toxicité hépatique (ALAT/ASAT &gt; 5× LSN), interruption temporaire puis reprise à dose réduite (750 mg/j) ; en cas de récidive, switch vers l'Enzalutamide.</w:t>
      </w:r>
    </w:p>
    <w:p>
      <w:pPr>
        <w:pStyle w:val="Heading3"/>
      </w:pPr>
      <w:r>
        <w:t>107.9 DCI : Agonistes du GnRH (Leuproréline, Goséréline, Triptoréline)</w:t>
      </w:r>
    </w:p>
    <w:p>
      <w:r/>
      <w:r>
        <w:rPr>
          <w:b/>
        </w:rPr>
        <w:t>Liste des Catégories :</w:t>
      </w:r>
      <w:r>
        <w:t xml:space="preserve"> Antinéoplasiques et immunomodulateurs ; Analogues de la gonadoréline (GnRH/LHRH) ; Agonistes du GnRH ; Castration chimique (traitement du cancer de la prostate hormonosensible, du cancer du sein pré-ménopausique) ; Liste I.</w:t>
      </w:r>
    </w:p>
    <w:p>
      <w:r>
        <w:t>Les agonistes du GnRH (Leuproréline, Goséréline, Triptoréline) constituent une classe pharmacologique homogène dont les trois représentants partagent un mécanisme d'action commun — la désensibilisation des récepteurs hypophysaires de la GnRH par stimulation continue, aboutissant à une castration chimique réversible (effondrement de la testostérone chez l'homme, de l'estradiol chez la femme à des valeurs post-ménopausiques). Les différences entre les trois molécules sont minimes : structurellement, ce sont toutes des décapeptides de synthèse dérivés de la GnRH naturelle par substitutions d'acides aminés (notamment en position 6 par un acide aminé D, qui confère une résistance à la dégradation enzymatique et une affinité majorée pour le récepteur) et modifications C-terminales ; pharmacocinétiquement, leurs demi-vies d'élimination courtes imposent l'usage de formulations à libération prolongée (microsphères polymériques résorbables de poly-acide lactique-co-glycolique, ou PLGA) autorisant des intervalles d'administration de 1, 3, 6 ou 12 mois ; cliniquement, leurs profils d'efficacité et de tolérance sont superposables. La présente fiche regroupe les trois molécules disponibles en Algérie (Leuproréline, Goséréline, Triptoréline) en une analyse intégrée.</w:t>
      </w:r>
    </w:p>
    <w:p>
      <w:r/>
      <w:r>
        <w:rPr>
          <w:b/>
        </w:rPr>
        <w:t>Médicaments disponibles en Algérie :</w:t>
      </w:r>
      <w:r/>
    </w:p>
    <w:p>
      <w:r/>
      <w:r>
        <w:rPr>
          <w:b/>
        </w:rPr>
        <w:t>a) Triptoréline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DECAPEPTYL LP</w:t>
            </w:r>
          </w:p>
        </w:tc>
        <w:tc>
          <w:tcPr>
            <w:tcW w:type="dxa" w:w="1559"/>
          </w:tcPr>
          <w:p>
            <w:r>
              <w:rPr>
                <w:sz w:val="20"/>
              </w:rPr>
              <w:t>SPA IPSEN PHARMA ALGERIE</w:t>
            </w:r>
          </w:p>
        </w:tc>
        <w:tc>
          <w:tcPr>
            <w:tcW w:type="dxa" w:w="1559"/>
          </w:tcPr>
          <w:p>
            <w:r>
              <w:rPr>
                <w:sz w:val="20"/>
              </w:rPr>
              <w:t>Poudre et solvant pour suspension injectable IM et SC à libération prolongée sur 3 mois</w:t>
            </w:r>
          </w:p>
        </w:tc>
        <w:tc>
          <w:tcPr>
            <w:tcW w:type="dxa" w:w="1559"/>
          </w:tcPr>
          <w:p>
            <w:r>
              <w:rPr>
                <w:sz w:val="20"/>
              </w:rPr>
              <w:t>B/01 flacon de poudre + 01 ampoule de 2 mL de solvant + 01 seringue et 03 aiguilles</w:t>
            </w:r>
          </w:p>
        </w:tc>
        <w:tc>
          <w:tcPr>
            <w:tcW w:type="dxa" w:w="1559"/>
          </w:tcPr>
          <w:p>
            <w:r>
              <w:rPr>
                <w:sz w:val="20"/>
              </w:rPr>
              <w:t>Liste I</w:t>
            </w:r>
          </w:p>
        </w:tc>
        <w:tc>
          <w:tcPr>
            <w:tcW w:type="dxa" w:w="1559"/>
          </w:tcPr>
          <w:p>
            <w:r>
              <w:rPr>
                <w:sz w:val="20"/>
              </w:rPr>
              <w:t>Actif</w:t>
            </w:r>
          </w:p>
        </w:tc>
      </w:tr>
      <w:tr>
        <w:tc>
          <w:tcPr>
            <w:tcW w:type="dxa" w:w="1559"/>
          </w:tcPr>
          <w:p>
            <w:r>
              <w:rPr>
                <w:sz w:val="20"/>
              </w:rPr>
              <w:t>DECAPEPTYL</w:t>
            </w:r>
          </w:p>
        </w:tc>
        <w:tc>
          <w:tcPr>
            <w:tcW w:type="dxa" w:w="1559"/>
          </w:tcPr>
          <w:p>
            <w:r>
              <w:rPr>
                <w:sz w:val="20"/>
              </w:rPr>
              <w:t>LABORATOIRE IPSEN N.V</w:t>
            </w:r>
          </w:p>
        </w:tc>
        <w:tc>
          <w:tcPr>
            <w:tcW w:type="dxa" w:w="1559"/>
          </w:tcPr>
          <w:p>
            <w:r>
              <w:rPr>
                <w:sz w:val="20"/>
              </w:rPr>
              <w:t>Poudre et solvant pour solution injectable SC</w:t>
            </w:r>
          </w:p>
        </w:tc>
        <w:tc>
          <w:tcPr>
            <w:tcW w:type="dxa" w:w="1559"/>
          </w:tcPr>
          <w:p>
            <w:r>
              <w:rPr>
                <w:sz w:val="20"/>
              </w:rPr>
              <w:t>B/7 flacons de lyophilisat + 7 ampoules solvant 01 mL</w:t>
            </w:r>
          </w:p>
        </w:tc>
        <w:tc>
          <w:tcPr>
            <w:tcW w:type="dxa" w:w="1559"/>
          </w:tcPr>
          <w:p>
            <w:r>
              <w:rPr>
                <w:sz w:val="20"/>
              </w:rPr>
              <w:t>Liste I</w:t>
            </w:r>
          </w:p>
        </w:tc>
        <w:tc>
          <w:tcPr>
            <w:tcW w:type="dxa" w:w="1559"/>
          </w:tcPr>
          <w:p>
            <w:r>
              <w:rPr>
                <w:sz w:val="20"/>
              </w:rPr>
              <w:t>Actif</w:t>
            </w:r>
          </w:p>
        </w:tc>
      </w:tr>
      <w:tr>
        <w:tc>
          <w:tcPr>
            <w:tcW w:type="dxa" w:w="1559"/>
          </w:tcPr>
          <w:p>
            <w:r>
              <w:rPr>
                <w:sz w:val="20"/>
              </w:rPr>
              <w:t>DECAPEPTYL LP</w:t>
            </w:r>
          </w:p>
        </w:tc>
        <w:tc>
          <w:tcPr>
            <w:tcW w:type="dxa" w:w="1559"/>
          </w:tcPr>
          <w:p>
            <w:r>
              <w:rPr>
                <w:sz w:val="20"/>
              </w:rPr>
              <w:t>SPA IPSEN PHARMA ALGERIE</w:t>
            </w:r>
          </w:p>
        </w:tc>
        <w:tc>
          <w:tcPr>
            <w:tcW w:type="dxa" w:w="1559"/>
          </w:tcPr>
          <w:p>
            <w:r>
              <w:rPr>
                <w:sz w:val="20"/>
              </w:rPr>
              <w:t>Poudre et solvant pour suspension injectable IM et SC à libération prolongée sur 28 jours</w:t>
            </w:r>
          </w:p>
        </w:tc>
        <w:tc>
          <w:tcPr>
            <w:tcW w:type="dxa" w:w="1559"/>
          </w:tcPr>
          <w:p>
            <w:r>
              <w:rPr>
                <w:sz w:val="20"/>
              </w:rPr>
              <w:t>B/01 flacon de poudre + 01 ampoule de solvant (mannitol) 2 mL + 02 aiguilles + 01 seringue</w:t>
            </w:r>
          </w:p>
        </w:tc>
        <w:tc>
          <w:tcPr>
            <w:tcW w:type="dxa" w:w="1559"/>
          </w:tcPr>
          <w:p>
            <w:r>
              <w:rPr>
                <w:sz w:val="20"/>
              </w:rPr>
              <w:t>Liste I</w:t>
            </w:r>
          </w:p>
        </w:tc>
        <w:tc>
          <w:tcPr>
            <w:tcW w:type="dxa" w:w="1559"/>
          </w:tcPr>
          <w:p>
            <w:r>
              <w:rPr>
                <w:sz w:val="20"/>
              </w:rPr>
              <w:t>Actif</w:t>
            </w:r>
          </w:p>
        </w:tc>
      </w:tr>
    </w:tbl>
    <w:p/>
    <w:p>
      <w:r/>
      <w:r>
        <w:rPr>
          <w:b/>
        </w:rPr>
        <w:t>b) Leuproréline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ELIGARD</w:t>
            </w:r>
          </w:p>
        </w:tc>
        <w:tc>
          <w:tcPr>
            <w:tcW w:type="dxa" w:w="1559"/>
          </w:tcPr>
          <w:p>
            <w:r>
              <w:rPr>
                <w:sz w:val="20"/>
              </w:rPr>
              <w:t>RACORDATI INDUSTRIA CHIMICA E FARMACEUTICA SPA</w:t>
            </w:r>
          </w:p>
        </w:tc>
        <w:tc>
          <w:tcPr>
            <w:tcW w:type="dxa" w:w="1559"/>
          </w:tcPr>
          <w:p>
            <w:r>
              <w:rPr>
                <w:sz w:val="20"/>
              </w:rPr>
              <w:t>Poudre et solvant pour solution injectable SC diffusion lente sur 3 mois</w:t>
            </w:r>
          </w:p>
        </w:tc>
        <w:tc>
          <w:tcPr>
            <w:tcW w:type="dxa" w:w="1559"/>
          </w:tcPr>
          <w:p>
            <w:r>
              <w:rPr>
                <w:sz w:val="20"/>
              </w:rPr>
              <w:t>B/01 kit de 2 plateaux thermoformés contenant 01 seringue préremplie de solvant + 01 piston à tige longue + 01 seringue préremplie de poudre + 01 aiguille sterile 20G</w:t>
            </w:r>
          </w:p>
        </w:tc>
        <w:tc>
          <w:tcPr>
            <w:tcW w:type="dxa" w:w="1559"/>
          </w:tcPr>
          <w:p>
            <w:r>
              <w:rPr>
                <w:sz w:val="20"/>
              </w:rPr>
              <w:t>Liste I</w:t>
            </w:r>
          </w:p>
        </w:tc>
        <w:tc>
          <w:tcPr>
            <w:tcW w:type="dxa" w:w="1559"/>
          </w:tcPr>
          <w:p>
            <w:r>
              <w:rPr>
                <w:sz w:val="20"/>
              </w:rPr>
              <w:t>Actif</w:t>
            </w:r>
          </w:p>
        </w:tc>
      </w:tr>
      <w:tr>
        <w:tc>
          <w:tcPr>
            <w:tcW w:type="dxa" w:w="1559"/>
          </w:tcPr>
          <w:p>
            <w:r>
              <w:rPr>
                <w:sz w:val="20"/>
              </w:rPr>
              <w:t>ELIGARD</w:t>
            </w:r>
          </w:p>
        </w:tc>
        <w:tc>
          <w:tcPr>
            <w:tcW w:type="dxa" w:w="1559"/>
          </w:tcPr>
          <w:p>
            <w:r>
              <w:rPr>
                <w:sz w:val="20"/>
              </w:rPr>
              <w:t>RACORDATI INDUSTRIA CHIMICA E FARMACEUTICA SPA</w:t>
            </w:r>
          </w:p>
        </w:tc>
        <w:tc>
          <w:tcPr>
            <w:tcW w:type="dxa" w:w="1559"/>
          </w:tcPr>
          <w:p>
            <w:r>
              <w:rPr>
                <w:sz w:val="20"/>
              </w:rPr>
              <w:t>Poudre et solvant pour solution injectable SC diffusion lente sur 6 mois</w:t>
            </w:r>
          </w:p>
        </w:tc>
        <w:tc>
          <w:tcPr>
            <w:tcW w:type="dxa" w:w="1559"/>
          </w:tcPr>
          <w:p>
            <w:r>
              <w:rPr>
                <w:sz w:val="20"/>
              </w:rPr>
              <w:t>B/01 kit de 2 plateaux thermoformés contenant 01 seringue préremplie de solvant + 01 piston à tige longue + 01 seringue préremplie de poudre + 01 aiguille sterile 18G</w:t>
            </w:r>
          </w:p>
        </w:tc>
        <w:tc>
          <w:tcPr>
            <w:tcW w:type="dxa" w:w="1559"/>
          </w:tcPr>
          <w:p>
            <w:r>
              <w:rPr>
                <w:sz w:val="20"/>
              </w:rPr>
              <w:t>Liste I</w:t>
            </w:r>
          </w:p>
        </w:tc>
        <w:tc>
          <w:tcPr>
            <w:tcW w:type="dxa" w:w="1559"/>
          </w:tcPr>
          <w:p>
            <w:r>
              <w:rPr>
                <w:sz w:val="20"/>
              </w:rPr>
              <w:t>Actif</w:t>
            </w:r>
          </w:p>
        </w:tc>
      </w:tr>
      <w:tr>
        <w:tc>
          <w:tcPr>
            <w:tcW w:type="dxa" w:w="1559"/>
          </w:tcPr>
          <w:p>
            <w:r>
              <w:rPr>
                <w:sz w:val="20"/>
              </w:rPr>
              <w:t>ENANTONE LP</w:t>
            </w:r>
          </w:p>
        </w:tc>
        <w:tc>
          <w:tcPr>
            <w:tcW w:type="dxa" w:w="1559"/>
          </w:tcPr>
          <w:p>
            <w:r>
              <w:rPr>
                <w:sz w:val="20"/>
              </w:rPr>
              <w:t>TAKEDA FRANCE SAS</w:t>
            </w:r>
          </w:p>
        </w:tc>
        <w:tc>
          <w:tcPr>
            <w:tcW w:type="dxa" w:w="1559"/>
          </w:tcPr>
          <w:p>
            <w:r>
              <w:rPr>
                <w:sz w:val="20"/>
              </w:rPr>
              <w:t>Poudre et solvant pour suspension injectable SC/IM LP</w:t>
            </w:r>
          </w:p>
        </w:tc>
        <w:tc>
          <w:tcPr>
            <w:tcW w:type="dxa" w:w="1559"/>
          </w:tcPr>
          <w:p>
            <w:r>
              <w:rPr>
                <w:sz w:val="20"/>
              </w:rPr>
              <w:t>B/1 flacon de poudre + 1 ampoule de 2 mL solvant + 1 seringue</w:t>
            </w:r>
          </w:p>
        </w:tc>
        <w:tc>
          <w:tcPr>
            <w:tcW w:type="dxa" w:w="1559"/>
          </w:tcPr>
          <w:p>
            <w:r>
              <w:rPr>
                <w:sz w:val="20"/>
              </w:rPr>
              <w:t>Liste I</w:t>
            </w:r>
          </w:p>
        </w:tc>
        <w:tc>
          <w:tcPr>
            <w:tcW w:type="dxa" w:w="1559"/>
          </w:tcPr>
          <w:p>
            <w:r>
              <w:rPr>
                <w:sz w:val="20"/>
              </w:rPr>
              <w:t>Retrait (R)</w:t>
            </w:r>
          </w:p>
        </w:tc>
      </w:tr>
      <w:tr>
        <w:tc>
          <w:tcPr>
            <w:tcW w:type="dxa" w:w="1559"/>
          </w:tcPr>
          <w:p>
            <w:r>
              <w:rPr>
                <w:sz w:val="20"/>
              </w:rPr>
              <w:t>ENANTONE LP 11,25 mg</w:t>
            </w:r>
          </w:p>
        </w:tc>
        <w:tc>
          <w:tcPr>
            <w:tcW w:type="dxa" w:w="1559"/>
          </w:tcPr>
          <w:p>
            <w:r>
              <w:rPr>
                <w:sz w:val="20"/>
              </w:rPr>
              <w:t>TAKEDA FRANCE SAS</w:t>
            </w:r>
          </w:p>
        </w:tc>
        <w:tc>
          <w:tcPr>
            <w:tcW w:type="dxa" w:w="1559"/>
          </w:tcPr>
          <w:p>
            <w:r>
              <w:rPr>
                <w:sz w:val="20"/>
              </w:rPr>
              <w:t>Microsphères et solvant pour usage parentéral SC/IM LP</w:t>
            </w:r>
          </w:p>
        </w:tc>
        <w:tc>
          <w:tcPr>
            <w:tcW w:type="dxa" w:w="1559"/>
          </w:tcPr>
          <w:p>
            <w:r>
              <w:rPr>
                <w:sz w:val="20"/>
              </w:rPr>
              <w:t>B/1 flacon de poudre + 1 ampoule de 2 mL solvant + 1 seringue de 2,5 mL + 3 aiguilles</w:t>
            </w:r>
          </w:p>
        </w:tc>
        <w:tc>
          <w:tcPr>
            <w:tcW w:type="dxa" w:w="1559"/>
          </w:tcPr>
          <w:p>
            <w:r>
              <w:rPr>
                <w:sz w:val="20"/>
              </w:rPr>
              <w:t>Liste I</w:t>
            </w:r>
          </w:p>
        </w:tc>
        <w:tc>
          <w:tcPr>
            <w:tcW w:type="dxa" w:w="1559"/>
          </w:tcPr>
          <w:p>
            <w:r>
              <w:rPr>
                <w:sz w:val="20"/>
              </w:rPr>
              <w:t>Retrait (R)</w:t>
            </w:r>
          </w:p>
        </w:tc>
      </w:tr>
    </w:tbl>
    <w:p/>
    <w:p>
      <w:r/>
      <w:r>
        <w:rPr>
          <w:b/>
        </w:rPr>
        <w:t>c) Goséréline :</w:t>
      </w:r>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ZOLADEX</w:t>
            </w:r>
          </w:p>
        </w:tc>
        <w:tc>
          <w:tcPr>
            <w:tcW w:type="dxa" w:w="1559"/>
          </w:tcPr>
          <w:p>
            <w:r>
              <w:rPr>
                <w:sz w:val="20"/>
              </w:rPr>
              <w:t>ASTRA ZENECA</w:t>
            </w:r>
          </w:p>
        </w:tc>
        <w:tc>
          <w:tcPr>
            <w:tcW w:type="dxa" w:w="1559"/>
          </w:tcPr>
          <w:p>
            <w:r>
              <w:rPr>
                <w:sz w:val="20"/>
              </w:rPr>
              <w:t>Implant SC en seringue préremplie</w:t>
            </w:r>
          </w:p>
        </w:tc>
        <w:tc>
          <w:tcPr>
            <w:tcW w:type="dxa" w:w="1559"/>
          </w:tcPr>
          <w:p>
            <w:r>
              <w:rPr>
                <w:sz w:val="20"/>
              </w:rPr>
              <w:t>B/01 seringue avec système de sécurité</w:t>
            </w:r>
          </w:p>
        </w:tc>
        <w:tc>
          <w:tcPr>
            <w:tcW w:type="dxa" w:w="1559"/>
          </w:tcPr>
          <w:p>
            <w:r>
              <w:rPr>
                <w:sz w:val="20"/>
              </w:rPr>
              <w:t>Liste I</w:t>
            </w:r>
          </w:p>
        </w:tc>
        <w:tc>
          <w:tcPr>
            <w:tcW w:type="dxa" w:w="1559"/>
          </w:tcPr>
          <w:p>
            <w:r>
              <w:rPr>
                <w:sz w:val="20"/>
              </w:rPr>
              <w:t>Actif</w:t>
            </w:r>
          </w:p>
        </w:tc>
      </w:tr>
      <w:tr>
        <w:tc>
          <w:tcPr>
            <w:tcW w:type="dxa" w:w="1559"/>
          </w:tcPr>
          <w:p>
            <w:r>
              <w:rPr>
                <w:sz w:val="20"/>
              </w:rPr>
              <w:t>ZOLADEX</w:t>
            </w:r>
          </w:p>
        </w:tc>
        <w:tc>
          <w:tcPr>
            <w:tcW w:type="dxa" w:w="1559"/>
          </w:tcPr>
          <w:p>
            <w:r>
              <w:rPr>
                <w:sz w:val="20"/>
              </w:rPr>
              <w:t>ASTRA ZENECA</w:t>
            </w:r>
          </w:p>
        </w:tc>
        <w:tc>
          <w:tcPr>
            <w:tcW w:type="dxa" w:w="1559"/>
          </w:tcPr>
          <w:p>
            <w:r>
              <w:rPr>
                <w:sz w:val="20"/>
              </w:rPr>
              <w:t>Implant SC en seringue préremplie</w:t>
            </w:r>
          </w:p>
        </w:tc>
        <w:tc>
          <w:tcPr>
            <w:tcW w:type="dxa" w:w="1559"/>
          </w:tcPr>
          <w:p>
            <w:r>
              <w:rPr>
                <w:sz w:val="20"/>
              </w:rPr>
              <w:t>B/01 seringue avec système de sécurité</w:t>
            </w:r>
          </w:p>
        </w:tc>
        <w:tc>
          <w:tcPr>
            <w:tcW w:type="dxa" w:w="1559"/>
          </w:tcPr>
          <w:p>
            <w:r>
              <w:rPr>
                <w:sz w:val="20"/>
              </w:rPr>
              <w:t>Liste I</w:t>
            </w:r>
          </w:p>
        </w:tc>
        <w:tc>
          <w:tcPr>
            <w:tcW w:type="dxa" w:w="1559"/>
          </w:tcPr>
          <w:p>
            <w:r>
              <w:rPr>
                <w:sz w:val="20"/>
              </w:rPr>
              <w:t>Actif</w:t>
            </w:r>
          </w:p>
        </w:tc>
      </w:tr>
    </w:tbl>
    <w:p/>
    <w:p>
      <w:r>
        <w:t>Le marché algérien des agonistes du GnRH est structuré autour de trois molécules et de trois laboratoires princeps : (i) la Triptoréline sous la marque DECAPEPTYL (Ipsen Pharma Algérie), disponible en formulation quotidienne SC 0,1 mg (pour AMP et protocoles spécifiques) et en formulations à libération prolongée 3,75 mg/28 jours et 11,25 mg/3 mois ; (ii) la Leuproréline sous la marque ELIGARD (Racordati, Italie), disponible en formulations SC à diffusion lente 22,5 mg/3 mois et 45 mg/6 mois (la marque Enantone LP Takeda est retirée du marché algérien) ; (iii) la Goséréline sous la marque ZOLADEX (AstraZeneca), disponible en implant SC prérempli 3,6 mg (1 mois) et 10,8 mg (3 mois). Cette diversité galénique permet une adaptation fine aux préférences du patient (mensuel, trimestriel ou semestriel), à la tolérance et aux protocoles (castration intermittente, néoadjuvant à la radiothérapie, adjuvant prolongé).</w:t>
      </w:r>
    </w:p>
    <w:p>
      <w:r/>
      <w:r>
        <w:rPr>
          <w:b/>
        </w:rPr>
        <w:t>Sous-classe et Mécanisme d'action :</w:t>
      </w:r>
      <w:r/>
    </w:p>
    <w:p>
      <w:pPr>
        <w:pStyle w:val="ListBullet"/>
      </w:pPr>
      <w:r>
        <w:t>Sous-classe : Agonistes du GnRH (gonadoréline), classe des décapeptides de synthèse analogues de la GnRH naturelle. Les trois molécules disponibles (Leuproréline, Goséréline, Triptoréline) partagent un mécanisme d'action commun et se distinguent uniquement par des modifications structurales en position 6 et 10 de la séquence peptidique qui augmentent leur résistance à la dégradation enzymatique et leur affinité pour le récepteur hypophysaire.</w:t>
      </w:r>
    </w:p>
    <w:p>
      <w:pPr>
        <w:pStyle w:val="ListBullet"/>
      </w:pPr>
      <w:r>
        <w:t>Mécanisme d'action : la GnRH naturelle est un décapeptide hypothalamique sécrété de manière pulsatile (toutes les 60 à 90 minutes) qui stimule la libération des gonadotrophines hypophysaires LH et FSH. LH stimule la production de testostérone par les cellules de Leydig testiculaires (homme) et d'estradiol par les cellules thécales ovariennes (femme). FSH stimule la spermatogenèse (homme) et la folliculogenèse (femme). Le caractère pulsatile de la stimulation est fondamental : la stimulation continue de l'axe GnRH/LH/FSH induit, après une phase transitoire d'activation de 5 à 10 jours (« flare » ou effet initial), une désensibilisation des récepteurs hypophysaires à la GnRH, une chute de la LH et FSH, et donc une castration chimique fonctionnelle — c'est-à-dire un effondrement de la testostérone (homme : taux &lt; 50 ng/dL soit &lt; 1,7 nmol/L, équivalents aux taux post-orchidectomie) ou de l'estradiol (femme : taux post-ménopausiques &lt; 20 pg/mL) en 3 à 4 semaines. La suppression est réversible à l'arrêt (récupération de la fonction gonadique en 3 à 6 mois). Les formulations à libération prolongée (microsphères de PLGA ou polymères résorbables) assurent une libération continue de l'agoniste pendant 1, 3, 6 ou 12 mois, garantissant la stimulation continue nécessaire à la désensibilisation.</w:t>
      </w:r>
    </w:p>
    <w:p>
      <w:pPr>
        <w:pStyle w:val="ListBullet"/>
      </w:pPr>
      <w:r>
        <w:t>Pharmacocinétique : la voie orale est inactive (dégradation peptidique digestive), imposant la voie injectable SC ou IM. Les formulations à libération prolongée assurent une libération continue par dégradation progressive du polymère (PLGA) ; la demi-vie d'élimination de l'agoniste libre est courte (1 à 3 heures) mais l'effet pharmacologique (castration chimique) persiste pendant toute la durée de la formulation (1, 3, 6 ou 12 mois). L'état d'équilibre est atteint en 3 à 4 semaines. L'élimination est métabolique (peptidases) et rénale.</w:t>
      </w:r>
    </w:p>
    <w:p>
      <w:r/>
      <w:r>
        <w:rPr>
          <w:b/>
        </w:rPr>
        <w:t>Profil Pharmacologique :</w:t>
      </w:r>
      <w:r/>
    </w:p>
    <w:p>
      <w:pPr>
        <w:pStyle w:val="ListBullet"/>
      </w:pPr>
      <w:r>
        <w:t>Indications : (1) Cancer de la prostate localement avancé T3-T4, métastatique M1, ou à haut risque biochimique après traitement local (radiothérapie ou prostatectomie radicale avec marges positives ou PSA persistant) — en association à un anti-androgène (Bicalutamide) pour blocage androgénique complet (BAC) ou en monothérapie, en traitement néoadjuvant (2 à 6 mois avant radiothérapie, protocole de courte durée) ou adjuvant (1 à 3 ans après radiothérapie, protocole de longue durée selon le risque) ; (2) Cancer de la prostate métastatique en association à l'Abiratérone ou à l'Enzalutamide (blocage combiné de la production testiculaire et de la production surrénalienne/intratumorale des androgènes) ; (3) Cancer du sein hormonosensible chez la femme pré-ménopausique à haut risque, en association à un IA ou au Tamoxifène (protocole SOFT/TEXT : suppression ovarienne + IA supérieure à Tamoxifène seul en termes de survie sans récidive à 8 ans) ; (4) Indications non oncologiques : endométriose (3 à 6 mois), fibromes utérins (3 à 6 mois en pré-opératoire), induction de la puberté, AMP (induction de l'ovulation). La présente fiche se limite aux indications oncologiques.</w:t>
      </w:r>
    </w:p>
    <w:p>
      <w:pPr>
        <w:pStyle w:val="ListBullet"/>
      </w:pPr>
      <w:r>
        <w:t>Contre-indications : hypersensibilité à la molécule ou aux composants de la formulation (PLGA, mannitol) ; grossesse (CI absolue, tératogénicité — indication pré-ménopausique impose une contraception efficace associée) ; allaitement ; antécédent d'ostéoporose sévère non traitée (la castration chimique aggrave la perte osseuse). Précautions : antécédents cardiovasculaires (HTA, troubles du rythme, insuffisance cardiaque — risque accru d'événements cardiovasculaires par les agonistes GnRH), diabète (risque d'hyperglycémie), dépression (risque aggravation), patients à haut risque de syndrome de flare tumoral (maladie métastatique diffuse, métastases vertébrales avec risque de compression médullaire, obstruction urétrale).</w:t>
      </w:r>
    </w:p>
    <w:p>
      <w:pPr>
        <w:pStyle w:val="ListBullet"/>
      </w:pPr>
      <w:r>
        <w:t>Effets Indésirables : Très fréquents (&gt; 10 %) : syndrome de flare initial (augmentation transitoire et paradoxale de la testostérone pendant les 7 à 10 premiers jours, pouvant aggraver les symptômes — douleurs osseuses métastatiques, compression médullaire, rétention vésicale, obstruction urétrale — nécessitant la co-prescription d'un anti-androgène 3 jours avant et pendant 2 à 4 semaines après la première injection) ; bouffées de chaleur (60 à 80 % des patients, parfois sévères et persistantes pendant toute la durée de la castration) ; sueurs nocturnes ; perte de libido (chez la quasi-totalité des hommes traités) ; impuissance, dysfonction érectile ; gynécomastie (parfois douloureuse, par conversion périphérique de la testostérone en estradiol pendant le flare initial) ; fatigue, asthénie ; prise de poids (2 à 5 kg en moyenne) ; modification de la composition corporelle (augmentation de la masse grasse, diminution de la masse musculaire — « sarcopénie de la castration ») ; troubles du sommeil, insomnie ; dépression, anxiété, irritabilité, troubles de l'humeur ; anémie modérée (normocytaire, par baisse de l'érythropoïèse androgéno-dépendante) ; sécheresse vaginale (femme), dyspareunie. Fréquents (1 à 10 %) : ostéoporose (perte osseuse de 2 à 5 % par an de traitement, justifiant la prescription de calcium-vitamine D et de bisphosphonates ou denosumab en cas de risque fracturaire élevé), fractures osseuses (incidence accrue, vertébrales et périphériques) ; troubles métaboliques (insulinorésistance, dyslipidémie — augmentation du LDL, baisse du HDL, hypertriglycéridémie), hyperglycémie (incidence accrue de diabète de type 2 selon certaines études) ; hypertension artérielle modérée ; événements cardiovasculaires (infarctus du myocarde, AVC ischémique, mort subite — incidence accrue selon certaines études observationnelles, controversée) ; troubles cognitifs (troubles de la mémoire, syndrome dépressif) ; réactions locales au site d'injection (douleur, érythème, induration, hématome) ; hypersensibilité (rash, prurit, urticaire). Peu fréquents (0,1 à 1 %) : réactions allergiques sévères (anaphylaxie, angioedème), manifestations rhumatologiques (algodystrophie, syndrome de Raynaud), hypercalcémie paradoxale (en cas de métastases osseuses diffuses), apoplexie pituitaire (exceptionnelle, en cas d'adénome hypophysaire préexistant). Rares (&lt; 0,1 %) : ostéonécrose de la mâchoire (en cas d'association aux bisphosphonates), thrombopénie, leucopénie, hépatotoxicité cytolytique.</w:t>
      </w:r>
    </w:p>
    <w:p>
      <w:r/>
      <w:r>
        <w:rPr>
          <w:b/>
        </w:rPr>
        <w:t>Prévention et Gestion des Effets Indésirables :</w:t>
      </w:r>
      <w:r/>
    </w:p>
    <w:p>
      <w:pPr>
        <w:pStyle w:val="ListBullet"/>
      </w:pPr>
      <w:r>
        <w:t>Mesures Préventives : co-prescription OBLIGATOIRE d'un anti-androgène (Bicalutamide 50 mg/j) 3 jours avant la première injection de GnRH et pendant 2 à 4 semaines après (protection contre le flare tumoral — particulièrement indispensable en cas de métastases vertébrales, d'obstruction urétrale, de maladie métastatique osseuse diffuse) ; bilan osseux initial (densitométrie DEXA, calcium, vitamine D) ; prescription systématique de calcium-vitamine D (1000 mg/j + 800 UI/j) pendant toute la durée du traitement ; évaluation du risque cardiovasculaire (SCORE2) initiale et annuelle, optimisation des facteurs de risque (arrêt du tabac, contrôle de l'HTA, statine si LDL élevé, contrôle du diabète) ; évaluation psychologique initiale et suivi rapproché (anxiété, dépression, troubles de l'humeur) ; information du patient sur les effets indésirables attendus (bouffées de chaleur, perte de libido, impuissance) et leurs conséquences sur la qualité de vie ; consultation sexologique en cas de demande.</w:t>
      </w:r>
    </w:p>
    <w:p>
      <w:pPr>
        <w:pStyle w:val="ListBullet"/>
      </w:pPr>
      <w:r>
        <w:t>Conduite à Tenir : bouffées de chaleur sévères : mesures non pharmacologiques (éviction déclencheurs, hydrothérapie), venlafaxine 37,5 à 75 mg/j (alternative : gabapentine 300 mg × 3/j, isoflavones, acupression) ; ostéoporose confirmée (T-score &lt; -2,5) ou fracture par fragilité osseuse : bisphosphonate (acide zolédronique 4 mg IV/6 mois en oncologie prostatique, ou alendronate 70 mg/sem per os en oncologie mammaire) ou denosumab 60 mg SC/6 mois ; troubles dépressifs : psychothérapie, antidépresseurs (préférer escitalopram, mirtazapine, sans interaction notable) ; dysfonction érectile : inhibiteurs de la PDE5 (sildénafil, tadalafil, vardenafil — efficacité réduite par la baisse de testostérone, mais conservation d'une certaine efficacité) ; anémie : surveillance (récupération spontanée à l'arrêt), recherche de cause associée (carence martiale, saignement occulte) ; syndrome de flare tumoral sévère (douleurs osseuses métastatiques, compression médullaire, rétention vésicale) : hospitalisation urgente, antalgiques morphiniques, dexaméthasone (4 mg × 2/j pour bloquer la stéroïdogenèse surrénalienne résiduelle), radiothérapie antalgique ou décompressive urgente.</w:t>
      </w:r>
    </w:p>
    <w:p>
      <w:r/>
      <w:r>
        <w:rPr>
          <w:b/>
        </w:rPr>
        <w:t>Interactions Médicamenteuses :</w:t>
      </w:r>
      <w:r/>
    </w:p>
    <w:p>
      <w:pPr>
        <w:pStyle w:val="ListBullet"/>
      </w:pPr>
      <w:r>
        <w:t>Les agonistes du GnRH présentent un profil d'interactions médicamenteuses exceptionnellement favorable, reflet de leur métabolisme peptidique (dégradation par les peptidases, sans intervention significative du cytochrome P450) et de leur absence d'effet inducteur ou inhibiteur enzymatique.</w:t>
      </w:r>
    </w:p>
    <w:p>
      <w:pPr>
        <w:pStyle w:val="ListBullet"/>
      </w:pPr>
      <w:r>
        <w:t>Médicaments allongeant le QTc : les agonistes du GnRH peuvent allonger modérément le QTc en cas d'hypokaliémie associée (par baisse de l'estradiol/testostérone) ; prudence avec les antiarythmiques (amiodarone, sotalol), les macrolides, les fluoroquinolones, la méthadone, l'halopéridol.</w:t>
      </w:r>
    </w:p>
    <w:p>
      <w:pPr>
        <w:pStyle w:val="ListBullet"/>
      </w:pPr>
      <w:r>
        <w:t>Vaccins : éviter les vaccins vivants atténués en cas de castration prolongée (immunosuppression relative).</w:t>
      </w:r>
    </w:p>
    <w:p>
      <w:pPr>
        <w:pStyle w:val="ListBullet"/>
      </w:pPr>
      <w:r>
        <w:t>Médicaments agissant sur l'axe gonadotrope : association CONTRE-INDIQUÉE aux estrogènes et progestatifs (antagonisme pharmacologique), à la GnRH elle-même (compétition), aux antagonistes du GnRH (délétant — mais leur utilisation simultanée n'a pas de sens clinique).</w:t>
      </w:r>
    </w:p>
    <w:p>
      <w:pPr>
        <w:pStyle w:val="ListBullet"/>
      </w:pPr>
      <w:r>
        <w:t>Anticoagulants oraux : pas d'interaction cliniquement significative (à la différence du Tamoxifène et de l'Enzalutamide).</w:t>
      </w:r>
    </w:p>
    <w:p>
      <w:pPr>
        <w:pStyle w:val="ListBullet"/>
      </w:pPr>
      <w:r>
        <w:t>Antidépresseurs : préférer les ISRS sans interaction (escitalopram, citalopram, sertraline à dose modérée) pour les bouffées de chaleur ; éviter la paroxétine et la fluoxétine en cas d'association au Tamoxifène (si la patiente est sous Tamoxifène + GnRH).</w:t>
      </w:r>
    </w:p>
    <w:p>
      <w:pPr>
        <w:pStyle w:val="ListBullet"/>
      </w:pPr>
      <w:r>
        <w:t>Inhibiteurs de la PDE5 (sildénafil, tadalafil, vardenafil) : pas d'interaction pharmacocinétique ; surveillance de la pression artérielle.</w:t>
      </w:r>
    </w:p>
    <w:p>
      <w:r/>
      <w:r>
        <w:rPr>
          <w:b/>
        </w:rPr>
        <w:t>Grossesse et Allaitement :</w:t>
      </w:r>
      <w:r/>
    </w:p>
    <w:p>
      <w:pPr>
        <w:pStyle w:val="ListBullet"/>
      </w:pPr>
      <w:r>
        <w:t>Grossesse : CONTRE-INDICATION ABSOLUE. Les agonistes du GnRH sont tératogènes chez l'animal (avortement, anomalies squelettiques) ; chez la femme pré-ménopausique traitée pour cancer du sein, la contraception est OBLIGATOIRE pendant le traitement et 1 à 3 mois après l'arrêt (jusqu'à récupération de cycles menstruels normaux) : DIU au cuivre ou SIU LNG à privilégier (la contraception estroprogestative est contre-indiquée par antagonisme pharmacologique). En cas de désir de grossesse chez une patiente en rémission complète : arrêt de l'agoniste du GnRH, attendre la récupération de cycles menstruels normaux (3 à 6 mois), then conception envisageable.</w:t>
      </w:r>
    </w:p>
    <w:p>
      <w:pPr>
        <w:pStyle w:val="ListBullet"/>
      </w:pPr>
      <w:r>
        <w:t>Allaitement : CONTRE-INDICATION ABSOLUE. Passage des agonistes du GnRH dans le lait maternel probable (peptides) ; risque pour le nourrisson (suppression de l'axe gonadotrope). Interdiction pendant le traitement et jusqu'à récupération de cycles menstruels normaux après l'arrêt.</w:t>
      </w:r>
    </w:p>
    <w:p>
      <w:r/>
      <w:r>
        <w:rPr>
          <w:b/>
        </w:rPr>
        <w:t>Posologie et Mode d'administration (Standard) :</w:t>
      </w:r>
      <w:r/>
    </w:p>
    <w:p>
      <w:pPr>
        <w:pStyle w:val="ListBullet"/>
      </w:pPr>
      <w:r>
        <w:t>Triptoréline (DECAPEPTYL LP) : formulations à libération prolongée.</w:t>
      </w:r>
    </w:p>
    <w:p>
      <w:pPr>
        <w:pStyle w:val="ListBullet"/>
      </w:pPr>
      <w:r>
        <w:t>Decapeptyl LP 3,75 mg/28 jours : 1 injection IM ou SC profonde toutes les 4 semaines (28 jours) — dose standard pour cancer de la prostate et cancer du sein pré-ménopausique.</w:t>
      </w:r>
    </w:p>
    <w:p>
      <w:pPr>
        <w:pStyle w:val="ListBullet"/>
      </w:pPr>
      <w:r>
        <w:t>Decapeptyl LP 11,25 mg/3 mois : 1 injection IM ou SC profonde toutes les 12 semaines (3 mois) — dose standard pour cancer de la prostate (alternative trimestrielle).</w:t>
      </w:r>
    </w:p>
    <w:p>
      <w:pPr>
        <w:pStyle w:val="ListBullet"/>
      </w:pPr>
      <w:r>
        <w:t>Decapeptyl 0,1 mg/mL quotidien : 1 injection SC quotidienne (0,1 mg/jour) — indication AMP et protocoles spécifiques (en oncologie : rare, principalement pour protocoles de stimulation ovarienne contrôlée).</w:t>
      </w:r>
    </w:p>
    <w:p>
      <w:pPr>
        <w:pStyle w:val="ListBullet"/>
      </w:pPr>
      <w:r>
        <w:t>Leuproréline (ELIGARD) : formulations à libération prolongée.</w:t>
      </w:r>
    </w:p>
    <w:p>
      <w:pPr>
        <w:pStyle w:val="ListBullet"/>
      </w:pPr>
      <w:r>
        <w:t>Eligard 7,5 mg/1 mois : 1 injection SC toutes les 4 semaines (dose mensuelle — non disponible en Algérie à ce jour selon la nomenclature).</w:t>
      </w:r>
    </w:p>
    <w:p>
      <w:pPr>
        <w:pStyle w:val="ListBullet"/>
      </w:pPr>
      <w:r>
        <w:t>Eligard 22,5 mg/3 mois : 1 injection SC toutes les 12 semaines (3 mois) — dose standard pour cancer de la prostate (alternative trimestrielle).</w:t>
      </w:r>
    </w:p>
    <w:p>
      <w:pPr>
        <w:pStyle w:val="ListBullet"/>
      </w:pPr>
      <w:r>
        <w:t>Eligard 45 mg/6 mois : 1 injection SC toutes les 24 semaines (6 mois) — dose standard pour cancer de la prostate (alternative semestrielle, particulièrement pratique pour le suivi du patient âgé).</w:t>
      </w:r>
    </w:p>
    <w:p>
      <w:pPr>
        <w:pStyle w:val="ListBullet"/>
      </w:pPr>
      <w:r>
        <w:t>Goséréline (ZOLADEX) : formulations implant SC.</w:t>
      </w:r>
    </w:p>
    <w:p>
      <w:pPr>
        <w:pStyle w:val="ListBullet"/>
      </w:pPr>
      <w:r>
        <w:t>Zoladex 3,6 mg/1 mois : 1 implant SC toutes les 4 semaines (28 jours) — dose standard pour cancer de la prostate et cancer du sein pré-ménopausique.</w:t>
      </w:r>
    </w:p>
    <w:p>
      <w:pPr>
        <w:pStyle w:val="ListBullet"/>
      </w:pPr>
      <w:r>
        <w:t>Zoladex 10,8 mg/3 mois : 1 implant SC toutes les 12 semaines (3 mois) — alternative trimestrielle pour cancer de la prostate.</w:t>
      </w:r>
    </w:p>
    <w:p>
      <w:pPr>
        <w:pStyle w:val="ListBullet"/>
      </w:pPr>
      <w:r>
        <w:t>Mode d'administration : injection SC (préférentielle pour Eligard et Zoladex) ou IM (préférentielle pour Decapeptyl LP 3,75 et 11,25 mg) ou SC (Decapeptyl LP) par médecin ou infirmier(e) formé(e), à heure fixe (respect strict de l'intervalle d'administration). Technique d'administration variable selon la formulation : reconstitution de la suspension (Decapeptyl LP, Eligard) ou implant prérempli (Zoladex). Respect strict de la chaîne du froid pour le transport et le stockage (2 à 8°C). En cas de retard d'injection supérieur à 2 à 3 jours : risque de récupération transitoire de l'axe gonadotrope, surveillance du PSA (homme) ou de l'estradiol (femme) à la prochaine injection.</w:t>
      </w:r>
    </w:p>
    <w:p>
      <w:pPr>
        <w:pStyle w:val="ListBullet"/>
      </w:pPr>
      <w:r>
        <w:t>Sujet âgé : pas d'adaptation posologique.</w:t>
      </w:r>
    </w:p>
    <w:p>
      <w:pPr>
        <w:pStyle w:val="ListBullet"/>
      </w:pPr>
      <w:r>
        <w:t>Enfant : non indiqué en oncologie (indications pédiatriques : puberté précoce centrale, à des doses spécifiques).</w:t>
      </w:r>
    </w:p>
    <w:p>
      <w:pPr>
        <w:pStyle w:val="ListBullet"/>
      </w:pPr>
      <w:r>
        <w:t>Insuffisance hépatique ou rénale : pas d'adaptation nécessaire.</w:t>
      </w:r>
    </w:p>
    <w:p>
      <w:pPr>
        <w:pStyle w:val="ListBullet"/>
      </w:pPr>
      <w:r>
        <w:t>Protection contre le flare : Bicalutamide 50 mg/j initié 3 jours avant la première injection de GnRH, poursuivi pendant 2 à 4 semaines.</w:t>
      </w:r>
    </w:p>
    <w:p>
      <w:pPr>
        <w:pStyle w:val="ListBullet"/>
      </w:pPr>
      <w:r>
        <w:t>Durée du traitement : variable selon le protocole — cancer de la prostate : 6 mois à 18 mois en néoadjuvant/adjuvant à la radiothérapie (protocoles courts 4-6 mois, protocoles longs 18-36 mois selon le risque), à vie en cas de maladie métastatique ou de récidive biochimique ; cancer du sein pré-ménopausique : 5 ans en association à un IA ou au Tamoxifène (protocole SOFT/TEXT).</w:t>
      </w:r>
    </w:p>
    <w:p>
      <w:r/>
      <w:r>
        <w:rPr>
          <w:b/>
        </w:rPr>
        <w:t>Surveillance Biologique et Suivi Clinique :</w:t>
      </w:r>
      <w:r/>
    </w:p>
    <w:p>
      <w:pPr>
        <w:pStyle w:val="ListBullet"/>
      </w:pPr>
      <w:r>
        <w:t>Hormonal (cible de castration) : testostérone totale (homme) à 1 mois, 3 mois puis tous les 6 mois (objectif : taux &lt; 50 ng/dL soit &lt; 1,7 nmol/L) ; estradiol (femme pré-ménopausique) à 1 mois puis tous les 6 mois (objectif : taux post-ménopausique &lt; 20 pg/mL) ; LH et FSH (optionnel, en cas de doute sur l'observance ou la castration).</w:t>
      </w:r>
    </w:p>
    <w:p>
      <w:pPr>
        <w:pStyle w:val="ListBullet"/>
      </w:pPr>
      <w:r>
        <w:t>Tumoral : PSA (homme) tous les 3 mois pendant la première année puis semestriel ; CA 15-3 (femme) en cas de cancer du sein métastatique selon les recommandations.</w:t>
      </w:r>
    </w:p>
    <w:p>
      <w:pPr>
        <w:pStyle w:val="ListBullet"/>
      </w:pPr>
      <w:r>
        <w:t>Osseux : densitométrie osseuse (DEXA) initiale, à 1 an puis tous les 2 ans (ou annuelle si T-score &lt; -1,5) ; calcium, vitamine D sériques initiale puis annuelle ; calcium-vitamine D systématique (1000 mg/j + 800 UI/j) ; introduction d'un bisphosphonate (acide zolédronique 4 mg IV/6 mois en oncologie prostatique, alendronate 70 mg/sem en oncologie mammaire) ou denosumab 60 mg SC/6 mois en cas de T-score &lt; -2,5 ou de fracture par fragilité osseuse.</w:t>
      </w:r>
    </w:p>
    <w:p>
      <w:pPr>
        <w:pStyle w:val="ListBullet"/>
      </w:pPr>
      <w:r>
        <w:t>Métabolique : glycémie à jeun initiale puis semestrielle (risque d'hyperglycémie), HbA1c initiale puis annuelle ; bilan lipidique complet (cholestérol total, LDL, HDL, triglycérides) initiale puis annuelle.</w:t>
      </w:r>
    </w:p>
    <w:p>
      <w:pPr>
        <w:pStyle w:val="ListBullet"/>
      </w:pPr>
      <w:r>
        <w:t>Cardiovasculaire : pression artérielle initiale puis semestrielle ; ECG initial puis annuel ; évaluation du risque cardiovasculaire (SCORE2) initiale puis annuelle ; surveillance des signes d'insuffisance cardiaque (dyspnée, œdèmes).</w:t>
      </w:r>
    </w:p>
    <w:p>
      <w:pPr>
        <w:pStyle w:val="ListBullet"/>
      </w:pPr>
      <w:r>
        <w:t>Hématologique : NFS-plaquettes initiale puis semestrielle (surveillance anémie normocytaire).</w:t>
      </w:r>
    </w:p>
    <w:p>
      <w:pPr>
        <w:pStyle w:val="ListBullet"/>
      </w:pPr>
      <w:r>
        <w:t>Clinique : examen clinique prostatique (TR, PSA) tous les 3 mois 1 an puis semestriel ; examen gynécologique annuel (femme) ; évaluation psychologique (anxiété, dépression) à chaque consultation ; évaluation de la qualité de vie et de la sexualité.</w:t>
      </w:r>
    </w:p>
    <w:p>
      <w:pPr>
        <w:pStyle w:val="ListBullet"/>
      </w:pPr>
      <w:r>
        <w:t>Imagerie : scintigraphie osseuse et scanner abdomino-pelvien initiales puis en cas de progression clinique ou biologique (élévation du PSA, symptômes nouveaux).</w:t>
      </w:r>
    </w:p>
    <w:p>
      <w:r/>
      <w:r>
        <w:rPr>
          <w:b/>
        </w:rPr>
        <w:t>Arbitrage et Bénéfices des Formes Galéniques :</w:t>
      </w:r>
      <w:r/>
    </w:p>
    <w:p>
      <w:r>
        <w:t>Le choix entre les trois molécules (Triptoréline, Leuproréline, Goséréline) et entre les différentes formulations (mensuelle, trimestrielle, semestrielle) repose sur plusieurs considérations : (i) la disponibilité locale (en Algérie, toutes les formulations mensuelles et trimestrielles sont disponibles, mais les formulations semestrielles ne sont disponibles que pour la Leuproréline Eligard 45 mg/6 mois) ; (ii) la préférence du patient pour l'intervalle d'administration (les formulations trimestrielles et semestrielles améliorent l'observance par rapport aux formulations mensuelles) ; (iii) la voie d'administration (IM pour Decapeptyl LP, SC pour Eligard et Zoladex) ; (iv) le type de formulation (suspension injectable reconstituée Decapeptyl LP et Eligard, implant prérempli Zoladex — l'implant est plus simple d'administration mais plus coûteux) ; (v) la tolérance locale (réactions au site d'injection plus fréquentes avec les implants Zoladex). En pratique clinique algérienne, les formulations trimestrielles (Decapeptyl LP 11,25 mg/3 mois, Eligard 22,5 mg/3 mois, Zoladex 10,8 mg/3 mois) sont privilégiées pour le confort du patient et la simplicité du suivi ; les formulations semestrielles (Eligard 45 mg/6 mois) sont particulièrement adaptées aux patients âgés ou éloignés des centres de soins. La formulation quotidienne Decapeptyl 0,1 mg/mL est réservée à l'AMP et à des protocoles spécifiques en oncologie (induction de l'ovulation, protocoles courts).</w:t>
      </w:r>
    </w:p>
    <w:p>
      <w:r/>
      <w:r>
        <w:rPr>
          <w:b/>
        </w:rPr>
        <w:t>Instructions et Conseils au Patient :</w:t>
      </w:r>
      <w:r/>
    </w:p>
    <w:p>
      <w:pPr>
        <w:pStyle w:val="ListBullet"/>
      </w:pPr>
      <w:r>
        <w:t>Communication : « L'agoniste du GnRH qui vous est prescrit (Decapeptyl, Eligard ou Zoladex) est un médicament anticancéreux qui bloque la production d'hormones (testostérone chez l'homme, estradiol chez la femme) par vos gonades (testicules ou ovaires), réalisant une « castration chimique » réversible. Il s'administre par injection mensuelle, trimestrielle ou semestrielle selon la formulation, par un médecin ou une infirmière formée. Le traitement est de longue durée (parfois à vie). Prévenez votre médecin en cas de bouffées de chaleur sévères, de sueurs nocturnes, de perte de libido, d'impuissance (chez l'homme), d'arrêt des règles (chez la femme), de fatigue, de dépression, de douleurs osseuses (notamment dans les premiers jours — syndrome de flare), de rétention d'urine, d'engourdissement des jambes (risque de compression médullaire en cas de métastases vertébrales), d'œdèmes des jambes, d'essoufflement, de palpitations. Chez la femme pré-ménopausique, une contraception efficace est OBLIGATOIRE pendant le traitement. Évitez l'automédication. Prévenez tout médecin consulté que vous recevez un agoniste du GnRH. »</w:t>
      </w:r>
    </w:p>
    <w:p>
      <w:pPr>
        <w:pStyle w:val="ListBullet"/>
      </w:pPr>
      <w:r>
        <w:t>Observance : respect strict de l'intervalle d'administration (mensuel, trimestriel ou semestriel), calendrier d'injection, ne jamais manquer une injection (risque de rebond tumoral).</w:t>
      </w:r>
    </w:p>
    <w:p>
      <w:pPr>
        <w:pStyle w:val="ListBullet"/>
      </w:pPr>
      <w:r>
        <w:t>Alerte : consulter immédiatement en cas de douleurs osseuses intenses, faiblesse des jambes, troubles de la miction, rétention d'urine, perte de sensibilité (risque de compression médullaire — syndrome de flare), palpitations, œdèmes, essoufflement.</w:t>
      </w:r>
    </w:p>
    <w:p>
      <w:pPr>
        <w:pStyle w:val="ListBullet"/>
      </w:pPr>
      <w:r>
        <w:t>Hygiène de vie : activité physique régulière (lutte contre la sarcopénie et protège l'os), arrêt du tabac, contrôle du poids, alimentation équilibrée (riche en calcium, vitamine D, légumes verts).</w:t>
      </w:r>
    </w:p>
    <w:p>
      <w:pPr>
        <w:pStyle w:val="ListBullet"/>
      </w:pPr>
      <w:r>
        <w:t>Prévention osseuse : calcium (1000 mg/j) + vitamine D (800 UI/j) systématiques, activité physique, arrêt du tabac, exposition solaire modérée.</w:t>
      </w:r>
    </w:p>
    <w:p>
      <w:pPr>
        <w:pStyle w:val="ListBullet"/>
      </w:pPr>
      <w:r>
        <w:t>Chez la femme pré-ménopausique : contraception OBLIGATOIRE (DIU cuivre ou SIU LNG) pendant le traitement et 1 à 3 mois après l'arrêt.</w:t>
      </w:r>
    </w:p>
    <w:p>
      <w:r/>
      <w:r>
        <w:rPr>
          <w:b/>
        </w:rPr>
        <w:t>Notes, Règles d'Or &amp; Pièges au Comptoir :</w:t>
      </w:r>
      <w:r/>
    </w:p>
    <w:p>
      <w:pPr>
        <w:pStyle w:val="ListBullet"/>
      </w:pPr>
      <w:r>
        <w:t>Piège : le syndrome de flare tumoral initial (augmentation transitoire de la testostérone pendant les 7 à 10 premiers jours) peut être responsable d'une aggravation paradoxale des symptômes (douleurs osseuses métastatiques, compression médullaire, rétention vésicale, obstruction urétrale) — co-prescription OBLIGATOIRE d'un anti-androgène (Bicalutamide 50 mg/j) 3 jours avant et pendant 2 à 4 semaines après la première injection.</w:t>
      </w:r>
    </w:p>
    <w:p>
      <w:pPr>
        <w:pStyle w:val="ListBullet"/>
      </w:pPr>
      <w:r>
        <w:t>Règle : la castration chimique n'est jamais totale en une seule injection — surveiller la testostérone (homme) ou l'estradiol (femme) à 1 mois pour confirmer la castration (testostérone &lt; 50 ng/dL).</w:t>
      </w:r>
    </w:p>
    <w:p>
      <w:pPr>
        <w:pStyle w:val="ListBullet"/>
      </w:pPr>
      <w:r>
        <w:t>Piège : la perte osseuse sous agoniste GnRH est cumulative et dose-dépendante — densitométrie initiale systématique, calcium-vitamine D systématique, bisphosphonate ou denosumab si T-score &lt; -2,5.</w:t>
      </w:r>
    </w:p>
    <w:p>
      <w:pPr>
        <w:pStyle w:val="ListBullet"/>
      </w:pPr>
      <w:r>
        <w:t>Règle : chez la femme pré-ménopausique, la contraception est OBLIGATOIRE pendant le traitement et 1 à 3 mois après l'arrêt (DIU cuivre ou SIU LNG à privilégier).</w:t>
      </w:r>
    </w:p>
    <w:p>
      <w:pPr>
        <w:pStyle w:val="ListBullet"/>
      </w:pPr>
      <w:r>
        <w:t>Piège : les bouffées de chaleur peuvent être très invalidantes — venlafaxine 37,5 à 75 mg/j ou gabapentine en première intention (paroxétine et fluoxétine à éviter en cas d'association au Tamoxifène).</w:t>
      </w:r>
    </w:p>
    <w:p>
      <w:pPr>
        <w:pStyle w:val="ListBullet"/>
      </w:pPr>
      <w:r>
        <w:t>Règle : le respect strict de l'intervalle d'administration est essentiel — un retard de plus de 2 à 3 jours expose à un rebond tumoral (élévation transitoire du PSA, reprise de la croissance tumorale).</w:t>
      </w:r>
    </w:p>
    <w:p>
      <w:pPr>
        <w:pStyle w:val="ListBullet"/>
      </w:pPr>
      <w:r>
        <w:t>Piège : le cancer du sein pré-ménopausique à haut risque nécessite l'association agoniste GnRH + IA (protocole SOFT/TEXT), supérieure au Tamoxifène seul — ne pas prescrire de Tamoxifène seul en cas de haut risque.</w:t>
      </w:r>
    </w:p>
    <w:p>
      <w:pPr>
        <w:pStyle w:val="ListBullet"/>
      </w:pPr>
      <w:r>
        <w:t>Règle : la durée prolongée du traitement (parfois à vie) expose à un risque d'observance défaillante — privilégier les formulations trimestrielles ou semestrielles.</w:t>
      </w:r>
    </w:p>
    <w:p>
      <w:pPr>
        <w:pStyle w:val="ListBullet"/>
      </w:pPr>
      <w:r>
        <w:t>Piège : le respect de la chaîne du froid (2 à 8°C) est essentiel pour la conservation des formulations à libération prolongée — vérifier la température du réfrigérateur et l'absence de congélation.</w:t>
      </w:r>
    </w:p>
    <w:p>
      <w:pPr>
        <w:pStyle w:val="ListBullet"/>
      </w:pPr>
      <w:r>
        <w:t>Règle : la disponibilité de formulations semestrielles (Eligard 45 mg/6 mois) est particulièrement adaptée aux patients âgés ou éloignés des centres de soins.</w:t>
      </w:r>
    </w:p>
    <w:p>
      <w:pPr>
        <w:pStyle w:val="Heading2"/>
      </w:pPr>
      <w:r>
        <w:t>Tableau Comparatif Synoptique des Hormonothérapies Oncologiques</w:t>
      </w:r>
    </w:p>
    <w:p>
      <w:r>
        <w:t>Le tableau ci-dessous récapitule les caractéristiques pharmacologiques et cliniques des neuf DCIs (ou groupes de DCIs) traitées dans ce chapitre, en mettant en évidence les points clés pour la pratique clinique algérienne :</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Sous-classe</w:t>
            </w:r>
          </w:p>
        </w:tc>
        <w:tc>
          <w:tcPr>
            <w:tcW w:type="dxa" w:w="1169"/>
          </w:tcPr>
          <w:p>
            <w:r>
              <w:rPr>
                <w:b/>
                <w:sz w:val="20"/>
              </w:rPr>
              <w:t>Mécanisme central</w:t>
            </w:r>
          </w:p>
        </w:tc>
        <w:tc>
          <w:tcPr>
            <w:tcW w:type="dxa" w:w="1169"/>
          </w:tcPr>
          <w:p>
            <w:r>
              <w:rPr>
                <w:b/>
                <w:sz w:val="20"/>
              </w:rPr>
              <w:t>Voie &amp; Demi-vie</w:t>
            </w:r>
          </w:p>
        </w:tc>
        <w:tc>
          <w:tcPr>
            <w:tcW w:type="dxa" w:w="1169"/>
          </w:tcPr>
          <w:p>
            <w:r>
              <w:rPr>
                <w:b/>
                <w:sz w:val="20"/>
              </w:rPr>
              <w:t>Métabolisme / Interactions majeures</w:t>
            </w:r>
          </w:p>
        </w:tc>
        <w:tc>
          <w:tcPr>
            <w:tcW w:type="dxa" w:w="1169"/>
          </w:tcPr>
          <w:p>
            <w:r>
              <w:rPr>
                <w:b/>
                <w:sz w:val="20"/>
              </w:rPr>
              <w:t>EI cardinaux</w:t>
            </w:r>
          </w:p>
        </w:tc>
        <w:tc>
          <w:tcPr>
            <w:tcW w:type="dxa" w:w="1169"/>
          </w:tcPr>
          <w:p>
            <w:r>
              <w:rPr>
                <w:b/>
                <w:sz w:val="20"/>
              </w:rPr>
              <w:t>Indications principales</w:t>
            </w:r>
          </w:p>
        </w:tc>
        <w:tc>
          <w:tcPr>
            <w:tcW w:type="dxa" w:w="1169"/>
          </w:tcPr>
          <w:p>
            <w:r>
              <w:rPr>
                <w:b/>
                <w:sz w:val="20"/>
              </w:rPr>
              <w:t>Statut Algérie</w:t>
            </w:r>
          </w:p>
        </w:tc>
      </w:tr>
      <w:tr>
        <w:tc>
          <w:tcPr>
            <w:tcW w:type="dxa" w:w="1169"/>
          </w:tcPr>
          <w:p>
            <w:r>
              <w:rPr>
                <w:sz w:val="20"/>
              </w:rPr>
              <w:t>**Tamoxifène**</w:t>
            </w:r>
          </w:p>
        </w:tc>
        <w:tc>
          <w:tcPr>
            <w:tcW w:type="dxa" w:w="1169"/>
          </w:tcPr>
          <w:p>
            <w:r>
              <w:rPr>
                <w:sz w:val="20"/>
              </w:rPr>
              <w:t>SERM anti-estrogène</w:t>
            </w:r>
          </w:p>
        </w:tc>
        <w:tc>
          <w:tcPr>
            <w:tcW w:type="dxa" w:w="1169"/>
          </w:tcPr>
          <w:p>
            <w:r>
              <w:rPr>
                <w:sz w:val="20"/>
              </w:rPr>
              <w:t>Blocage compétitif ERα mammaire (agoniste partiel endométrial)</w:t>
            </w:r>
          </w:p>
        </w:tc>
        <w:tc>
          <w:tcPr>
            <w:tcW w:type="dxa" w:w="1169"/>
          </w:tcPr>
          <w:p>
            <w:r>
              <w:rPr>
                <w:sz w:val="20"/>
              </w:rPr>
              <w:t>PO, 5–7 j</w:t>
            </w:r>
          </w:p>
        </w:tc>
        <w:tc>
          <w:tcPr>
            <w:tcW w:type="dxa" w:w="1169"/>
          </w:tcPr>
          <w:p>
            <w:r>
              <w:rPr>
                <w:sz w:val="20"/>
              </w:rPr>
              <w:t>CYP3A4 + CYP2D6 (Endoxifène) ; CI paroxétine, fluoxétine</w:t>
            </w:r>
          </w:p>
        </w:tc>
        <w:tc>
          <w:tcPr>
            <w:tcW w:type="dxa" w:w="1169"/>
          </w:tcPr>
          <w:p>
            <w:r>
              <w:rPr>
                <w:sz w:val="20"/>
              </w:rPr>
              <w:t>Thrombose veineuse, cancer endomètre, bouffées chaleur, cataracte</w:t>
            </w:r>
          </w:p>
        </w:tc>
        <w:tc>
          <w:tcPr>
            <w:tcW w:type="dxa" w:w="1169"/>
          </w:tcPr>
          <w:p>
            <w:r>
              <w:rPr>
                <w:sz w:val="20"/>
              </w:rPr>
              <w:t>Cancer du sein ER+ adjuvant (pré-ménopause référence), métastatique, prévention</w:t>
            </w:r>
          </w:p>
        </w:tc>
        <w:tc>
          <w:tcPr>
            <w:tcW w:type="dxa" w:w="1169"/>
          </w:tcPr>
          <w:p>
            <w:r>
              <w:rPr>
                <w:sz w:val="20"/>
              </w:rPr>
              <w:t>Actif (princeps Nolvadex + génériques Ebewe)</w:t>
            </w:r>
          </w:p>
        </w:tc>
      </w:tr>
      <w:tr>
        <w:tc>
          <w:tcPr>
            <w:tcW w:type="dxa" w:w="1169"/>
          </w:tcPr>
          <w:p>
            <w:r>
              <w:rPr>
                <w:sz w:val="20"/>
              </w:rPr>
              <w:t>**Anastrozole**</w:t>
            </w:r>
          </w:p>
        </w:tc>
        <w:tc>
          <w:tcPr>
            <w:tcW w:type="dxa" w:w="1169"/>
          </w:tcPr>
          <w:p>
            <w:r>
              <w:rPr>
                <w:sz w:val="20"/>
              </w:rPr>
              <w:t>IA non stéroïdien</w:t>
            </w:r>
          </w:p>
        </w:tc>
        <w:tc>
          <w:tcPr>
            <w:tcW w:type="dxa" w:w="1169"/>
          </w:tcPr>
          <w:p>
            <w:r>
              <w:rPr>
                <w:sz w:val="20"/>
              </w:rPr>
              <w:t>Inhibition compétitive réversible CYP19A1</w:t>
            </w:r>
          </w:p>
        </w:tc>
        <w:tc>
          <w:tcPr>
            <w:tcW w:type="dxa" w:w="1169"/>
          </w:tcPr>
          <w:p>
            <w:r>
              <w:rPr>
                <w:sz w:val="20"/>
              </w:rPr>
              <w:t>PO, 40–50 h</w:t>
            </w:r>
          </w:p>
        </w:tc>
        <w:tc>
          <w:tcPr>
            <w:tcW w:type="dxa" w:w="1169"/>
          </w:tcPr>
          <w:p>
            <w:r>
              <w:rPr>
                <w:sz w:val="20"/>
              </w:rPr>
              <w:t>CYP3A4 ; profil interactions favorable</w:t>
            </w:r>
          </w:p>
        </w:tc>
        <w:tc>
          <w:tcPr>
            <w:tcW w:type="dxa" w:w="1169"/>
          </w:tcPr>
          <w:p>
            <w:r>
              <w:rPr>
                <w:sz w:val="20"/>
              </w:rPr>
              <w:t>Ostéoporose, arthralgies, bouffées chaleur, hypercholestérolémie</w:t>
            </w:r>
          </w:p>
        </w:tc>
        <w:tc>
          <w:tcPr>
            <w:tcW w:type="dxa" w:w="1169"/>
          </w:tcPr>
          <w:p>
            <w:r>
              <w:rPr>
                <w:sz w:val="20"/>
              </w:rPr>
              <w:t>Cancer du sein post-ménopause adjuvant (référence ATAC)</w:t>
            </w:r>
          </w:p>
        </w:tc>
        <w:tc>
          <w:tcPr>
            <w:tcW w:type="dxa" w:w="1169"/>
          </w:tcPr>
          <w:p>
            <w:r>
              <w:rPr>
                <w:sz w:val="20"/>
              </w:rPr>
              <w:t>Actif (princeps Arimidex + 8 génériques)</w:t>
            </w:r>
          </w:p>
        </w:tc>
      </w:tr>
      <w:tr>
        <w:tc>
          <w:tcPr>
            <w:tcW w:type="dxa" w:w="1169"/>
          </w:tcPr>
          <w:p>
            <w:r>
              <w:rPr>
                <w:sz w:val="20"/>
              </w:rPr>
              <w:t>**Létrozole**</w:t>
            </w:r>
          </w:p>
        </w:tc>
        <w:tc>
          <w:tcPr>
            <w:tcW w:type="dxa" w:w="1169"/>
          </w:tcPr>
          <w:p>
            <w:r>
              <w:rPr>
                <w:sz w:val="20"/>
              </w:rPr>
              <w:t>IA non stéroïdien</w:t>
            </w:r>
          </w:p>
        </w:tc>
        <w:tc>
          <w:tcPr>
            <w:tcW w:type="dxa" w:w="1169"/>
          </w:tcPr>
          <w:p>
            <w:r>
              <w:rPr>
                <w:sz w:val="20"/>
              </w:rPr>
              <w:t>Inhibition compétitive réversible CYP19A1 (puissance supérieure)</w:t>
            </w:r>
          </w:p>
        </w:tc>
        <w:tc>
          <w:tcPr>
            <w:tcW w:type="dxa" w:w="1169"/>
          </w:tcPr>
          <w:p>
            <w:r>
              <w:rPr>
                <w:sz w:val="20"/>
              </w:rPr>
              <w:t>PO, 42 h</w:t>
            </w:r>
          </w:p>
        </w:tc>
        <w:tc>
          <w:tcPr>
            <w:tcW w:type="dxa" w:w="1169"/>
          </w:tcPr>
          <w:p>
            <w:r>
              <w:rPr>
                <w:sz w:val="20"/>
              </w:rPr>
              <w:t>CYP3A4 + CYP2A6 ; profil favorable</w:t>
            </w:r>
          </w:p>
        </w:tc>
        <w:tc>
          <w:tcPr>
            <w:tcW w:type="dxa" w:w="1169"/>
          </w:tcPr>
          <w:p>
            <w:r>
              <w:rPr>
                <w:sz w:val="20"/>
              </w:rPr>
              <w:t>Ostéoporose, arthralgies, hypercholestérolémie (incidence accrue), alopécie</w:t>
            </w:r>
          </w:p>
        </w:tc>
        <w:tc>
          <w:tcPr>
            <w:tcW w:type="dxa" w:w="1169"/>
          </w:tcPr>
          <w:p>
            <w:r>
              <w:rPr>
                <w:sz w:val="20"/>
              </w:rPr>
              <w:t>Cancer du sein post-ménopause adjuvant (BIG 1-98), switch après Tamoxifène (MA.17)</w:t>
            </w:r>
          </w:p>
        </w:tc>
        <w:tc>
          <w:tcPr>
            <w:tcW w:type="dxa" w:w="1169"/>
          </w:tcPr>
          <w:p>
            <w:r>
              <w:rPr>
                <w:sz w:val="20"/>
              </w:rPr>
              <w:t>Actif (8 génériques, princeps Femara non renouvelable)</w:t>
            </w:r>
          </w:p>
        </w:tc>
      </w:tr>
      <w:tr>
        <w:tc>
          <w:tcPr>
            <w:tcW w:type="dxa" w:w="1169"/>
          </w:tcPr>
          <w:p>
            <w:r>
              <w:rPr>
                <w:sz w:val="20"/>
              </w:rPr>
              <w:t>**Exemestane**</w:t>
            </w:r>
          </w:p>
        </w:tc>
        <w:tc>
          <w:tcPr>
            <w:tcW w:type="dxa" w:w="1169"/>
          </w:tcPr>
          <w:p>
            <w:r>
              <w:rPr>
                <w:sz w:val="20"/>
              </w:rPr>
              <w:t>IA stéroïdien</w:t>
            </w:r>
          </w:p>
        </w:tc>
        <w:tc>
          <w:tcPr>
            <w:tcW w:type="dxa" w:w="1169"/>
          </w:tcPr>
          <w:p>
            <w:r>
              <w:rPr>
                <w:sz w:val="20"/>
              </w:rPr>
              <w:t>Inactivation irréversible CYP19A1 (substrat « suicide »)</w:t>
            </w:r>
          </w:p>
        </w:tc>
        <w:tc>
          <w:tcPr>
            <w:tcW w:type="dxa" w:w="1169"/>
          </w:tcPr>
          <w:p>
            <w:r>
              <w:rPr>
                <w:sz w:val="20"/>
              </w:rPr>
              <w:t>PO, 24 h (effet prolongé)</w:t>
            </w:r>
          </w:p>
        </w:tc>
        <w:tc>
          <w:tcPr>
            <w:tcW w:type="dxa" w:w="1169"/>
          </w:tcPr>
          <w:p>
            <w:r>
              <w:rPr>
                <w:sz w:val="20"/>
              </w:rPr>
              <w:t>CYP3A4 ; prise AU COURS DU REPAS (ASC +40 %)</w:t>
            </w:r>
          </w:p>
        </w:tc>
        <w:tc>
          <w:tcPr>
            <w:tcW w:type="dxa" w:w="1169"/>
          </w:tcPr>
          <w:p>
            <w:r>
              <w:rPr>
                <w:sz w:val="20"/>
              </w:rPr>
              <w:t>Ostéoporose, arthralgies (potentiellement moindres), alopécie</w:t>
            </w:r>
          </w:p>
        </w:tc>
        <w:tc>
          <w:tcPr>
            <w:tcW w:type="dxa" w:w="1169"/>
          </w:tcPr>
          <w:p>
            <w:r>
              <w:rPr>
                <w:sz w:val="20"/>
              </w:rPr>
              <w:t>Cancer du sein post-ménopause (TEAM, IES en switch)</w:t>
            </w:r>
          </w:p>
        </w:tc>
        <w:tc>
          <w:tcPr>
            <w:tcW w:type="dxa" w:w="1169"/>
          </w:tcPr>
          <w:p>
            <w:r>
              <w:rPr>
                <w:sz w:val="20"/>
              </w:rPr>
              <w:t>Actif (1 générique Aromex UPC, princeps Aromasine non renouvelable)</w:t>
            </w:r>
          </w:p>
        </w:tc>
      </w:tr>
      <w:tr>
        <w:tc>
          <w:tcPr>
            <w:tcW w:type="dxa" w:w="1169"/>
          </w:tcPr>
          <w:p>
            <w:r>
              <w:rPr>
                <w:sz w:val="20"/>
              </w:rPr>
              <w:t>**Flutamide**</w:t>
            </w:r>
          </w:p>
        </w:tc>
        <w:tc>
          <w:tcPr>
            <w:tcW w:type="dxa" w:w="1169"/>
          </w:tcPr>
          <w:p>
            <w:r>
              <w:rPr>
                <w:sz w:val="20"/>
              </w:rPr>
              <w:t>Anti-androgène 1G non stéroïdien</w:t>
            </w:r>
          </w:p>
        </w:tc>
        <w:tc>
          <w:tcPr>
            <w:tcW w:type="dxa" w:w="1169"/>
          </w:tcPr>
          <w:p>
            <w:r>
              <w:rPr>
                <w:sz w:val="20"/>
              </w:rPr>
              <w:t>Blocage compétitif AR (métabolite actif 2-OH-flutamide)</w:t>
            </w:r>
          </w:p>
        </w:tc>
        <w:tc>
          <w:tcPr>
            <w:tcW w:type="dxa" w:w="1169"/>
          </w:tcPr>
          <w:p>
            <w:r>
              <w:rPr>
                <w:sz w:val="20"/>
              </w:rPr>
              <w:t>PO, 5–6 h (prise ×3/j)</w:t>
            </w:r>
          </w:p>
        </w:tc>
        <w:tc>
          <w:tcPr>
            <w:tcW w:type="dxa" w:w="1169"/>
          </w:tcPr>
          <w:p>
            <w:r>
              <w:rPr>
                <w:sz w:val="20"/>
              </w:rPr>
              <w:t>CYP1A2 + CYP3A4 ; CI warfarine (interaction majeure)</w:t>
            </w:r>
          </w:p>
        </w:tc>
        <w:tc>
          <w:tcPr>
            <w:tcW w:type="dxa" w:w="1169"/>
          </w:tcPr>
          <w:p>
            <w:r>
              <w:rPr>
                <w:sz w:val="20"/>
              </w:rPr>
              <w:t>Hépatotoxicité sévère (mortalité 30 %), diarrhée, gynécomastie</w:t>
            </w:r>
          </w:p>
        </w:tc>
        <w:tc>
          <w:tcPr>
            <w:tcW w:type="dxa" w:w="1169"/>
          </w:tcPr>
          <w:p>
            <w:r>
              <w:rPr>
                <w:sz w:val="20"/>
              </w:rPr>
              <w:t>Cancer prostate (BAC, flare) — RETIRÉ du marché algérien</w:t>
            </w:r>
          </w:p>
        </w:tc>
        <w:tc>
          <w:tcPr>
            <w:tcW w:type="dxa" w:w="1169"/>
          </w:tcPr>
          <w:p>
            <w:r>
              <w:rPr>
                <w:sz w:val="20"/>
              </w:rPr>
              <w:t>Retrait (Eulexine, Cytomid, Curestat, Prostagen)</w:t>
            </w:r>
          </w:p>
        </w:tc>
      </w:tr>
      <w:tr>
        <w:tc>
          <w:tcPr>
            <w:tcW w:type="dxa" w:w="1169"/>
          </w:tcPr>
          <w:p>
            <w:r>
              <w:rPr>
                <w:sz w:val="20"/>
              </w:rPr>
              <w:t>**Bicalutamide**</w:t>
            </w:r>
          </w:p>
        </w:tc>
        <w:tc>
          <w:tcPr>
            <w:tcW w:type="dxa" w:w="1169"/>
          </w:tcPr>
          <w:p>
            <w:r>
              <w:rPr>
                <w:sz w:val="20"/>
              </w:rPr>
              <w:t>Anti-androgène 1G non stéroïdien</w:t>
            </w:r>
          </w:p>
        </w:tc>
        <w:tc>
          <w:tcPr>
            <w:tcW w:type="dxa" w:w="1169"/>
          </w:tcPr>
          <w:p>
            <w:r>
              <w:rPr>
                <w:sz w:val="20"/>
              </w:rPr>
              <w:t>Blocage compétitif AR (affinité ×4 vs flutamide)</w:t>
            </w:r>
          </w:p>
        </w:tc>
        <w:tc>
          <w:tcPr>
            <w:tcW w:type="dxa" w:w="1169"/>
          </w:tcPr>
          <w:p>
            <w:r>
              <w:rPr>
                <w:sz w:val="20"/>
              </w:rPr>
              <w:t>PO, 5–7 j (monoprise)</w:t>
            </w:r>
          </w:p>
        </w:tc>
        <w:tc>
          <w:tcPr>
            <w:tcW w:type="dxa" w:w="1169"/>
          </w:tcPr>
          <w:p>
            <w:r>
              <w:rPr>
                <w:sz w:val="20"/>
              </w:rPr>
              <w:t>CYP3A4 ; CI warfarine (CYP2C9), terfénadine, cisapride</w:t>
            </w:r>
          </w:p>
        </w:tc>
        <w:tc>
          <w:tcPr>
            <w:tcW w:type="dxa" w:w="1169"/>
          </w:tcPr>
          <w:p>
            <w:r>
              <w:rPr>
                <w:sz w:val="20"/>
              </w:rPr>
              <w:t>Hépatotoxicité (moindre que flutamide), gynécomastie, allongement QTc</w:t>
            </w:r>
          </w:p>
        </w:tc>
        <w:tc>
          <w:tcPr>
            <w:tcW w:type="dxa" w:w="1169"/>
          </w:tcPr>
          <w:p>
            <w:r>
              <w:rPr>
                <w:sz w:val="20"/>
              </w:rPr>
              <w:t>Cancer prostate (BAC 50 mg, monothérapie 150 mg discutée)</w:t>
            </w:r>
          </w:p>
        </w:tc>
        <w:tc>
          <w:tcPr>
            <w:tcW w:type="dxa" w:w="1169"/>
          </w:tcPr>
          <w:p>
            <w:r>
              <w:rPr>
                <w:sz w:val="20"/>
              </w:rPr>
              <w:t>Actif (princeps Casodex + 5 génériques)</w:t>
            </w:r>
          </w:p>
        </w:tc>
      </w:tr>
      <w:tr>
        <w:tc>
          <w:tcPr>
            <w:tcW w:type="dxa" w:w="1169"/>
          </w:tcPr>
          <w:p>
            <w:r>
              <w:rPr>
                <w:sz w:val="20"/>
              </w:rPr>
              <w:t>**Enzalutamide**</w:t>
            </w:r>
          </w:p>
        </w:tc>
        <w:tc>
          <w:tcPr>
            <w:tcW w:type="dxa" w:w="1169"/>
          </w:tcPr>
          <w:p>
            <w:r>
              <w:rPr>
                <w:sz w:val="20"/>
              </w:rPr>
              <w:t>Anti-androgène 2G</w:t>
            </w:r>
          </w:p>
        </w:tc>
        <w:tc>
          <w:tcPr>
            <w:tcW w:type="dxa" w:w="1169"/>
          </w:tcPr>
          <w:p>
            <w:r>
              <w:rPr>
                <w:sz w:val="20"/>
              </w:rPr>
              <w:t>Triple blocage AR (liaison + translocation + transcription)</w:t>
            </w:r>
          </w:p>
        </w:tc>
        <w:tc>
          <w:tcPr>
            <w:tcW w:type="dxa" w:w="1169"/>
          </w:tcPr>
          <w:p>
            <w:r>
              <w:rPr>
                <w:sz w:val="20"/>
              </w:rPr>
              <w:t>PO, 5,8 j</w:t>
            </w:r>
          </w:p>
        </w:tc>
        <w:tc>
          <w:tcPr>
            <w:tcW w:type="dxa" w:w="1169"/>
          </w:tcPr>
          <w:p>
            <w:r>
              <w:rPr>
                <w:sz w:val="20"/>
              </w:rPr>
              <w:t>CYP2C8 + CYP3A4 ; inducteur CYP3A4/CYP2C9 ; CI warfarine</w:t>
            </w:r>
          </w:p>
        </w:tc>
        <w:tc>
          <w:tcPr>
            <w:tcW w:type="dxa" w:w="1169"/>
          </w:tcPr>
          <w:p>
            <w:r>
              <w:rPr>
                <w:sz w:val="20"/>
              </w:rPr>
              <w:t>Convulsions (0,9 %), fatigue, chutes, fractures, troubles cognitifs</w:t>
            </w:r>
          </w:p>
        </w:tc>
        <w:tc>
          <w:tcPr>
            <w:tcW w:type="dxa" w:w="1169"/>
          </w:tcPr>
          <w:p>
            <w:r>
              <w:rPr>
                <w:sz w:val="20"/>
              </w:rPr>
              <w:t>CPRC pré/post-docétaxel (PREVAIL, AFFIRM), mHNPC (ARCHES)</w:t>
            </w:r>
          </w:p>
        </w:tc>
        <w:tc>
          <w:tcPr>
            <w:tcW w:type="dxa" w:w="1169"/>
          </w:tcPr>
          <w:p>
            <w:r>
              <w:rPr>
                <w:sz w:val="20"/>
              </w:rPr>
              <w:t>Actif (princeps Xtandi 40 mg + générique Xytova 40/80 mg)</w:t>
            </w:r>
          </w:p>
        </w:tc>
      </w:tr>
      <w:tr>
        <w:tc>
          <w:tcPr>
            <w:tcW w:type="dxa" w:w="1169"/>
          </w:tcPr>
          <w:p>
            <w:r>
              <w:rPr>
                <w:sz w:val="20"/>
              </w:rPr>
              <w:t>**Abiratérone**</w:t>
            </w:r>
          </w:p>
        </w:tc>
        <w:tc>
          <w:tcPr>
            <w:tcW w:type="dxa" w:w="1169"/>
          </w:tcPr>
          <w:p>
            <w:r>
              <w:rPr>
                <w:sz w:val="20"/>
              </w:rPr>
              <w:t>Inhibiteur CYP17</w:t>
            </w:r>
          </w:p>
        </w:tc>
        <w:tc>
          <w:tcPr>
            <w:tcW w:type="dxa" w:w="1169"/>
          </w:tcPr>
          <w:p>
            <w:r>
              <w:rPr>
                <w:sz w:val="20"/>
              </w:rPr>
              <w:t>Inhibition irréversible CYP17A1 (blocage androgènes surrénale + tumeur)</w:t>
            </w:r>
          </w:p>
        </w:tc>
        <w:tc>
          <w:tcPr>
            <w:tcW w:type="dxa" w:w="1169"/>
          </w:tcPr>
          <w:p>
            <w:r>
              <w:rPr>
                <w:sz w:val="20"/>
              </w:rPr>
              <w:t>PO, 12–24 h (à jeun strict)</w:t>
            </w:r>
          </w:p>
        </w:tc>
        <w:tc>
          <w:tcPr>
            <w:tcW w:type="dxa" w:w="1169"/>
          </w:tcPr>
          <w:p>
            <w:r>
              <w:rPr>
                <w:sz w:val="20"/>
              </w:rPr>
              <w:t>CYP3A4 ; inhibiteur puissant CYP2D6 + P-gp ; CI digoxine, metoprolol</w:t>
            </w:r>
          </w:p>
        </w:tc>
        <w:tc>
          <w:tcPr>
            <w:tcW w:type="dxa" w:w="1169"/>
          </w:tcPr>
          <w:p>
            <w:r>
              <w:rPr>
                <w:sz w:val="20"/>
              </w:rPr>
              <w:t>Hypokaliémie, HTA, œdèmes (corticoïde surrénalien), hépatotoxicité, fractures</w:t>
            </w:r>
          </w:p>
        </w:tc>
        <w:tc>
          <w:tcPr>
            <w:tcW w:type="dxa" w:w="1169"/>
          </w:tcPr>
          <w:p>
            <w:r>
              <w:rPr>
                <w:sz w:val="20"/>
              </w:rPr>
              <w:t>CPRC (COU-AA-301/302), mHNPC à haut risque (LATITUDE, STAMPEDE) ; + prednisone OBLIGATOIRE</w:t>
            </w:r>
          </w:p>
        </w:tc>
        <w:tc>
          <w:tcPr>
            <w:tcW w:type="dxa" w:w="1169"/>
          </w:tcPr>
          <w:p>
            <w:r>
              <w:rPr>
                <w:sz w:val="20"/>
              </w:rPr>
              <w:t>Actif (6 génériques, princeps Zytiga retiré) ; dosage 500 mg (Abyra)</w:t>
            </w:r>
          </w:p>
        </w:tc>
      </w:tr>
      <w:tr>
        <w:tc>
          <w:tcPr>
            <w:tcW w:type="dxa" w:w="1169"/>
          </w:tcPr>
          <w:p>
            <w:r>
              <w:rPr>
                <w:sz w:val="20"/>
              </w:rPr>
              <w:t>**Agonistes GnRH** (Leuproréline, Goséréline, Triptoréline)</w:t>
            </w:r>
          </w:p>
        </w:tc>
        <w:tc>
          <w:tcPr>
            <w:tcW w:type="dxa" w:w="1169"/>
          </w:tcPr>
          <w:p>
            <w:r>
              <w:rPr>
                <w:sz w:val="20"/>
              </w:rPr>
              <w:t>Agonistes GnRH</w:t>
            </w:r>
          </w:p>
        </w:tc>
        <w:tc>
          <w:tcPr>
            <w:tcW w:type="dxa" w:w="1169"/>
          </w:tcPr>
          <w:p>
            <w:r>
              <w:rPr>
                <w:sz w:val="20"/>
              </w:rPr>
              <w:t>Désensibilisation hypophysaire → castration chimique</w:t>
            </w:r>
          </w:p>
        </w:tc>
        <w:tc>
          <w:tcPr>
            <w:tcW w:type="dxa" w:w="1169"/>
          </w:tcPr>
          <w:p>
            <w:r>
              <w:rPr>
                <w:sz w:val="20"/>
              </w:rPr>
              <w:t>SC/IM, LP 1/3/6 mois</w:t>
            </w:r>
          </w:p>
        </w:tc>
        <w:tc>
          <w:tcPr>
            <w:tcW w:type="dxa" w:w="1169"/>
          </w:tcPr>
          <w:p>
            <w:r>
              <w:rPr>
                <w:sz w:val="20"/>
              </w:rPr>
              <w:t>Peptidases ; profil favorable</w:t>
            </w:r>
          </w:p>
        </w:tc>
        <w:tc>
          <w:tcPr>
            <w:tcW w:type="dxa" w:w="1169"/>
          </w:tcPr>
          <w:p>
            <w:r>
              <w:rPr>
                <w:sz w:val="20"/>
              </w:rPr>
              <w:t>Flare initial, bouffées chaleur, perte libido, ostéoporose, dépression, fractures, CV</w:t>
            </w:r>
          </w:p>
        </w:tc>
        <w:tc>
          <w:tcPr>
            <w:tcW w:type="dxa" w:w="1169"/>
          </w:tcPr>
          <w:p>
            <w:r>
              <w:rPr>
                <w:sz w:val="20"/>
              </w:rPr>
              <w:t>Cancer prostate (tous stades), cancer du sein pré-ménopause (SOFT/TEXT)</w:t>
            </w:r>
          </w:p>
        </w:tc>
        <w:tc>
          <w:tcPr>
            <w:tcW w:type="dxa" w:w="1169"/>
          </w:tcPr>
          <w:p>
            <w:r>
              <w:rPr>
                <w:sz w:val="20"/>
              </w:rPr>
              <w:t>Actif (Decapeptyl, Eligard, Zoladex) ; formulations 1/3/6 mois</w:t>
            </w:r>
          </w:p>
        </w:tc>
      </w:tr>
    </w:tbl>
    <w:p/>
    <w:p>
      <w:pPr>
        <w:pStyle w:val="Heading3"/>
      </w:pPr>
      <w:r>
        <w:t>Récapitulatif des points clés pour la dispensation en officine algérienne</w:t>
      </w:r>
    </w:p>
    <w:p>
      <w:pPr>
        <w:pStyle w:val="ListNumber"/>
      </w:pPr>
      <w:r/>
      <w:r>
        <w:rPr>
          <w:b/>
        </w:rPr>
        <w:t>Tamoxifène</w:t>
      </w:r>
      <w:r>
        <w:t xml:space="preserve"> : vérifier systématiquement l'absence d'association à un inhibiteur du CYP2D6 (paroxétine, fluoxétine, bupropion) — préférer venlafaxine, escitalopram ou gabapentine pour les bouffées de chaleur. Information patient sur le risque de thrombose, de métrorragies post-ménopausiques (consultation gynécologique urgente), de cancer de l'endomètre. Contraception obligatoire (DIU cuivre ou SIU LNG) en pré-ménopause. Densitométrie osseuse inutile (effet agoniste osseux protecteur).</w:t>
      </w:r>
    </w:p>
    <w:p>
      <w:pPr>
        <w:pStyle w:val="ListNumber"/>
      </w:pPr>
      <w:r/>
      <w:r>
        <w:rPr>
          <w:b/>
        </w:rPr>
        <w:t>Inhibiteurs de l'aromatase (Anastrozole, Létrozole, Exemestane)</w:t>
      </w:r>
      <w:r>
        <w:t xml:space="preserve"> : vérifier systématiquement le statut ménopausique avant l'initiation (FSH, estradiol) — CI absolue chez la femme pré-ménopausique non castrée. Densitométrie osseuse initiale systématique et calcium-vitamine D (1000 mg/j + 800 UI/j) systématiques. Switch légitime entre IA en cas d'arthralgies sévères (l'Exemestane stéroïdien peut être mieux toléré). Prise au cours du repas pour l'Exemestane (à l'inverse des IA non stéroïdiens).</w:t>
      </w:r>
    </w:p>
    <w:p>
      <w:pPr>
        <w:pStyle w:val="ListNumber"/>
      </w:pPr>
      <w:r/>
      <w:r>
        <w:rPr>
          <w:b/>
        </w:rPr>
        <w:t>Flutamide</w:t>
      </w:r>
      <w:r>
        <w:t xml:space="preserve"> : retiré du marché algérien — tout patient présentant une ordonnance pour Flutamide doit être orienté vers son oncologue pour switch vers Bicalutamide ou Enzalutamide.</w:t>
      </w:r>
    </w:p>
    <w:p>
      <w:pPr>
        <w:pStyle w:val="ListNumber"/>
      </w:pPr>
      <w:r/>
      <w:r>
        <w:rPr>
          <w:b/>
        </w:rPr>
        <w:t>Bicalutamide</w:t>
      </w:r>
      <w:r>
        <w:t xml:space="preserve"> : surveillance hépatique trimestrielle les 4 premiers mois (transaminases, bilirubine) ; arrêt immédiat si ALAT &gt; 3× LSN. Surveillance ECG (allongement QTc). Éviter l'association à la warfarine (inhibition CYP2C9) — préférer HBPM. Information patient sur la gynécomastie (plus marquée en monothérapie 150 mg).</w:t>
      </w:r>
    </w:p>
    <w:p>
      <w:pPr>
        <w:pStyle w:val="ListNumber"/>
      </w:pPr>
      <w:r/>
      <w:r>
        <w:rPr>
          <w:b/>
        </w:rPr>
        <w:t>Enzalutamide</w:t>
      </w:r>
      <w:r>
        <w:t xml:space="preserve"> : vérifier systématiquement l'absence d'antécédent convulsif ou de lésion cérébrale structurelle avant l'initiation (CI absolue). Surveillance neurologique à chaque consultation (convulsions, fatigue, troubles cognitifs, chutes). Vérifier systématiquement les médicaments concomitants (warfarine CONTRE-INDIQUÉE, inducteurs enzymatiques à éviter). Switch vers Abiratérone en cas de convulsion ou de toxicité neurologique.</w:t>
      </w:r>
    </w:p>
    <w:p>
      <w:pPr>
        <w:pStyle w:val="ListNumber"/>
      </w:pPr>
      <w:r/>
      <w:r>
        <w:rPr>
          <w:b/>
        </w:rPr>
        <w:t>Abiratérone</w:t>
      </w:r>
      <w:r>
        <w:t xml:space="preserve"> : vérifier systématiquement la co-prescription de prednisone 10 mg/j (OBLIGATOIRE) — ne jamais dispenser sans vérifier. Information patient sur la prise À JEUN STRICT (1 heure avant ou 2 heures après un repas) — point central. Surveillance mensuelle kaliémie et transaminases les 3 premiers mois. Éviter l'association à la digoxine (P-gp), au metoprolol (CYP2D6), au pamplemousse (CYP3A4). Switch vers Enzalutamide en cas de toxicité hépatique sévère.</w:t>
      </w:r>
    </w:p>
    <w:p>
      <w:pPr>
        <w:pStyle w:val="ListNumber"/>
      </w:pPr>
      <w:r/>
      <w:r>
        <w:rPr>
          <w:b/>
        </w:rPr>
        <w:t>Agonistes GnRH (Triptoréline, Leuproréline, Goséréline)</w:t>
      </w:r>
      <w:r>
        <w:t xml:space="preserve"> : co-prescription OBLIGATOIRE d'un anti-androgène (Bicalutamide 50 mg/j) 3 jours avant et pendant 2 à 4 semaines après la première injection (protection du flare tumoral). Surveillance testostérone (homme) ou estradiol (femme) à 1 mois (objectif castration). Calcium-vitamine D systématiques. Respect strict de l'intervalle d'administration (mensuel, trimestriel ou semestriel). Chez la femme pré-ménopausique : contraception obligatoire (DIU cuivre ou SIU LNG).</w:t>
      </w:r>
    </w:p>
    <w:p>
      <w:pPr>
        <w:pStyle w:val="Heading2"/>
      </w:pPr>
      <w:r>
        <w:t>Synthèse Pédagogique</w:t>
      </w:r>
    </w:p>
    <w:p>
      <w:pPr>
        <w:pStyle w:val="Heading3"/>
      </w:pPr>
      <w:r>
        <w:t>1. Principes fondamentaux de l'hormonothérapie oncologique</w:t>
      </w:r>
    </w:p>
    <w:p>
      <w:r>
        <w:t xml:space="preserve">L'hormonothérapie oncologique repose sur le concept de la </w:t>
      </w:r>
      <w:r>
        <w:rPr>
          <w:b/>
        </w:rPr>
        <w:t>dépendance hormonale tumorale</w:t>
      </w:r>
      <w:r>
        <w:t xml:space="preserve"> : certaines tumeurs solides, en particulier le cancer du sein (récepteurs des estrogènes ERα, 70 à 80 % des cas) et le cancer de la prostate (récepteur androgénique AR, quasi-totalité des cas), expriment des récepteurs hormonaux qui soutiennent la croissance tumorale en réponse aux estrogènes (sein) ou aux androgènes (prostate). La stratégie pharmacologique consiste à priver la tumeur de son carburant hormonal, soit en bloquant le récepteur (SERM, anti-androgènes), soit en inhibant la synthèse de l'hormone (inhibiteurs de l'aromatase pour les estrogènes post-ménopausiques, inhibiteurs de la CYP17 pour les androgènes surrénaliens et intratumoraux), soit en supprimant la stimulation hypophysaire des gonades (agonistes du GnRH).</w:t>
      </w:r>
    </w:p>
    <w:p>
      <w:pPr>
        <w:pStyle w:val="Heading3"/>
      </w:pPr>
      <w:r>
        <w:t>2. Stratégies mammaires (cancer du sein ER+)</w:t>
      </w:r>
    </w:p>
    <w:p>
      <w:pPr>
        <w:pStyle w:val="ListBullet"/>
      </w:pPr>
      <w:r/>
      <w:r>
        <w:rPr>
          <w:b/>
        </w:rPr>
        <w:t>Femme pré-ménopausique</w:t>
      </w:r>
      <w:r>
        <w:t xml:space="preserve"> : Tamoxifène 20 mg/j pendant 5 à 10 ans (référence) ; en cas de haut risque, association Tamoxifène + agoniste GnRH (protocole SOFT) ou IA + agoniste GnRH (protocole TEXT, supérieur au Tamoxifène seul en survie sans récidive à 8 ans).</w:t>
      </w:r>
    </w:p>
    <w:p>
      <w:pPr>
        <w:pStyle w:val="ListBullet"/>
      </w:pPr>
      <w:r/>
      <w:r>
        <w:rPr>
          <w:b/>
        </w:rPr>
        <w:t>Femme post-ménopausique</w:t>
      </w:r>
      <w:r>
        <w:t xml:space="preserve"> : IA (Anastrozole, Létrozole, Exemestane) en première intention pendant 5 ans, prolongeable à 7 à 10 ans selon le risque (essai MA.17R avec le Létrozole) ; switch après 2 à 5 ans de Tamoxifène en cas d'intolérance ou de contre-indication initiale (essai IES avec l'Exemestane).</w:t>
      </w:r>
    </w:p>
    <w:p>
      <w:pPr>
        <w:pStyle w:val="ListBullet"/>
      </w:pPr>
      <w:r/>
      <w:r>
        <w:rPr>
          <w:b/>
        </w:rPr>
        <w:t>Choix entre IA</w:t>
      </w:r>
      <w:r>
        <w:t xml:space="preserve"> : Anastrozole et Létrozole sont équivalents en efficacité (essais BIG 1-98 et ATAC) ; l'Exemestane stéroïdien peut être mieux toléré sur le plan articulaire (essai MA.27, non confirmé) ; switch légitime en cas d'arthralgies.</w:t>
      </w:r>
    </w:p>
    <w:p>
      <w:pPr>
        <w:pStyle w:val="Heading3"/>
      </w:pPr>
      <w:r>
        <w:t>3. Stratégies prostatiques (cancer de la prostate AR+)</w:t>
      </w:r>
    </w:p>
    <w:p>
      <w:pPr>
        <w:pStyle w:val="ListBullet"/>
      </w:pPr>
      <w:r/>
      <w:r>
        <w:rPr>
          <w:b/>
        </w:rPr>
        <w:t>Cancer localisé à haut risque ou localement avancé</w:t>
      </w:r>
      <w:r>
        <w:t xml:space="preserve"> : agoniste GnRH néoadjuvant (2 à 6 mois) et adjuvant (1 à 3 ans) à la radiothérapie, ou association BAC (GnRH + Bicalutamide 50 mg).</w:t>
      </w:r>
    </w:p>
    <w:p>
      <w:pPr>
        <w:pStyle w:val="ListBullet"/>
      </w:pPr>
      <w:r/>
      <w:r>
        <w:rPr>
          <w:b/>
        </w:rPr>
        <w:t>Cancer métastatique hormono-naïf (mHNPC)</w:t>
      </w:r>
      <w:r>
        <w:t xml:space="preserve"> : agoniste GnRH + Abiratérone + prednisone (essai LATITUDE, mHNPC à haut risque) ou agoniste GnRH + Enzalutamide (essai ARCHES) ou agoniste GnRH + chimiothérapie docétaxel (essai CHAARTED, mHNPC volumineux).</w:t>
      </w:r>
    </w:p>
    <w:p>
      <w:pPr>
        <w:pStyle w:val="ListBullet"/>
      </w:pPr>
      <w:r/>
      <w:r>
        <w:rPr>
          <w:b/>
        </w:rPr>
        <w:t>Cancer métastatique résistant à la castration (mCPRC)</w:t>
      </w:r>
      <w:r>
        <w:t xml:space="preserve"> : Abiratérone + prednisone (essai COU-AA-302 pré-docétaxel, COU-AA-301 post-docétaxel) ou Enzalutamide (essai PREVAIL pré-docétaxel, AFFIRM post-docétaxel) ; chimiothérapie docétaxel (essai TAX-327) ; Radium-223 (métastases osseuses exclusives) ; Olaparib (mutation BRCA).</w:t>
      </w:r>
    </w:p>
    <w:p>
      <w:pPr>
        <w:pStyle w:val="ListBullet"/>
      </w:pPr>
      <w:r/>
      <w:r>
        <w:rPr>
          <w:b/>
        </w:rPr>
        <w:t>Switch Abiratérone ↔ Enzalutamide</w:t>
      </w:r>
      <w:r>
        <w:t xml:space="preserve"> : choix basé sur le profil de tolérance (Abiratérone en cas d'antécédent convulsif ou de lésion cérébrale ; Enzalutamide en cas de CI à la corticothérapie associée ou d'hépatotoxicité sous Abiratérone). En cas de progression sous l'une, switch vers l'autre (efficacité partielle conservée dans 30 à 50 % des cas, résistance croisée incomplète).</w:t>
      </w:r>
    </w:p>
    <w:p>
      <w:pPr>
        <w:pStyle w:val="Heading3"/>
      </w:pPr>
      <w:r>
        <w:t>4. Prévention des toxicités cumulatives</w:t>
      </w:r>
    </w:p>
    <w:p>
      <w:pPr>
        <w:pStyle w:val="ListBullet"/>
      </w:pPr>
      <w:r/>
      <w:r>
        <w:rPr>
          <w:b/>
        </w:rPr>
        <w:t>Ostéoporose des IA et des agonistes GnRH</w:t>
      </w:r>
      <w:r>
        <w:t xml:space="preserve"> : densitométrie osseuse (DEXA) initiale systématique, à 1 an puis tous les 2 ans (ou annuelle si T-score &lt; -1,5) ; calcium-vitamine D (1000 mg/j + 800 UI/j) systématiques ; bisphosphonate (acide zolédronique 4 mg IV/6 mois en oncologie prostatique, alendronate 70 mg/sem en oncologie mammaire) ou denosumab 60 mg SC/6 mois si T-score &lt; -2,5 ou fracture par fragilité.</w:t>
      </w:r>
    </w:p>
    <w:p>
      <w:pPr>
        <w:pStyle w:val="ListBullet"/>
      </w:pPr>
      <w:r/>
      <w:r>
        <w:rPr>
          <w:b/>
        </w:rPr>
        <w:t>Thrombose du Tamoxifène</w:t>
      </w:r>
      <w:r>
        <w:t xml:space="preserve"> : évaluation du risque thrombotique initial (antécédents personnels et familiaux, obésité, varices, immobilisation, tabac) ; arrêt 4 semaines avant chirurgie programmée et 2 semaines après ; switch vers IA si TVP/EP.</w:t>
      </w:r>
    </w:p>
    <w:p>
      <w:pPr>
        <w:pStyle w:val="ListBullet"/>
      </w:pPr>
      <w:r/>
      <w:r>
        <w:rPr>
          <w:b/>
        </w:rPr>
        <w:t>Hépatotoxicité des anti-androgènes</w:t>
      </w:r>
      <w:r>
        <w:t xml:space="preserve"> : surveillance des transaminases (trimestrielle 4 mois puis semestrielle pour Bicalutamide ; mensuelle 4 mois pour Flutamide) ; arrêt immédiat si ALAT &gt; 3× LSN.</w:t>
      </w:r>
    </w:p>
    <w:p>
      <w:pPr>
        <w:pStyle w:val="ListBullet"/>
      </w:pPr>
      <w:r/>
      <w:r>
        <w:rPr>
          <w:b/>
        </w:rPr>
        <w:t>Convulsions de l'Enzalutamide</w:t>
      </w:r>
      <w:r>
        <w:t xml:space="preserve"> : vérifier systématiquement l'absence d'antécédent convulsif ou de lésion cérébrale structurelle avant l'initiation ; switch vers Abiratérone en cas de convulsion.</w:t>
      </w:r>
    </w:p>
    <w:p>
      <w:pPr>
        <w:pStyle w:val="ListBullet"/>
      </w:pPr>
      <w:r/>
      <w:r>
        <w:rPr>
          <w:b/>
        </w:rPr>
        <w:t>Hypokaliémie de l'Abiratérone</w:t>
      </w:r>
      <w:r>
        <w:t xml:space="preserve"> : surveillance mensuelle kaliémie les 3 premiers mois, supplémentation potassique si &lt; 3,5 mmol/L, antagoniste des récepteurs minéralocorticoïdes (spironolactone, éplérénone) en cas d'HTA sévère.</w:t>
      </w:r>
    </w:p>
    <w:p>
      <w:pPr>
        <w:pStyle w:val="Heading3"/>
      </w:pPr>
      <w:r>
        <w:t>5. Interactions médicamenteuses cardinales à mémoriser</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DCI</w:t>
            </w:r>
          </w:p>
        </w:tc>
        <w:tc>
          <w:tcPr>
            <w:tcW w:type="dxa" w:w="2339"/>
          </w:tcPr>
          <w:p>
            <w:r>
              <w:rPr>
                <w:b/>
                <w:sz w:val="20"/>
              </w:rPr>
              <w:t>Interaction cardinale</w:t>
            </w:r>
          </w:p>
        </w:tc>
        <w:tc>
          <w:tcPr>
            <w:tcW w:type="dxa" w:w="2339"/>
          </w:tcPr>
          <w:p>
            <w:r>
              <w:rPr>
                <w:b/>
                <w:sz w:val="20"/>
              </w:rPr>
              <w:t>Conséquence</w:t>
            </w:r>
          </w:p>
        </w:tc>
        <w:tc>
          <w:tcPr>
            <w:tcW w:type="dxa" w:w="2339"/>
          </w:tcPr>
          <w:p>
            <w:r>
              <w:rPr>
                <w:b/>
                <w:sz w:val="20"/>
              </w:rPr>
              <w:t>Conduite à tenir</w:t>
            </w:r>
          </w:p>
        </w:tc>
      </w:tr>
      <w:tr>
        <w:tc>
          <w:tcPr>
            <w:tcW w:type="dxa" w:w="2339"/>
          </w:tcPr>
          <w:p>
            <w:r>
              <w:rPr>
                <w:sz w:val="20"/>
              </w:rPr>
              <w:t>Tamoxifène</w:t>
            </w:r>
          </w:p>
        </w:tc>
        <w:tc>
          <w:tcPr>
            <w:tcW w:type="dxa" w:w="2339"/>
          </w:tcPr>
          <w:p>
            <w:r>
              <w:rPr>
                <w:sz w:val="20"/>
              </w:rPr>
              <w:t>Paroxétine, fluoxétine (CYP2D6)</w:t>
            </w:r>
          </w:p>
        </w:tc>
        <w:tc>
          <w:tcPr>
            <w:tcW w:type="dxa" w:w="2339"/>
          </w:tcPr>
          <w:p>
            <w:r>
              <w:rPr>
                <w:sz w:val="20"/>
              </w:rPr>
              <w:t>Baisse Endoxifène 60 à 80 %, perte d'efficacité</w:t>
            </w:r>
          </w:p>
        </w:tc>
        <w:tc>
          <w:tcPr>
            <w:tcW w:type="dxa" w:w="2339"/>
          </w:tcPr>
          <w:p>
            <w:r>
              <w:rPr>
                <w:sz w:val="20"/>
              </w:rPr>
              <w:t>Switch vers venlafaxine, escitalopram</w:t>
            </w:r>
          </w:p>
        </w:tc>
      </w:tr>
      <w:tr>
        <w:tc>
          <w:tcPr>
            <w:tcW w:type="dxa" w:w="2339"/>
          </w:tcPr>
          <w:p>
            <w:r>
              <w:rPr>
                <w:sz w:val="20"/>
              </w:rPr>
              <w:t>Tamoxifène</w:t>
            </w:r>
          </w:p>
        </w:tc>
        <w:tc>
          <w:tcPr>
            <w:tcW w:type="dxa" w:w="2339"/>
          </w:tcPr>
          <w:p>
            <w:r>
              <w:rPr>
                <w:sz w:val="20"/>
              </w:rPr>
              <w:t>Warfarine</w:t>
            </w:r>
          </w:p>
        </w:tc>
        <w:tc>
          <w:tcPr>
            <w:tcW w:type="dxa" w:w="2339"/>
          </w:tcPr>
          <w:p>
            <w:r>
              <w:rPr>
                <w:sz w:val="20"/>
              </w:rPr>
              <w:t>Potentialisation effet anticoagulant</w:t>
            </w:r>
          </w:p>
        </w:tc>
        <w:tc>
          <w:tcPr>
            <w:tcW w:type="dxa" w:w="2339"/>
          </w:tcPr>
          <w:p>
            <w:r>
              <w:rPr>
                <w:sz w:val="20"/>
              </w:rPr>
              <w:t>Préférer HBPM, surveiller INR</w:t>
            </w:r>
          </w:p>
        </w:tc>
      </w:tr>
      <w:tr>
        <w:tc>
          <w:tcPr>
            <w:tcW w:type="dxa" w:w="2339"/>
          </w:tcPr>
          <w:p>
            <w:r>
              <w:rPr>
                <w:sz w:val="20"/>
              </w:rPr>
              <w:t>Tamoxifène</w:t>
            </w:r>
          </w:p>
        </w:tc>
        <w:tc>
          <w:tcPr>
            <w:tcW w:type="dxa" w:w="2339"/>
          </w:tcPr>
          <w:p>
            <w:r>
              <w:rPr>
                <w:sz w:val="20"/>
              </w:rPr>
              <w:t>Contraception estroprogestative</w:t>
            </w:r>
          </w:p>
        </w:tc>
        <w:tc>
          <w:tcPr>
            <w:tcW w:type="dxa" w:w="2339"/>
          </w:tcPr>
          <w:p>
            <w:r>
              <w:rPr>
                <w:sz w:val="20"/>
              </w:rPr>
              <w:t>Antagonisme pharmacologique</w:t>
            </w:r>
          </w:p>
        </w:tc>
        <w:tc>
          <w:tcPr>
            <w:tcW w:type="dxa" w:w="2339"/>
          </w:tcPr>
          <w:p>
            <w:r>
              <w:rPr>
                <w:sz w:val="20"/>
              </w:rPr>
              <w:t>DIU cuivre ou SIU LNG</w:t>
            </w:r>
          </w:p>
        </w:tc>
      </w:tr>
      <w:tr>
        <w:tc>
          <w:tcPr>
            <w:tcW w:type="dxa" w:w="2339"/>
          </w:tcPr>
          <w:p>
            <w:r>
              <w:rPr>
                <w:sz w:val="20"/>
              </w:rPr>
              <w:t>IA</w:t>
            </w:r>
          </w:p>
        </w:tc>
        <w:tc>
          <w:tcPr>
            <w:tcW w:type="dxa" w:w="2339"/>
          </w:tcPr>
          <w:p>
            <w:r>
              <w:rPr>
                <w:sz w:val="20"/>
              </w:rPr>
              <w:t>Contraception estroprogestative</w:t>
            </w:r>
          </w:p>
        </w:tc>
        <w:tc>
          <w:tcPr>
            <w:tcW w:type="dxa" w:w="2339"/>
          </w:tcPr>
          <w:p>
            <w:r>
              <w:rPr>
                <w:sz w:val="20"/>
              </w:rPr>
              <w:t>Antagonisme</w:t>
            </w:r>
          </w:p>
        </w:tc>
        <w:tc>
          <w:tcPr>
            <w:tcW w:type="dxa" w:w="2339"/>
          </w:tcPr>
          <w:p>
            <w:r>
              <w:rPr>
                <w:sz w:val="20"/>
              </w:rPr>
              <w:t>DIU cuivre ou SIU LNG</w:t>
            </w:r>
          </w:p>
        </w:tc>
      </w:tr>
      <w:tr>
        <w:tc>
          <w:tcPr>
            <w:tcW w:type="dxa" w:w="2339"/>
          </w:tcPr>
          <w:p>
            <w:r>
              <w:rPr>
                <w:sz w:val="20"/>
              </w:rPr>
              <w:t>IA + Tamoxifène</w:t>
            </w:r>
          </w:p>
        </w:tc>
        <w:tc>
          <w:tcPr>
            <w:tcW w:type="dxa" w:w="2339"/>
          </w:tcPr>
          <w:p>
            <w:r>
              <w:rPr>
                <w:sz w:val="20"/>
              </w:rPr>
              <w:t>Association</w:t>
            </w:r>
          </w:p>
        </w:tc>
        <w:tc>
          <w:tcPr>
            <w:tcW w:type="dxa" w:w="2339"/>
          </w:tcPr>
          <w:p>
            <w:r>
              <w:rPr>
                <w:sz w:val="20"/>
              </w:rPr>
              <w:t>Antagonisme pharmacocinétique, infériorité clinique</w:t>
            </w:r>
          </w:p>
        </w:tc>
        <w:tc>
          <w:tcPr>
            <w:tcW w:type="dxa" w:w="2339"/>
          </w:tcPr>
          <w:p>
            <w:r>
              <w:rPr>
                <w:sz w:val="20"/>
              </w:rPr>
              <w:t>Jamais associer</w:t>
            </w:r>
          </w:p>
        </w:tc>
      </w:tr>
      <w:tr>
        <w:tc>
          <w:tcPr>
            <w:tcW w:type="dxa" w:w="2339"/>
          </w:tcPr>
          <w:p>
            <w:r>
              <w:rPr>
                <w:sz w:val="20"/>
              </w:rPr>
              <w:t>Flutamide</w:t>
            </w:r>
          </w:p>
        </w:tc>
        <w:tc>
          <w:tcPr>
            <w:tcW w:type="dxa" w:w="2339"/>
          </w:tcPr>
          <w:p>
            <w:r>
              <w:rPr>
                <w:sz w:val="20"/>
              </w:rPr>
              <w:t>Warfarine (CYP2C9)</w:t>
            </w:r>
          </w:p>
        </w:tc>
        <w:tc>
          <w:tcPr>
            <w:tcW w:type="dxa" w:w="2339"/>
          </w:tcPr>
          <w:p>
            <w:r>
              <w:rPr>
                <w:sz w:val="20"/>
              </w:rPr>
              <w:t>Hémorragie</w:t>
            </w:r>
          </w:p>
        </w:tc>
        <w:tc>
          <w:tcPr>
            <w:tcW w:type="dxa" w:w="2339"/>
          </w:tcPr>
          <w:p>
            <w:r>
              <w:rPr>
                <w:sz w:val="20"/>
              </w:rPr>
              <w:t>Préférer HBPM</w:t>
            </w:r>
          </w:p>
        </w:tc>
      </w:tr>
      <w:tr>
        <w:tc>
          <w:tcPr>
            <w:tcW w:type="dxa" w:w="2339"/>
          </w:tcPr>
          <w:p>
            <w:r>
              <w:rPr>
                <w:sz w:val="20"/>
              </w:rPr>
              <w:t>Bicalutamide</w:t>
            </w:r>
          </w:p>
        </w:tc>
        <w:tc>
          <w:tcPr>
            <w:tcW w:type="dxa" w:w="2339"/>
          </w:tcPr>
          <w:p>
            <w:r>
              <w:rPr>
                <w:sz w:val="20"/>
              </w:rPr>
              <w:t>Terfénadine, cisapride</w:t>
            </w:r>
          </w:p>
        </w:tc>
        <w:tc>
          <w:tcPr>
            <w:tcW w:type="dxa" w:w="2339"/>
          </w:tcPr>
          <w:p>
            <w:r>
              <w:rPr>
                <w:sz w:val="20"/>
              </w:rPr>
              <w:t>Allongement QTc, torsades</w:t>
            </w:r>
          </w:p>
        </w:tc>
        <w:tc>
          <w:tcPr>
            <w:tcW w:type="dxa" w:w="2339"/>
          </w:tcPr>
          <w:p>
            <w:r>
              <w:rPr>
                <w:sz w:val="20"/>
              </w:rPr>
              <w:t>Proscrites</w:t>
            </w:r>
          </w:p>
        </w:tc>
      </w:tr>
      <w:tr>
        <w:tc>
          <w:tcPr>
            <w:tcW w:type="dxa" w:w="2339"/>
          </w:tcPr>
          <w:p>
            <w:r>
              <w:rPr>
                <w:sz w:val="20"/>
              </w:rPr>
              <w:t>Enzalutamide</w:t>
            </w:r>
          </w:p>
        </w:tc>
        <w:tc>
          <w:tcPr>
            <w:tcW w:type="dxa" w:w="2339"/>
          </w:tcPr>
          <w:p>
            <w:r>
              <w:rPr>
                <w:sz w:val="20"/>
              </w:rPr>
              <w:t>Warfarine (induction CYP2C9)</w:t>
            </w:r>
          </w:p>
        </w:tc>
        <w:tc>
          <w:tcPr>
            <w:tcW w:type="dxa" w:w="2339"/>
          </w:tcPr>
          <w:p>
            <w:r>
              <w:rPr>
                <w:sz w:val="20"/>
              </w:rPr>
              <w:t>Thrombose</w:t>
            </w:r>
          </w:p>
        </w:tc>
        <w:tc>
          <w:tcPr>
            <w:tcW w:type="dxa" w:w="2339"/>
          </w:tcPr>
          <w:p>
            <w:r>
              <w:rPr>
                <w:sz w:val="20"/>
              </w:rPr>
              <w:t>HBPM ou AOD</w:t>
            </w:r>
          </w:p>
        </w:tc>
      </w:tr>
      <w:tr>
        <w:tc>
          <w:tcPr>
            <w:tcW w:type="dxa" w:w="2339"/>
          </w:tcPr>
          <w:p>
            <w:r>
              <w:rPr>
                <w:sz w:val="20"/>
              </w:rPr>
              <w:t>Enzalutamide</w:t>
            </w:r>
          </w:p>
        </w:tc>
        <w:tc>
          <w:tcPr>
            <w:tcW w:type="dxa" w:w="2339"/>
          </w:tcPr>
          <w:p>
            <w:r>
              <w:rPr>
                <w:sz w:val="20"/>
              </w:rPr>
              <w:t>Phénytoïne, carbamazépine</w:t>
            </w:r>
          </w:p>
        </w:tc>
        <w:tc>
          <w:tcPr>
            <w:tcW w:type="dxa" w:w="2339"/>
          </w:tcPr>
          <w:p>
            <w:r>
              <w:rPr>
                <w:sz w:val="20"/>
              </w:rPr>
              <w:t>Baisse ASC Enzalutamide</w:t>
            </w:r>
          </w:p>
        </w:tc>
        <w:tc>
          <w:tcPr>
            <w:tcW w:type="dxa" w:w="2339"/>
          </w:tcPr>
          <w:p>
            <w:r>
              <w:rPr>
                <w:sz w:val="20"/>
              </w:rPr>
              <w:t>Préférer lévétiracetam</w:t>
            </w:r>
          </w:p>
        </w:tc>
      </w:tr>
      <w:tr>
        <w:tc>
          <w:tcPr>
            <w:tcW w:type="dxa" w:w="2339"/>
          </w:tcPr>
          <w:p>
            <w:r>
              <w:rPr>
                <w:sz w:val="20"/>
              </w:rPr>
              <w:t>Abiratérone</w:t>
            </w:r>
          </w:p>
        </w:tc>
        <w:tc>
          <w:tcPr>
            <w:tcW w:type="dxa" w:w="2339"/>
          </w:tcPr>
          <w:p>
            <w:r>
              <w:rPr>
                <w:sz w:val="20"/>
              </w:rPr>
              <w:t>Repas riche en graisses</w:t>
            </w:r>
          </w:p>
        </w:tc>
        <w:tc>
          <w:tcPr>
            <w:tcW w:type="dxa" w:w="2339"/>
          </w:tcPr>
          <w:p>
            <w:r>
              <w:rPr>
                <w:sz w:val="20"/>
              </w:rPr>
              <w:t>ASC ×7 à 10, toxicité</w:t>
            </w:r>
          </w:p>
        </w:tc>
        <w:tc>
          <w:tcPr>
            <w:tcW w:type="dxa" w:w="2339"/>
          </w:tcPr>
          <w:p>
            <w:r>
              <w:rPr>
                <w:sz w:val="20"/>
              </w:rPr>
              <w:t>À jeun strict</w:t>
            </w:r>
          </w:p>
        </w:tc>
      </w:tr>
      <w:tr>
        <w:tc>
          <w:tcPr>
            <w:tcW w:type="dxa" w:w="2339"/>
          </w:tcPr>
          <w:p>
            <w:r>
              <w:rPr>
                <w:sz w:val="20"/>
              </w:rPr>
              <w:t>Abiratérone</w:t>
            </w:r>
          </w:p>
        </w:tc>
        <w:tc>
          <w:tcPr>
            <w:tcW w:type="dxa" w:w="2339"/>
          </w:tcPr>
          <w:p>
            <w:r>
              <w:rPr>
                <w:sz w:val="20"/>
              </w:rPr>
              <w:t>Digoxine (P-gp)</w:t>
            </w:r>
          </w:p>
        </w:tc>
        <w:tc>
          <w:tcPr>
            <w:tcW w:type="dxa" w:w="2339"/>
          </w:tcPr>
          <w:p>
            <w:r>
              <w:rPr>
                <w:sz w:val="20"/>
              </w:rPr>
              <w:t>ASC digoxine ×1,5 à 2</w:t>
            </w:r>
          </w:p>
        </w:tc>
        <w:tc>
          <w:tcPr>
            <w:tcW w:type="dxa" w:w="2339"/>
          </w:tcPr>
          <w:p>
            <w:r>
              <w:rPr>
                <w:sz w:val="20"/>
              </w:rPr>
              <w:t>Switch vers bisoprolol</w:t>
            </w:r>
          </w:p>
        </w:tc>
      </w:tr>
      <w:tr>
        <w:tc>
          <w:tcPr>
            <w:tcW w:type="dxa" w:w="2339"/>
          </w:tcPr>
          <w:p>
            <w:r>
              <w:rPr>
                <w:sz w:val="20"/>
              </w:rPr>
              <w:t>Abiratérone</w:t>
            </w:r>
          </w:p>
        </w:tc>
        <w:tc>
          <w:tcPr>
            <w:tcW w:type="dxa" w:w="2339"/>
          </w:tcPr>
          <w:p>
            <w:r>
              <w:rPr>
                <w:sz w:val="20"/>
              </w:rPr>
              <w:t>Metoprolol (CYP2D6)</w:t>
            </w:r>
          </w:p>
        </w:tc>
        <w:tc>
          <w:tcPr>
            <w:tcW w:type="dxa" w:w="2339"/>
          </w:tcPr>
          <w:p>
            <w:r>
              <w:rPr>
                <w:sz w:val="20"/>
              </w:rPr>
              <w:t>Bradycardie, bloc AV</w:t>
            </w:r>
          </w:p>
        </w:tc>
        <w:tc>
          <w:tcPr>
            <w:tcW w:type="dxa" w:w="2339"/>
          </w:tcPr>
          <w:p>
            <w:r>
              <w:rPr>
                <w:sz w:val="20"/>
              </w:rPr>
              <w:t>Switch vers bisoprolol, aténolol</w:t>
            </w:r>
          </w:p>
        </w:tc>
      </w:tr>
      <w:tr>
        <w:tc>
          <w:tcPr>
            <w:tcW w:type="dxa" w:w="2339"/>
          </w:tcPr>
          <w:p>
            <w:r>
              <w:rPr>
                <w:sz w:val="20"/>
              </w:rPr>
              <w:t>Abiratérone</w:t>
            </w:r>
          </w:p>
        </w:tc>
        <w:tc>
          <w:tcPr>
            <w:tcW w:type="dxa" w:w="2339"/>
          </w:tcPr>
          <w:p>
            <w:r>
              <w:rPr>
                <w:sz w:val="20"/>
              </w:rPr>
              <w:t>Pamplemousse (CYP3A4)</w:t>
            </w:r>
          </w:p>
        </w:tc>
        <w:tc>
          <w:tcPr>
            <w:tcW w:type="dxa" w:w="2339"/>
          </w:tcPr>
          <w:p>
            <w:r>
              <w:rPr>
                <w:sz w:val="20"/>
              </w:rPr>
              <w:t>Augmentation ASC</w:t>
            </w:r>
          </w:p>
        </w:tc>
        <w:tc>
          <w:tcPr>
            <w:tcW w:type="dxa" w:w="2339"/>
          </w:tcPr>
          <w:p>
            <w:r>
              <w:rPr>
                <w:sz w:val="20"/>
              </w:rPr>
              <w:t>Proscrit</w:t>
            </w:r>
          </w:p>
        </w:tc>
      </w:tr>
      <w:tr>
        <w:tc>
          <w:tcPr>
            <w:tcW w:type="dxa" w:w="2339"/>
          </w:tcPr>
          <w:p>
            <w:r>
              <w:rPr>
                <w:sz w:val="20"/>
              </w:rPr>
              <w:t>Abiratérone</w:t>
            </w:r>
          </w:p>
        </w:tc>
        <w:tc>
          <w:tcPr>
            <w:tcW w:type="dxa" w:w="2339"/>
          </w:tcPr>
          <w:p>
            <w:r>
              <w:rPr>
                <w:sz w:val="20"/>
              </w:rPr>
              <w:t>Prednisone</w:t>
            </w:r>
          </w:p>
        </w:tc>
        <w:tc>
          <w:tcPr>
            <w:tcW w:type="dxa" w:w="2339"/>
          </w:tcPr>
          <w:p>
            <w:r>
              <w:rPr>
                <w:sz w:val="20"/>
              </w:rPr>
              <w:t>OBLIGATOIRE (prévention cortisol)</w:t>
            </w:r>
          </w:p>
        </w:tc>
        <w:tc>
          <w:tcPr>
            <w:tcW w:type="dxa" w:w="2339"/>
          </w:tcPr>
          <w:p>
            <w:r>
              <w:rPr>
                <w:sz w:val="20"/>
              </w:rPr>
              <w:t>Jamais sans prednisone</w:t>
            </w:r>
          </w:p>
        </w:tc>
      </w:tr>
    </w:tbl>
    <w:p/>
    <w:p>
      <w:pPr>
        <w:pStyle w:val="Heading3"/>
      </w:pPr>
      <w:r>
        <w:t>6. Spécificités du marché algérien</w:t>
      </w:r>
    </w:p>
    <w:p>
      <w:r>
        <w:t>Le marché algérien des hormonothérapies oncologiques se distingue par plusieurs particularités :</w:t>
      </w:r>
    </w:p>
    <w:p>
      <w:pPr>
        <w:pStyle w:val="ListBullet"/>
      </w:pPr>
      <w:r/>
      <w:r>
        <w:rPr>
          <w:b/>
        </w:rPr>
        <w:t>Maturité du marché des génériques</w:t>
      </w:r>
      <w:r>
        <w:t xml:space="preserve"> : la grande majorité des molécules dispose de génériques algériens (Biopharm, Continental Pharm, El Kendi, Democedes, Hikma, Saidal, UPC, Sophal) à coût modeste, garantissant un accès élargi aux soins.</w:t>
      </w:r>
    </w:p>
    <w:p>
      <w:pPr>
        <w:pStyle w:val="ListBullet"/>
      </w:pPr>
      <w:r/>
      <w:r>
        <w:rPr>
          <w:b/>
        </w:rPr>
        <w:t>Disparition des princeps étrangers</w:t>
      </w:r>
      <w:r>
        <w:t xml:space="preserve"> : plusieurs princeps ont été retirés du marché algérien (Femara, Aromasine, Eulexine, Zytiga, Enantone LP), remplacés par des génériques algériens ou des imports génériques (Cinfa, Ebewe, BDR Pharma).</w:t>
      </w:r>
    </w:p>
    <w:p>
      <w:pPr>
        <w:pStyle w:val="ListBullet"/>
      </w:pPr>
      <w:r/>
      <w:r>
        <w:rPr>
          <w:b/>
        </w:rPr>
        <w:t>Disponibilité du dosage 500 mg pour l'Abiratérone</w:t>
      </w:r>
      <w:r>
        <w:t xml:space="preserve"> (Abyra Democedes) et des dosages 40 mg et 80 mg pour l'Enzalutamide (Xytova Hikma), facilitant l'observance par réduction du nombre de comprimés.</w:t>
      </w:r>
    </w:p>
    <w:p>
      <w:pPr>
        <w:pStyle w:val="ListBullet"/>
      </w:pPr>
      <w:r/>
      <w:r>
        <w:rPr>
          <w:b/>
        </w:rPr>
        <w:t>Diversité galénique des agonistes GnRH</w:t>
      </w:r>
      <w:r>
        <w:t xml:space="preserve"> : formulations mensuelles, trimestrielles et semestrielles disponibles, permettant une adaptation fine aux préférences du patient et à la tolérance.</w:t>
      </w:r>
    </w:p>
    <w:p>
      <w:pPr>
        <w:pStyle w:val="ListBullet"/>
      </w:pPr>
      <w:r/>
      <w:r>
        <w:rPr>
          <w:b/>
        </w:rPr>
        <w:t>Flutamide retiré du marché algérien</w:t>
      </w:r>
      <w:r>
        <w:t xml:space="preserve"> : tous les patients historiquement traités par Flutamide doivent avoir été switchés vers Bicalutamide ou Enzalutamide selon le contexte.</w:t>
      </w:r>
    </w:p>
    <w:p>
      <w:pPr>
        <w:pStyle w:val="ListBullet"/>
      </w:pPr>
      <w:r/>
      <w:r>
        <w:rPr>
          <w:b/>
        </w:rPr>
        <w:t>Rôle central du pharmacien d'officine algérien</w:t>
      </w:r>
      <w:r>
        <w:t xml:space="preserve"> : la dispensation des hormonothérapies orales au long cours (Tamoxifène, IA, Bicalutamide, Enzalutamide, Abiratérone) place le pharmacien en position clé d'éducation thérapeutique, de dépistage des effets indésirables chroniques, de prévention des interactions médicamenteuses et de soutien à l'observance.</w:t>
      </w:r>
    </w:p>
    <w:p>
      <w:pPr>
        <w:pStyle w:val="Heading2"/>
      </w:pPr>
      <w:r>
        <w:t>Annexe 107.A — Recommandations pour la pharmacie d'officine algérienne</w:t>
      </w:r>
    </w:p>
    <w:p>
      <w:pPr>
        <w:pStyle w:val="Heading3"/>
      </w:pPr>
      <w:r>
        <w:t>1. Vérification de la prescription et de la traçabilité</w:t>
      </w:r>
    </w:p>
    <w:p>
      <w:pPr>
        <w:pStyle w:val="ListBullet"/>
      </w:pPr>
      <w:r>
        <w:t>Vérifier l'origine hospitalière de la prescription (service d'oncologie médicale ou d'urologie oncologique pour le cancer de la prostate, de sénologie pour le cancer du sein).</w:t>
      </w:r>
    </w:p>
    <w:p>
      <w:pPr>
        <w:pStyle w:val="ListBullet"/>
      </w:pPr>
      <w:r>
        <w:t>Vérifier l'identité du patient, la date de la prescription, la durée de validité (génénement 6 mois).</w:t>
      </w:r>
    </w:p>
    <w:p>
      <w:pPr>
        <w:pStyle w:val="ListBullet"/>
      </w:pPr>
      <w:r>
        <w:t>Vérifier la concordance avec la nomenclature algérienne des médicaments (nom commercial, dosage, conditionnement).</w:t>
      </w:r>
    </w:p>
    <w:p>
      <w:pPr>
        <w:pStyle w:val="ListBullet"/>
      </w:pPr>
      <w:r>
        <w:t>Conserver une copie de la prescription dans le dossier patient.</w:t>
      </w:r>
    </w:p>
    <w:p>
      <w:pPr>
        <w:pStyle w:val="Heading3"/>
      </w:pPr>
      <w:r>
        <w:t>2. Analyse pharmaceutique</w:t>
      </w:r>
    </w:p>
    <w:p>
      <w:pPr>
        <w:pStyle w:val="ListBullet"/>
      </w:pPr>
      <w:r>
        <w:t>Vérifier l'absence de contre-indications (grossesse, allaitement, antécédent convulsif pour Enzalutamide, antécédent thrombotique pour Tamoxifène, allongement QTc pour Bicalutamide, insuffisance hépatique sévère).</w:t>
      </w:r>
    </w:p>
    <w:p>
      <w:pPr>
        <w:pStyle w:val="ListBullet"/>
      </w:pPr>
      <w:r>
        <w:t>Vérifier les interactions médicamenteuses (paroxétine + Tamoxifène, warfarine + Tamoxifène/Flutamide/Bicalutamide/Enzalutamide/Abiratérone, digoxine + Abiratérone, metoprolol + Abiratérone, pamplemousse + Enzalutamide/Abiratérone, prise alimentaire + Abiratérone).</w:t>
      </w:r>
    </w:p>
    <w:p>
      <w:pPr>
        <w:pStyle w:val="ListBullet"/>
      </w:pPr>
      <w:r>
        <w:t>Vérifier la co-prescription de la prednisone 10 mg/j pour l'Abiratérone.</w:t>
      </w:r>
    </w:p>
    <w:p>
      <w:pPr>
        <w:pStyle w:val="ListBullet"/>
      </w:pPr>
      <w:r>
        <w:t>Vérifier la co-prescription du Bicalutamide 50 mg/j pendant 2 à 4 semaines pour la protection du flare tumoral lors de l'initiation d'un agoniste GnRH.</w:t>
      </w:r>
    </w:p>
    <w:p>
      <w:pPr>
        <w:pStyle w:val="ListBullet"/>
      </w:pPr>
      <w:r>
        <w:t>Vérifier la prescription systématique de calcium-vitamine D pour les IA et les agonistes GnRH.</w:t>
      </w:r>
    </w:p>
    <w:p>
      <w:pPr>
        <w:pStyle w:val="Heading3"/>
      </w:pPr>
      <w:r>
        <w:t>3. Conseil au patient et éducation thérapeutique</w:t>
      </w:r>
    </w:p>
    <w:p>
      <w:pPr>
        <w:pStyle w:val="ListBullet"/>
      </w:pPr>
      <w:r>
        <w:t>Expliquer le mécanisme d'action du traitement (blocage hormonal de la tumeur).</w:t>
      </w:r>
    </w:p>
    <w:p>
      <w:pPr>
        <w:pStyle w:val="ListBullet"/>
      </w:pPr>
      <w:r>
        <w:t>Rappeler les conditions de prise (à jeun strict pour Abiratérone, au cours du repas pour Exemestane, à heure fixe pour Tamoxifène, IA non stéroïdiens, Bicalutamide, Enzalutamide).</w:t>
      </w:r>
    </w:p>
    <w:p>
      <w:pPr>
        <w:pStyle w:val="ListBullet"/>
      </w:pPr>
      <w:r>
        <w:t>Décrire les effets indésirables les plus fréquents et leur gestion (bouffées de chaleur, arthralgies, fatigue, troubles cognitifs).</w:t>
      </w:r>
    </w:p>
    <w:p>
      <w:pPr>
        <w:pStyle w:val="ListBullet"/>
      </w:pPr>
      <w:r>
        <w:t>Rappeler les signes d'alerte nécessitant une consultation médicale immédiate (jaunisse, urines foncées, douleurs abdominales intenses pour hépatotoxicité ; convulsions, faiblesse musculaire pour Enzalutamide ; saignement vaginal pour Tamoxifène ; faiblesse, palpitations, œdèmes pour Abiratérone ; douleurs osseuses intenses, faiblesse des jambes pour flare tumoral des agonistes GnRH).</w:t>
      </w:r>
    </w:p>
    <w:p>
      <w:pPr>
        <w:pStyle w:val="ListBullet"/>
      </w:pPr>
      <w:r>
        <w:t>Rappeler l'importance de l'observance (prise à heure fixe, calendrier d'administration, ne jamais interrompre sans avis médical).</w:t>
      </w:r>
    </w:p>
    <w:p>
      <w:pPr>
        <w:pStyle w:val="ListBullet"/>
      </w:pPr>
      <w:r>
        <w:t>Évoquer la contraception obligatoire chez la femme en âge de procréer (DIU cuivre ou SIU LNG).</w:t>
      </w:r>
    </w:p>
    <w:p>
      <w:pPr>
        <w:pStyle w:val="Heading3"/>
      </w:pPr>
      <w:r>
        <w:t>4. Suivi et coordination avec le prescripteur hospitalier</w:t>
      </w:r>
    </w:p>
    <w:p>
      <w:pPr>
        <w:pStyle w:val="ListBullet"/>
      </w:pPr>
      <w:r>
        <w:t>Tenir un dossier pharmaceutique patient (DPP) mentionnant les hormonothérapies dispensées, les dates de dispensation, les effets indésirables rapportés, les interactions médicamenteuses identifiées.</w:t>
      </w:r>
    </w:p>
    <w:p>
      <w:pPr>
        <w:pStyle w:val="ListBullet"/>
      </w:pPr>
      <w:r>
        <w:t>Contacter le prescripteur hospitalier en cas d'effet indésirable grave, d'interaction médicamenteuse majeure, de difficulté d'observance, ou de modification du traitement concomitant.</w:t>
      </w:r>
    </w:p>
    <w:p>
      <w:pPr>
        <w:pStyle w:val="ListBullet"/>
      </w:pPr>
      <w:r>
        <w:t>Communiquer au prescripteur hospitalier les éléments d'observance et de tolérance recueillis en officine.</w:t>
      </w:r>
    </w:p>
    <w:p>
      <w:pPr>
        <w:pStyle w:val="Heading3"/>
      </w:pPr>
      <w:r>
        <w:t>5. Prévention des interactions médicamenteuses</w:t>
      </w:r>
    </w:p>
    <w:p>
      <w:pPr>
        <w:pStyle w:val="ListBullet"/>
      </w:pPr>
      <w:r>
        <w:t>Vérifier systématiquement les prescriptions concomitantes (antihypertenseurs, anticoagulants, hypoglycémiants, antidépresseurs, antibiotiques, antifongiques, antirétroviraux, antiépileptiques).</w:t>
      </w:r>
    </w:p>
    <w:p>
      <w:pPr>
        <w:pStyle w:val="ListBullet"/>
      </w:pPr>
      <w:r>
        <w:t>Déconseiller l'automédication (en particulier les produits contenant du millepertuis, du pamplemousse, ou des inhibiteurs/inducteurs enzymatiques).</w:t>
      </w:r>
    </w:p>
    <w:p>
      <w:pPr>
        <w:pStyle w:val="ListBullet"/>
      </w:pPr>
      <w:r>
        <w:t>Conseiller une contraception efficace chez la femme en âge de procréer.</w:t>
      </w:r>
    </w:p>
    <w:p>
      <w:pPr>
        <w:pStyle w:val="Heading3"/>
      </w:pPr>
      <w:r>
        <w:t>6. Soutien psychologique et social</w:t>
      </w:r>
    </w:p>
    <w:p>
      <w:pPr>
        <w:pStyle w:val="ListBullet"/>
      </w:pPr>
      <w:r>
        <w:t>Reconnaître l'impact psychologique du diagnostic de cancer et du traitement au long cours (anxiété, dépression, isolement social, altération de la qualité de vie, sexualité).</w:t>
      </w:r>
    </w:p>
    <w:p>
      <w:pPr>
        <w:pStyle w:val="ListBullet"/>
      </w:pPr>
      <w:r>
        <w:t>Orienter vers les associations de patients (Ligue nationale de lutte contre le cancer, Algérie) et les structures de soutien psychologique.</w:t>
      </w:r>
    </w:p>
    <w:p>
      <w:pPr>
        <w:pStyle w:val="ListBullet"/>
      </w:pPr>
      <w:r>
        <w:t>Évaluer l'impact financier du traitement (les hormonothérapies orales de 2e génération — Enzalutamide, Abiratérone — sont coûteuses, la couverture sociale est variable) et orienter vers les dispositifs d'aide sociale.</w:t>
      </w:r>
    </w:p>
    <w:p>
      <w:pPr>
        <w:pStyle w:val="Heading2"/>
      </w:pPr>
      <w:r>
        <w:t>Annexe 107.B — Spécificités du sujet âgé (≥ 75 ans)</w:t>
      </w:r>
    </w:p>
    <w:p>
      <w:r>
        <w:t>L'hormonothérapie oncologique chez le sujet âgé présente plusieurs particularités qui justifient une attention pharmaceutique renforcée :</w:t>
      </w:r>
    </w:p>
    <w:p>
      <w:pPr>
        <w:pStyle w:val="ListNumber"/>
      </w:pPr>
      <w:r/>
      <w:r>
        <w:rPr>
          <w:b/>
        </w:rPr>
        <w:t>Évaluation gériatrique oncologique (EGO)</w:t>
      </w:r>
      <w:r>
        <w:t xml:space="preserve"> : recommandée avant l'initiation de tout traitement hormonal oncologique chez le sujet âgé fragile ou vulnérable (autonomie ADL/IADL, comorbidités, état nutritionnel, état cognitif Mini-Mental State Examination ou MoCA, état thymique, environnement social). Les patients autonomes sans comorbidité significative peuvent recevoir le traitement standard ; les patients fragiles nécessitent une adaptation posologique et un suivi rapproché.</w:t>
      </w:r>
    </w:p>
    <w:p>
      <w:pPr>
        <w:pStyle w:val="ListNumber"/>
      </w:pPr>
      <w:r/>
      <w:r>
        <w:rPr>
          <w:b/>
        </w:rPr>
        <w:t>Préférence pour les IA non stéroïdiens ou le Tamoxifène en post-ménopause</w:t>
      </w:r>
      <w:r>
        <w:t xml:space="preserve"> : le risque thrombotique du Tamoxifène est accru chez la femme âgée (incidence annuelle 1 à 2 %) — préférer un IA si la patiente est post-ménopausique.</w:t>
      </w:r>
    </w:p>
    <w:p>
      <w:pPr>
        <w:pStyle w:val="ListNumber"/>
      </w:pPr>
      <w:r/>
      <w:r>
        <w:rPr>
          <w:b/>
        </w:rPr>
        <w:t>Surveillance osseuse renforcée</w:t>
      </w:r>
      <w:r>
        <w:t xml:space="preserve"> : le sujet âgé est à risque accru d'ostéoporose et de fractures (sarcopénie, dénutrition, sédentarité) ; densitométrie annuelle sous IA ou agoniste GnRH, calcium-vitamine D systématique, bisphosphonate ou denosumab si T-score &lt; -2,5 ou fracture par fragilité.</w:t>
      </w:r>
    </w:p>
    <w:p>
      <w:pPr>
        <w:pStyle w:val="ListNumber"/>
      </w:pPr>
      <w:r/>
      <w:r>
        <w:rPr>
          <w:b/>
        </w:rPr>
        <w:t>Surveillance cardiovasculaire renforcée</w:t>
      </w:r>
      <w:r>
        <w:t xml:space="preserve"> : le sujet âgé est à risque accru d'événements cardiovasculaires (HTA, troubles du rythme, insuffisance cardiaque, événements thrombotiques) sous agonistes GnRH, Abiratérone, Enzalutamide, Tamoxifène — évaluation cardiovasculaire complète avant initiation et surveillance rapprochée.</w:t>
      </w:r>
    </w:p>
    <w:p>
      <w:pPr>
        <w:pStyle w:val="ListNumber"/>
      </w:pPr>
      <w:r/>
      <w:r>
        <w:rPr>
          <w:b/>
        </w:rPr>
        <w:t>Risque d'interactions médicamenteuses majoré</w:t>
      </w:r>
      <w:r>
        <w:t xml:space="preserve"> : la polymédication fréquente chez le sujet âgé (antihypertenseurs, anticoagulants, hypoglycémiants, antidépresseurs, antiarythmiques) expose à un risque accru d'interactions médicamenteuses (CYP3A4, CYP2D6, P-gp, allongement du QTc). La vérification systématique des médicaments concomitants avant initiation est obligatoire.</w:t>
      </w:r>
    </w:p>
    <w:p>
      <w:pPr>
        <w:pStyle w:val="ListNumber"/>
      </w:pPr>
      <w:r/>
      <w:r>
        <w:rPr>
          <w:b/>
        </w:rPr>
        <w:t>Risque de chutes</w:t>
      </w:r>
      <w:r>
        <w:t xml:space="preserve"> : les troubles cognitifs (Enzalutamide), la fatigue (tous), l'hypotension orthostatique et les cytopénies exposent à un risque accru de chutes, justifiant une évaluation de la marche et de l'équilibre avant initiation (Get-Up-and-Go test).</w:t>
      </w:r>
    </w:p>
    <w:p>
      <w:pPr>
        <w:pStyle w:val="ListNumber"/>
      </w:pPr>
      <w:r/>
      <w:r>
        <w:rPr>
          <w:b/>
        </w:rPr>
        <w:t>Tolérance digestive</w:t>
      </w:r>
      <w:r>
        <w:t xml:space="preserve"> : la diarrhée (Flutamide, Bicalutamide, Abiratérone) peut entraîner une déshydratation et une insuffisance rénale fonctionnelle chez le sujet âgé, justifiant une surveillance rapprochée du poids, de la pression artérielle et de la fonction rénale.</w:t>
      </w:r>
    </w:p>
    <w:p>
      <w:pPr>
        <w:pStyle w:val="ListNumber"/>
      </w:pPr>
      <w:r/>
      <w:r>
        <w:rPr>
          <w:b/>
        </w:rPr>
        <w:t>Risque d'observance défaillante</w:t>
      </w:r>
      <w:r>
        <w:t xml:space="preserve"> : la polymédication et la complexité des schémas posologiques (prises multiples, contraintes alimentaires) exposent à un risque d'observance défaillante — privilégier les formulations à prise unique quotidienne (Bicalutamide, Enzalutamide, Abiratérone, Tamoxifène, IA non stéroïdiens) et les formulations trimestrielles ou semestrielles pour les agonistes GnRH.</w:t>
      </w:r>
    </w:p>
    <w:p>
      <w:pPr>
        <w:pStyle w:val="ListNumber"/>
      </w:pPr>
      <w:r/>
      <w:r>
        <w:rPr>
          <w:b/>
        </w:rPr>
        <w:t>Préférence pour les formes galéniques adaptées</w:t>
      </w:r>
      <w:r>
        <w:t xml:space="preserve"> : capsule molle (Xtandi) pour les patients dysphagiques ; comprimé pelliculé pour les patients présentant des troubles de la déglutition ; dosage 500 mg pour l'Abiratérone (2 comprimés au lieu de 4) ; formulations semestrielles pour les agonistes GnRH (Eligard 45 mg/6 mois).</w:t>
      </w:r>
    </w:p>
    <w:p>
      <w:pPr>
        <w:pStyle w:val="ListNumber"/>
      </w:pPr>
      <w:r/>
      <w:r>
        <w:rPr>
          <w:b/>
        </w:rPr>
        <w:t>Information de l'aidant</w:t>
      </w:r>
      <w:r>
        <w:t xml:space="preserve"> : chez les patients dépendants ou présentant des troubles cognitifs, l'information et l'éducation thérapeutique doivent également concerner l'aidant familial (conjoint, enfant) qui assure la gestion quotidienne du traitement.</w:t>
      </w:r>
    </w:p>
    <w:p>
      <w:pPr>
        <w:pStyle w:val="Heading2"/>
      </w:pPr>
      <w:r>
        <w:t>Annexe 107.C — Cas cliniques pédagogiques</w:t>
      </w:r>
    </w:p>
    <w:p>
      <w:pPr>
        <w:pStyle w:val="Heading3"/>
      </w:pPr>
      <w:r>
        <w:t>Cas clinique 1 : Tamoxifène et bouffées de chaleur</w:t>
      </w:r>
    </w:p>
    <w:p>
      <w:r/>
      <w:r>
        <w:rPr>
          <w:b/>
        </w:rPr>
        <w:t>Patiente</w:t>
      </w:r>
      <w:r>
        <w:t xml:space="preserve"> : 48 ans, cancer du sein droit infiltrant canalaire RH+ HER2- pT2N1M0 (IIB), traité par mastectomie + curage axillaire + chimiothérapie adjuvante FEC100-Taxol. Hormonothérapie adjuvante initiée : Tamoxifène 20 mg/j depuis 3 mois. La patiente consulte son pharmacien d'officine pour bouffées de chaleur sévères (10 à 15 par jour, sueurs nocturnes, insomnie, asthénie marquée). Son médecin généraliste a prescrit de la paroxétine 20 mg/j il y a 2 semaines.</w:t>
      </w:r>
    </w:p>
    <w:p>
      <w:r/>
      <w:r>
        <w:rPr>
          <w:b/>
        </w:rPr>
        <w:t>Analyse pharmaceutique</w:t>
      </w:r>
      <w:r>
        <w:t xml:space="preserve"> :</w:t>
      </w:r>
    </w:p>
    <w:p>
      <w:pPr>
        <w:pStyle w:val="ListBullet"/>
      </w:pPr>
      <w:r>
        <w:t>Le Tamoxifène est un substrat du CYP2D6 qui active le Tamoxifène en Endoxifène (métabolite actif principal).</w:t>
      </w:r>
    </w:p>
    <w:p>
      <w:pPr>
        <w:pStyle w:val="ListBullet"/>
      </w:pPr>
      <w:r>
        <w:t>La paroxétine est un inhibiteur puissant du CYP2D6 — l'association Tamoxifène + paroxétine est CONTRE-INDIQUÉE (réduction de l'Endoxifène de 60 à 80 %, perte d'efficacité thérapeutique).</w:t>
      </w:r>
    </w:p>
    <w:p>
      <w:r/>
      <w:r>
        <w:rPr>
          <w:b/>
        </w:rPr>
        <w:t>Conduite à tenir</w:t>
      </w:r>
      <w:r>
        <w:t xml:space="preserve"> :</w:t>
      </w:r>
    </w:p>
    <w:p>
      <w:pPr>
        <w:pStyle w:val="ListBullet"/>
      </w:pPr>
      <w:r>
        <w:t>Contacter le médecin généraliste pour lui signaler l'interaction contre-indiquée.</w:t>
      </w:r>
    </w:p>
    <w:p>
      <w:pPr>
        <w:pStyle w:val="ListBullet"/>
      </w:pPr>
      <w:r>
        <w:t>Proposer un switch vers la venlafaxine 37,5 à 75 mg/j (faible inhibiteur du CYP2D6), alternative de choix pour les bouffées de chaleur sous Tamoxifène.</w:t>
      </w:r>
    </w:p>
    <w:p>
      <w:pPr>
        <w:pStyle w:val="ListBullet"/>
      </w:pPr>
      <w:r>
        <w:t>Autres alternatives : gabapentine 300 mg × 3/j, escitalopram 10 mg/j, citalopram 20 mg/j, mirtazapine 15 à 30 mg/j.</w:t>
      </w:r>
    </w:p>
    <w:p>
      <w:pPr>
        <w:pStyle w:val="ListBullet"/>
      </w:pPr>
      <w:r>
        <w:t>Information patient : « La paroxétine que vous prenez actuellement diminue l'efficacité de votre Tamoxifène en bloquant sa transformation dans le foie. Votre médecin va vous prescrire un autre médicament (venlafaxine) qui n'a pas cet inconvénient et qui traitera efficacement vos bouffées de chaleur. »</w:t>
      </w:r>
    </w:p>
    <w:p>
      <w:pPr>
        <w:pStyle w:val="ListBullet"/>
      </w:pPr>
      <w:r>
        <w:t>Suivi rapproché à 1 mois : évaluation de l'efficacité de la venlafaxine sur les bouffées de chaleur et de la tolérance.</w:t>
      </w:r>
    </w:p>
    <w:p>
      <w:pPr>
        <w:pStyle w:val="Heading3"/>
      </w:pPr>
      <w:r>
        <w:t>Cas clinique 2 : Abiratérone et hypokaliémie</w:t>
      </w:r>
    </w:p>
    <w:p>
      <w:r/>
      <w:r>
        <w:rPr>
          <w:b/>
        </w:rPr>
        <w:t>Patient</w:t>
      </w:r>
      <w:r>
        <w:t xml:space="preserve"> : 72 ans, cancer de la prostate métastatique osseux (Gleason 9, PSA 150 ng/mL), traité par agoniste GnRH (Decapeptyl LP 11,25 mg/3 mois) depuis 6 mois. Progression biologique (PSA 280 ng/mL), introduction d'Abiratérone 1000 mg/j + prednisone 10 mg/j il y a 1 mois. Bilan biologique de contrôle : kaliémie 2,8 mmol/L (N : 3,5–5,0), ASAT 85 UI/L (N : &lt; 35), ALAT 105 UI/L (N : &lt; 45), pression artérielle 165/95 mmHg (vs 130/80 mmHg avant initiation).</w:t>
      </w:r>
    </w:p>
    <w:p>
      <w:r/>
      <w:r>
        <w:rPr>
          <w:b/>
        </w:rPr>
        <w:t>Analyse pharmaceutique</w:t>
      </w:r>
      <w:r>
        <w:t xml:space="preserve"> :</w:t>
      </w:r>
    </w:p>
    <w:p>
      <w:pPr>
        <w:pStyle w:val="ListBullet"/>
      </w:pPr>
      <w:r>
        <w:t>L'Abiratérone inhibe la CYP17A1, ce qui bloque non seulement la synthèse des androgènes (effet recherché) mais aussi celle du cortisol surrénalien. La baisse du cortisol induit une levée du rétrocontrôle négatif hypothalamique, stimulant l'ACTH qui à son tour stimule la surrénale et entraîne une accumulation des précurseurs en amont du bloc enzymatique (11-déoxycorticostérone, DOC — minéralocorticoïde puissant).</w:t>
      </w:r>
    </w:p>
    <w:p>
      <w:pPr>
        <w:pStyle w:val="ListBullet"/>
      </w:pPr>
      <w:r>
        <w:t>Cette double toxicité minéralocorticoïde (hypokaliémie, HTA, rétention hydrosodée) est attendue chez 30 à 40 % des patients — l'association à la prednisone 10 mg/j restaure le rétrocontrôle négatif et prévient cette toxicité, mais de manière incomplète.</w:t>
      </w:r>
    </w:p>
    <w:p>
      <w:pPr>
        <w:pStyle w:val="ListBullet"/>
      </w:pPr>
      <w:r>
        <w:t>L'hépatotoxicité cytolytique est un effet indésirable fréquent de l'Abiratérone (5 à 10 % de cytolyse modérée, 0,5 à 1 % de cytolyse sévère).</w:t>
      </w:r>
    </w:p>
    <w:p>
      <w:r/>
      <w:r>
        <w:rPr>
          <w:b/>
        </w:rPr>
        <w:t>Conduite à tenir</w:t>
      </w:r>
      <w:r>
        <w:t xml:space="preserve"> :</w:t>
      </w:r>
    </w:p>
    <w:p>
      <w:pPr>
        <w:pStyle w:val="ListBullet"/>
      </w:pPr>
      <w:r>
        <w:t>Le patient présente une hypokaliémie sévère (2,8 mmol/L) et une HTA (165/95 mmHg) avec cytolyse hépatique modérée (ALAT ×2,4 LSN).</w:t>
      </w:r>
    </w:p>
    <w:p>
      <w:pPr>
        <w:pStyle w:val="ListBullet"/>
      </w:pPr>
      <w:r>
        <w:t>Supplémentation potassique immédiate : KCl 600 mg × 4/j per os (soit 64 mmol/j de potassium), surveillance biologique à 48 heures (objectif kaliémie &gt; 3,5 mmol/L).</w:t>
      </w:r>
    </w:p>
    <w:p>
      <w:pPr>
        <w:pStyle w:val="ListBullet"/>
      </w:pPr>
      <w:r>
        <w:t>Introduction d'un antagoniste des récepteurs minéralocorticoïdes : spironolactone 50 mg/j (efficace sur l'HTA et l'hypokaliémie de l'Abiratérone) ou éplérénone 50 mg/j (alternative, moins d'effets anti-androgéniques).</w:t>
      </w:r>
    </w:p>
    <w:p>
      <w:pPr>
        <w:pStyle w:val="ListBullet"/>
      </w:pPr>
      <w:r>
        <w:t>Surveillance des transaminases à 1 semaine (objectif stabilisation ou baisse) ; si ALAT &gt; 5× LSN, interruption temporaire de l'Abiratérone.</w:t>
      </w:r>
    </w:p>
    <w:p>
      <w:pPr>
        <w:pStyle w:val="ListBullet"/>
      </w:pPr>
      <w:r>
        <w:t>Contrôle de la pression artérielle à domicile (automesure), introduction d'un antihypertenseur si nécessaire (préférer inhibiteur de l'enzyme de conversion ou antagoniste des récepteurs de l'angiotensine II).</w:t>
      </w:r>
    </w:p>
    <w:p>
      <w:pPr>
        <w:pStyle w:val="ListBullet"/>
      </w:pPr>
      <w:r>
        <w:t>Information patient : « Votre traitement par Abiratérone bloque la production de cortisol par vos glandes surrénales, ce qui entraîne une baisse du potassium et une hypertension. Nous allons vous donner un supplément de potassium et un diurétique (spironolactone) pour corriger cela. Une surveillance sanguine régulière est nécessaire. »</w:t>
      </w:r>
    </w:p>
    <w:p>
      <w:pPr>
        <w:pStyle w:val="ListBullet"/>
      </w:pPr>
      <w:r>
        <w:t>Suivi à 1 mois : kaliémie, ASAT/ALAT, pression artérielle — si contrôle insuffisant, discussion d'une adaptation posologique de l'Abiratérone à 750 mg/j (3 comprimés) ou de la prednisone à 15 mg/j.</w:t>
      </w:r>
    </w:p>
    <w:p>
      <w:pPr>
        <w:pStyle w:val="Heading3"/>
      </w:pPr>
      <w:r>
        <w:t>Cas clinique 3 : Enzalutamide et convulsion</w:t>
      </w:r>
    </w:p>
    <w:p>
      <w:r/>
      <w:r>
        <w:rPr>
          <w:b/>
        </w:rPr>
        <w:t>Patient</w:t>
      </w:r>
      <w:r>
        <w:t xml:space="preserve"> : 68 ans, cancer de la prostate métastatique résistant à la castration (mCPRC), traité par Enzalutamide 160 mg/j + agoniste GnRH (Eligard 22,5 mg/3 mois) depuis 4 mois. Le patient a été admis aux urgences pour une crise convulsive tonicoclonique généralisée, sans antécédent d'épilepsie mais avec métastases cérébrales récemment diagnostiquées (2 lésions fronto-pariétales).</w:t>
      </w:r>
    </w:p>
    <w:p>
      <w:r/>
      <w:r>
        <w:rPr>
          <w:b/>
        </w:rPr>
        <w:t>Analyse pharmaceutique</w:t>
      </w:r>
      <w:r>
        <w:t xml:space="preserve"> :</w:t>
      </w:r>
    </w:p>
    <w:p>
      <w:pPr>
        <w:pStyle w:val="ListBullet"/>
      </w:pPr>
      <w:r>
        <w:t>L'Enzalutamide traverse la barrière hémato-encéphalique et interagit avec le récepteur GABA-A, abaissant le seuil épileptogène.</w:t>
      </w:r>
    </w:p>
    <w:p>
      <w:pPr>
        <w:pStyle w:val="ListBullet"/>
      </w:pPr>
      <w:r>
        <w:t>L'incidence des convulsions sous Enzalutamide est de 0,9 % dans les essais pivots (versus 0 % sous placebo), avec un risque majoré en cas d'antécédent convulsif ou de lésion cérébrale structurelle (métastases cérébrales, traumatisme crânien, AVC ischémique étendu).</w:t>
      </w:r>
    </w:p>
    <w:p>
      <w:pPr>
        <w:pStyle w:val="ListBullet"/>
      </w:pPr>
      <w:r>
        <w:t>La présence de métastases cérébrales contre-indiquait l'initiation de l'Enzalutamide (CI absolue).</w:t>
      </w:r>
    </w:p>
    <w:p>
      <w:r/>
      <w:r>
        <w:rPr>
          <w:b/>
        </w:rPr>
        <w:t>Conduite à tenir</w:t>
      </w:r>
      <w:r>
        <w:t xml:space="preserve"> :</w:t>
      </w:r>
    </w:p>
    <w:p>
      <w:pPr>
        <w:pStyle w:val="ListBullet"/>
      </w:pPr>
      <w:r>
        <w:t>ARRÊT IMMÉDIAT et DÉFINITIF de l'Enzalutamide (à vie — l'Enzalutamide ne doit jamais être réintroduit après une convulsion).</w:t>
      </w:r>
    </w:p>
    <w:p>
      <w:pPr>
        <w:pStyle w:val="ListBullet"/>
      </w:pPr>
      <w:r>
        <w:t>Bilan neurologique spécialisé : EEG, IRM cérébrale avec spectroscopie, consultation neuro-oncologique.</w:t>
      </w:r>
    </w:p>
    <w:p>
      <w:pPr>
        <w:pStyle w:val="ListBullet"/>
      </w:pPr>
      <w:r>
        <w:t>Switch vers l'Abiratérone + prednisone (absence de risque convulsif) ou vers la chimiothérapie docétaxel (selon l'état général et la progression tumorale).</w:t>
      </w:r>
    </w:p>
    <w:p>
      <w:pPr>
        <w:pStyle w:val="ListBullet"/>
      </w:pPr>
      <w:r>
        <w:t>Introduction d'un traitement antiépileptique (lévétiracetam 500 mg × 2/j, sans interaction notable avec les hormonothérapies).</w:t>
      </w:r>
    </w:p>
    <w:p>
      <w:pPr>
        <w:pStyle w:val="ListBullet"/>
      </w:pPr>
      <w:r>
        <w:t>Information patient : « Votre traitement par Enzalutamide traverse la barrière cérébrale et a favorisé la survenue de la convulsion. Votre médecin va vous prescrire un autre traitement (Abiratérone) qui n'a pas cet effet, et un médicament antiépileptique pour prévenir de nouvelles convulsions. »</w:t>
      </w:r>
    </w:p>
    <w:p>
      <w:pPr>
        <w:pStyle w:val="ListBullet"/>
      </w:pPr>
      <w:r>
        <w:t>Coordination avec l'oncologue référent pour le switch thérapeutique.</w:t>
      </w:r>
    </w:p>
    <w:p>
      <w:pPr>
        <w:pStyle w:val="Heading2"/>
      </w:pPr>
      <w:r>
        <w:t>Annexe 107.D — Sources principales et recommandations</w:t>
      </w:r>
    </w:p>
    <w:p>
      <w:r>
        <w:t>Les informations présentées dans ce chapitre reposent sur les sources institutionnelles et académiques suivantes :</w:t>
      </w:r>
    </w:p>
    <w:p>
      <w:pPr>
        <w:pStyle w:val="ListNumber"/>
      </w:pPr>
      <w:r/>
      <w:r>
        <w:rPr>
          <w:b/>
        </w:rPr>
        <w:t>VIDAL 2024</w:t>
      </w:r>
      <w:r>
        <w:t xml:space="preserve"> : base de données française du dictionnaire Vidal des spécialités pharmaceutiques (RCP officiels, posologies, interactions médicamenteuses, contre-indications).</w:t>
      </w:r>
    </w:p>
    <w:p>
      <w:pPr>
        <w:pStyle w:val="ListNumber"/>
      </w:pPr>
      <w:r/>
      <w:r>
        <w:rPr>
          <w:b/>
        </w:rPr>
        <w:t>ANSM (Agence Nationale de Sécurité du Médicament et des Produits de Santé)</w:t>
      </w:r>
      <w:r>
        <w:t xml:space="preserve"> : Résumés des Caractéristiques du Produit (RCP) officiels, avis de la Commission de la Transparence, mises en garde et précautions d'emploi.</w:t>
      </w:r>
    </w:p>
    <w:p>
      <w:pPr>
        <w:pStyle w:val="ListNumber"/>
      </w:pPr>
      <w:r/>
      <w:r>
        <w:rPr>
          <w:b/>
        </w:rPr>
        <w:t>Thériaque</w:t>
      </w:r>
      <w:r>
        <w:t xml:space="preserve"> : base de données française indépendante d'information sur le médicament (interactions médicamenteuses, contre-indications, effets indésirables).</w:t>
      </w:r>
    </w:p>
    <w:p>
      <w:pPr>
        <w:pStyle w:val="ListNumber"/>
      </w:pPr>
      <w:r/>
      <w:r>
        <w:rPr>
          <w:b/>
        </w:rPr>
        <w:t>CRAT (Centre de Renseignement sur les Agents Tératogènes)</w:t>
      </w:r>
      <w:r>
        <w:t xml:space="preserve"> : recommandations sur la prescription des médicaments pendant la grossesse et l'allaitement.</w:t>
      </w:r>
    </w:p>
    <w:p>
      <w:pPr>
        <w:pStyle w:val="ListNumber"/>
      </w:pPr>
      <w:r/>
      <w:r>
        <w:rPr>
          <w:b/>
        </w:rPr>
        <w:t>NCCN Clinical Practice Guidelines in Oncology</w:t>
      </w:r>
      <w:r>
        <w:t xml:space="preserve"> : recommandations américaines de la National Comprehensive Cancer Network pour la prise en charge des cancers du sein et de la prostate (versions 2024).</w:t>
      </w:r>
    </w:p>
    <w:p>
      <w:pPr>
        <w:pStyle w:val="ListNumber"/>
      </w:pPr>
      <w:r/>
      <w:r>
        <w:rPr>
          <w:b/>
        </w:rPr>
        <w:t>UpToDate</w:t>
      </w:r>
      <w:r>
        <w:t xml:space="preserve"> : base de données internationale d'information médicale actualisée (sections Breast Cancer, Prostate Cancer, Hormonal Therapy).</w:t>
      </w:r>
    </w:p>
    <w:p>
      <w:pPr>
        <w:pStyle w:val="ListNumber"/>
      </w:pPr>
      <w:r/>
      <w:r>
        <w:rPr>
          <w:b/>
        </w:rPr>
        <w:t>ESMO Clinical Practice Guidelines</w:t>
      </w:r>
      <w:r>
        <w:t xml:space="preserve"> : recommandations européennes de la European Society for Medical Oncology (Early Breast Cancer, Metastatic Breast Cancer, Prostate Cancer).</w:t>
      </w:r>
    </w:p>
    <w:p>
      <w:pPr>
        <w:pStyle w:val="ListNumber"/>
      </w:pPr>
      <w:r/>
      <w:r>
        <w:rPr>
          <w:b/>
        </w:rPr>
        <w:t>EBCTCG (Early Breast Cancer Trialists' Collaborative Group)</w:t>
      </w:r>
      <w:r>
        <w:t xml:space="preserve"> : méta-analyses historiques des essais adjuvants mammaires (Lancet 2011, 2015 — Tamoxifène 5 ans vs 10 ans).</w:t>
      </w:r>
    </w:p>
    <w:p>
      <w:pPr>
        <w:pStyle w:val="ListNumber"/>
      </w:pPr>
      <w:r/>
      <w:r>
        <w:rPr>
          <w:b/>
        </w:rPr>
        <w:t>EAU (European Association of Urology)</w:t>
      </w:r>
      <w:r>
        <w:t xml:space="preserve"> : recommandations européennes pour la prise en charge du cancer de la prostate (versions 2024).</w:t>
      </w:r>
    </w:p>
    <w:p>
      <w:pPr>
        <w:pStyle w:val="ListNumber"/>
      </w:pPr>
      <w:r/>
      <w:r>
        <w:rPr>
          <w:b/>
        </w:rPr>
        <w:t>Nomenclature algérienne des médicaments</w:t>
      </w:r>
      <w:r>
        <w:t xml:space="preserve"> : Avril 2026, Ministère de la Santé algérien (spécialités disponibles, statut ACTIF/NON RENOUVELABLE/RETRAIT, laboratoires, conditionnements).</w:t>
      </w:r>
    </w:p>
    <w:p>
      <w:pPr>
        <w:pStyle w:val="Heading2"/>
      </w:pPr>
      <w:r>
        <w:t>Conclusion du chapitre 107</w:t>
      </w:r>
    </w:p>
    <w:p>
      <w:r>
        <w:t>L'hormonothérapie oncologique représente, plus de 120 ans après les travaux pionniers de Beatson sur l'ovariectomie, l'un des piliers de la prise en charge des cancers hormonosensibles (sein et prostate). L'arsenal thérapeutique algérien, avec ses neuf DCIs réparties en six sous-classes pharmacologiques, couvre l'ensemble du spectre de l'hormonodépendance tumorale : blocage du récepteur (Tamoxifène, anti-androgènes), inhibition de la synthèse périphérique (IA), inhibition de la synthèse surrénalienne et intratumorale (Abiratérone), suppression de l'axe hypophysaire (agonistes GnRH). Les thérapeutiques de 2e génération (Enzalutamide, Abiratérone) ont transformé le pronostic du cancer de la prostate résistant à la castration, avec un bénéfice en survie globale de 4 à 5 mois en moyenne et une qualité de vie préservée.</w:t>
      </w:r>
    </w:p>
    <w:p>
      <w:r>
        <w:t>Le pharmacien d'officine algérien occupe une place centrale dans la dispensation et le suivi de ces traitements au long cours (5 à 10 ans pour le cancer du sein, à vie pour le cancer de la prostate métastatique). Sa mission d'éducation thérapeutique, de prévention des interactions médicamenteuses (paroxétine + Tamoxifène, warfarine + Enzalutamide, digoxine + Abiratérone, prise alimentaire + Abiratérone), de dépistage des effets indésirables chroniques (ostéoporose des IA et des agonistes GnRH, thrombose du Tamoxifène, convulsions de l'Enzalutamide, hypokaliémie de l'Abiratérone), et de soutien à l'observance est essentielle pour optimiser le rapport bénéfice/risque de ces traitements.</w:t>
      </w:r>
    </w:p>
    <w:p>
      <w:r>
        <w:t>L'avenir de l'hormonothérapie oncologique s'oriente vers le développement de nouvelles classes : inhibiteurs oraux de la CYP17 sélectifs (Orteronel, retiré du développement), inhibiteurs de la 5α-réductase de type 3 (à venir), PROTACs (Proteolysis Targeting Chimeras) dirigés contre le récepteur androgénique (ARV-110, en essai), sélecteurs de dégradation du récepteur des estrogènes (en développement préclinique). L'intégration de l'hormonothérapie à l'immunothérapie (inhibiteurs de PD-1/PD-L1 en combinaison avec l'Enzalutamide ou l'Abiratérone dans le mCPRC, essais KEYNOTE-199, IPATential150) et aux thérapies ciblées (inhibiteurs de PARP en association à l'Enzalutamide ou l'Abiratérone en cas de mutation BRCA1/2 ou de mutation génique de recombinaison homologue, essais PROfound, PROpel, MAGNITUDE) ouvre de nouvelles perspectives thérapeutiques dans la décennie 2024-2034. Le pharmacien algérien devra s'adapter à cette évolution rapide en maintenant une formation continue sur les nouvelles molécules, leurs profils d'effets indésirables et leurs interactions médicamenteuses.</w:t>
      </w:r>
    </w:p>
    <w:p>
      <w:r/>
      <w:r>
        <w:rPr>
          <w:i/>
        </w:rPr>
        <w:t>Sources principales : VIDAL 2024, ANSM (RCP officiels), Thériaque, CRAT (Centre de Renseignement sur les Agents Tératogènes), NCCN Clinical Practice Guidelines in Oncology 2024, UpToDate, ESMO Clinical Practice Guidelines, EAU Guidelines 2024, EBCTCG meta-analyses (Lancet 2011, 2015), Nomenclature algérienne des médicaments Avril 2026.</w:t>
      </w:r>
      <w:r/>
    </w:p>
    <w:p>
      <w:r/>
      <w:r>
        <w:rPr>
          <w:i/>
        </w:rPr>
        <w:t>Fin du chapitre 107</w:t>
      </w:r>
      <w:r/>
    </w:p>
    <w:p>
      <w:pPr>
        <w:pStyle w:val="Heading1"/>
      </w:pPr>
      <w:r>
        <w:t>Fascicule XII — Oncologie / Chimiothérapies diverses</w:t>
      </w:r>
    </w:p>
    <w:p>
      <w:pPr>
        <w:pStyle w:val="Heading2"/>
      </w:pPr>
      <w:r>
        <w:t>Chapitre 108 — Enzymes antitumorales (Asparaginase), Différenciation cellulaire (Acide rétinoïque — ATRA/isotrétinoïne), Cytokines antitumorales (Interféron alpha)</w:t>
      </w:r>
    </w:p>
    <w:p>
      <w:pPr>
        <w:pStyle w:val="Heading2"/>
      </w:pPr>
      <w:r>
        <w:t>Introduction du Chapitre 108</w:t>
      </w:r>
    </w:p>
    <w:p>
      <w:r>
        <w:t xml:space="preserve">Le présent chapitre clôt le Fascicule XII consacré à l'Oncologie médicale. Il rassemble trois familles pharmacologiques hétéroclites mais conceptuellement apparentées — les </w:t>
      </w:r>
      <w:r>
        <w:rPr>
          <w:b/>
        </w:rPr>
        <w:t>enzymes antitumorales</w:t>
      </w:r>
      <w:r>
        <w:t xml:space="preserve">, les </w:t>
      </w:r>
      <w:r>
        <w:rPr>
          <w:b/>
        </w:rPr>
        <w:t>agents de différenciation cellulaire</w:t>
      </w:r>
      <w:r>
        <w:t xml:space="preserve"> et les </w:t>
      </w:r>
      <w:r>
        <w:rPr>
          <w:b/>
        </w:rPr>
        <w:t>cytokines antitumorales</w:t>
      </w:r>
      <w:r>
        <w:t xml:space="preserve"> — dont le point commun essentiel est d'échapper au cadre strict des cytotoxiques classiques (alkylants, antimétabolites, poisons du fuseau, topoisomérases) et d'illustrer trois voies thérapeutiques originales qui ont marqué, chacune à sa manière, l'histoire de l'oncologie moderne : la privation métabolique enzymatique, la reprogrammation transcriptionnelle du phénotype tumoral et l'immuno-modulation cytokinique.</w:t>
      </w:r>
    </w:p>
    <w:p>
      <w:r>
        <w:t xml:space="preserve">Les </w:t>
      </w:r>
      <w:r>
        <w:rPr>
          <w:b/>
        </w:rPr>
        <w:t>enzymes antitumorales</w:t>
      </w:r>
      <w:r>
        <w:t xml:space="preserve"> tirent parti d'une vulnerability métabolique propre à certaines lignées lymphoïdes malignes : les cellules leucémiques lymphoblastiques sont incapables de synthétiser l'acide aminé asparagine (déficience en asparagine synthétase) et dépendent exclusivement de l'asparagine circulante. L'administration d'une enzyme bactérienne, la L-asparaginase (E.C. 3.5.1.1), hydrolysant l'asparagine plasmatique en acide aspartique et ammoniac, prive sélectivement les blastes lymphoïdes de leur nutriment indispensable, induisant apoptose et arrêt de prolifération. Cette stratégie, conceptualisée par John D. Broome dès 1961 (Broome JD, </w:t>
      </w:r>
      <w:r>
        <w:rPr>
          <w:i/>
        </w:rPr>
        <w:t>J Exp Med</w:t>
      </w:r>
      <w:r>
        <w:t xml:space="preserve"> 1963 ; 118 : 99-120) et confirmée en clinique par l'équipe d'Herbert Abelson au National Cancer Institute à partir de 1966, a constitué l'une des premières démonstrations que la cellule tumorale pouvait être ciblée par sa dépendance métabolique plutôt que par sa prolifération. La L-asparaginase extraite d'</w:t>
      </w:r>
      <w:r>
        <w:rPr>
          <w:i/>
        </w:rPr>
        <w:t>Escherichia coli</w:t>
      </w:r>
      <w:r>
        <w:t xml:space="preserve"> (Kidrolase®, EUSA Pharma) — et plus tardivement sa forme pégylée (pegaspargase, Oncaspar®, Actavis/SHIRE, non disponible en Algérie) ainsi que l'asparaginase d'</w:t>
      </w:r>
      <w:r>
        <w:rPr>
          <w:i/>
        </w:rPr>
        <w:t>Erwinia chrysanthemi</w:t>
      </w:r>
      <w:r>
        <w:t xml:space="preserve"> (Erwinaze®, Porton Bioremediation, alternative en cas d'hypersensibilité) — demeure une pierre angulaire des protocoles de leucémie aiguë lymphoblastique (LAL) de l'enfant et de l'adulte jeune, où elle contribue significativement à l'obtention des taux de guérison dépassant 90 % chez l'enfant standard-risk.</w:t>
      </w:r>
    </w:p>
    <w:p>
      <w:r>
        <w:t xml:space="preserve">Les </w:t>
      </w:r>
      <w:r>
        <w:rPr>
          <w:b/>
        </w:rPr>
        <w:t>agents de différenciation cellulaire</w:t>
      </w:r>
      <w:r>
        <w:t xml:space="preserve"> ouvrent une voie radicalement différente : plutôt que de chercher à tuer la cellule tumorale par toxicité directe, ils visent à la reprogrammer transcriptionnellement afin de restaurer un phénotype mature et non prolifératif. Le chef de file de cette approche est l'</w:t>
      </w:r>
      <w:r>
        <w:rPr>
          <w:b/>
        </w:rPr>
        <w:t>acide tout-trans-rétinoïque (ATRA, tretinoin)</w:t>
      </w:r>
      <w:r>
        <w:t xml:space="preserve">, un métabolite actif de la vitamine A (rétinol) qui se lie aux récepteurs nucléaires de type RAR (Retinoic Acid Receptor), notamment l'isoforme RARα, dont le gène est transloqué dans la leucémie aiguë promyélocytaire (LAP) par la translocation t(15;17)(q22;q21) fusionnant RARα avec la protéine PML (Promyelocytic Leukaemia). L'ATRA restaure la fonction du récepteur de transcription et permet aux promyélocytes bloqués au stade blastique de reprendre leur maturation vers le polynucléaire neutrophile, transformant une leucémie autrefois fatale en quelques semaines (par coagulation intravasculaire disséminée [CIVD] et hémorragie cérébrale) en une maladie curable dans près de 90 % des cas. Cette révolution thérapeutique — attribuée aux travaux de Zhen-Yi Wang et Zhu Chen à l'Institut de Shanghai à partir de 1985, et validée en Occident à partir de 1991 (Degos L, </w:t>
      </w:r>
      <w:r>
        <w:rPr>
          <w:i/>
        </w:rPr>
        <w:t>N Engl J Med</w:t>
      </w:r>
      <w:r>
        <w:t xml:space="preserve"> 1995) — a été récompensée en 2018 par le prix Albert-Lasker pour la recherche médicale clinique. L'</w:t>
      </w:r>
      <w:r>
        <w:rPr>
          <w:b/>
        </w:rPr>
        <w:t>isotrétinoïne (13-cis-rétinoïque, ATRA naturel)</w:t>
      </w:r>
      <w:r>
        <w:t xml:space="preserve">, isomère de l'ATRA, partage la capacité de différenciation mais surtout l'activité contre le neuroblastome à haut risque en consolidation post-chimiothérapie (essai COG ANBL0532, Matthay KK, </w:t>
      </w:r>
      <w:r>
        <w:rPr>
          <w:i/>
        </w:rPr>
        <w:t>N Engl J Med</w:t>
      </w:r>
      <w:r>
        <w:t xml:space="preserve"> 2009). Elle est également le traitement de référence de l'acné sévère nodulo-kystique réfractaire (indication dermatologique), mais cette dernière utilisation a été marquée par sa tératogénicité majeure (syndrome rétinoïde fœtal : anomalies cranio-faciales, cardiovasculaires, thymiques et neurologiques) qui a justifié la mise en place, à l'échelle internationale, des programmes de prévention de grossesse sous traitement (programme iPLEDGE aux États-Unis, PPP européen) — stricte prescription hospitalo-universitaire, double contraception obligatoire, tests de grossesse sériés.</w:t>
      </w:r>
    </w:p>
    <w:p>
      <w:r>
        <w:t xml:space="preserve">Les </w:t>
      </w:r>
      <w:r>
        <w:rPr>
          <w:b/>
        </w:rPr>
        <w:t>cytokines antitumorales</w:t>
      </w:r>
      <w:r>
        <w:t xml:space="preserve"> représentent la troisième voie. Les interférons (IFN) — découverts en 1957 par Isaacs et Lindenmann comme des protéines antivirales induites par les cellules infectées par les virus — ont été les premières cytokines thérapeutiques disponibles en oncologie, à la suite des travaux de clonage moléculaire ( génération recombinante E. coli) des années 1980 (interféron alpha-2a = Roferon-A®, Roche ; interféron alpha-2b = IntronA®, Schering-Plough). Les interférons de type I (IFN-α et IFN-β) se lient au récepteur IFNAR1/IFNAR2, activent la voie de signalisation JAK-STAT (Janus kinase-signal transducer and activator of transcription) — notamment STAT1/STAT2 — et induisent l'expression de centaines de gènes dits « interferon-stimulated genes » (ISGs) impliqués dans (i) l'inhibition de la réplication virale (2′-5′-oligoadénylate synthase, RNase L, PKR), (ii) l'arrêt de la prolifération cellulaire (induction de p21, inhibition de c-Myc, régulation négative du cycle cellulaire), (iii) l'apoptose (Fas, TRAIL), et (iv) l'immuno-modulation (augmentation de la présentation antigénique CMH I, activation NK et cytotoxique T). L'IFN-α a longtemps dominé le traitement de l'hairy cell leukemia (leucémie à tricholeucocytes, rémissions complètes dans 80 % des cas avec IFN-α 2 MU/m² × 3/semaine), du lymphome cutané T épidermotrope (mycosis fongoïde, syndrome de Sézary), du carcinome rénal métastatique (essai Motzer, </w:t>
      </w:r>
      <w:r>
        <w:rPr>
          <w:i/>
        </w:rPr>
        <w:t>J Clin Oncol</w:t>
      </w:r>
      <w:r>
        <w:t xml:space="preserve"> 2002 — supplanté depuis 2005 par les ITK anti-angiogéniques et depuis 2018 par les inhibiteurs de checkpoint immunitaire), du mélanome métastatique (essai Kirkwood ECOG 1684 — supplanté depuis 2011 par les anti-CTLA-4 ipilimumab et anti-PD-1 pembrolizumab/nivolumab), et de la leucémie myéloïde chronique (LMC) en phase chronique (essai Italian CML Study Group 1998 — supplantée par l'imatinib depuis 2001). En hématologie, l'IFN-α conserve une place dans la maladie de Vaquez (polyglobulie primitive, MPN-RC essai 2013), la thrombocythémie essentielle (essai PT-1 2005), la LMC de la femme enceinte (alternative à l'imatinib tératogène — Kinzig-Schippers, </w:t>
      </w:r>
      <w:r>
        <w:rPr>
          <w:i/>
        </w:rPr>
        <w:t>Nat Clin Pract Oncol</w:t>
      </w:r>
      <w:r>
        <w:t xml:space="preserve"> 2008) et la maladie de Behçet sévère avec atteinte ophtalmique ou neurologique. En hépatologie, l'IFN-α pégylé (peg-IFN-α 2a = Pegasys®, Roche ; peg-IFN-α 2b = ViraferonPeg®, Schering-Plough) reste un traitement de référence de l'hépatite chronique B (HBeAg positif ou négatif) et de l'hépatite chronique C (en association avec la ribavirine puis, de 2011 à 2018, avec les antiprotéases de 1re et 2e génération télaprévir/bocéprévir/siméprévir/paritaprévir — supplantées depuis 2014-2018 par les antiviraux à action directe [AAD] sofosbuvir/ledipasvir/daclatasvir qui ont transformé l'hCV en maladie curable en 12 semaines). La place de l'IFN-α en oncologie s'est donc progressivement réduite au profit de thérapeutiques plus modernes et mieux tolérées, mais il conserve un rôle irremplaçable dans certaines indications de niche et représente le prototype historique de l'immunothérapie anticancéreuse, ouvrant la voie aux inhibiteurs de checkpoint immunitaire (CTLA-4, PD-1/PD-L1) qui dominent aujourd'hui le paysang oncologique.</w:t>
      </w:r>
    </w:p>
    <w:p>
      <w:r>
        <w:t xml:space="preserve">Ce chapitre aborde successivement ces trois sous-classes, avec un focus particulier sur les </w:t>
      </w:r>
      <w:r>
        <w:rPr>
          <w:b/>
        </w:rPr>
        <w:t>effets indésirables critiques</w:t>
      </w:r>
      <w:r>
        <w:t xml:space="preserve"> qui justifient une surveillance rapprochée et une coordination étroite pharmacien-oncologue-hématologue : (i) pour l'asparaginase — le risque </w:t>
      </w:r>
      <w:r>
        <w:rPr>
          <w:b/>
        </w:rPr>
        <w:t>anaphylactique</w:t>
      </w:r>
      <w:r>
        <w:t xml:space="preserve"> sévère (10-30 % sous E. coli native), la </w:t>
      </w:r>
      <w:r>
        <w:rPr>
          <w:b/>
        </w:rPr>
        <w:t>coagulopathie</w:t>
      </w:r>
      <w:r>
        <w:t xml:space="preserve"> (baisse synthèse fibrinogène, AT-III, facteurs IX, X — thromboses veineuses et hémorragies), la </w:t>
      </w:r>
      <w:r>
        <w:rPr>
          <w:b/>
        </w:rPr>
        <w:t>pancréatite aiguë</w:t>
      </w:r>
      <w:r>
        <w:t xml:space="preserve"> (5-10 %, potentiellement fatale), l'</w:t>
      </w:r>
      <w:r>
        <w:rPr>
          <w:b/>
        </w:rPr>
        <w:t>hépatotoxicité</w:t>
      </w:r>
      <w:r>
        <w:t xml:space="preserve"> (cytolyse, stéatose), et la </w:t>
      </w:r>
      <w:r>
        <w:rPr>
          <w:b/>
        </w:rPr>
        <w:t>neurotoxicité</w:t>
      </w:r>
      <w:r>
        <w:t xml:space="preserve"> (encéphalopathie, parfois confusion postérieure réversible) ; (ii) pour l'ATRA — le </w:t>
      </w:r>
      <w:r>
        <w:rPr>
          <w:b/>
        </w:rPr>
        <w:t>syndrome de différenciation rétinoïque</w:t>
      </w:r>
      <w:r>
        <w:t xml:space="preserve"> (fébricule, dyspnée, œdèmes pulmonaires, insuffisance rénale, hypotension — 10-25 % sans dexaméthasone prophylactique, mortalité 5-10 %), l'</w:t>
      </w:r>
      <w:r>
        <w:rPr>
          <w:b/>
        </w:rPr>
        <w:t>hyperleucocytose</w:t>
      </w:r>
      <w:r>
        <w:t xml:space="preserve"> (par mobilisation des promyélocytes différenciés — risque de leucostase), la </w:t>
      </w:r>
      <w:r>
        <w:rPr>
          <w:b/>
        </w:rPr>
        <w:t>pseudo-tumeur cérébrale</w:t>
      </w:r>
      <w:r>
        <w:t xml:space="preserve"> (hypertension intracrânienne bénigne), et la tératogénicité absolue ; (iii) pour l'IFN-α — la </w:t>
      </w:r>
      <w:r>
        <w:rPr>
          <w:b/>
        </w:rPr>
        <w:t>dépression</w:t>
      </w:r>
      <w:r>
        <w:t xml:space="preserve"> (jusqu'à 30-40 % des patients, idées suicidaires possibles — surveillance psychiatrique obligatoire), la </w:t>
      </w:r>
      <w:r>
        <w:rPr>
          <w:b/>
        </w:rPr>
        <w:t>dysthyroïdie</w:t>
      </w:r>
      <w:r>
        <w:t xml:space="preserve"> (hypothyroïdie 5-15 %, hyperthyroïdie 5 %, auto-immunisation), la </w:t>
      </w:r>
      <w:r>
        <w:rPr>
          <w:b/>
        </w:rPr>
        <w:t>cytopénie</w:t>
      </w:r>
      <w:r>
        <w:t xml:space="preserve"> (leucopénie, thrombopénie, anémie), les </w:t>
      </w:r>
      <w:r>
        <w:rPr>
          <w:b/>
        </w:rPr>
        <w:t>troubles auto-immuns</w:t>
      </w:r>
      <w:r>
        <w:t xml:space="preserve"> (lupus, psoriasis démasqué, vitiligo, diabète type 1), la </w:t>
      </w:r>
      <w:r>
        <w:rPr>
          <w:b/>
        </w:rPr>
        <w:t>cardiotoxicité</w:t>
      </w:r>
      <w:r>
        <w:t xml:space="preserve"> (ischémie myocardique, trouble du rythme), et les </w:t>
      </w:r>
      <w:r>
        <w:rPr>
          <w:b/>
        </w:rPr>
        <w:t>syndromes neuropsychiatriques</w:t>
      </w:r>
      <w:r>
        <w:t xml:space="preserve"> (fatigue chronique sévère, syndrome pseudo-grippal).</w:t>
      </w:r>
    </w:p>
    <w:p>
      <w:r>
        <w:t xml:space="preserve">En Algérie, ces trois DCIs sont distribuées exclusivement via le circuit hospitalier spécialisé (services d'oncologie médicale, d'hématologie clinique et de pédiatrie oncologique des Centres Anti-Cancéreux Pierre et Marie Curie d'Alger, EPH CAC Oran, EHU Constantine, EPH Bachir Mentouri, ainsi que les services de dermatologie, d'hépatologie et d'ophtalmologie pour les indications hors oncologie). Le pharmacien d'officine intervient principalement en délivrance d'accompagnement (antalgiques, antiémétiques, pansements pour syndrome main-pied de l'ATRA, laxatifs, anticoagulants pour l'asparaginase), en conseil patient (observance de l'isotrétinoïne et double contraception stricte, surveillance thyroïdienne de l'IFN-α, surveillance glycémique pancréatique de l'asparaginase), et en vigilance interactions (interactions pharmacocinétiques et pharmacodynamiques — notamment atorvastatine + IFN-α potentialisation hépatotoxicité, vitamine A + isotrétinoïne = risque d'hypervitaminose A, vaccins vivants contre-indiqués sous IFN-α). Le présent chapitre est organisé selon la structure classique des chapitres précédents : trois sous-classes introductives (108.1, 108.2, 108.3) suivies chacune d'une fiche détaillée par DCI (12 sous-sections obligatoires : Liste des Catégories → Médicaments disponibles Algérie en TABLE → Sous-classe/Mécanisme → Profil Pharmacologique et Indications → Contre-indications/Précautions → Effets Indésirables → Prévention et Gestion des EI → Interactions → Grossesse et Allaitement CRAT → Posologie et Mode d'administration → Arbitrage et Bénéfices des Formes Galéniques → Instructions et Conseils au Patient → Notes/Règles d'Or/Pièges au Comptoir). Un </w:t>
      </w:r>
      <w:r>
        <w:rPr>
          <w:b/>
        </w:rPr>
        <w:t>tableau comparatif synoptique</w:t>
      </w:r>
      <w:r>
        <w:t xml:space="preserve"> des trois DCIs (section 108.4) et une </w:t>
      </w:r>
      <w:r>
        <w:rPr>
          <w:b/>
        </w:rPr>
        <w:t>synthèse pédagogique</w:t>
      </w:r>
      <w:r>
        <w:t xml:space="preserve"> (section 108.5) clôturent le chapitre, qui constitue à la fois la clôture du Fascicule XII et le point de bascule vers le Fascicule XIII (Hormonothérapies anticancéreuses).</w:t>
      </w:r>
    </w:p>
    <w:p>
      <w:r>
        <w:t xml:space="preserve">Sources principales mobilisées pour l'ensemble du chapitre : </w:t>
      </w:r>
      <w:r>
        <w:rPr>
          <w:b/>
        </w:rPr>
        <w:t>VIDAL 2026</w:t>
      </w:r>
      <w:r>
        <w:t xml:space="preserve"> (Répertoire des Spécialités Pharmaceutiques), </w:t>
      </w:r>
      <w:r>
        <w:rPr>
          <w:b/>
        </w:rPr>
        <w:t>ANSM</w:t>
      </w:r>
      <w:r>
        <w:t xml:space="preserve"> (Résumé des Caractéristiques du Produit — RCP officiels), </w:t>
      </w:r>
      <w:r>
        <w:rPr>
          <w:b/>
        </w:rPr>
        <w:t>Thériaque</w:t>
      </w:r>
      <w:r>
        <w:t xml:space="preserve"> (banque de données française sur les médicaments), </w:t>
      </w:r>
      <w:r>
        <w:rPr>
          <w:b/>
        </w:rPr>
        <w:t>CRAT</w:t>
      </w:r>
      <w:r>
        <w:t xml:space="preserve"> (Centre de Renseignement sur les Agents Tératogènes — Hôpital Armand-Trousseau, Paris), </w:t>
      </w:r>
      <w:r>
        <w:rPr>
          <w:b/>
        </w:rPr>
        <w:t>NCCN Clinical Practice Guidelines in Oncology 2024-2025</w:t>
      </w:r>
      <w:r>
        <w:t xml:space="preserve"> (National Comprehensive Cancer Network — États-Unis), </w:t>
      </w:r>
      <w:r>
        <w:rPr>
          <w:b/>
        </w:rPr>
        <w:t>UpToDate</w:t>
      </w:r>
      <w:r>
        <w:t xml:space="preserve"> (chapitres « Acute lymphoblastic leukemia in children », « Acute promyelocytic leukemia », « Hairy cell leukemia », « Hepatitis B », « Hepatitis C »), </w:t>
      </w:r>
      <w:r>
        <w:rPr>
          <w:b/>
        </w:rPr>
        <w:t>ESMO Clinical Practice Guidelines 2023-2024</w:t>
      </w:r>
      <w:r>
        <w:t xml:space="preserve"> (European Society for Medical Oncology), </w:t>
      </w:r>
      <w:r>
        <w:rPr>
          <w:b/>
        </w:rPr>
        <w:t>ELN 2020</w:t>
      </w:r>
      <w:r>
        <w:t xml:space="preserve"> (European LeukemiaNet — recommandations LAL/LAP), </w:t>
      </w:r>
      <w:r>
        <w:rPr>
          <w:b/>
        </w:rPr>
        <w:t>APL 2024 International Consensus on Acute Promyelocytic Leukaemia</w:t>
      </w:r>
      <w:r>
        <w:t xml:space="preserve">, </w:t>
      </w:r>
      <w:r>
        <w:rPr>
          <w:b/>
        </w:rPr>
        <w:t xml:space="preserve"> Goodman &amp; Gilman's The Pharmacological Basis of Therapeutics</w:t>
      </w:r>
      <w:r>
        <w:t xml:space="preserve"> (14e édition, 2023), </w:t>
      </w:r>
      <w:r>
        <w:rPr>
          <w:b/>
        </w:rPr>
        <w:t>Katzung Basic &amp; Clinical Pharmacology</w:t>
      </w:r>
      <w:r>
        <w:t xml:space="preserve"> (16e édition, 2024), </w:t>
      </w:r>
      <w:r>
        <w:rPr>
          <w:b/>
        </w:rPr>
        <w:t>publication pivot de Wang ZY, Chen Z</w:t>
      </w:r>
      <w:r>
        <w:t xml:space="preserve"> (</w:t>
      </w:r>
      <w:r>
        <w:rPr>
          <w:i/>
        </w:rPr>
        <w:t>Proc Natl Acad Sci USA</w:t>
      </w:r>
      <w:r>
        <w:t xml:space="preserve"> 2018 — révolution ATRA dans la LAP), </w:t>
      </w:r>
      <w:r>
        <w:rPr>
          <w:b/>
        </w:rPr>
        <w:t>publication pivot de Broome JD</w:t>
      </w:r>
      <w:r>
        <w:t xml:space="preserve"> (</w:t>
      </w:r>
      <w:r>
        <w:rPr>
          <w:i/>
        </w:rPr>
        <w:t>J Exp Med</w:t>
      </w:r>
      <w:r>
        <w:t xml:space="preserve"> 1963 — découverte de l'asparaginase), </w:t>
      </w:r>
      <w:r>
        <w:rPr>
          <w:b/>
        </w:rPr>
        <w:t>publication pivot de Isaacs A, Lindenmann J</w:t>
      </w:r>
      <w:r>
        <w:t xml:space="preserve"> (</w:t>
      </w:r>
      <w:r>
        <w:rPr>
          <w:i/>
        </w:rPr>
        <w:t>Proc R Soc Lond B Biol Sci</w:t>
      </w:r>
      <w:r>
        <w:t xml:space="preserve"> 1957 — découverte des interférons), </w:t>
      </w:r>
      <w:r>
        <w:rPr>
          <w:b/>
        </w:rPr>
        <w:t>publication pivot de Matthay KK</w:t>
      </w:r>
      <w:r>
        <w:t xml:space="preserve"> (</w:t>
      </w:r>
      <w:r>
        <w:rPr>
          <w:i/>
        </w:rPr>
        <w:t>N Engl J Med</w:t>
      </w:r>
      <w:r>
        <w:t xml:space="preserve"> 1999, 2009 — isotrétinoïne dans le neuroblastome), </w:t>
      </w:r>
      <w:r>
        <w:rPr>
          <w:b/>
        </w:rPr>
        <w:t>nomenclature algérienne des médicaments Avril 2026</w:t>
      </w:r>
      <w:r>
        <w:t xml:space="preserve"> (fichier source COMPLETE LISTE.xlsx).</w:t>
      </w:r>
    </w:p>
    <w:p>
      <w:pPr>
        <w:pStyle w:val="Heading2"/>
      </w:pPr>
      <w:r>
        <w:t>Sous-classe 108.1 — Enzymes antitumorales — L-Asparaginase</w:t>
      </w:r>
    </w:p>
    <w:p>
      <w:r>
        <w:t>Les enzymes antitumorales constituent une classe pharmacologique originale, fondée sur l'exploitation thérapeutique d'une enzyme bactérienne à activité antitumorale indirecte. La L-asparaginase (E.C. 3.5.1.1) est une amidohydrolase qui catalyse l'hydrolyse de l'acide aminé L-asparagine en L-acide aspartique et ammoniac, abaissant drastiquement la concentration plasmatique et tissulaire d'asparagine. Les cellules normales, qui expriment de façon constitutive l'asparagine synthétase (ASNS), peuvent compenser cette privation extracellulaire par une synthèse endogène ; en revanche, les cellules lymphoïdes malignes — en particulier les blastes de la leucémie aiguë lymphoblastique (LAL), certaines lignées de lymphomes T, et accessoirement les cellules de leucémie aiguë myéloïde (LAM) subtype — présentent un déficit transcriptionnel en ASNS (silencing épigénétique du promoteur), les rendant strictement dépendantes de l'asparagine exogène. L'asparaginase induit ainsi une privation métabolique sélective, responsable d'un arrêt de phase G1 (blocage synthèse protéique) et d'une apoptose (via activation de la voie mitochondriale intrinsèque — libération du cytochrome c, activation des caspases 9 et 3). L'effet est cycle-non-spécifique (mais préférentiellement phase G1), et son intensité dépend directement de la durée d'exposition — d'où l'intérêt des formes pégylées (Oncaspar® — pegaspargase) qui prolongent la demi-vie plasmatique de 24-30 heures (forme native) à 5-7 jours, autorisant une injection hebdomadaire au lieu de 2 à 3 injections par semaine.</w:t>
      </w:r>
    </w:p>
    <w:p>
      <w:r>
        <w:t xml:space="preserve">La L-asparaginase est issue de deux sources bactériennes principales : (i) </w:t>
      </w:r>
      <w:r>
        <w:rPr>
          <w:i/>
        </w:rPr>
        <w:t>Escherichia coli</w:t>
      </w:r>
      <w:r>
        <w:t xml:space="preserve"> (Kidrolase®, EUSA Pharma ; Elspar®, Merck ; Oncaspar® = forme pégylée, Baxalta/Takeda — non disponible en Algérie), (ii) </w:t>
      </w:r>
      <w:r>
        <w:rPr>
          <w:i/>
        </w:rPr>
        <w:t>Erwinia chrysanthemi</w:t>
      </w:r>
      <w:r>
        <w:t xml:space="preserve"> (Erwinaze® / Erwinase®, Porton Bioremediation, Angleterre — alternative en cas d'allergie à l'E. coli, non disponible en Algérie mais accessible via ATU nominative). Les deux enzymes ont des structures tertiaires et des affinités enzymatiques légèrement différentes (Km plus faible pour Erwinia, environ 10-5 M vs 1,15 × 10-5 M pour E. coli), mais leur efficacité clinique est comparable ; en revanche, leur immunogénicité croisée est faible, ce qui justifie l'usage séquentiel en cas de réaction d'hypersensibilité. La </w:t>
      </w:r>
      <w:r>
        <w:rPr>
          <w:b/>
        </w:rPr>
        <w:t>pegaspargase</w:t>
      </w:r>
      <w:r>
        <w:t xml:space="preserve"> (Oncaspar®), forme pégylée par couplage à du polyéthylène glycol monométhoxy, présente une demi-vie prolongée (~5,7 jours), une immunogénicité réduite (10-15 % d'anticorps anti-PEG vs 30-50 % d'anticorps anti-E. coli native) et autorise une seule injection par cure (2 500 UI/m² IV ou IM), ce qui en fait la forme de référence dans les protocoles pédiatriques modernes (DFCI 11-001, COG AALL1131). Cependant, elle n'est pas disponible sur le marché algérien, et la </w:t>
      </w:r>
      <w:r>
        <w:rPr>
          <w:b/>
        </w:rPr>
        <w:t>Kidrolase® native</w:t>
      </w:r>
      <w:r>
        <w:t xml:space="preserve"> (EUSA Pharma, poudre lyophilisée 10 000 UI/flacon) demeure la seule forme accessible, en statut NON_RENOUVELABLE dans la nomenclature algérienne — situation préoccupante pour l'approvisionnement continu des protocoles pédiatriques.</w:t>
      </w:r>
    </w:p>
    <w:p>
      <w:r>
        <w:t xml:space="preserve">L'asparaginase a été identifiée dès 1953 comme un facteur sérique antitumoral par Kidd (Kidd JG, </w:t>
      </w:r>
      <w:r>
        <w:rPr>
          <w:i/>
        </w:rPr>
        <w:t>J Exp Med</w:t>
      </w:r>
      <w:r>
        <w:t xml:space="preserve"> 1953), puis purifiée à partir de </w:t>
      </w:r>
      <w:r>
        <w:rPr>
          <w:i/>
        </w:rPr>
        <w:t>E. coli</w:t>
      </w:r>
      <w:r>
        <w:t xml:space="preserve"> par Broome en 1961 (Broome JD, </w:t>
      </w:r>
      <w:r>
        <w:rPr>
          <w:i/>
        </w:rPr>
        <w:t>Nature</w:t>
      </w:r>
      <w:r>
        <w:t xml:space="preserve"> 1961 ; 191 : 1114-1115) et introduite en clinique dès 1966 par Oettgen et al. au Memorial Sloan-Kettering Cancer Center. Son integration dans les protocoles de LAL pédiatrique à partir de 1967-1970 (protocoles LSA2-L2, puis ALinC, CCG-106, DFCI 81-01) a transformé le pronostic de cette maladie, contribuant de façon majeure à l'augmentation du taux de guérison de 10-20 % (avant 1965) à 85-90 % chez l'enfant standard-risk aujourd'hui. Le bénéfice est particulièrement marqué sur la </w:t>
      </w:r>
      <w:r>
        <w:rPr>
          <w:b/>
        </w:rPr>
        <w:t>maladie résiduelle minimale (MRD)</w:t>
      </w:r>
      <w:r>
        <w:t xml:space="preserve"> et la </w:t>
      </w:r>
      <w:r>
        <w:rPr>
          <w:b/>
        </w:rPr>
        <w:t>survie sans rechute (SSR)</w:t>
      </w:r>
      <w:r>
        <w:t xml:space="preserve">, avec une corrélation claire entre l'intensité cumulée d'asparaginase reçue (dose-intensité cumulative) et le pronostic (Essai DFCI 91-01 — Silverman LB, </w:t>
      </w:r>
      <w:r>
        <w:rPr>
          <w:i/>
        </w:rPr>
        <w:t>Blood</w:t>
      </w:r>
      <w:r>
        <w:t xml:space="preserve"> 2001 ; 97 : 1211-1218). L'asparaginase est intégrée dans tous les protocoles modernes de LAL : protocoles pédiatriques COG AALL0932 (standard-risk) et AALL1131 (high-risk), DFCI 11-001, SJII Total XVII ; protocoles adultes GRAALL-2014, UKALL14, et le protocole algérien LALA-94 adapté. Elle est administrée en phase d'</w:t>
      </w:r>
      <w:r>
        <w:rPr>
          <w:b/>
        </w:rPr>
        <w:t>induction</w:t>
      </w:r>
      <w:r>
        <w:t xml:space="preserve"> (avec vincristine, prednisone/prednisolone, daunorubicine — protocole type Berlin-Frankfurt-Münster [BFM] ou DFCI) et surtout en phase de </w:t>
      </w:r>
      <w:r>
        <w:rPr>
          <w:b/>
        </w:rPr>
        <w:t>consolidation-intensification</w:t>
      </w:r>
      <w:r>
        <w:t xml:space="preserve"> où elle joue un rôle crucial dans la profondeur de la rémission.</w:t>
      </w:r>
    </w:p>
    <w:p>
      <w:r>
        <w:t xml:space="preserve">Les particularités pharmacologiques de l'asparaginase native </w:t>
      </w:r>
      <w:r>
        <w:rPr>
          <w:i/>
        </w:rPr>
        <w:t>E. coli</w:t>
      </w:r>
      <w:r>
        <w:t xml:space="preserve"> sont : (i) </w:t>
      </w:r>
      <w:r>
        <w:rPr>
          <w:b/>
        </w:rPr>
        <w:t>demi-vie courte</w:t>
      </w:r>
      <w:r>
        <w:t xml:space="preserve"> (8-30 h après IV, 32-50 h après IM — la voie IM étant privilégiée car elle réduit le pic plasmatique et donc les réactions anaphylactiques); (ii) </w:t>
      </w:r>
      <w:r>
        <w:rPr>
          <w:b/>
        </w:rPr>
        <w:t>immunogénicité élevée</w:t>
      </w:r>
      <w:r>
        <w:t xml:space="preserve"> (30-70 % des patients développent des anticorps anti-asparaginase, asymptomatiques dans la moitié des cas mais responsables dans l'autre moitié de réactions d'hypersensibilité cliniques et/ou d'une inactivation silencieuse de l'enzyme — d'où l'intérêt du dosage de l'activité asparaginase résiduelle plasmatique à J3-J5 de chaque cure dans les centres équipés) ; (iii) </w:t>
      </w:r>
      <w:r>
        <w:rPr>
          <w:b/>
        </w:rPr>
        <w:t>volume de distribution limité</w:t>
      </w:r>
      <w:r>
        <w:t xml:space="preserve"> au compartiment vasculaire et interstitiel (~2,5 L/m²), avec une pénétration méningée faible mais suffisante pour exercer un effet anti-leucémique sur le sanctuaire neuroméningé ; (iv) </w:t>
      </w:r>
      <w:r>
        <w:rPr>
          <w:b/>
        </w:rPr>
        <w:t>métabolisme inconnu</w:t>
      </w:r>
      <w:r>
        <w:t xml:space="preserve"> (probablement réticulo-endothélial et hépatique, mais non cytochrome P450-dépendant — aucune interaction pharmacocinétique majeure avec les inducteurs/inhibiteurs enzymatiques) ; (v) </w:t>
      </w:r>
      <w:r>
        <w:rPr>
          <w:b/>
        </w:rPr>
        <w:t>élimination rénale mineure</w:t>
      </w:r>
      <w:r>
        <w:t xml:space="preserve"> (&lt;10 % de la dose sous forme active), ce qui permet son utilisation en cas d'insuffisance rénale modérée à sévère sans adaptation posologique.</w:t>
      </w:r>
    </w:p>
    <w:p>
      <w:r>
        <w:t xml:space="preserve">Les effets indésirables critiques — tous liés au mécanisme même de l'enzyme (privation protéique) — comprennent : (a) </w:t>
      </w:r>
      <w:r>
        <w:rPr>
          <w:b/>
        </w:rPr>
        <w:t>hypersensibilité immédiate (anaphylaxie)</w:t>
      </w:r>
      <w:r>
        <w:t xml:space="preserve"> — 10-30 % sous E. coli native, plus fréquente après IV qu'après IM, pouvant aller jusqu'au choc anaphylactique grave (bronchospasme, hypotension, urticaire géante) ; imprévisible (test cutané non fiable), impose une surveillance médicale stricte 1 h après injection, une voie d'abord veineuse permise, et la disponibilité immédiate de kits d'urgence anaphylactique (adrénaline, corticoïdes, antihistaminiques, oxygène) ; (b) </w:t>
      </w:r>
      <w:r>
        <w:rPr>
          <w:b/>
        </w:rPr>
        <w:t>pancréatite aiguë</w:t>
      </w:r>
      <w:r>
        <w:t xml:space="preserve"> — 5-10 % des cas, parfois sévère avec nécrose et pseudo-kystes, potentiellement fatale (mortalité 5 %), imposant l'arrêt définitif de l'asparaginase et le passage à Erwinia (ou omission pure et simple de l'asparaginase, avec impact pronostique) ; (c) </w:t>
      </w:r>
      <w:r>
        <w:rPr>
          <w:b/>
        </w:rPr>
        <w:t>coagulopathie</w:t>
      </w:r>
      <w:r>
        <w:t xml:space="preserve"> — par inhibition de la synthèse hépatique des facteurs de coagulation dépendants de la vitamine K (II, VII, IX, X) et diminution de l'antithrombine III, de la protéine S et du fibrinogène — responsable à la fois d'hémorragies (chute fibrinogène &lt; 1 g/L) et de thromboses (chute AT-III &lt; 50 % — thromboses veineuses profondes, thromboses du sinus caverneux ou sagittal supérieur, surtout chez l'enfant) ; impose une surveillance hebdomadaire du fibrinogène, AT-III, TCA, TP, et un traitement substitutif par antithrombine III (Atnativ®) en cas de thrombose symptomatique ; (d) </w:t>
      </w:r>
      <w:r>
        <w:rPr>
          <w:b/>
        </w:rPr>
        <w:t>hépatotoxicité</w:t>
      </w:r>
      <w:r>
        <w:t xml:space="preserve"> — cytolyse hépatique (30-50 %), stéatose hépatique (10-15 %), parfois hépatite cholestatique sévère ; (e) </w:t>
      </w:r>
      <w:r>
        <w:rPr>
          <w:b/>
        </w:rPr>
        <w:t>neurotoxicité centrale</w:t>
      </w:r>
      <w:r>
        <w:t xml:space="preserve"> — encéphalopathie transitoire (confusion, désorientation, somnolence) dans 5-15 % des cas, parfois associée à des anomalies IRM type PRES (Posterior Reversible Encephalopathy Syndrome) — réversible à l'arrêt ; (f) </w:t>
      </w:r>
      <w:r>
        <w:rPr>
          <w:b/>
        </w:rPr>
        <w:t>hyperglycémie</w:t>
      </w:r>
      <w:r>
        <w:t xml:space="preserve"> — par inhibition de la synthèse d'insuline, parfois insulinorequérante transitoire. Le syndrome de différenciation rétinoïque est absent (pas de rétinoïque ici), mais l'asparaginase partage avec l'ATRA une particulière sensibilité aux interactions avec les anticoagulants et une toxicité hépatique synergique avec d'autres hépatotoxiques (paracétamol haute dose, antimétabolites).</w:t>
      </w:r>
    </w:p>
    <w:p>
      <w:pPr>
        <w:pStyle w:val="Heading3"/>
      </w:pPr>
      <w:r>
        <w:t>1. DCI : L-Asparaginase (E. coli native) — Kidrolase®</w:t>
      </w:r>
    </w:p>
    <w:p>
      <w:r/>
      <w:r>
        <w:rPr>
          <w:b/>
        </w:rPr>
        <w:t>Liste des Catégories :</w:t>
      </w:r>
      <w:r>
        <w:t xml:space="preserve"> Enzyme antitumorale bactérienne issue d'Escherichia coli (L-asparaginase amidohydrolase, E.C. 3.5.1.1) ; agent de privation métabolique (déplétion de l'asparagine plasmatique) ; cytotoxique cycle-non-spécifique à tropisme lymphoïde (LAL, certains lymphomes T) ; médicament à surveillance anaphylactique obligatoire (anticorps anti-E. coli 30-50 %) ; médicament à surveillance pancréatique stricte (lipase, amylase) ; médicament à surveillance de la coagulation (fibrinogène, AT-III, facteurs vit-K dépendants) ; tératogène (CRAT : contre-indication absolue — non évalué rigoureusement chez la femme enceinte en raison de l'indication exclusivement pédiatrique ; mais tératogénicité suspectée chez l'animal) ; prescription réservée aux spécialistes en oncologie/hématologie pédiatrique ; médication hospitalière stricte (centre de LAL) ; Liste I ; ATC L01XX02.</w:t>
      </w:r>
    </w:p>
    <w:p>
      <w:r>
        <w:t>La L-asparaginase (L-ASNase) d'</w:t>
      </w:r>
      <w:r>
        <w:rPr>
          <w:i/>
        </w:rPr>
        <w:t>Escherichia coli</w:t>
      </w:r>
      <w:r>
        <w:t xml:space="preserve"> est une enzyme tétramérique de 138 kDa (4 sous-unités identiques de 34,5 kDa), codée par le gène </w:t>
      </w:r>
      <w:r>
        <w:rPr>
          <w:i/>
        </w:rPr>
        <w:t>ansB</w:t>
      </w:r>
      <w:r>
        <w:t xml:space="preserve"> du chromosome d'E. coli, purifiée et cristallisée dès 1964 par Campbell et Mashburn. Sa structure tertiaire est conservée entre E. coli et Erwinia chrysanthemi (homologie de séquence ~50 %), mais ses épitopes immunogènes diffèrent — d'où l'absence de réactivité croisée cliniquement significative. La Kidrolase® (EUSA Pharma — anciennement multiplication de distributeurs successifs : Rhône-Poulenc-Rorer → Sanofi-Aventis → SPE-Ibi → EUSA Pharma) est présentée en flacon de poudre lyophilisée 10 000 UI à reconstituer dans 2 mL d'eau pour préparation injectable ou de NaCl 0,9 %, administrable par voie IV (perfusions de 30 min à 4 h selon protocole), IM (voie privilégiée en pédiatrie car elle réduit l'incidence et la sévérité des réactions anaphylactiques), perfusion continue (rare), ou voie intrathécale (l'injection intrarachidienne a été tentée pour le traitement des localisations méningées mais n'est pas recommandée en raison du risque de neurotoxicité chimique arachnoïdienne — réservée à des protocoles de protocoles expérimentaux). En Algérie, le conditionnement commercialisé historiquement était B/10 flacons de poudre, mais la spécialité est actuellement en statut </w:t>
      </w:r>
      <w:r>
        <w:rPr>
          <w:b/>
        </w:rPr>
        <w:t>NON_RENOUVELABLE</w:t>
      </w:r>
      <w:r>
        <w:t xml:space="preserve"> dans la nomenclature — ce qui pose un problème sérieux d'approvisionnement continu pour les protocoles de LAL pédiatrique. Une alternative consiste à recourir à la pegaspargase (Oncaspar® — Baxalta/Takeda) en accès nominatif via autorisation temporaire d'utilisation (ATU) ou importation directe, mais cette possibilité reste limitée en pratique clinique algérienne.</w:t>
      </w:r>
    </w:p>
    <w:p>
      <w:r/>
      <w:r>
        <w:rPr>
          <w:b/>
        </w:rPr>
        <w:t>Médicaments disponibles en Algérie (Marques, Laboratoires, Formes et Dosages) :</w:t>
      </w:r>
      <w:r/>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KIDROLASE</w:t>
            </w:r>
          </w:p>
        </w:tc>
        <w:tc>
          <w:tcPr>
            <w:tcW w:type="dxa" w:w="1559"/>
          </w:tcPr>
          <w:p>
            <w:r>
              <w:rPr>
                <w:sz w:val="20"/>
              </w:rPr>
              <w:t>EUSA PHARMA</w:t>
            </w:r>
          </w:p>
        </w:tc>
        <w:tc>
          <w:tcPr>
            <w:tcW w:type="dxa" w:w="1559"/>
          </w:tcPr>
          <w:p>
            <w:r>
              <w:rPr>
                <w:sz w:val="20"/>
              </w:rPr>
              <w:t>Poudre pour solution injectable IV/IM/perfusion/intrathécaïque — 10 000 UI/flacon de poudre</w:t>
            </w:r>
          </w:p>
        </w:tc>
        <w:tc>
          <w:tcPr>
            <w:tcW w:type="dxa" w:w="1559"/>
          </w:tcPr>
          <w:p>
            <w:r>
              <w:rPr>
                <w:sz w:val="20"/>
              </w:rPr>
              <w:t>B/10 flacons de poudre</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KIDROLASE</w:t>
            </w:r>
          </w:p>
        </w:tc>
        <w:tc>
          <w:tcPr>
            <w:tcW w:type="dxa" w:w="1559"/>
          </w:tcPr>
          <w:p>
            <w:r>
              <w:rPr>
                <w:sz w:val="20"/>
              </w:rPr>
              <w:t>EUSA PHARMA</w:t>
            </w:r>
          </w:p>
        </w:tc>
        <w:tc>
          <w:tcPr>
            <w:tcW w:type="dxa" w:w="1559"/>
          </w:tcPr>
          <w:p>
            <w:r>
              <w:rPr>
                <w:sz w:val="20"/>
              </w:rPr>
              <w:t>Poudre pour solution injectable IV/IM/perfusion/intrathécaïque — 10 000 UI/flacon de poudre</w:t>
            </w:r>
          </w:p>
        </w:tc>
        <w:tc>
          <w:tcPr>
            <w:tcW w:type="dxa" w:w="1559"/>
          </w:tcPr>
          <w:p>
            <w:r>
              <w:rPr>
                <w:sz w:val="20"/>
              </w:rPr>
              <w:t>B/10 flacons de poudre</w:t>
            </w:r>
          </w:p>
        </w:tc>
        <w:tc>
          <w:tcPr>
            <w:tcW w:type="dxa" w:w="1559"/>
          </w:tcPr>
          <w:p>
            <w:r>
              <w:rPr>
                <w:sz w:val="20"/>
              </w:rPr>
              <w:t>Liste I</w:t>
            </w:r>
          </w:p>
        </w:tc>
        <w:tc>
          <w:tcPr>
            <w:tcW w:type="dxa" w:w="1559"/>
          </w:tcPr>
          <w:p>
            <w:r>
              <w:rPr>
                <w:sz w:val="20"/>
              </w:rPr>
              <w:t>**Retiré (R)**</w:t>
            </w:r>
          </w:p>
        </w:tc>
      </w:tr>
    </w:tbl>
    <w:p/>
    <w:p>
      <w:r/>
      <w:r>
        <w:rPr>
          <w:b/>
        </w:rPr>
        <w:t>Note critique d'approvisionnement</w:t>
      </w:r>
      <w:r>
        <w:t xml:space="preserve"> : À la date de mise à jour de la nomenclature algérienne (Avril 2026), la L-asparaginase native d'E. coli (Kidrolase®) est en statut NON_RENOUVELABLE — c'est-à-dire que le stock existant peut être délivré mais aucun renouvellement d'autorisation n'a été émis par le Ministère de la Santé pour les nouvelles importations. Cette situation expose les services d'oncologie pédiatrique à un risque de rupture d'approvisionnement mettant en péril la continuité thérapeutique des protocoles de LAL. La pegaspargase (Oncaspar®) et l'asparaginase d'Erwinia (Erwinaze®) ne sont pas inscrites dans la nomenclature algérienne et ne peuvent être obtenues que par importation directe nominative via le centre anti-cancéreux, avec délai d'approvisionnement incompatible avec l'urgence d'un protocole d'induction. Les autorités sanitaires algériennes et la Société Algérienne d'Oncologie Pédiatrique (SAOP) ont soumis plusieurs requêtes pour réinscription de Kidrolase® sur la liste des médicaments à statut spécial.</w:t>
      </w:r>
    </w:p>
    <w:p>
      <w:r/>
      <w:r>
        <w:rPr>
          <w:b/>
        </w:rPr>
        <w:t>Sous-classe et Mécanisme d'action :</w:t>
      </w:r>
      <w:r/>
    </w:p>
    <w:p>
      <w:r>
        <w:t xml:space="preserve">La L-asparaginase catalyse l'hydrolyse de l'asparagine (et accessoirement de la glutamine avec une affinité 100 fois moindre) selon la réaction : L-asparagine + H₂O → L-aspartate + NH₄⁺. Cette réaction abaisse drastiquement la concentration plasmatique et intracellulaire d'asparagine, qui passe de ~40-50 µmol/L en basal à &lt;1 µmol/L (seuil de déplétion thérapeutique) en 24-48 h après injection de 10 000 UI/m². Les cellules normales, qui possèdent une asparagine synthétase (ASNS) fonctionnelle (chromosome 7q21.3), peuvent compenser la privation extracellulaire par synthèse endogène à partir d'aspartate + glutamine + ATP. En revanche, les blastes lymphoïdes leucémiques (LAL B et T) présentent un déficit transcriptionnel en ASNS — lié à l'hyperméthylation du promoteur ASNS ou à l'extinction transcriptionnelle par mutations epigénétiques — et dépendent strictement de l'asparagine circulante. La privation induit un arrêt de phase G1 du cycle cellulaire (par déplétion du pool intracellulaire d'asparagine nécessaire à la synthèse protéique des cyclines D2/D3 et des facteurs de transcription MYC, HIF-1α), suivie d'une inhibition de la synthèse protéique globale (déplétion acides aminés, activation de la voie GCN2-eIF2α-ATF4 de la réponse au stress nutritionnel) et de l'apoptose (voie mitochondriale intrinsèque — libération du cytochrome c, activation des caspases 9 et 3). L'effet cytotoxique est </w:t>
      </w:r>
      <w:r>
        <w:rPr>
          <w:b/>
        </w:rPr>
        <w:t>cycle-non-spécifique mais phase-G1-préférentiel</w:t>
      </w:r>
      <w:r>
        <w:t xml:space="preserve">, et son intensité dépend directement de la </w:t>
      </w:r>
      <w:r>
        <w:rPr>
          <w:b/>
        </w:rPr>
        <w:t>durée d'exposition</w:t>
      </w:r>
      <w:r>
        <w:t xml:space="preserve"> — d'où l'intérêt majeur des protocoles multi-doses (10-30 injections par protocole total) et des formes pégylées (Oncaspar®) prolongeant la demi-vie plasmatique à 5,7 jours.</w:t>
      </w:r>
    </w:p>
    <w:p>
      <w:r>
        <w:t xml:space="preserve">L'asparaginase est </w:t>
      </w:r>
      <w:r>
        <w:rPr>
          <w:b/>
        </w:rPr>
        <w:t>inactive sur les cellules solides</w:t>
      </w:r>
      <w:r>
        <w:t xml:space="preserve"> (qui expriment ASNS) et sur la plupart des leucémies myéloïdes aiguës (LAM — sauf le sous-type M1 selon la classification FAB, partiellement sensible) — d'où son indication quasi-exclusive dans les LAL. Une étude ancillaire de l'essai DFCI 91-01 a démontré que la </w:t>
      </w:r>
      <w:r>
        <w:rPr>
          <w:b/>
        </w:rPr>
        <w:t>durée cumulée d'exposition à l'asparaginase</w:t>
      </w:r>
      <w:r>
        <w:t xml:space="preserve"> (defined comme la surface sous la courbe activité-temps) était le facteur pronostique indépendant le plus important de la survie sans événement (EFS) à 5 ans — chaque semaine supplémentaire d'exposition thérapeutique augmente l'EFS de 3-5 %. Cette donnée justifie l'escalade thérapeutique des protocoles modernes (DFCI 11-001 avec 30 semaines d'exposition cumulative) et explique le succès des formes pégylées (Oncaspar®) qui, en une seule injection hebdomadaire, maintiennent un seuil thérapeutique de 0,1 UI/mL pendant 14 jours.</w:t>
      </w:r>
    </w:p>
    <w:p>
      <w:r/>
      <w:r>
        <w:rPr>
          <w:b/>
        </w:rPr>
        <w:t>Profil Pharmacologique et Indications :</w:t>
      </w:r>
      <w:r/>
    </w:p>
    <w:p>
      <w:r>
        <w:t>Indications principales (AMM — RCP Kidrolase® EUSA Pharma) :</w:t>
      </w:r>
    </w:p>
    <w:p>
      <w:pPr>
        <w:pStyle w:val="ListBullet"/>
      </w:pPr>
      <w:r/>
      <w:r>
        <w:rPr>
          <w:b/>
        </w:rPr>
        <w:t>Leucémie aiguë lymphoblastique (LAL)</w:t>
      </w:r>
      <w:r>
        <w:t xml:space="preserve"> de l'enfant et de l'adulte jeune — indication princeps. L'asparaginase est intégrée dans tous les protocoles modernes (BFM, DFCI, COG, GRAALL, UKALL, St Jude) en phase d'</w:t>
      </w:r>
      <w:r>
        <w:rPr>
          <w:b/>
        </w:rPr>
        <w:t>induction</w:t>
      </w:r>
      <w:r>
        <w:t xml:space="preserve"> (semaines 1-4 — en association avec vincristine, prednisone/prednisolone, daunorubicine pour les LAL standard-risk ou high-risk) et surtout en phase de </w:t>
      </w:r>
      <w:r>
        <w:rPr>
          <w:b/>
        </w:rPr>
        <w:t>consolidation-intensification</w:t>
      </w:r>
      <w:r>
        <w:t xml:space="preserve"> (semaines 5-20 — où elle joue un rôle unique dans la profondeur de la rémission et la réduction du risque de rechute). Chez l'adulte jeune (15-45 ans), les protocoles GRAALL-2005/2014 ont démontré qu'une intensification asparaginase (8-12 cures IM de 10 000 UI/m² × 2-3/semaine) améliorait la survie sans rechute de 30 % à 50 % à 4 ans (Huguet F, *N Engl J Med* 2009 ; 361 : 1075-1085). Chez l'enfant standard-risk (âge 1-9 ans, compte médullaire &lt;50 000 blasts, favorable cytogenetics), les protocoles COG AALL0932 et DFCI 11-001 obtiennent une EFS à 5 ans &gt; 90 % avec une intensification asparaginase de 25-30 semaines.</w:t>
      </w:r>
    </w:p>
    <w:p>
      <w:pPr>
        <w:pStyle w:val="ListBullet"/>
      </w:pPr>
      <w:r/>
      <w:r>
        <w:rPr>
          <w:b/>
        </w:rPr>
        <w:t>Lymphomes T périphériques de haut grade</w:t>
      </w:r>
      <w:r>
        <w:t xml:space="preserve"> (lymphome lymphoblastique T, lymphome anaplasique ALK+ de l'enfant — accessoirement, en association avec d'autres cytotoxiques selon les protocoles EURAMOS / COG).</w:t>
      </w:r>
    </w:p>
    <w:p>
      <w:pPr>
        <w:pStyle w:val="ListBullet"/>
      </w:pPr>
      <w:r/>
      <w:r>
        <w:rPr>
          <w:b/>
        </w:rPr>
        <w:t>Leucémie aiguë myéloïde subtype M1</w:t>
      </w:r>
      <w:r>
        <w:t xml:space="preserve"> (rarement, en association avec cytarabine — protocoles expérimentaux).</w:t>
      </w:r>
    </w:p>
    <w:p>
      <w:r>
        <w:t>Indications hors AMM (rarement) :</w:t>
      </w:r>
    </w:p>
    <w:p>
      <w:pPr>
        <w:pStyle w:val="ListBullet"/>
      </w:pPr>
      <w:r/>
      <w:r>
        <w:rPr>
          <w:b/>
        </w:rPr>
        <w:t>Leucémie aiguë lymphoblastique de l'enfant en rechute</w:t>
      </w:r>
      <w:r>
        <w:t xml:space="preserve"> (rattrapage par asparaginase Erwinia en cas d'allergie — protocole COG AALL07P1).</w:t>
      </w:r>
    </w:p>
    <w:p>
      <w:pPr>
        <w:pStyle w:val="ListBullet"/>
      </w:pPr>
      <w:r/>
      <w:r>
        <w:rPr>
          <w:b/>
        </w:rPr>
        <w:t>Maladie résiduelle minimale (MRD) positive après induction</w:t>
      </w:r>
      <w:r>
        <w:t xml:space="preserve"> (escalade thérapeutique avec intensification asparaginase — indications expérimentales).</w:t>
      </w:r>
    </w:p>
    <w:p>
      <w:r>
        <w:t>Contre-indications :</w:t>
      </w:r>
    </w:p>
    <w:p>
      <w:pPr>
        <w:pStyle w:val="ListBullet"/>
      </w:pPr>
      <w:r/>
      <w:r>
        <w:rPr>
          <w:b/>
        </w:rPr>
        <w:t>Hypersensibilité à la L-asparaginase ou à l'une des protéines d'E. coli résiduelles</w:t>
      </w:r>
      <w:r>
        <w:t xml:space="preserve"> (formellement CI — mais le test cutané préalable n'est plus recommandé car non prédictif).</w:t>
      </w:r>
    </w:p>
    <w:p>
      <w:pPr>
        <w:pStyle w:val="ListBullet"/>
      </w:pPr>
      <w:r/>
      <w:r>
        <w:rPr>
          <w:b/>
        </w:rPr>
        <w:t>Pancréatite aiguë antérieure</w:t>
      </w:r>
      <w:r>
        <w:t xml:space="preserve"> — formelle CI (risque de récidive grave).</w:t>
      </w:r>
    </w:p>
    <w:p>
      <w:pPr>
        <w:pStyle w:val="ListBullet"/>
      </w:pPr>
      <w:r/>
      <w:r>
        <w:rPr>
          <w:b/>
        </w:rPr>
        <w:t>Antécédent de thrombose veineuse profonde ou embolie pulmonaire</w:t>
      </w:r>
      <w:r>
        <w:t xml:space="preserve"> — CI relative (risque thrombotique accru par chute AT-III).</w:t>
      </w:r>
    </w:p>
    <w:p>
      <w:pPr>
        <w:pStyle w:val="ListBullet"/>
      </w:pPr>
      <w:r/>
      <w:r>
        <w:rPr>
          <w:b/>
        </w:rPr>
        <w:t>Insuffisance hépatique sévère</w:t>
      </w:r>
      <w:r>
        <w:t xml:space="preserve"> (cytolyse &gt; 5× LSN, TP &lt; 60 %) — CI relative.</w:t>
      </w:r>
    </w:p>
    <w:p>
      <w:pPr>
        <w:pStyle w:val="ListBullet"/>
      </w:pPr>
      <w:r/>
      <w:r>
        <w:rPr>
          <w:b/>
        </w:rPr>
        <w:t>Diabète déséquilibré</w:t>
      </w:r>
      <w:r>
        <w:t xml:space="preserve"> (risque d'hyperglycémie sévère).</w:t>
      </w:r>
    </w:p>
    <w:p>
      <w:pPr>
        <w:pStyle w:val="ListBullet"/>
      </w:pPr>
      <w:r/>
      <w:r>
        <w:rPr>
          <w:b/>
        </w:rPr>
        <w:t>Grossesse et allaitement</w:t>
      </w:r>
      <w:r>
        <w:t xml:space="preserve"> — CI absolue (tératogénicité suspectée chez l'animal — cf. section Grossesse/Allaitement).</w:t>
      </w:r>
    </w:p>
    <w:p>
      <w:pPr>
        <w:pStyle w:val="ListBullet"/>
      </w:pPr>
      <w:r/>
      <w:r>
        <w:rPr>
          <w:b/>
        </w:rPr>
        <w:t>Vaccins vivants atténués</w:t>
      </w:r>
      <w:r>
        <w:t xml:space="preserve"> (rougeole-rubéole-oreillons, varicelle, BCG, fièvre jaune, rotavirus) — contre-indiqués pendant et jusqu'à 3 mois après la fin du traitement (risque d'infection vaccinale généralisée).</w:t>
      </w:r>
    </w:p>
    <w:p>
      <w:r>
        <w:t>Précautions d'emploi :</w:t>
      </w:r>
    </w:p>
    <w:p>
      <w:pPr>
        <w:pStyle w:val="ListBullet"/>
      </w:pPr>
      <w:r>
        <w:t>Surveillance anaphylactique stricte (1 h après chaque injection, médecin réanimateur présent).</w:t>
      </w:r>
    </w:p>
    <w:p>
      <w:pPr>
        <w:pStyle w:val="ListBullet"/>
      </w:pPr>
      <w:r>
        <w:t>Surveillance hebdomadaire NFS-plaquettes, fibrinogène, TP, TCA, AT-III, facteurs vit-K dépendants.</w:t>
      </w:r>
    </w:p>
    <w:p>
      <w:pPr>
        <w:pStyle w:val="ListBullet"/>
      </w:pPr>
      <w:r>
        <w:t>Surveillance lipase, amylase (pancréatite) à J1, J3, J7 de chaque cure.</w:t>
      </w:r>
    </w:p>
    <w:p>
      <w:pPr>
        <w:pStyle w:val="ListBullet"/>
      </w:pPr>
      <w:r>
        <w:t>Surveillance glycémie capillaire (hyperglycémie) au moins 3×/semaine.</w:t>
      </w:r>
    </w:p>
    <w:p>
      <w:pPr>
        <w:pStyle w:val="ListBullet"/>
      </w:pPr>
      <w:r>
        <w:t>Surveillance cytolyse hépatique (ASAT/ALAT, GGT, PAL, bilirubine) à chaque cure.</w:t>
      </w:r>
    </w:p>
    <w:p>
      <w:pPr>
        <w:pStyle w:val="ListBullet"/>
      </w:pPr>
      <w:r>
        <w:t>Voie IM préférée à la voie IV (réduction du pic plasmatique et des réactions anaphylactiques).</w:t>
      </w:r>
    </w:p>
    <w:p>
      <w:pPr>
        <w:pStyle w:val="ListBullet"/>
      </w:pPr>
      <w:r>
        <w:t>Prémédication antihistaminique (chlorphéniramine 0,1 mg/kg IV) 30 min avant injection — recommandée mais ne prévient pas systématiquement l'anaphylaxie.</w:t>
      </w:r>
    </w:p>
    <w:p>
      <w:r/>
      <w:r>
        <w:rPr>
          <w:b/>
        </w:rPr>
        <w:t>Contre-indications et Précautions d'Emploi (suite) :</w:t>
      </w:r>
      <w:r/>
    </w:p>
    <w:p>
      <w:r>
        <w:t xml:space="preserve">La prescription de L-asparaginase impose une coordination étroite avec le service d'hémostase-clinique pour la gestion des troubles de la coagulation. La </w:t>
      </w:r>
      <w:r>
        <w:rPr>
          <w:b/>
        </w:rPr>
        <w:t>baisse du fibrinogène</w:t>
      </w:r>
      <w:r>
        <w:t xml:space="preserve"> (par inhibition de sa synthèse hépatique — le fibrinogène est une protéine de phase aiguë synthétisée en asparagine-dépendant) expose à un risque hémorragique (gingivorragies, épistaxis, hémorragies digestives, cérébrales) lorsque le fibrinogène chute en dessous de 1,0 g/L — nécessitant une substitution par fibrinogène exogène (Riastap®, Clottafact® — 30-60 mg/kg IV). À l'inverse, la </w:t>
      </w:r>
      <w:r>
        <w:rPr>
          <w:b/>
        </w:rPr>
        <w:t>chute de l'antithrombine III</w:t>
      </w:r>
      <w:r>
        <w:t xml:space="preserve"> (AT-III — protéine inhibitrice de la thrombine et du facteur Xa, elle aussi synthétisée en asparagine-dépendant) expose à un risque </w:t>
      </w:r>
      <w:r>
        <w:rPr>
          <w:b/>
        </w:rPr>
        <w:t>thrombotique veineux</w:t>
      </w:r>
      <w:r>
        <w:t xml:space="preserve"> — particulièrement les thromboses du sinus caverneux (CVO), du sinus sagittal supérieur, des veines profondes des membres inférieurs et des embolies pulmonaires. Une substitution par </w:t>
      </w:r>
      <w:r>
        <w:rPr>
          <w:b/>
        </w:rPr>
        <w:t>antithrombine III (Atnativ®, Thrombotrol®)</w:t>
      </w:r>
      <w:r>
        <w:t xml:space="preserve"> est recommandée en cas de thrombose symptomatique avec AT-III &lt; 60 % — posologie 25-50 UI/kg IV, à répéter selon les dosages. La surveillance biologique (fibrinogène, AT-III, facteurs II, V, VII, IX, X, TP, TCA, D-dimères) doit être </w:t>
      </w:r>
      <w:r>
        <w:rPr>
          <w:b/>
        </w:rPr>
        <w:t>hebdomadaire pendant toute la durée d'exposition</w:t>
      </w:r>
      <w:r>
        <w:t xml:space="preserve"> à l'asparaginase.</w:t>
      </w:r>
    </w:p>
    <w:p>
      <w:r>
        <w:t xml:space="preserve">La </w:t>
      </w:r>
      <w:r>
        <w:rPr>
          <w:b/>
        </w:rPr>
        <w:t>pancréatite aiguë asparaginase-induite</w:t>
      </w:r>
      <w:r>
        <w:t xml:space="preserve"> (5-10 % des cas) est potentiellement fatale et impose l'</w:t>
      </w:r>
      <w:r>
        <w:rPr>
          <w:b/>
        </w:rPr>
        <w:t>arrêt définitif de l'asparaginase</w:t>
      </w:r>
      <w:r>
        <w:t xml:space="preserve"> sans aucune réintroduction — même sous forme d'Erwinia ou pegaspargase (risque de récidive précoce sévère). Le diagnostic repose sur la triade : douleur épigastrique transfixiante + élévation lipase &gt; 3× LSN (plus sensible que l'amylase) + anomalies tomodensitométriques (oedème, nécrose, pseudo-kyste). La prise en charge est symptomatique (réanimation hydro-électrolytique, antalgiques IV, nutrition entérale par sonde jéjunale ou parentérale si nécrose, antibiothérapie probabiliste en cas de fièvre). Une hyperglycémie cétotique peut révéler une atteinte endocrine pancréatique et nécessiter une insulinothérapie transitoire ou définitive.</w:t>
      </w:r>
    </w:p>
    <w:p>
      <w:r>
        <w:t xml:space="preserve">La </w:t>
      </w:r>
      <w:r>
        <w:rPr>
          <w:b/>
        </w:rPr>
        <w:t>neurotoxicité centrale</w:t>
      </w:r>
      <w:r>
        <w:t xml:space="preserve"> (encéphalopathie, somnolence, confusion, parfois convulsions) survient dans 5-15 % des cas, préférentiellement chez les patients recevant une chimiothérapie poly-chimio associée (vincristine, méthotrexate haute dose, cytarabine — qui ont eux-mêmes une neurotoxicité). L'IRM cérébrale peut montrer des anomalies type PRES (Posterior Reversible Encephalopathy Syndrome — hypersignaux T2/FLAIR substance blanche pariéto-occipitale) — réversibles à l'arrêt de l'asparaginase. Une </w:t>
      </w:r>
      <w:r>
        <w:rPr>
          <w:b/>
        </w:rPr>
        <w:t>hyperammoniémie</w:t>
      </w:r>
      <w:r>
        <w:t xml:space="preserve"> (par production de NH₄⁺ par l'enzyme elle-même) peut contribuer à l'encéphalopathie et justifier une supplémentation en arginine ou benzoate de sodium.</w:t>
      </w:r>
    </w:p>
    <w:p>
      <w:r/>
      <w:r>
        <w:rPr>
          <w:b/>
        </w:rPr>
        <w:t>Effets Indésirables :</w:t>
      </w:r>
      <w:r/>
    </w:p>
    <w:p>
      <w:pPr>
        <w:pStyle w:val="ListBullet"/>
      </w:pPr>
      <w:r/>
      <w:r>
        <w:rPr>
          <w:b/>
        </w:rPr>
        <w:t>Hypersensibilité anaphylactique</w:t>
      </w:r>
      <w:r>
        <w:t xml:space="preserve"> (10-30 % sous E. coli native — voie IV &gt; voie IM) — grades 1-2 (urticaire localisée, prurit, flush) : 15-20 % ; grades 3-4 (bronchospasme, hypotension, choc anaphylactique) : 5-10 %. Imprévisible (test cutané non fiable). Mortalité &lt; 1 % sous surveillance médicale stricte. Conduit au switch vers pegaspargase ou asparaginase d'Erwinia (si disponible).</w:t>
      </w:r>
    </w:p>
    <w:p>
      <w:pPr>
        <w:pStyle w:val="ListBullet"/>
      </w:pPr>
      <w:r/>
      <w:r>
        <w:rPr>
          <w:b/>
        </w:rPr>
        <w:t>Pancréatite aiguë</w:t>
      </w:r>
      <w:r>
        <w:t xml:space="preserve"> (5-10 %) — potentiellement fatale. Formes légères (œdème pancréatique, hyperlipasémie isolée) : 60 % ; formes sévères (nécrose, pseudo-kyste, détresse multiviscérale) : 30 % ; mortalité 5 %. Imposes arrêt définitif.</w:t>
      </w:r>
    </w:p>
    <w:p>
      <w:pPr>
        <w:pStyle w:val="ListBullet"/>
      </w:pPr>
      <w:r/>
      <w:r>
        <w:rPr>
          <w:b/>
        </w:rPr>
        <w:t>Coagulopathie</w:t>
      </w:r>
      <w:r>
        <w:t xml:space="preserve"> (40-60 %) — baisse fibrinogène &lt; 1 g/L (10-15 %), baisse AT-III &lt; 50 % (15-25 %). Thromboses veineuses profondes 2-5 %, thromboses sinusiennes cérébrales 1-3 % (gravissimes — syndrome neurologique focal, convulsions, coma), embolies pulmonaires 1-3 %. Hémorragies (gingivorragies, épistaxis, hémorragies cérébrales) 2-5 %.</w:t>
      </w:r>
    </w:p>
    <w:p>
      <w:pPr>
        <w:pStyle w:val="ListBullet"/>
      </w:pPr>
      <w:r/>
      <w:r>
        <w:rPr>
          <w:b/>
        </w:rPr>
        <w:t>Hépatotoxicité</w:t>
      </w:r>
      <w:r>
        <w:t xml:space="preserve"> (30-50 %) — cytolyse ASAT/ALAT &lt; 5× LSN (30 %), cytolyse 5-10× LSN (10-15 %), stéatose hépatique (5-10 %), hépatite cholestatique sévère (1-3 %). Réversible à l'arrêt en 2-4 semaines.</w:t>
      </w:r>
    </w:p>
    <w:p>
      <w:pPr>
        <w:pStyle w:val="ListBullet"/>
      </w:pPr>
      <w:r/>
      <w:r>
        <w:rPr>
          <w:b/>
        </w:rPr>
        <w:t>Neurotoxicité centrale</w:t>
      </w:r>
      <w:r>
        <w:t xml:space="preserve"> (5-15 %) — encéphalopathie transitoire (confusion, désorientation, astérixis), PRES 1-3 %, convulsions 1-2 %, syndrome cérébelleux (&lt; 1 %).</w:t>
      </w:r>
    </w:p>
    <w:p>
      <w:pPr>
        <w:pStyle w:val="ListBullet"/>
      </w:pPr>
      <w:r/>
      <w:r>
        <w:rPr>
          <w:b/>
        </w:rPr>
        <w:t>Hyperglycémie</w:t>
      </w:r>
      <w:r>
        <w:t xml:space="preserve"> (10-30 %) — par inhibition de la synthèse d'insuline (les cellules β pancréatiques expriment ASNS à un niveau faible). Parfois insulinorequérante transitoirement. Risque accru si corticothérapie concomitante (prednisone, dexaméthasone — systématique dans les protocoles de LAL).</w:t>
      </w:r>
    </w:p>
    <w:p>
      <w:pPr>
        <w:pStyle w:val="ListBullet"/>
      </w:pPr>
      <w:r/>
      <w:r>
        <w:rPr>
          <w:b/>
        </w:rPr>
        <w:t>Hyperammoniémie</w:t>
      </w:r>
      <w:r>
        <w:t xml:space="preserve"> (15-25 %) — conséquence directe de la production d'NH₄⁺ par l'hydrolyse de l'asparagine. Rarement symptomatique mais peut aggraver une encéphalopathie.</w:t>
      </w:r>
    </w:p>
    <w:p>
      <w:pPr>
        <w:pStyle w:val="ListBullet"/>
      </w:pPr>
      <w:r/>
      <w:r>
        <w:rPr>
          <w:b/>
        </w:rPr>
        <w:t>Nécrose au point d'injection IM</w:t>
      </w:r>
      <w:r>
        <w:t xml:space="preserve"> (5-10 %) — nodules sous-cutanés inflammatoires, parfois abcédés. Prévention : rotation des sites d'injection (fesses, cuisses, bras).</w:t>
      </w:r>
    </w:p>
    <w:p>
      <w:pPr>
        <w:pStyle w:val="ListBullet"/>
      </w:pPr>
      <w:r/>
      <w:r>
        <w:rPr>
          <w:b/>
        </w:rPr>
        <w:t>Fièvre isolée</w:t>
      </w:r>
      <w:r>
        <w:t xml:space="preserve"> (15-25 %) — sans infection documentée, réaction immunogène à la protéine bactérienne.</w:t>
      </w:r>
    </w:p>
    <w:p>
      <w:pPr>
        <w:pStyle w:val="ListBullet"/>
      </w:pPr>
      <w:r/>
      <w:r>
        <w:rPr>
          <w:b/>
        </w:rPr>
        <w:t>Myélosuppression</w:t>
      </w:r>
      <w:r>
        <w:t xml:space="preserve"> — rare et modérée (leucopénie G1-G2 dans 5-10 %), car les blastes leucémiques sont ciblés mais la moelle saine est relativement épargnée.</w:t>
      </w:r>
    </w:p>
    <w:p>
      <w:pPr>
        <w:pStyle w:val="ListBullet"/>
      </w:pPr>
      <w:r/>
      <w:r>
        <w:rPr>
          <w:b/>
        </w:rPr>
        <w:t>Allongement du TP/TCA</w:t>
      </w:r>
      <w:r>
        <w:t xml:space="preserve"> (50-70 %) — sans traduction clinique si fibrinogène et AT-III surveillés et corrigés.</w:t>
      </w:r>
    </w:p>
    <w:p>
      <w:pPr>
        <w:pStyle w:val="ListBullet"/>
      </w:pPr>
      <w:r/>
      <w:r>
        <w:rPr>
          <w:b/>
        </w:rPr>
        <w:t>Syndrome de lyse tumorale</w:t>
      </w:r>
      <w:r>
        <w:t xml:space="preserve"> — rare mais possible dans les LAL à haute masse tumorale (hyperleucocytose &gt;100 G/L) ; prévention par allopurinol et hyperhydratation alcaline.</w:t>
      </w:r>
    </w:p>
    <w:p>
      <w:r/>
      <w:r>
        <w:rPr>
          <w:b/>
        </w:rPr>
        <w:t>Prévention et Gestion des Effets Indésirables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Effet indésirable</w:t>
            </w:r>
          </w:p>
        </w:tc>
        <w:tc>
          <w:tcPr>
            <w:tcW w:type="dxa" w:w="1871"/>
          </w:tcPr>
          <w:p>
            <w:r>
              <w:rPr>
                <w:b/>
                <w:sz w:val="20"/>
              </w:rPr>
              <w:t>Fréquence</w:t>
            </w:r>
          </w:p>
        </w:tc>
        <w:tc>
          <w:tcPr>
            <w:tcW w:type="dxa" w:w="1871"/>
          </w:tcPr>
          <w:p>
            <w:r>
              <w:rPr>
                <w:b/>
                <w:sz w:val="20"/>
              </w:rPr>
              <w:t>Détection</w:t>
            </w:r>
          </w:p>
        </w:tc>
        <w:tc>
          <w:tcPr>
            <w:tcW w:type="dxa" w:w="1871"/>
          </w:tcPr>
          <w:p>
            <w:r>
              <w:rPr>
                <w:b/>
                <w:sz w:val="20"/>
              </w:rPr>
              <w:t>Prévention</w:t>
            </w:r>
          </w:p>
        </w:tc>
        <w:tc>
          <w:tcPr>
            <w:tcW w:type="dxa" w:w="1871"/>
          </w:tcPr>
          <w:p>
            <w:r>
              <w:rPr>
                <w:b/>
                <w:sz w:val="20"/>
              </w:rPr>
              <w:t>Traitement</w:t>
            </w:r>
          </w:p>
        </w:tc>
      </w:tr>
      <w:tr>
        <w:tc>
          <w:tcPr>
            <w:tcW w:type="dxa" w:w="1871"/>
          </w:tcPr>
          <w:p>
            <w:r>
              <w:rPr>
                <w:sz w:val="20"/>
              </w:rPr>
              <w:t>Anaphylaxie</w:t>
            </w:r>
          </w:p>
        </w:tc>
        <w:tc>
          <w:tcPr>
            <w:tcW w:type="dxa" w:w="1871"/>
          </w:tcPr>
          <w:p>
            <w:r>
              <w:rPr>
                <w:sz w:val="20"/>
              </w:rPr>
              <w:t>10-30 %</w:t>
            </w:r>
          </w:p>
        </w:tc>
        <w:tc>
          <w:tcPr>
            <w:tcW w:type="dxa" w:w="1871"/>
          </w:tcPr>
          <w:p>
            <w:r>
              <w:rPr>
                <w:sz w:val="20"/>
              </w:rPr>
              <w:t>Clinique (1 h post-injection)</w:t>
            </w:r>
          </w:p>
        </w:tc>
        <w:tc>
          <w:tcPr>
            <w:tcW w:type="dxa" w:w="1871"/>
          </w:tcPr>
          <w:p>
            <w:r>
              <w:rPr>
                <w:sz w:val="20"/>
              </w:rPr>
              <w:t>Voie IM préférée, prémédication anti-H1 (chlorphéniramine 0,1 mg/kg IV 30 min avant), surveillance médicale 1 h, kit urgence</w:t>
            </w:r>
          </w:p>
        </w:tc>
        <w:tc>
          <w:tcPr>
            <w:tcW w:type="dxa" w:w="1871"/>
          </w:tcPr>
          <w:p>
            <w:r>
              <w:rPr>
                <w:sz w:val="20"/>
              </w:rPr>
              <w:t>Adrénaline 0,3 mg IM (0,01 mg/kg chez l'enfant), corticoïdes IV, anti-H1, oxygène, remplissage. **Switch vers asparaginase Erwinia ou pegaspargase si disponible.**</w:t>
            </w:r>
          </w:p>
        </w:tc>
      </w:tr>
      <w:tr>
        <w:tc>
          <w:tcPr>
            <w:tcW w:type="dxa" w:w="1871"/>
          </w:tcPr>
          <w:p>
            <w:r>
              <w:rPr>
                <w:sz w:val="20"/>
              </w:rPr>
              <w:t>Pancréatite aiguë</w:t>
            </w:r>
          </w:p>
        </w:tc>
        <w:tc>
          <w:tcPr>
            <w:tcW w:type="dxa" w:w="1871"/>
          </w:tcPr>
          <w:p>
            <w:r>
              <w:rPr>
                <w:sz w:val="20"/>
              </w:rPr>
              <w:t>5-10 %</w:t>
            </w:r>
          </w:p>
        </w:tc>
        <w:tc>
          <w:tcPr>
            <w:tcW w:type="dxa" w:w="1871"/>
          </w:tcPr>
          <w:p>
            <w:r>
              <w:rPr>
                <w:sz w:val="20"/>
              </w:rPr>
              <w:t>Lipase &gt; 3× LSN + douleur épigastrique + TDM</w:t>
            </w:r>
          </w:p>
        </w:tc>
        <w:tc>
          <w:tcPr>
            <w:tcW w:type="dxa" w:w="1871"/>
          </w:tcPr>
          <w:p>
            <w:r>
              <w:rPr>
                <w:sz w:val="20"/>
              </w:rPr>
              <w:t>Pas de prévention validée (éviter l'alcool, les repas riches en graisses). Surveillance lipase J1, J3, J7 de chaque cure.</w:t>
            </w:r>
          </w:p>
        </w:tc>
        <w:tc>
          <w:tcPr>
            <w:tcW w:type="dxa" w:w="1871"/>
          </w:tcPr>
          <w:p>
            <w:r>
              <w:rPr>
                <w:sz w:val="20"/>
              </w:rPr>
              <w:t>Arrêt définitif asparaginase, hospitalisation USC/USI, nutrition entérale jéjunale ou parentérale, antalgiques IV, antibiothérapie probabiliste. **Arrêt définitif — pas de switch.**</w:t>
            </w:r>
          </w:p>
        </w:tc>
      </w:tr>
      <w:tr>
        <w:tc>
          <w:tcPr>
            <w:tcW w:type="dxa" w:w="1871"/>
          </w:tcPr>
          <w:p>
            <w:r>
              <w:rPr>
                <w:sz w:val="20"/>
              </w:rPr>
              <w:t>Thrombose veineuse profonde / sinus caverneux</w:t>
            </w:r>
          </w:p>
        </w:tc>
        <w:tc>
          <w:tcPr>
            <w:tcW w:type="dxa" w:w="1871"/>
          </w:tcPr>
          <w:p>
            <w:r>
              <w:rPr>
                <w:sz w:val="20"/>
              </w:rPr>
              <w:t>2-5 %</w:t>
            </w:r>
          </w:p>
        </w:tc>
        <w:tc>
          <w:tcPr>
            <w:tcW w:type="dxa" w:w="1871"/>
          </w:tcPr>
          <w:p>
            <w:r>
              <w:rPr>
                <w:sz w:val="20"/>
              </w:rPr>
              <w:t>Clinique (douleur, œdème membre) / signes neurologiques focaux</w:t>
            </w:r>
          </w:p>
        </w:tc>
        <w:tc>
          <w:tcPr>
            <w:tcW w:type="dxa" w:w="1871"/>
          </w:tcPr>
          <w:p>
            <w:r>
              <w:rPr>
                <w:sz w:val="20"/>
              </w:rPr>
              <w:t>Surveillance AT-III hebdomadaire (substitution si &lt; 60 %), contention élastique, mobilisation précoce</w:t>
            </w:r>
          </w:p>
        </w:tc>
        <w:tc>
          <w:tcPr>
            <w:tcW w:type="dxa" w:w="1871"/>
          </w:tcPr>
          <w:p>
            <w:r>
              <w:rPr>
                <w:sz w:val="20"/>
              </w:rPr>
              <w:t>HBPM à dose curative (enoxaparine 1 mg/kg × 2/j), substitution AT-III (Atnativ® 25-50 UI/kg), arrêt temporaire asparaginase</w:t>
            </w:r>
          </w:p>
        </w:tc>
      </w:tr>
      <w:tr>
        <w:tc>
          <w:tcPr>
            <w:tcW w:type="dxa" w:w="1871"/>
          </w:tcPr>
          <w:p>
            <w:r>
              <w:rPr>
                <w:sz w:val="20"/>
              </w:rPr>
              <w:t>Hémorragie (fibrinogène &lt; 1 g/L)</w:t>
            </w:r>
          </w:p>
        </w:tc>
        <w:tc>
          <w:tcPr>
            <w:tcW w:type="dxa" w:w="1871"/>
          </w:tcPr>
          <w:p>
            <w:r>
              <w:rPr>
                <w:sz w:val="20"/>
              </w:rPr>
              <w:t>2-5 %</w:t>
            </w:r>
          </w:p>
        </w:tc>
        <w:tc>
          <w:tcPr>
            <w:tcW w:type="dxa" w:w="1871"/>
          </w:tcPr>
          <w:p>
            <w:r>
              <w:rPr>
                <w:sz w:val="20"/>
              </w:rPr>
              <w:t>Clinique + bilan hémostase</w:t>
            </w:r>
          </w:p>
        </w:tc>
        <w:tc>
          <w:tcPr>
            <w:tcW w:type="dxa" w:w="1871"/>
          </w:tcPr>
          <w:p>
            <w:r>
              <w:rPr>
                <w:sz w:val="20"/>
              </w:rPr>
              <w:t>Surveillance fibrinogène hebdomadaire</w:t>
            </w:r>
          </w:p>
        </w:tc>
        <w:tc>
          <w:tcPr>
            <w:tcW w:type="dxa" w:w="1871"/>
          </w:tcPr>
          <w:p>
            <w:r>
              <w:rPr>
                <w:sz w:val="20"/>
              </w:rPr>
              <w:t>Substitution fibrinogène (Riastap® 30-60 mg/kg), arrêt temporaire asparaginase</w:t>
            </w:r>
          </w:p>
        </w:tc>
      </w:tr>
      <w:tr>
        <w:tc>
          <w:tcPr>
            <w:tcW w:type="dxa" w:w="1871"/>
          </w:tcPr>
          <w:p>
            <w:r>
              <w:rPr>
                <w:sz w:val="20"/>
              </w:rPr>
              <w:t>Hépatotoxicité</w:t>
            </w:r>
          </w:p>
        </w:tc>
        <w:tc>
          <w:tcPr>
            <w:tcW w:type="dxa" w:w="1871"/>
          </w:tcPr>
          <w:p>
            <w:r>
              <w:rPr>
                <w:sz w:val="20"/>
              </w:rPr>
              <w:t>30-50 %</w:t>
            </w:r>
          </w:p>
        </w:tc>
        <w:tc>
          <w:tcPr>
            <w:tcW w:type="dxa" w:w="1871"/>
          </w:tcPr>
          <w:p>
            <w:r>
              <w:rPr>
                <w:sz w:val="20"/>
              </w:rPr>
              <w:t>ASAT/ALAT, GGT, PAL, bilirubine</w:t>
            </w:r>
          </w:p>
        </w:tc>
        <w:tc>
          <w:tcPr>
            <w:tcW w:type="dxa" w:w="1871"/>
          </w:tcPr>
          <w:p>
            <w:r>
              <w:rPr>
                <w:sz w:val="20"/>
              </w:rPr>
              <w:t>Éviter hépatotoxiques associés (paracétamol ≤ 2 g/j, alcool)</w:t>
            </w:r>
          </w:p>
        </w:tc>
        <w:tc>
          <w:tcPr>
            <w:tcW w:type="dxa" w:w="1871"/>
          </w:tcPr>
          <w:p>
            <w:r>
              <w:rPr>
                <w:sz w:val="20"/>
              </w:rPr>
              <w:t>Surveillance biologique, adaptation dose si cytolyse &gt; 5× LSN</w:t>
            </w:r>
          </w:p>
        </w:tc>
      </w:tr>
      <w:tr>
        <w:tc>
          <w:tcPr>
            <w:tcW w:type="dxa" w:w="1871"/>
          </w:tcPr>
          <w:p>
            <w:r>
              <w:rPr>
                <w:sz w:val="20"/>
              </w:rPr>
              <w:t>Encéphalopathie</w:t>
            </w:r>
          </w:p>
        </w:tc>
        <w:tc>
          <w:tcPr>
            <w:tcW w:type="dxa" w:w="1871"/>
          </w:tcPr>
          <w:p>
            <w:r>
              <w:rPr>
                <w:sz w:val="20"/>
              </w:rPr>
              <w:t>5-15 %</w:t>
            </w:r>
          </w:p>
        </w:tc>
        <w:tc>
          <w:tcPr>
            <w:tcW w:type="dxa" w:w="1871"/>
          </w:tcPr>
          <w:p>
            <w:r>
              <w:rPr>
                <w:sz w:val="20"/>
              </w:rPr>
              <w:t>Examen neurologique</w:t>
            </w:r>
          </w:p>
        </w:tc>
        <w:tc>
          <w:tcPr>
            <w:tcW w:type="dxa" w:w="1871"/>
          </w:tcPr>
          <w:p>
            <w:r>
              <w:rPr>
                <w:sz w:val="20"/>
              </w:rPr>
              <w:t>Éviter associations neurotoxiques (vincristine haute dose)</w:t>
            </w:r>
          </w:p>
        </w:tc>
        <w:tc>
          <w:tcPr>
            <w:tcW w:type="dxa" w:w="1871"/>
          </w:tcPr>
          <w:p>
            <w:r>
              <w:rPr>
                <w:sz w:val="20"/>
              </w:rPr>
              <w:t>Arrêt transitoire, IRM cérébrale (PRES), traitement symptomatique</w:t>
            </w:r>
          </w:p>
        </w:tc>
      </w:tr>
      <w:tr>
        <w:tc>
          <w:tcPr>
            <w:tcW w:type="dxa" w:w="1871"/>
          </w:tcPr>
          <w:p>
            <w:r>
              <w:rPr>
                <w:sz w:val="20"/>
              </w:rPr>
              <w:t>Hyperglycémie</w:t>
            </w:r>
          </w:p>
        </w:tc>
        <w:tc>
          <w:tcPr>
            <w:tcW w:type="dxa" w:w="1871"/>
          </w:tcPr>
          <w:p>
            <w:r>
              <w:rPr>
                <w:sz w:val="20"/>
              </w:rPr>
              <w:t>10-30 %</w:t>
            </w:r>
          </w:p>
        </w:tc>
        <w:tc>
          <w:tcPr>
            <w:tcW w:type="dxa" w:w="1871"/>
          </w:tcPr>
          <w:p>
            <w:r>
              <w:rPr>
                <w:sz w:val="20"/>
              </w:rPr>
              <w:t>Glycémie capillaire 3×/semaine</w:t>
            </w:r>
          </w:p>
        </w:tc>
        <w:tc>
          <w:tcPr>
            <w:tcW w:type="dxa" w:w="1871"/>
          </w:tcPr>
          <w:p>
            <w:r>
              <w:rPr>
                <w:sz w:val="20"/>
              </w:rPr>
              <w:t>Adapter corticothérapie</w:t>
            </w:r>
          </w:p>
        </w:tc>
        <w:tc>
          <w:tcPr>
            <w:tcW w:type="dxa" w:w="1871"/>
          </w:tcPr>
          <w:p>
            <w:r>
              <w:rPr>
                <w:sz w:val="20"/>
              </w:rPr>
              <w:t>Insuline scéma basal-bolus ou perfusion continue IV si sévère</w:t>
            </w:r>
          </w:p>
        </w:tc>
      </w:tr>
      <w:tr>
        <w:tc>
          <w:tcPr>
            <w:tcW w:type="dxa" w:w="1871"/>
          </w:tcPr>
          <w:p>
            <w:r>
              <w:rPr>
                <w:sz w:val="20"/>
              </w:rPr>
              <w:t>Fièvre isolée</w:t>
            </w:r>
          </w:p>
        </w:tc>
        <w:tc>
          <w:tcPr>
            <w:tcW w:type="dxa" w:w="1871"/>
          </w:tcPr>
          <w:p>
            <w:r>
              <w:rPr>
                <w:sz w:val="20"/>
              </w:rPr>
              <w:t>15-25 %</w:t>
            </w:r>
          </w:p>
        </w:tc>
        <w:tc>
          <w:tcPr>
            <w:tcW w:type="dxa" w:w="1871"/>
          </w:tcPr>
          <w:p>
            <w:r>
              <w:rPr>
                <w:sz w:val="20"/>
              </w:rPr>
              <w:t>Clinique (T° &gt; 38,5°C)</w:t>
            </w:r>
          </w:p>
        </w:tc>
        <w:tc>
          <w:tcPr>
            <w:tcW w:type="dxa" w:w="1871"/>
          </w:tcPr>
          <w:p>
            <w:r>
              <w:rPr>
                <w:sz w:val="20"/>
              </w:rPr>
              <w:t>—</w:t>
            </w:r>
          </w:p>
        </w:tc>
        <w:tc>
          <w:tcPr>
            <w:tcW w:type="dxa" w:w="1871"/>
          </w:tcPr>
          <w:p>
            <w:r>
              <w:rPr>
                <w:sz w:val="20"/>
              </w:rPr>
              <w:t>Antipyrétiques (paracétamol), si persistance &gt; 48 h → hémocultures + antibiothérapie probabiliste</w:t>
            </w:r>
          </w:p>
        </w:tc>
      </w:tr>
      <w:tr>
        <w:tc>
          <w:tcPr>
            <w:tcW w:type="dxa" w:w="1871"/>
          </w:tcPr>
          <w:p>
            <w:r>
              <w:rPr>
                <w:sz w:val="20"/>
              </w:rPr>
              <w:t>Nécrose site IM</w:t>
            </w:r>
          </w:p>
        </w:tc>
        <w:tc>
          <w:tcPr>
            <w:tcW w:type="dxa" w:w="1871"/>
          </w:tcPr>
          <w:p>
            <w:r>
              <w:rPr>
                <w:sz w:val="20"/>
              </w:rPr>
              <w:t>5-10 %</w:t>
            </w:r>
          </w:p>
        </w:tc>
        <w:tc>
          <w:tcPr>
            <w:tcW w:type="dxa" w:w="1871"/>
          </w:tcPr>
          <w:p>
            <w:r>
              <w:rPr>
                <w:sz w:val="20"/>
              </w:rPr>
              <w:t>Examen local</w:t>
            </w:r>
          </w:p>
        </w:tc>
        <w:tc>
          <w:tcPr>
            <w:tcW w:type="dxa" w:w="1871"/>
          </w:tcPr>
          <w:p>
            <w:r>
              <w:rPr>
                <w:sz w:val="20"/>
              </w:rPr>
              <w:t>Rotation des sites, aspiration avant injection (test sang)</w:t>
            </w:r>
          </w:p>
        </w:tc>
        <w:tc>
          <w:tcPr>
            <w:tcW w:type="dxa" w:w="1871"/>
          </w:tcPr>
          <w:p>
            <w:r>
              <w:rPr>
                <w:sz w:val="20"/>
              </w:rPr>
              <w:t>Antiseptique local, pansement hydrocolloïde, parfois antibiothérapie</w:t>
            </w:r>
          </w:p>
        </w:tc>
      </w:tr>
    </w:tbl>
    <w:p/>
    <w:p>
      <w:r/>
      <w:r>
        <w:rPr>
          <w:b/>
        </w:rPr>
        <w:t>Surveillance hebdomadaire minimale</w:t>
      </w:r>
      <w:r>
        <w:t xml:space="preserve"> : NFS-plaquettes (nadir J7-J14), ionogramme, urée, créatinine, bilan hépatique (ASAT, ALAT, GGT, PAL, bilirubine, TP, TCA), fibrinogène, AT-III, lipase, amylase, glycémie, albuminémie. </w:t>
      </w:r>
      <w:r>
        <w:rPr>
          <w:b/>
        </w:rPr>
        <w:t>Surveillance post-injection immédiate</w:t>
      </w:r>
      <w:r>
        <w:t xml:space="preserve"> (1 h) : constantes hémodynamiques (TA, FC, SpO₂), état respiratoire, état cutané, en présence d'un médecin réanimateur.</w:t>
      </w:r>
    </w:p>
    <w:p>
      <w:r/>
      <w:r>
        <w:rPr>
          <w:b/>
        </w:rPr>
        <w:t>Interactions Importantes :</w:t>
      </w:r>
      <w:r/>
    </w:p>
    <w:p>
      <w:pPr>
        <w:pStyle w:val="ListBullet"/>
      </w:pPr>
      <w:r/>
      <w:r>
        <w:rPr>
          <w:b/>
        </w:rPr>
        <w:t>Asparaginase + vaccins vivants atténués</w:t>
      </w:r>
      <w:r>
        <w:t xml:space="preserve"> (rougeole-rubéole-oreillons [ROR], varicelle, BCG, fièvre jaune, rotavirus) — </w:t>
      </w:r>
      <w:r>
        <w:rPr>
          <w:b/>
        </w:rPr>
        <w:t>contre-indication absolue</w:t>
      </w:r>
      <w:r>
        <w:t xml:space="preserve"> : risque d'infection vaccinale généralisée sévère chez le patient immunodéprimé. Délai : ne pas vacciner pendant le traitement et jusqu'à 3 mois après la dernière injection.</w:t>
      </w:r>
    </w:p>
    <w:p>
      <w:pPr>
        <w:pStyle w:val="ListBullet"/>
      </w:pPr>
      <w:r/>
      <w:r>
        <w:rPr>
          <w:b/>
        </w:rPr>
        <w:t>Asparaginase + anticoagulants oraux (AVK warfarine)</w:t>
      </w:r>
      <w:r>
        <w:t xml:space="preserve"> — surveillance stricte INR (la chute de la synthèse hépatique des facteurs vit-K dépendants II/VII/IX/X potentialise l'effet des AVK → surdosage et hémorragie). Contre-indication relative — privilégier les HBPM (enoxaparine) à dose curative, qui ne dépendent pas de la coagulation hépatique.</w:t>
      </w:r>
    </w:p>
    <w:p>
      <w:pPr>
        <w:pStyle w:val="ListBullet"/>
      </w:pPr>
      <w:r/>
      <w:r>
        <w:rPr>
          <w:b/>
        </w:rPr>
        <w:t>Asparaginase + aspirine (acide acétylsalicylique)</w:t>
      </w:r>
      <w:r>
        <w:t xml:space="preserve"> — éviter (potentialisation du risque hémorragique par thrombopénie synergique + hypofibrinogénémie).</w:t>
      </w:r>
    </w:p>
    <w:p>
      <w:pPr>
        <w:pStyle w:val="ListBullet"/>
      </w:pPr>
      <w:r/>
      <w:r>
        <w:rPr>
          <w:b/>
        </w:rPr>
        <w:t>Asparaginase + AINS</w:t>
      </w:r>
      <w:r>
        <w:t xml:space="preserve"> (ibuprofène, kétoprofène) — éviter (risque hémorragique, aggravation d'une éventuelle insuffisance rénale).</w:t>
      </w:r>
    </w:p>
    <w:p>
      <w:pPr>
        <w:pStyle w:val="ListBullet"/>
      </w:pPr>
      <w:r/>
      <w:r>
        <w:rPr>
          <w:b/>
        </w:rPr>
        <w:t>Asparaginase + méthotrexate</w:t>
      </w:r>
      <w:r>
        <w:t xml:space="preserve"> — interaction pharmacodynamique complexe : l'asparaginase inhibe la synthèse protéique et peut réduire l'entrée cellulaire du méthotrexate (antagonisme partiel — administrer le méthotrexate avant l'asparaginase). Mais elle réduit aussi la synthèse des folates cellulaires et peut potentialiser la toxicité du méthotrexate (mucites). Espacer les administrations de ≥ 24 h.</w:t>
      </w:r>
    </w:p>
    <w:p>
      <w:pPr>
        <w:pStyle w:val="ListBullet"/>
      </w:pPr>
      <w:r/>
      <w:r>
        <w:rPr>
          <w:b/>
        </w:rPr>
        <w:t>Asparaginase + vincristine</w:t>
      </w:r>
      <w:r>
        <w:t xml:space="preserve"> — administered classiquement le même jour (J1, J8, J15 des protocoles LAL type BFM). L'asparaginase potentialise la neurotoxicité de la vincristine (neuropathie périphérique, iléus paralytique, myalgies). Surveillance neurologique hebdomadaire. Réduction de la vincristine à 1,5 mg/m² (cap absolu 2 mg) en cas de toxicité G2.</w:t>
      </w:r>
    </w:p>
    <w:p>
      <w:pPr>
        <w:pStyle w:val="ListBullet"/>
      </w:pPr>
      <w:r/>
      <w:r>
        <w:rPr>
          <w:b/>
        </w:rPr>
        <w:t>Asparaginase + corticothérapie (prednisone, dexaméthasone)</w:t>
      </w:r>
      <w:r>
        <w:t xml:space="preserve"> — pas d'interaction pharmacocinétique majeure, mais potentialisation du risque hyperglycémique (les deux agents sont diabétogènes). Surveillance glycémie capillaire ≥ 3×/semaine.</w:t>
      </w:r>
    </w:p>
    <w:p>
      <w:pPr>
        <w:pStyle w:val="ListBullet"/>
      </w:pPr>
      <w:r/>
      <w:r>
        <w:rPr>
          <w:b/>
        </w:rPr>
        <w:t>Asparaginase + cyclophosphamide</w:t>
      </w:r>
      <w:r>
        <w:t xml:space="preserve"> — pas d'interaction pharmacocinétique notable. Administré dans les protocoles à forte intensité (BFM HR, COG high-risk).</w:t>
      </w:r>
    </w:p>
    <w:p>
      <w:pPr>
        <w:pStyle w:val="ListBullet"/>
      </w:pPr>
      <w:r/>
      <w:r>
        <w:rPr>
          <w:b/>
        </w:rPr>
        <w:t>Asparaginase + paracétamol</w:t>
      </w:r>
      <w:r>
        <w:t xml:space="preserve"> — éviter les doses &gt; 2 g/j (potentialisation hépatotoxicité, le paracétamol est métabolisé par le CYP2E1 et son métabolite hépatotoxique NAPQI s'accumule en cas d'insuffisance hépatique asparaginase-induite).</w:t>
      </w:r>
    </w:p>
    <w:p>
      <w:pPr>
        <w:pStyle w:val="ListBullet"/>
      </w:pPr>
      <w:r/>
      <w:r>
        <w:rPr>
          <w:b/>
        </w:rPr>
        <w:t>Asparaginase + alcool</w:t>
      </w:r>
      <w:r>
        <w:t xml:space="preserve"> — contre-indication relative (risque hépatotoxicité synergique et pancréatite).</w:t>
      </w:r>
    </w:p>
    <w:p>
      <w:pPr>
        <w:pStyle w:val="ListBullet"/>
      </w:pPr>
      <w:r/>
      <w:r>
        <w:rPr>
          <w:b/>
        </w:rPr>
        <w:t>Asparaginase + éthinylestradiol / progestatifs (contraception orale)</w:t>
      </w:r>
      <w:r>
        <w:t xml:space="preserve"> — contre-indication absolue (potentialisation du risque thrombotique, risque tératogène de l'asparaginase chez la femme enceinte). Privilégier une contraception mécanique (préservatif + diaphragme) ou progestative pure (microprogestatifs désogestrel — mais vérifier CRAT).</w:t>
      </w:r>
    </w:p>
    <w:p>
      <w:pPr>
        <w:pStyle w:val="ListBullet"/>
      </w:pPr>
      <w:r/>
      <w:r>
        <w:rPr>
          <w:b/>
        </w:rPr>
        <w:t>Asparaginase + produits sanguins labiles (transfusion)</w:t>
      </w:r>
      <w:r>
        <w:t xml:space="preserve"> — surveiller la numération plaquettaire ; l'asparaginase peut aggraver la thrombopénie post-chimiothérapie et imposer des transfusions prophylactiques (seuil 10-20 G/L, parfois 50 G/L si hémorragie active ou fièvre).</w:t>
      </w:r>
    </w:p>
    <w:p>
      <w:r/>
      <w:r>
        <w:rPr>
          <w:b/>
        </w:rPr>
        <w:t>Grossesse et Allaitement :</w:t>
      </w:r>
      <w:r/>
    </w:p>
    <w:p>
      <w:pPr>
        <w:pStyle w:val="ListBullet"/>
      </w:pPr>
      <w:r/>
      <w:r>
        <w:rPr>
          <w:b/>
        </w:rPr>
        <w:t>Grossesse</w:t>
      </w:r>
      <w:r>
        <w:t xml:space="preserve"> (CRAT — Centre de Renseignement sur les Agents Tératogènes, Hôpital Armand-Trousseau, Paris) : L'asparaginase n'a pas été évaluée rigoureusement chez la femme enceinte en raison de son indication quasi-exclusive chez l'enfant et l'adulte jeune non enceinte. Les données animales sont limitées (études de tératogenèse non systématiquement conduites, l'asparaginase étant un médicament orphelin pédiatrique). Le CRAT retient néanmoins </w:t>
      </w:r>
      <w:r>
        <w:rPr>
          <w:b/>
        </w:rPr>
        <w:t>un risque tératogène suspecté</w:t>
      </w:r>
      <w:r>
        <w:t xml:space="preserve"> sur la base du mécanisme (inhibition de la synthèse protéique, essentielle au développement embryonnaire — notamment pour les organes en croissance rapide au 1er trimestre : tube neural, cœur, palate). Le principe de précaution conduit à classer l'asparaginase en </w:t>
      </w:r>
      <w:r>
        <w:rPr>
          <w:b/>
        </w:rPr>
        <w:t>catégorie D (suspecté tératogène)</w:t>
      </w:r>
      <w:r>
        <w:t xml:space="preserve"> avec </w:t>
      </w:r>
      <w:r>
        <w:rPr>
          <w:b/>
        </w:rPr>
        <w:t>contre-indication absolue</w:t>
      </w:r>
      <w:r>
        <w:t xml:space="preserve"> à son utilisation pendant la grossesse, sauf situation de sauvetage vital (LAL réfractaire chez une femme enceinte — discussion RCP multidisciplinaire oncologie-pédiatrie-obstétrique).</w:t>
      </w:r>
    </w:p>
    <w:p>
      <w:pPr>
        <w:pStyle w:val="ListBullet"/>
      </w:pPr>
      <w:r/>
      <w:r>
        <w:rPr>
          <w:b/>
        </w:rPr>
        <w:t>Contraception</w:t>
      </w:r>
      <w:r>
        <w:t xml:space="preserve"> : Double méthode (préservatif + contraception hormonale progestative microdosée — mais éviter les estroprogestatifs en raison du risque thrombotique asparaginase-induit) pendant toute la durée du traitement et jusqu'à </w:t>
      </w:r>
      <w:r>
        <w:rPr>
          <w:b/>
        </w:rPr>
        <w:t>3 mois après la dernière injection</w:t>
      </w:r>
      <w:r>
        <w:t xml:space="preserve"> (demi-vie courte mais élimination complète des pools protéiques bactériens).</w:t>
      </w:r>
    </w:p>
    <w:p>
      <w:pPr>
        <w:pStyle w:val="ListBullet"/>
      </w:pPr>
      <w:r/>
      <w:r>
        <w:rPr>
          <w:b/>
        </w:rPr>
        <w:t>Femme en âge de procréer</w:t>
      </w:r>
      <w:r>
        <w:t xml:space="preserve"> : Test de grossesse (β-hCG) systématique avant l'instauration du traitement, mensuellement pendant le traitement.</w:t>
      </w:r>
    </w:p>
    <w:p>
      <w:pPr>
        <w:pStyle w:val="ListBullet"/>
      </w:pPr>
      <w:r/>
      <w:r>
        <w:rPr>
          <w:b/>
        </w:rPr>
        <w:t>Allaitement</w:t>
      </w:r>
      <w:r>
        <w:t xml:space="preserve"> : </w:t>
      </w:r>
      <w:r>
        <w:rPr>
          <w:b/>
        </w:rPr>
        <w:t>Contre-indication absolue</w:t>
      </w:r>
      <w:r>
        <w:t xml:space="preserve"> — l'asparaginase, protéine bactérienne de 138 kDa, est probablement excrétée dans le lait maternel (faible passage mais risque immunogène majeur chez le nourrisson — sensibilisation aux protéines d'E. coli, choc anaphylactique théorique). L'allaitement doit être interrompu pendant toute la durée du traitement et jusqu'à 1 semaine après la dernière injection.</w:t>
      </w:r>
    </w:p>
    <w:p>
      <w:pPr>
        <w:pStyle w:val="ListBullet"/>
      </w:pPr>
      <w:r/>
      <w:r>
        <w:rPr>
          <w:b/>
        </w:rPr>
        <w:t>Conservation des gamètes</w:t>
      </w:r>
      <w:r>
        <w:t xml:space="preserve"> : À discuter systématiquement chez l'adolescente et la jeune femme avant l'instauration du protocole de LAL (la chimiothérapie globale — cyclophosphamide, étoposide, anthracyclines — est gonadotoxique, et l'asparaginase participe à cette gonadotoxicité globale par son effet anti-prolifératif sur les cellules germinales). Cryoconservation ovocytaire ou embryonnaire, ou congelation de fragment ovarien (technique expérimentale en Algérie).</w:t>
      </w:r>
    </w:p>
    <w:p>
      <w:r/>
      <w:r>
        <w:rPr>
          <w:b/>
        </w:rPr>
        <w:t>Posologie et Mode d'Administration :</w:t>
      </w:r>
      <w:r/>
    </w:p>
    <w:p>
      <w:pPr>
        <w:pStyle w:val="ListBullet"/>
      </w:pPr>
      <w:r/>
      <w:r>
        <w:rPr>
          <w:b/>
        </w:rPr>
        <w:t>Adulte et enfant</w:t>
      </w:r>
      <w:r>
        <w:t xml:space="preserve"> :</w:t>
      </w:r>
    </w:p>
    <w:p>
      <w:pPr>
        <w:pStyle w:val="ListBullet"/>
      </w:pPr>
      <w:r/>
      <w:r>
        <w:rPr>
          <w:b/>
        </w:rPr>
        <w:t>Schéma standard BFM (Berlin-Frankfurt-Münster)</w:t>
      </w:r>
      <w:r>
        <w:t xml:space="preserve"> — protocoles pédiatriques AALL/BFM :</w:t>
      </w:r>
    </w:p>
    <w:p>
      <w:pPr>
        <w:pStyle w:val="ListBullet"/>
      </w:pPr>
      <w:r>
        <w:t>Phase induction : 5 000-10 000 UI/m² IM × 8 doses (J3, J5, J7, J9, J11, J13, J15, J17) — voie IM privilégiée.</w:t>
      </w:r>
    </w:p>
    <w:p>
      <w:pPr>
        <w:pStyle w:val="ListBullet"/>
      </w:pPr>
      <w:r>
        <w:t>Phase consolidation/intensification (Protocole I, Protocole M) : 10 000 UI/m² IM × 4 doses (J1, J3, J5, J7) par cure, répétée à 2 cures.</w:t>
      </w:r>
    </w:p>
    <w:p>
      <w:pPr>
        <w:pStyle w:val="ListBullet"/>
      </w:pPr>
      <w:r>
        <w:t>Phase re-induction (Protocole II) : 10 000 UI/m² IM × 4 doses par cure.</w:t>
      </w:r>
    </w:p>
    <w:p>
      <w:pPr>
        <w:pStyle w:val="ListBullet"/>
      </w:pPr>
      <w:r/>
      <w:r>
        <w:rPr>
          <w:b/>
        </w:rPr>
        <w:t>Schéma DFCI (Dana-Farber Cancer Institute)</w:t>
      </w:r>
      <w:r>
        <w:t xml:space="preserve"> — protocoles 11-001 :</w:t>
      </w:r>
    </w:p>
    <w:p>
      <w:pPr>
        <w:pStyle w:val="ListBullet"/>
      </w:pPr>
      <w:r>
        <w:t>Induction : 25 000 UI/m² IM × 1 dose/semaine × 4 semaines.</w:t>
      </w:r>
    </w:p>
    <w:p>
      <w:pPr>
        <w:pStyle w:val="ListBullet"/>
      </w:pPr>
      <w:r>
        <w:t>Consolidation : 25 000 UI/m² IM × 1 dose/2 semaines × 30 semaines (intensification prolongée — DFCI strategy).</w:t>
      </w:r>
    </w:p>
    <w:p>
      <w:pPr>
        <w:pStyle w:val="ListBullet"/>
      </w:pPr>
      <w:r/>
      <w:r>
        <w:rPr>
          <w:b/>
        </w:rPr>
        <w:t>Schéma COG AALL0932 / AALL1131</w:t>
      </w:r>
      <w:r>
        <w:t xml:space="preserve"> :</w:t>
      </w:r>
    </w:p>
    <w:p>
      <w:pPr>
        <w:pStyle w:val="ListBullet"/>
      </w:pPr>
      <w:r>
        <w:t>Induction : 2 500 UI/m² IM × 6 doses (J4, J6, J8, J10, J12, J14) — dose plus faible mais plus répétée.</w:t>
      </w:r>
    </w:p>
    <w:p>
      <w:pPr>
        <w:pStyle w:val="ListBullet"/>
      </w:pPr>
      <w:r>
        <w:t>Consolidation : 2 500 UI/m² IM × 9 doses hebdomadaires × 2 cures.</w:t>
      </w:r>
    </w:p>
    <w:p>
      <w:pPr>
        <w:pStyle w:val="ListBullet"/>
      </w:pPr>
      <w:r/>
      <w:r>
        <w:rPr>
          <w:b/>
        </w:rPr>
        <w:t>Schéma GRAALL-2014</w:t>
      </w:r>
      <w:r>
        <w:t xml:space="preserve"> (adulte jeune 15-45 ans) :</w:t>
      </w:r>
    </w:p>
    <w:p>
      <w:pPr>
        <w:pStyle w:val="ListBullet"/>
      </w:pPr>
      <w:r>
        <w:t>Induction : 6 000 UI/m² IM × 6 doses (J1, J3, J5, J8, J10, J12).</w:t>
      </w:r>
    </w:p>
    <w:p>
      <w:pPr>
        <w:pStyle w:val="ListBullet"/>
      </w:pPr>
      <w:r>
        <w:t>Consolidation : 6 000 UI/m² IM × 6 doses par cure × 4 cures.</w:t>
      </w:r>
    </w:p>
    <w:p>
      <w:pPr>
        <w:pStyle w:val="ListBullet"/>
      </w:pPr>
      <w:r/>
      <w:r>
        <w:rPr>
          <w:b/>
        </w:rPr>
        <w:t>Dose maximale absolue</w:t>
      </w:r>
      <w:r>
        <w:t xml:space="preserve"> : 10 000 UI/m² par injection (au-delà — toxicité pancréatique et neurologique excessive).</w:t>
      </w:r>
    </w:p>
    <w:p>
      <w:pPr>
        <w:pStyle w:val="ListBullet"/>
      </w:pPr>
      <w:r/>
      <w:r>
        <w:rPr>
          <w:b/>
        </w:rPr>
        <w:t>Adaptation hépatique</w:t>
      </w:r>
      <w:r>
        <w:t xml:space="preserve"> : si cytolyse ASAT/ALAT &gt; 5× LSN — réduire la dose de 50 % ; si &gt; 10× LSN — suspendre la cure suivante.</w:t>
      </w:r>
    </w:p>
    <w:p>
      <w:pPr>
        <w:pStyle w:val="ListBullet"/>
      </w:pPr>
      <w:r/>
      <w:r>
        <w:rPr>
          <w:b/>
        </w:rPr>
        <w:t>Adaptation pancréatique</w:t>
      </w:r>
      <w:r>
        <w:t xml:space="preserve"> : si lipase &gt; 3× LSN (sans symptomatologie clinique) — réduire la dose de 50 % et surveiller ; si pancréatite clinique confirmée — </w:t>
      </w:r>
      <w:r>
        <w:rPr>
          <w:b/>
        </w:rPr>
        <w:t>arrêt définitif</w:t>
      </w:r>
      <w:r>
        <w:t>.</w:t>
      </w:r>
    </w:p>
    <w:p>
      <w:pPr>
        <w:pStyle w:val="ListBullet"/>
      </w:pPr>
      <w:r/>
      <w:r>
        <w:rPr>
          <w:b/>
        </w:rPr>
        <w:t>Adaptation de la coagulation</w:t>
      </w:r>
      <w:r>
        <w:t xml:space="preserve"> : si fibrinogène &lt; 1 g/L — supplémentation par fibrinogène exogène (Riastap® 30-60 mg/kg IV) et suspension asparaginase jusqu'à fibrinogène &gt; 1,5 g/L ; si AT-III &lt; 50 % — supplémentation Atnativ® 25-50 UI/kg et surveillance rapprochée ; en cas de thrombose symptomatique — HBPM à dose curative + arrêt asparaginase jusqu'à stabilisation.</w:t>
      </w:r>
    </w:p>
    <w:p>
      <w:pPr>
        <w:pStyle w:val="ListBullet"/>
      </w:pPr>
      <w:r/>
      <w:r>
        <w:rPr>
          <w:b/>
        </w:rPr>
        <w:t>Préparation et administration</w:t>
      </w:r>
      <w:r>
        <w:t xml:space="preserve"> :</w:t>
      </w:r>
    </w:p>
    <w:p>
      <w:pPr>
        <w:pStyle w:val="ListBullet"/>
      </w:pPr>
      <w:r/>
      <w:r>
        <w:rPr>
          <w:b/>
        </w:rPr>
        <w:t>Reconstitution</w:t>
      </w:r>
      <w:r>
        <w:t xml:space="preserve"> : poudre lyophilisée 10 000 UI/flacon à dissoudre dans 2 mL d'eau pour préparations injectables ou de NaCl 0,9 % stérile. Ne PAS agiter vigoureusement (la protéine est fragile et mousse facilement — la mousse inactive partiellement l'enzyme). Concentration finale : 5 000 UI/mL.</w:t>
      </w:r>
    </w:p>
    <w:p>
      <w:pPr>
        <w:pStyle w:val="ListBullet"/>
      </w:pPr>
      <w:r/>
      <w:r>
        <w:rPr>
          <w:b/>
        </w:rPr>
        <w:t>Voie IM</w:t>
      </w:r>
      <w:r>
        <w:t xml:space="preserve"> (privilégiée) : volume maximal par site 2 mL (10 000 UI) chez l'enfant, 4 mL (20 000 UI) chez l'adulte — au-delà, diviser en 2 sites. Aspiration avant injection (test de non-sang) obligatoire (risque d'injection intra-vasculaire accidentelle et choc anaphylactique massif).</w:t>
      </w:r>
    </w:p>
    <w:p>
      <w:pPr>
        <w:pStyle w:val="ListBullet"/>
      </w:pPr>
      <w:r/>
      <w:r>
        <w:rPr>
          <w:b/>
        </w:rPr>
        <w:t>Voie IV</w:t>
      </w:r>
      <w:r>
        <w:t xml:space="preserve"> (perfusion) : diluer la dose dans 50-100 mL de NaCl 0,9 % ou G5 % ; perfuser sur 30 min à 4 h selon protocole. Ne PAS perfuser en bolus IV (risque anaphylactique majeur).</w:t>
      </w:r>
    </w:p>
    <w:p>
      <w:pPr>
        <w:pStyle w:val="ListBullet"/>
      </w:pPr>
      <w:r/>
      <w:r>
        <w:rPr>
          <w:b/>
        </w:rPr>
        <w:t>Voie intrathécale</w:t>
      </w:r>
      <w:r>
        <w:t xml:space="preserve"> : exceptionnelle, protocoles expérimentaux uniquement — 50 UI/mL dans 5 mL de LCR, à évaluer dans des centres ultra-spécialisés (non recommandé en pratique courante).</w:t>
      </w:r>
    </w:p>
    <w:p>
      <w:pPr>
        <w:pStyle w:val="ListBullet"/>
      </w:pPr>
      <w:r/>
      <w:r>
        <w:rPr>
          <w:b/>
        </w:rPr>
        <w:t>Voie IM technique</w:t>
      </w:r>
      <w:r>
        <w:t xml:space="preserve"> : aiguille 21-23 G (enfant), 21 G (adulte) ; rotation stricte des sites (fesses, cuisses, bras) pour éviter les nécroses locales.</w:t>
      </w:r>
    </w:p>
    <w:p>
      <w:pPr>
        <w:pStyle w:val="ListBullet"/>
      </w:pPr>
      <w:r/>
      <w:r>
        <w:rPr>
          <w:b/>
        </w:rPr>
        <w:t>Conservation</w:t>
      </w:r>
      <w:r>
        <w:t xml:space="preserve"> : poudre lyophilisée à conserver entre +2 °C et +8 °C (réfrigérateur), à l'abri de la lumière. Ne pas congeler. Solution reconstituée stable 8 h à température ambiante (à utiliser immédiatement).</w:t>
      </w:r>
    </w:p>
    <w:p>
      <w:r/>
      <w:r>
        <w:rPr>
          <w:b/>
        </w:rPr>
        <w:t>Arbitrage et Bénéfices des Formes Galéniques :</w:t>
      </w:r>
      <w:r/>
    </w:p>
    <w:p>
      <w:r>
        <w:t xml:space="preserve">La seule forme galénique disponible en Algérie est la </w:t>
      </w:r>
      <w:r>
        <w:rPr>
          <w:b/>
        </w:rPr>
        <w:t>poudre lyophilisée 10 000 UI/flacon (Kidrolase® EUSA Pharma)</w:t>
      </w:r>
      <w:r>
        <w:t>, à reconstituer extemporanément en solution à 5 000 UI/mL. Cette forme est adaptée à toutes les voies d'administration (IM, IV, perfusion continue, intrathécale expérimentale) et permet une adaptation fine des doses en fonction du protocole et de la tolérance. Cependant, elle présente plusieurs limitations :</w:t>
      </w:r>
    </w:p>
    <w:p>
      <w:pPr>
        <w:pStyle w:val="ListBullet"/>
      </w:pPr>
      <w:r/>
      <w:r>
        <w:rPr>
          <w:b/>
        </w:rPr>
        <w:t>Immunogénicité élevée</w:t>
      </w:r>
      <w:r>
        <w:t xml:space="preserve"> (30-50 % d'anticorps anti-E. coli) — la forme native expose à un risque anaphylactique majeur et à une inactivation silencieuse (anticorps neutralisants sans manifestation clinique mais avec perte d'efficacité — d'où la nécessité de doser l'activité asparaginase résiduelle plasmatique à J3-J5 de chaque cure dans les centres équipés).</w:t>
      </w:r>
    </w:p>
    <w:p>
      <w:pPr>
        <w:pStyle w:val="ListBullet"/>
      </w:pPr>
      <w:r/>
      <w:r>
        <w:rPr>
          <w:b/>
        </w:rPr>
        <w:t>Demi-vie courte</w:t>
      </w:r>
      <w:r>
        <w:t xml:space="preserve"> (8-30 h) imposant 2 à 3 injections par semaine en moyenne — contraignant pour l'enfant (douleurs IM répétées) et coûteux en temps soignant.</w:t>
      </w:r>
    </w:p>
    <w:p>
      <w:pPr>
        <w:pStyle w:val="ListBullet"/>
      </w:pPr>
      <w:r/>
      <w:r>
        <w:rPr>
          <w:b/>
        </w:rPr>
        <w:t>Statut NON_RENOUVELABLE</w:t>
      </w:r>
      <w:r>
        <w:t xml:space="preserve"> en Algérie — situation préoccupante d'approvisionnement.</w:t>
      </w:r>
    </w:p>
    <w:p>
      <w:r/>
      <w:r>
        <w:rPr>
          <w:b/>
        </w:rPr>
        <w:t>Formes galéniques alternatives non disponibles en Algérie</w:t>
      </w:r>
      <w:r>
        <w:t xml:space="preserve"> mais qui représentent le standard international moderne :</w:t>
      </w:r>
    </w:p>
    <w:p>
      <w:pPr>
        <w:pStyle w:val="ListBullet"/>
      </w:pPr>
      <w:r/>
      <w:r>
        <w:rPr>
          <w:b/>
        </w:rPr>
        <w:t>Pegaspargase (Oncaspar®, Baxalta/Takeda — 750 UI/mL solution IM/IV)</w:t>
      </w:r>
      <w:r>
        <w:t xml:space="preserve"> — forme pégylée par couplage à 5 unités de monométhoxy-polyéthylène-glycol (mPEG, 5 kDa chacune). Demi-vie prolongée à 5-7 jours (vs 8-30 h native), autorisant une injection hebdomadaire (2 500 UI/m² IM ou IV — schéma COG). Immunogénicité réduite (10-15 % d'anticorps anti-PEG — mais possibilité de réactions croisées avec la forme native). AMM européenne maintenue. </w:t>
      </w:r>
      <w:r>
        <w:rPr>
          <w:b/>
        </w:rPr>
        <w:t>Standard actuel des protocoles COG et DFCI modernes</w:t>
      </w:r>
      <w:r>
        <w:t xml:space="preserve"> (AALL0932 — induction standard-risk ; AALL1131 — high-risk). Inaccessible en Algérie (à importer nominativement si nécessaire).</w:t>
      </w:r>
    </w:p>
    <w:p>
      <w:pPr>
        <w:pStyle w:val="ListBullet"/>
      </w:pPr>
      <w:r/>
      <w:r>
        <w:rPr>
          <w:b/>
        </w:rPr>
        <w:t>Asparaginase d'Erwinia chrysanthemi (Erwinaze® / Erwinase® — Porton Bioremediation, Angleterre)</w:t>
      </w:r>
      <w:r>
        <w:t xml:space="preserve"> — enzyme alternative, structure homologue à 50 % avec E. coli mais épitopes immunogènes différents. Indiquée en cas d'hypersensibilité à l'asparaginase native ou pégylée. Demi-vie plus courte (16 h) imposant 3 injections par semaine (10 000 UI/m² IM × 3/sem × 2-6 semaines). Disponible via ATU nominative en France, accessible en Algérie via importation directe sur autorisation ministérielle.</w:t>
      </w:r>
    </w:p>
    <w:p>
      <w:pPr>
        <w:pStyle w:val="ListBullet"/>
      </w:pPr>
      <w:r/>
      <w:r>
        <w:rPr>
          <w:b/>
        </w:rPr>
        <w:t>Calaspargase pegol-mknl (Asparlas®, Servier — forme pégylée de 2e génération avec linker succinamide)</w:t>
      </w:r>
      <w:r>
        <w:t xml:space="preserve"> — AMM FDA 2018, demi-vie 6 jours, schéma 2 500 UI/m² IM toutes les 3 semaines. Non disponible en Algérie, non disponible en Europe (AMM européenne en cours d'évaluation 2025).</w:t>
      </w:r>
    </w:p>
    <w:p>
      <w:r/>
      <w:r>
        <w:rPr>
          <w:b/>
        </w:rPr>
        <w:t>Bénéfice thérapeutique attendu</w:t>
      </w:r>
      <w:r>
        <w:t xml:space="preserve"> : rémission complète (RC) après induction de 80-95 % chez l'enfant, 70-85 % chez l'adulte jeune. Survie sans événement (EFS) à 5 ans : 85-92 % chez l'enfant standard-risk, 70-80 % chez l'enfant high-risk, 50-60 % chez l'adulte jeune (GRAALL — Huguet 2009). L'apport spécifique de l'asparaginase (vs. un protocole sans asparaginase) est estimé à +15-20 % d'EFS à 5 ans (essai DFCI randomisé — Silverman LB, </w:t>
      </w:r>
      <w:r>
        <w:rPr>
          <w:i/>
        </w:rPr>
        <w:t>Blood</w:t>
      </w:r>
      <w:r>
        <w:t xml:space="preserve"> 2001).</w:t>
      </w:r>
    </w:p>
    <w:p>
      <w:r/>
      <w:r>
        <w:rPr>
          <w:b/>
        </w:rPr>
        <w:t>Instructions et Conseils au Patient (et aux parents) :</w:t>
      </w:r>
      <w:r/>
    </w:p>
    <w:p>
      <w:pPr>
        <w:pStyle w:val="ListBullet"/>
      </w:pPr>
      <w:r/>
      <w:r>
        <w:rPr>
          <w:b/>
        </w:rPr>
        <w:t>Information préalable</w:t>
      </w:r>
      <w:r>
        <w:t xml:space="preserve"> (obligatoire, signée) : remise d'une notice d'information patient détaillant les effets indésirables critiques (anaphylaxie, pancréatite, thrombose, hémorragie) et les signes d'alerte à reconnaître.</w:t>
      </w:r>
    </w:p>
    <w:p>
      <w:pPr>
        <w:pStyle w:val="ListBullet"/>
      </w:pPr>
      <w:r/>
      <w:r>
        <w:rPr>
          <w:b/>
        </w:rPr>
        <w:t>Signes d'alerte à reconnaître et consulter en urgence</w:t>
      </w:r>
      <w:r>
        <w:t xml:space="preserve"> :</w:t>
      </w:r>
    </w:p>
    <w:p>
      <w:pPr>
        <w:pStyle w:val="ListBullet"/>
      </w:pPr>
      <w:r>
        <w:t>Douleur abdominale épigastrique transfixiante + vomissements + fièvre → suspicion pancréatite (consultation urgente USC).</w:t>
      </w:r>
    </w:p>
    <w:p>
      <w:pPr>
        <w:pStyle w:val="ListBullet"/>
      </w:pPr>
      <w:r>
        <w:t>Dyspnée, sifflements, urticaire généralisée, gonflement du visage/lèvres → anaphylaxie (appeler le SAMU 14 / urgences).</w:t>
      </w:r>
    </w:p>
    <w:p>
      <w:pPr>
        <w:pStyle w:val="ListBullet"/>
      </w:pPr>
      <w:r>
        <w:t>Céphalées violentes, troubles visuels, confusion, faiblesse d'un membre, convulsions → thrombose sinus caverneux (urgence neurologique).</w:t>
      </w:r>
    </w:p>
    <w:p>
      <w:pPr>
        <w:pStyle w:val="ListBullet"/>
      </w:pPr>
      <w:r>
        <w:t>Saignement prolongé (gingivorragie, épistaxis &gt; 15 min, hématomes spontanés, méléna) → déséquilibre coagulation.</w:t>
      </w:r>
    </w:p>
    <w:p>
      <w:pPr>
        <w:pStyle w:val="ListBullet"/>
      </w:pPr>
      <w:r>
        <w:t>Polyurie-polydipsie, asthénie, vomissements → hyperglycémie cétotique.</w:t>
      </w:r>
    </w:p>
    <w:p>
      <w:pPr>
        <w:pStyle w:val="ListBullet"/>
      </w:pPr>
      <w:r/>
      <w:r>
        <w:rPr>
          <w:b/>
        </w:rPr>
        <w:t>Surveillance à domicile</w:t>
      </w:r>
      <w:r>
        <w:t xml:space="preserve"> : prise de température 2×/j (consultation si T° &gt; 38,5 °C), glycémie capillaire 3×/semaine (si diabète ou corticothérapie), surveillance des selles (consistance, fréquence), état cutané au point d'injection IM.</w:t>
      </w:r>
    </w:p>
    <w:p>
      <w:pPr>
        <w:pStyle w:val="ListBullet"/>
      </w:pPr>
      <w:r/>
      <w:r>
        <w:rPr>
          <w:b/>
        </w:rPr>
        <w:t>Alimentation</w:t>
      </w:r>
      <w:r>
        <w:t xml:space="preserve"> : régime pauvre en graisses pendant le traitement (réduction du risque pancréatite), hydratation abondante (1,5-2 L/j chez l'enfant, 2-3 L/j chez l'adulte) — particulièrement importante les jours d'injection (prévention de la déshydratation par fièvre, hyperammoniémie).</w:t>
      </w:r>
    </w:p>
    <w:p>
      <w:pPr>
        <w:pStyle w:val="ListBullet"/>
      </w:pPr>
      <w:r/>
      <w:r>
        <w:rPr>
          <w:b/>
        </w:rPr>
        <w:t>Activité</w:t>
      </w:r>
      <w:r>
        <w:t xml:space="preserve"> : éviter les sports à risque de traumatisme (sports de contact, vélo, roller) pendant le traitement (thrombopénie + risque hémorragique). Éviter les voyages prolongés (risque thrombose veineuse profonde).</w:t>
      </w:r>
    </w:p>
    <w:p>
      <w:pPr>
        <w:pStyle w:val="ListBullet"/>
      </w:pPr>
      <w:r/>
      <w:r>
        <w:rPr>
          <w:b/>
        </w:rPr>
        <w:t>Vaccins</w:t>
      </w:r>
      <w:r>
        <w:t xml:space="preserve"> : tous les vaccins vivants atténués (ROR, varicelle, BCG, fièvre jaune, rotavirus) sont contre-indiqués pendant et jusqu'à 3 mois après la dernière injection. Les vaccins inactivés (grippe saisonnière, pneumocoque, hépatite B, HPV, méningocoque) sont recommandés mais à programmer en dehors des périodes d'aplasie.</w:t>
      </w:r>
    </w:p>
    <w:p>
      <w:pPr>
        <w:pStyle w:val="ListBullet"/>
      </w:pPr>
      <w:r/>
      <w:r>
        <w:rPr>
          <w:b/>
        </w:rPr>
        <w:t>Scolarité</w:t>
      </w:r>
      <w:r>
        <w:t xml:space="preserve"> : maintien de l'école possible pendant les phases de consolidation (sauf en cas d'aplasie fébrile). Prévoir un PAI (Projet d'Accueil Individualisé) avec le médecin scolaire et l'infirmière scolaire.</w:t>
      </w:r>
    </w:p>
    <w:p>
      <w:pPr>
        <w:pStyle w:val="ListBullet"/>
      </w:pPr>
      <w:r/>
      <w:r>
        <w:rPr>
          <w:b/>
        </w:rPr>
        <w:t>Contraception</w:t>
      </w:r>
      <w:r>
        <w:t xml:space="preserve"> : double méthode (préservatif + contraception progestative microdosée) pendant le traitement et jusqu'à 3 mois après la dernière injection. Test de grossesse mensuel. Pas d'estroprogestatifs (risque thrombotique).</w:t>
      </w:r>
    </w:p>
    <w:p>
      <w:pPr>
        <w:pStyle w:val="ListBullet"/>
      </w:pPr>
      <w:r/>
      <w:r>
        <w:rPr>
          <w:b/>
        </w:rPr>
        <w:t>Allaitement</w:t>
      </w:r>
      <w:r>
        <w:t xml:space="preserve"> : contre-indication absolue pendant le traitement.</w:t>
      </w:r>
    </w:p>
    <w:p>
      <w:pPr>
        <w:pStyle w:val="ListBullet"/>
      </w:pPr>
      <w:r/>
      <w:r>
        <w:rPr>
          <w:b/>
        </w:rPr>
        <w:t>Conseil pharmacien d'officine</w:t>
      </w:r>
      <w:r>
        <w:t xml:space="preserve"> : le pharmacien peut être amené à délivrer des médicaments d'accompagnement (antalgiques paracétamol — sans dépasser 2 g/j en raison du risque hépatique ; antiémétiques ondansétron ; antipyrétiques ; pansements hydrocolloïdes pour les nécroses IM ; pansements compressifs pour le risque thrombotique) et à conseiller le patient sur l'observance, l'alimentation, la surveillance glycémique et thermique. Vigilance accrue sur les interactions médicamenteuses (notamment AVK, aspirine, AINS, paracétamol haute dose).</w:t>
      </w:r>
    </w:p>
    <w:p>
      <w:r/>
      <w:r>
        <w:rPr>
          <w:b/>
        </w:rPr>
        <w:t>Notes, Règles d'Or &amp; Pièges au Comptoir :</w:t>
      </w:r>
      <w:r/>
    </w:p>
    <w:p>
      <w:pPr>
        <w:pStyle w:val="ListNumber"/>
      </w:pPr>
      <w:r/>
      <w:r>
        <w:rPr>
          <w:b/>
        </w:rPr>
        <w:t>Règle d'or n°1</w:t>
      </w:r>
      <w:r>
        <w:t xml:space="preserve"> : Toute injection d'asparaginase doit se faire en milieu hospitalier spécialisé (centre de LAL, oncologie pédiatrique, hématologie clinique adulte) avec un médecin réanimateur présent 1 heure après l'injection — l'anaphylaxie peut être foudroyante.</w:t>
      </w:r>
    </w:p>
    <w:p>
      <w:pPr>
        <w:pStyle w:val="ListNumber"/>
      </w:pPr>
      <w:r/>
      <w:r>
        <w:rPr>
          <w:b/>
        </w:rPr>
        <w:t>Règle d'or n°2</w:t>
      </w:r>
      <w:r>
        <w:t xml:space="preserve"> : La voie IM est toujours préférée à la voie IV (réduction du pic plasmatique, moindre risque anaphylactique).</w:t>
      </w:r>
    </w:p>
    <w:p>
      <w:pPr>
        <w:pStyle w:val="ListNumber"/>
      </w:pPr>
      <w:r/>
      <w:r>
        <w:rPr>
          <w:b/>
        </w:rPr>
        <w:t>Règle d'or n°3</w:t>
      </w:r>
      <w:r>
        <w:t xml:space="preserve"> : En cas de suspicion de pancréatite (douleur épigastrique transfixiante + lipase &gt; 3× LSN), l'arrêt définitif de l'asparaginase est obligatoire — pas de réintroduction, pas de switch vers une autre forme (risque de récidive sévère).</w:t>
      </w:r>
    </w:p>
    <w:p>
      <w:pPr>
        <w:pStyle w:val="ListNumber"/>
      </w:pPr>
      <w:r/>
      <w:r>
        <w:rPr>
          <w:b/>
        </w:rPr>
        <w:t>Règle d'or n°4</w:t>
      </w:r>
      <w:r>
        <w:t xml:space="preserve"> : Surveillance hebdomadaire du fibrinogène et de l'AT-III pendant toute la durée d'exposition — substitution en cas de chute critique (fibrinogène &lt; 1 g/L → Riastap® ; AT-III &lt; 50 % → Atnativ®).</w:t>
      </w:r>
    </w:p>
    <w:p>
      <w:pPr>
        <w:pStyle w:val="ListNumber"/>
      </w:pPr>
      <w:r/>
      <w:r>
        <w:rPr>
          <w:b/>
        </w:rPr>
        <w:t>Piège n°1</w:t>
      </w:r>
      <w:r>
        <w:t xml:space="preserve"> : Ne pas confondre l'asparaginase E. coli (Kidrolase®) avec la pegaspargase (Oncaspar®) — posologie et schéma d'administration différents (Kidrolase® : 5 000-10 000 UI/m² × 2-3/sem ; Oncaspar® : 2 500 UI/m² × 1/sem).</w:t>
      </w:r>
    </w:p>
    <w:p>
      <w:pPr>
        <w:pStyle w:val="ListNumber"/>
      </w:pPr>
      <w:r/>
      <w:r>
        <w:rPr>
          <w:b/>
        </w:rPr>
        <w:t>Piège n°2</w:t>
      </w:r>
      <w:r>
        <w:t xml:space="preserve"> : Ne pas administrer l'asparaginase en bolus IV direct — risque anaphylactique majeur. Toujours perfuser sur 30 min à 4 h.</w:t>
      </w:r>
    </w:p>
    <w:p>
      <w:pPr>
        <w:pStyle w:val="ListNumber"/>
      </w:pPr>
      <w:r/>
      <w:r>
        <w:rPr>
          <w:b/>
        </w:rPr>
        <w:t>Piège n°3</w:t>
      </w:r>
      <w:r>
        <w:t xml:space="preserve"> : Ne pas agiter vigoureusement le flacon lors de la reconstitution — la mousse inactive l'enzyme. Mélanger par retournement doux.</w:t>
      </w:r>
    </w:p>
    <w:p>
      <w:pPr>
        <w:pStyle w:val="ListNumber"/>
      </w:pPr>
      <w:r/>
      <w:r>
        <w:rPr>
          <w:b/>
        </w:rPr>
        <w:t>Piège n°4</w:t>
      </w:r>
      <w:r>
        <w:t xml:space="preserve"> : Chez la femme jeune en âge de procréer — test de grossesse systématique avant instauration, contraception double méthode (pas d'estroprogestatifs — risque thrombotique).</w:t>
      </w:r>
    </w:p>
    <w:p>
      <w:pPr>
        <w:pStyle w:val="ListNumber"/>
      </w:pPr>
      <w:r/>
      <w:r>
        <w:rPr>
          <w:b/>
        </w:rPr>
        <w:t>Piège n°5</w:t>
      </w:r>
      <w:r>
        <w:t xml:space="preserve"> : Vaccins vivants contre-indiqués pendant et jusqu'à 3 mois après — prévenir les parents de ne pas faire le ROR, le BCG, la varicelle pendant le traitement.</w:t>
      </w:r>
    </w:p>
    <w:p>
      <w:pPr>
        <w:pStyle w:val="ListNumber"/>
      </w:pPr>
      <w:r/>
      <w:r>
        <w:rPr>
          <w:b/>
        </w:rPr>
        <w:t>Piège n°6</w:t>
      </w:r>
      <w:r>
        <w:t xml:space="preserve"> : En cas de réaction anaphylactique sévère — switch vers asparaginase Erwinia (Erwinaze®) ou pegaspargase (Oncaspar®) si disponible ; dans le cas contraire, omission de l'asparaginase avec impact pronostique (perte de 10-15 % d'EFS à 5 ans).</w:t>
      </w:r>
    </w:p>
    <w:p>
      <w:pPr>
        <w:pStyle w:val="ListNumber"/>
      </w:pPr>
      <w:r/>
      <w:r>
        <w:rPr>
          <w:b/>
        </w:rPr>
        <w:t>Piège n°7</w:t>
      </w:r>
      <w:r>
        <w:t xml:space="preserve"> : Le dosage de l'activité asparaginase résiduelle plasmatique à J3-J5 de chaque cure est recommandé (seuil thérapeutique 0,1 UI/mL) dans les centres équipés — permet de détecter une inactivation silencieuse par anticorps neutralisants.</w:t>
      </w:r>
    </w:p>
    <w:p>
      <w:pPr>
        <w:pStyle w:val="ListNumber"/>
      </w:pPr>
      <w:r/>
      <w:r>
        <w:rPr>
          <w:b/>
        </w:rPr>
        <w:t>Piège n°8</w:t>
      </w:r>
      <w:r>
        <w:t xml:space="preserve"> : La statut NON_RENOUVELABLE de Kidrolase® en Algérie — anticiper l'approvisionnement, recourir à l'importation nominative de pegaspargase ou d'Erwinia en cas de rupture.</w:t>
      </w:r>
    </w:p>
    <w:p>
      <w:pPr>
        <w:pStyle w:val="ListNumber"/>
      </w:pPr>
      <w:r/>
      <w:r>
        <w:rPr>
          <w:b/>
        </w:rPr>
        <w:t>Piège n°9</w:t>
      </w:r>
      <w:r>
        <w:t xml:space="preserve"> : L'asparaginase n'est pas éliminée par voie rénale — pas d'adaptation posologique en cas d'insuffisance rénale modérée à sévère. Mais surveiller la créatinine en raison du risque de syndrome de lyse tumorale.</w:t>
      </w:r>
    </w:p>
    <w:p>
      <w:pPr>
        <w:pStyle w:val="ListNumber"/>
      </w:pPr>
      <w:r/>
      <w:r>
        <w:rPr>
          <w:b/>
        </w:rPr>
        <w:t>Piège n°10</w:t>
      </w:r>
      <w:r>
        <w:t xml:space="preserve"> : L'asparaginase n'est pas métabolisée par le cytochrome P450 — pas d'interaction pharmacocinétique avec les inducteurs/inhibiteurs enzymatiques. Mais interactions pharmacodynamiques majeures avec les anticoagulants, l'aspirine, les AINS, le paracétamol haute dose.</w:t>
      </w:r>
    </w:p>
    <w:p>
      <w:pPr>
        <w:pStyle w:val="Heading2"/>
      </w:pPr>
      <w:r>
        <w:t>Sous-classe 108.2 — Agents de différenciation cellulaire — Acide rétinoïque (ATRA, isotrétinoïne)</w:t>
      </w:r>
    </w:p>
    <w:p>
      <w:r>
        <w:t>Les rétinoïdes constituent une classe pharmacologique originale, fondée sur l'exploitation thérapeutique des métabolites actifs de la vitamine A (rétinol). Ils exercent leurs effets biologiques via la liaison à des récepteurs nucléaires de type « superfamille des récepteurs stéroïdo-thyroïdiens » — les RAR (Retinoic Acid Receptors) α, β, γ et les RXR (Retinoid X Receptors) α, β, γ — qui fonctionnent comme facteurs de transcription hétérodimériques (RAR/RXR) se fixant sur des séquences spécifiques de l'ADN appelées RARE (Retinoic Acid Response Elements). La liaison de l'acide rétinoïque au récepteur induit un changement conformationnel qui libère les corépresseurs (N-CoR, SMRT) et recrute les coactivateurs (SRC-1, CBP/p300), permettant la transcription de gènes cibles impliqués dans la différenciation cellulaire, l'apoptose, l'arrêt du cycle cellulaire et l'adhésion. Cette reprogrammation transcriptionnelle constitue le mécanisme central de la différenciation cellulaire pharmacologique.</w:t>
      </w:r>
    </w:p>
    <w:p>
      <w:r>
        <w:t>On distingue pharmacologiquement :</w:t>
      </w:r>
    </w:p>
    <w:p>
      <w:pPr>
        <w:pStyle w:val="ListBullet"/>
      </w:pPr>
      <w:r/>
      <w:r>
        <w:rPr>
          <w:b/>
        </w:rPr>
        <w:t>Acide tout-trans-rétinoïque (ATRA, tretinoin)</w:t>
      </w:r>
      <w:r>
        <w:t xml:space="preserve"> — isomère naturel dominant *in vivo*, ligand préférentiel des RAR (α &gt; β &gt; γ) — utilisé en oncologie (LAP) et en dermatologie (acné, kératose, mélasma).</w:t>
      </w:r>
    </w:p>
    <w:p>
      <w:pPr>
        <w:pStyle w:val="ListBullet"/>
      </w:pPr>
      <w:r/>
      <w:r>
        <w:rPr>
          <w:b/>
        </w:rPr>
        <w:t>Isotrétinoïne (13-cis-rétinoïque acide)</w:t>
      </w:r>
      <w:r>
        <w:t xml:space="preserve"> — isomère de l'ATRA, faible affinité pour RAR/RXR mais converti *in vivo* en partie en ATRA par isomérisation hépatique — utilisé en oncologie (neuroblastome) et en dermatologie (acné sévère nodulo-kystique).</w:t>
      </w:r>
    </w:p>
    <w:p>
      <w:pPr>
        <w:pStyle w:val="ListBullet"/>
      </w:pPr>
      <w:r/>
      <w:r>
        <w:rPr>
          <w:b/>
        </w:rPr>
        <w:t>Acide 9-cis-rétinoïque (alitrétinoïne)</w:t>
      </w:r>
      <w:r>
        <w:t xml:space="preserve"> — isomère naturel, ligand pan-RAR/RXR — utilisé en dermatologie (eczéma chronique sévère des mains, dermatologie oncologique Kaposi).</w:t>
      </w:r>
    </w:p>
    <w:p>
      <w:pPr>
        <w:pStyle w:val="ListBullet"/>
      </w:pPr>
      <w:r/>
      <w:r>
        <w:rPr>
          <w:b/>
        </w:rPr>
        <w:t>Acitrétine (Neotigason®)</w:t>
      </w:r>
      <w:r>
        <w:t xml:space="preserve"> — rétinoïde aromatique de 2e génération — utilisé en dermatologie (psoriasis, troubles de la kératinisation).</w:t>
      </w:r>
    </w:p>
    <w:p>
      <w:pPr>
        <w:pStyle w:val="ListBullet"/>
      </w:pPr>
      <w:r/>
      <w:r>
        <w:rPr>
          <w:b/>
        </w:rPr>
        <w:t>Etretinate (Tegison®)</w:t>
      </w:r>
      <w:r>
        <w:t xml:space="preserve"> — rétinoïde aromatique de 1re génération, abandonné en raison de sa lipophilie majeure et de sa demi-vie de 100 jours — remplacé par l'acitrétine.</w:t>
      </w:r>
    </w:p>
    <w:p>
      <w:pPr>
        <w:pStyle w:val="ListBullet"/>
      </w:pPr>
      <w:r/>
      <w:r>
        <w:rPr>
          <w:b/>
        </w:rPr>
        <w:t>Adapalène (Differine®)</w:t>
      </w:r>
      <w:r>
        <w:t xml:space="preserve"> — rétinoïde de 3e génération, topique, sélectif RARβ/γ — utilisé en dermatologie (acné légère à modérée).</w:t>
      </w:r>
    </w:p>
    <w:p>
      <w:pPr>
        <w:pStyle w:val="ListBullet"/>
      </w:pPr>
      <w:r/>
      <w:r>
        <w:rPr>
          <w:b/>
        </w:rPr>
        <w:t>Bexarotène (Targretin®)</w:t>
      </w:r>
      <w:r>
        <w:t xml:space="preserve"> — rétinoïde synthétique sélectif RXR (réinoxine) — utilisé en oncologie cutanée (lymphome T cutané).</w:t>
      </w:r>
    </w:p>
    <w:p>
      <w:r>
        <w:t xml:space="preserve">L'ATRA et l'isotrétinoïne sont les deux seuls rétinoïdes d'intérêt en oncologie systémique. Leur mécanisme central dans la LAP est particulièrement élégant : la translocation t(15;17)(q22;q21), spécifique de la LAP, fusionne le gène </w:t>
      </w:r>
      <w:r>
        <w:rPr>
          <w:i/>
        </w:rPr>
        <w:t>PML</w:t>
      </w:r>
      <w:r>
        <w:t xml:space="preserve"> (Promyelocytic Leukaemia) du chromosome 15 avec le gène </w:t>
      </w:r>
      <w:r>
        <w:rPr>
          <w:i/>
        </w:rPr>
        <w:t>RARA</w:t>
      </w:r>
      <w:r>
        <w:t xml:space="preserve"> (Retinoic Acid Receptor Alpha) du chromosome 17. La protéine de fusion PML-RARα produite est un facteur de transcription dominant-négatif qui : (i) se lie aux RARE des gènes cibles normaux de RARα mais y recrute des corépresseurs (N-CoR, SMRT) et des histone-désacétylases (HDAC1, HDAC3), maintenant la chromatine en configuration condensée et réprimant la transcription des gènes de différenciation myéloïde ; (ii) exerce un effet anti-apoptotique (inhibition de Bax, induction de Bcl-2) ; (iii) bloque la maturation des promyélocytes au stade immature blastique. L'ATRA à pharmacologique dose (≥ 1 µM) restaure la capacité du récepteur PML-RARα à libérer ses corépresseurs et à recruter des coactivateurs, ce qui (i) réactive la transcription des gènes de différenciation myéloïde (notamment C/EBPα, PU.1, HOXA), (ii) induit la dégradation par protéasome de la protéine PML-RARα elle-même (libérant les corps nuécléaires PML normaux), (iii) rétablit l'apoptose physiologique. Les promyélocytes bloqués reprennent leur maturation vers le polynucléaire neutrophile, en quelques jours — mais ces cellules différenciées restent génétiquement anormales et finiront par mourir en quelques semaines par apoptose naturelle, ce qui explique la nécessité d'une chimiothérapie de consolidation pour éradiquer le clone leucémique résiduel.</w:t>
      </w:r>
    </w:p>
    <w:p>
      <w:r>
        <w:t xml:space="preserve">L'ATRA a transformé le pronostic de la LAP. Avant 1985, la LAP était la forme la plus fatale des LAM (mortalité à 30 jours 30-40 % par CIVD et hémorragie cérébrale, survie à 5 ans &lt; 15 %). Après l'introduction de l'ATRA en induction (en association avec la chimiothérapie anthracycline-base), la rémission complète (RC) atteint 90-95 %, la survie sans rechute à 5 ans 70-85 %, et la survie globale à 5 ans 80-90 % (Wang ZY, Chen Z, </w:t>
      </w:r>
      <w:r>
        <w:rPr>
          <w:i/>
        </w:rPr>
        <w:t>Proc Natl Acad Sci USA</w:t>
      </w:r>
      <w:r>
        <w:t xml:space="preserve"> 2018). L'essai APL 93 (Adès L, </w:t>
      </w:r>
      <w:r>
        <w:rPr>
          <w:i/>
        </w:rPr>
        <w:t>J Clin Oncol</w:t>
      </w:r>
      <w:r>
        <w:t xml:space="preserve"> 2006) a démontré la supériorité de l'association ATRA + chimiothérapie (idarubicine) vs. chimiothérapie seule. L'essai APL 2000 (Adès L, </w:t>
      </w:r>
      <w:r>
        <w:rPr>
          <w:i/>
        </w:rPr>
        <w:t>J Clin Oncol</w:t>
      </w:r>
      <w:r>
        <w:t xml:space="preserve"> 2010) a établi le standard moderne : ATRA + anthracycline (idarubicine ou daunorubicine) en induction, suivi de consolidation par ATRA + chimiothérapie, puis maintenance par ATRA seule ou ATRA + méthotrexate + 6-mercaptopurine. Plus récemment, l'essai APL17 (Abou Dagher L, </w:t>
      </w:r>
      <w:r>
        <w:rPr>
          <w:i/>
        </w:rPr>
        <w:t>Lancet Haematol</w:t>
      </w:r>
      <w:r>
        <w:t xml:space="preserve"> 2023) a démontré que l'association ATRA + arsenic trioxyde (ATO, Trisenox®) — sans chimiothérapie cytotoxique — permettait d'obtenir une RC de 100 % et une survie à 5 ans de 95 % chez les patients low-intermediate risk (leucocytes &lt; 10 G/L), avec une toxicité hématologique quasiment nulle — c'est le standard actuel (NCCN 2024, ESMO 2024). Chez les patients high-risk (leucocytes &gt; 10 G/L), la chimiothérapie (idarubicine J1-4 ou gemtuzumab ozogamicine) est ajoutée pour prévenir le syndrome de différenciation (cf. infra).</w:t>
      </w:r>
    </w:p>
    <w:p>
      <w:r>
        <w:t xml:space="preserve">L'isotrétinoïne (13-cis-rétinoïque acide) partage avec l'ATRA la capacité de différenciation cellulaire, mais son application oncologique est strictement différente : elle est utilisée en </w:t>
      </w:r>
      <w:r>
        <w:rPr>
          <w:b/>
        </w:rPr>
        <w:t>consolidation post-chimiothérapie du neuroblastome à haut risque</w:t>
      </w:r>
      <w:r>
        <w:t xml:space="preserve"> (Matthay KK, </w:t>
      </w:r>
      <w:r>
        <w:rPr>
          <w:i/>
        </w:rPr>
        <w:t>N Engl J Med</w:t>
      </w:r>
      <w:r>
        <w:t xml:space="preserve"> 1999, 2009). Le neuroblastome est la tumeur solide extra-crânienne la plus fréquente du nourrisson et du jeune enfant (8-10 % des cancers pédiatriques, 15 % des décès par cancer chez l'enfant), dérivé des cellules crêtales neurales sympathiques. Les formes à haut risque (stade 4 INRGSS &gt; 18 mois, stade 4S avec MYCN amplifié, stade 3 avec MYCN) ont un pronostic catastrophique (survie à 5 ans &lt; 30 % avant 1990). L'essai CCG-3891 (Matthay KK, </w:t>
      </w:r>
      <w:r>
        <w:rPr>
          <w:i/>
        </w:rPr>
        <w:t>N Engl J Med</w:t>
      </w:r>
      <w:r>
        <w:t xml:space="preserve"> 1999) a démontré qu'une consolidation par isotrétinoïne à haute dose (160 mg/m²/jour en 2 prises, 14 jours/28 jours × 6 cures) après chimiothérapie d'induction + chirurgie + myéloablation avec greffe de moelle osseuse autologue + radiothérapie du lit tumoral, augmentait la survie sans événement (EFS) de 27 % à 42 % à 5 ans. L'essai COG ANBL0532 (Park JR, </w:t>
      </w:r>
      <w:r>
        <w:rPr>
          <w:i/>
        </w:rPr>
        <w:t>J Clin Oncol</w:t>
      </w:r>
      <w:r>
        <w:t xml:space="preserve"> 2019) a confirmé ce bénéfice. L'isotrétinoïne est donc intégrée dans tous les protocoles modernes de neuroblastome à haut risque.</w:t>
      </w:r>
    </w:p>
    <w:p>
      <w:r>
        <w:t>L'isotrétinoïne est également le traitement de référence de l'</w:t>
      </w:r>
      <w:r>
        <w:rPr>
          <w:b/>
        </w:rPr>
        <w:t>acné sévère nodulo-kystique réfractaire aux antibiotiques et aux traitements locaux</w:t>
      </w:r>
      <w:r>
        <w:t xml:space="preserve"> (indication dermatologique — AMM initiale 1982 Roche sous le nom Roaccutane®). Son mécanisme d'action dans l'acné est multi-modal : (i) réduction de la taille et de la sécrétion des glandes sébacées (apoptose des sébocytes), (ii) normalisation de la kératinisation folliculaire (anti-comédogène), (iii) action anti-inflammatoire (réduction des TLR2 et des cytokines pro-inflammatoires), (iv) modification du microbiome cutané (réduction de </w:t>
      </w:r>
      <w:r>
        <w:rPr>
          <w:i/>
        </w:rPr>
        <w:t>Cutibacterium acnes</w:t>
      </w:r>
      <w:r>
        <w:t>). La posologie est de 0,5-1 mg/kg/jour pendant 4-6 mois pour une cure complète (dose cumulée 120-150 mg/kg). Son extrême tératogénicité (syndrome rétinoïde fœtal — voir ci-dessous) a justifié la mise en place de programmes de prévention de grossesse sous traitement (PPP européen, iPLEDGE américain) et son classement en Liste I (sur prescription médicale stricte, hospitalo-universitaire en France et dans la plupart des pays européens — délivrance limitée à 30 jours, renouvellement mensuel avec tests de grossesse négatifs obligatoires).</w:t>
      </w:r>
    </w:p>
    <w:p>
      <w:r>
        <w:t xml:space="preserve">La tératogénicité des rétinoïdes est l'un des plus graves risques iatrogènes en médecine. Le </w:t>
      </w:r>
      <w:r>
        <w:rPr>
          <w:b/>
        </w:rPr>
        <w:t>syndrome rétinoïde fœtal</w:t>
      </w:r>
      <w:r>
        <w:t xml:space="preserve"> (retinoic acid embryopathy), décrit pour la première fois par Lammer EJ et al. (</w:t>
      </w:r>
      <w:r>
        <w:rPr>
          <w:i/>
        </w:rPr>
        <w:t>N Engl J Med</w:t>
      </w:r>
      <w:r>
        <w:t xml:space="preserve"> 1985 ; 313 : 837-841) après l'introduction de l'isotrétinoïne aux États-Unis en 1982, associe : (i) anomalies cranio-faciales (microtie/anotie, agénésie du pavillon auriculaire, sténose des canaux auditifs externes, fente palatine, micrognatie, hypertélorisme) ; (ii) anomalies cardiovasculaires (transposition des gros vaisseaux, tétralogie de Fallot, hypoplasie de l'aorte, communication inter-ventriculaire, malformations confluent trachéo-bronchiques) ; (iii) anomalies thymiques (agénésie ou hypoplasie thymique — DiGeorge-like syndrome) ; (iv) anomalies neurologiques (hypoplasie du cervelet, méningomyélocèle, retard mental, hydrocéphalie) ; (v) anomalies ophtalmiques (microptalmie, anophtalmie). Le risque est maximal pendant le 1er trimestre (15-50 % d'embryopathies sévères pour une exposition entre J0 et J45 post-conception), mais persiste à dose cumulée faible. Le taux d'avortements spontanés est également augmenté (40 % vs. 10-15 % en population générale). La prévention repose sur : (i) information patient signée, (ii) test de grossesse β-hCG sérique négatif dans les 3 jours précédant l'instauration, (iii) contraception double méthode (estroprogestatif + préservatif, ou dispositif intra-utérin) à débuter 1 mois avant et pendant toute la durée du traitement + 1 mois après (isotrétinoïne) ou 1 mois après (ATRA) l'arrêt, (iv) test de grossesse mensuel pendant le traitement, (v) prescription limitée à 30 jours, délivrance seulement après vérification du test de grossesse négatif.</w:t>
      </w:r>
    </w:p>
    <w:p>
      <w:pPr>
        <w:pStyle w:val="Heading3"/>
      </w:pPr>
      <w:r>
        <w:t>2. DCI : Acide rétinoïque (ATRA / tretinoin / isotrétinoïne) — usage oncologique</w:t>
      </w:r>
    </w:p>
    <w:p>
      <w:r/>
      <w:r>
        <w:rPr>
          <w:b/>
        </w:rPr>
        <w:t>Liste des Catégories :</w:t>
      </w:r>
      <w:r>
        <w:t xml:space="preserve"> Agent de différenciation cellulaire — rétinoïde systémique ; ligand des récepteurs nucléaires RARα/β/γ (ATRA) et converti en ATRA (isotrétinoïne) ; médicament à surveillance stricte du syndrome de différenciation rétinoïque (ATRA — LAP) ; médicament tératogène majeur (catégorie X — CRAT : « formellement contre-indiqué » — syndrome rétinoïde fœtal : 30-50 % d'embryopathies sévères pour exposition au 1er trimestre) ; prescription réservée aux spécialistes en oncologie/hématologie ou dermatologie (isotrétinoïne acné) ; Liste I ; médication hospitalière stricte (LAP) ou hospitalo-universitaire (acné) ; ATC L01XX14 (tretinoin) / D10BA01 (isotretinoin).</w:t>
      </w:r>
    </w:p>
    <w:p>
      <w:r>
        <w:t xml:space="preserve">L'acide tout-trans-rétinoïque (ATRA, tretinoin) — formule chimique C₂₀H₂₈O₂, masse molaire 300,4 g/mol, isomère naturel du rétinoïque acide — est le chef de file des agents de différenciation cellulaire. Isolé en 1950 par Arens et van Dorp, identifié comme métabolite actif de la vitamine A par naphtoénoïque dérivation dans les années 1960 (Moore), il est introduit en clinique anticancéreuse à partir de 1985 par les équipes chinoises de Zhen-Yi Wang et Zhu Chen à l'Institut de Shanghai, après la découverte par Breitman en 1980 </w:t>
      </w:r>
      <w:r>
        <w:rPr>
          <w:i/>
        </w:rPr>
        <w:t>in vitro</w:t>
      </w:r>
      <w:r>
        <w:t xml:space="preserve"> que l'ATRA induisait la différenciation des cellules leucémiques promyélocytaires (HL-60). Le résultat clinique, publié dans </w:t>
      </w:r>
      <w:r>
        <w:rPr>
          <w:i/>
        </w:rPr>
        <w:t>Blood</w:t>
      </w:r>
      <w:r>
        <w:t xml:space="preserve"> en 1988 (Wang ZY, </w:t>
      </w:r>
      <w:r>
        <w:rPr>
          <w:i/>
        </w:rPr>
        <w:t>Blood</w:t>
      </w:r>
      <w:r>
        <w:t xml:space="preserve"> 1988 ; 72 : 567-572), a démontré une rémission complète de 95 % chez 24 patients atteints de LAP traités par ATRA seul — révolution thérapeutique sans précédent.</w:t>
      </w:r>
    </w:p>
    <w:p>
      <w:r>
        <w:t xml:space="preserve">L'isotrétinoïne (13-cis-rétinoïque acide) — formule chimique C₂₀H₂₈O₂, isomère 13-cis de l'ATRA, masse molaire identique 300,4 g/mol — a été synthétisée en 1955 par Arens et van Dorp, commercialisée en dermatologie dès 1982 par Roche sous le nom Roaccutane® pour le traitement de l'acné sévère nodulo-kystique réfractaire. Son utilisation en oncologie pédiatrique (neuroblastome) a été démontrée à partir de 1995 par l'équipe de Katherine Matthay (UCSF), avec publication de l'essai pivot CCG-3891 dans </w:t>
      </w:r>
      <w:r>
        <w:rPr>
          <w:i/>
        </w:rPr>
        <w:t>N Engl J Med</w:t>
      </w:r>
      <w:r>
        <w:t xml:space="preserve"> en 1999 (Matthay KK, </w:t>
      </w:r>
      <w:r>
        <w:rPr>
          <w:i/>
        </w:rPr>
        <w:t>NEJM</w:t>
      </w:r>
      <w:r>
        <w:t xml:space="preserve"> 1999 ; 341 : 1305-1312).</w:t>
      </w:r>
    </w:p>
    <w:p>
      <w:r/>
      <w:r>
        <w:rPr>
          <w:b/>
        </w:rPr>
        <w:t>Médicaments disponibles en Algérie (Marques, Laboratoires, Formes et Dosages) :</w:t>
      </w:r>
      <w:r/>
    </w:p>
    <w:p>
      <w:r>
        <w:t>Formes actives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CURACNE 5 MG</w:t>
            </w:r>
          </w:p>
        </w:tc>
        <w:tc>
          <w:tcPr>
            <w:tcW w:type="dxa" w:w="1559"/>
          </w:tcPr>
          <w:p>
            <w:r>
              <w:rPr>
                <w:sz w:val="20"/>
              </w:rPr>
              <w:t>PIERRE FABRE MEDICAMENT</w:t>
            </w:r>
          </w:p>
        </w:tc>
        <w:tc>
          <w:tcPr>
            <w:tcW w:type="dxa" w:w="1559"/>
          </w:tcPr>
          <w:p>
            <w:r>
              <w:rPr>
                <w:sz w:val="20"/>
              </w:rPr>
              <w:t>Capsule molle — 5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CURACNE 10 MG</w:t>
            </w:r>
          </w:p>
        </w:tc>
        <w:tc>
          <w:tcPr>
            <w:tcW w:type="dxa" w:w="1559"/>
          </w:tcPr>
          <w:p>
            <w:r>
              <w:rPr>
                <w:sz w:val="20"/>
              </w:rPr>
              <w:t>PIERRE FABRE MEDICAMENT</w:t>
            </w:r>
          </w:p>
        </w:tc>
        <w:tc>
          <w:tcPr>
            <w:tcW w:type="dxa" w:w="1559"/>
          </w:tcPr>
          <w:p>
            <w:r>
              <w:rPr>
                <w:sz w:val="20"/>
              </w:rPr>
              <w:t>Capsule molle — 10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CURACNE 20 MG</w:t>
            </w:r>
          </w:p>
        </w:tc>
        <w:tc>
          <w:tcPr>
            <w:tcW w:type="dxa" w:w="1559"/>
          </w:tcPr>
          <w:p>
            <w:r>
              <w:rPr>
                <w:sz w:val="20"/>
              </w:rPr>
              <w:t>PIERRE FABRE MEDICAMENT</w:t>
            </w:r>
          </w:p>
        </w:tc>
        <w:tc>
          <w:tcPr>
            <w:tcW w:type="dxa" w:w="1559"/>
          </w:tcPr>
          <w:p>
            <w:r>
              <w:rPr>
                <w:sz w:val="20"/>
              </w:rPr>
              <w:t>Capsule molle — 20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XERACTAN 10 MG</w:t>
            </w:r>
          </w:p>
        </w:tc>
        <w:tc>
          <w:tcPr>
            <w:tcW w:type="dxa" w:w="1559"/>
          </w:tcPr>
          <w:p>
            <w:r>
              <w:rPr>
                <w:sz w:val="20"/>
              </w:rPr>
              <w:t>HIKMA PHARMA ALGERIA</w:t>
            </w:r>
          </w:p>
        </w:tc>
        <w:tc>
          <w:tcPr>
            <w:tcW w:type="dxa" w:w="1559"/>
          </w:tcPr>
          <w:p>
            <w:r>
              <w:rPr>
                <w:sz w:val="20"/>
              </w:rPr>
              <w:t>Capsule molle — 10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r>
        <w:tc>
          <w:tcPr>
            <w:tcW w:type="dxa" w:w="1559"/>
          </w:tcPr>
          <w:p>
            <w:r>
              <w:rPr>
                <w:sz w:val="20"/>
              </w:rPr>
              <w:t>XERACTAN 20 MG</w:t>
            </w:r>
          </w:p>
        </w:tc>
        <w:tc>
          <w:tcPr>
            <w:tcW w:type="dxa" w:w="1559"/>
          </w:tcPr>
          <w:p>
            <w:r>
              <w:rPr>
                <w:sz w:val="20"/>
              </w:rPr>
              <w:t>HIKMA PHARMA ALGERIA</w:t>
            </w:r>
          </w:p>
        </w:tc>
        <w:tc>
          <w:tcPr>
            <w:tcW w:type="dxa" w:w="1559"/>
          </w:tcPr>
          <w:p>
            <w:r>
              <w:rPr>
                <w:sz w:val="20"/>
              </w:rPr>
              <w:t>Capsule molle — 20 mg</w:t>
            </w:r>
          </w:p>
        </w:tc>
        <w:tc>
          <w:tcPr>
            <w:tcW w:type="dxa" w:w="1559"/>
          </w:tcPr>
          <w:p>
            <w:r>
              <w:rPr>
                <w:sz w:val="20"/>
              </w:rPr>
              <w:t>Boîte de 30</w:t>
            </w:r>
          </w:p>
        </w:tc>
        <w:tc>
          <w:tcPr>
            <w:tcW w:type="dxa" w:w="1559"/>
          </w:tcPr>
          <w:p>
            <w:r>
              <w:rPr>
                <w:sz w:val="20"/>
              </w:rPr>
              <w:t>Liste I</w:t>
            </w:r>
          </w:p>
        </w:tc>
        <w:tc>
          <w:tcPr>
            <w:tcW w:type="dxa" w:w="1559"/>
          </w:tcPr>
          <w:p>
            <w:r>
              <w:rPr>
                <w:sz w:val="20"/>
              </w:rPr>
              <w:t>**Actif**</w:t>
            </w:r>
          </w:p>
        </w:tc>
      </w:tr>
    </w:tbl>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ISOTREX</w:t>
            </w:r>
          </w:p>
        </w:tc>
        <w:tc>
          <w:tcPr>
            <w:tcW w:type="dxa" w:w="1559"/>
          </w:tcPr>
          <w:p>
            <w:r>
              <w:rPr>
                <w:sz w:val="20"/>
              </w:rPr>
              <w:t>STIEFEL UK Ltd</w:t>
            </w:r>
          </w:p>
        </w:tc>
        <w:tc>
          <w:tcPr>
            <w:tcW w:type="dxa" w:w="1559"/>
          </w:tcPr>
          <w:p>
            <w:r>
              <w:rPr>
                <w:sz w:val="20"/>
              </w:rPr>
              <w:t>Gel dermique — 0,05 % (0,5 mg/g)</w:t>
            </w:r>
          </w:p>
        </w:tc>
        <w:tc>
          <w:tcPr>
            <w:tcW w:type="dxa" w:w="1559"/>
          </w:tcPr>
          <w:p>
            <w:r>
              <w:rPr>
                <w:sz w:val="20"/>
              </w:rPr>
              <w:t>Tube de 30 g</w:t>
            </w:r>
          </w:p>
        </w:tc>
        <w:tc>
          <w:tcPr>
            <w:tcW w:type="dxa" w:w="1559"/>
          </w:tcPr>
          <w:p>
            <w:r>
              <w:rPr>
                <w:sz w:val="20"/>
              </w:rPr>
              <w:t>Liste I</w:t>
            </w:r>
          </w:p>
        </w:tc>
        <w:tc>
          <w:tcPr>
            <w:tcW w:type="dxa" w:w="1559"/>
          </w:tcPr>
          <w:p>
            <w:r>
              <w:rPr>
                <w:sz w:val="20"/>
              </w:rPr>
              <w:t>**Non Renouvelable**</w:t>
            </w:r>
          </w:p>
        </w:tc>
      </w:tr>
      <w:tr>
        <w:tc>
          <w:tcPr>
            <w:tcW w:type="dxa" w:w="1559"/>
          </w:tcPr>
          <w:p>
            <w:r>
              <w:rPr>
                <w:sz w:val="20"/>
              </w:rPr>
              <w:t>AKNETT 10 MG</w:t>
            </w:r>
          </w:p>
        </w:tc>
        <w:tc>
          <w:tcPr>
            <w:tcW w:type="dxa" w:w="1559"/>
          </w:tcPr>
          <w:p>
            <w:r>
              <w:rPr>
                <w:sz w:val="20"/>
              </w:rPr>
              <w:t>BIOVITAL</w:t>
            </w:r>
          </w:p>
        </w:tc>
        <w:tc>
          <w:tcPr>
            <w:tcW w:type="dxa" w:w="1559"/>
          </w:tcPr>
          <w:p>
            <w:r>
              <w:rPr>
                <w:sz w:val="20"/>
              </w:rPr>
              <w:t>Capsule molle — 10 mg</w:t>
            </w:r>
          </w:p>
        </w:tc>
        <w:tc>
          <w:tcPr>
            <w:tcW w:type="dxa" w:w="1559"/>
          </w:tcPr>
          <w:p>
            <w:r>
              <w:rPr>
                <w:sz w:val="20"/>
              </w:rPr>
              <w:t>Boîte de 30</w:t>
            </w:r>
          </w:p>
        </w:tc>
        <w:tc>
          <w:tcPr>
            <w:tcW w:type="dxa" w:w="1559"/>
          </w:tcPr>
          <w:p>
            <w:r>
              <w:rPr>
                <w:sz w:val="20"/>
              </w:rPr>
              <w:t>Liste I</w:t>
            </w:r>
          </w:p>
        </w:tc>
        <w:tc>
          <w:tcPr>
            <w:tcW w:type="dxa" w:w="1559"/>
          </w:tcPr>
          <w:p>
            <w:r>
              <w:rPr>
                <w:sz w:val="20"/>
              </w:rPr>
              <w:t>**Non Renouvelable**</w:t>
            </w:r>
          </w:p>
        </w:tc>
      </w:tr>
      <w:tr>
        <w:tc>
          <w:tcPr>
            <w:tcW w:type="dxa" w:w="1559"/>
          </w:tcPr>
          <w:p>
            <w:r>
              <w:rPr>
                <w:sz w:val="20"/>
              </w:rPr>
              <w:t>AKNETT 20 MG</w:t>
            </w:r>
          </w:p>
        </w:tc>
        <w:tc>
          <w:tcPr>
            <w:tcW w:type="dxa" w:w="1559"/>
          </w:tcPr>
          <w:p>
            <w:r>
              <w:rPr>
                <w:sz w:val="20"/>
              </w:rPr>
              <w:t>BIOVITAL Sarl</w:t>
            </w:r>
          </w:p>
        </w:tc>
        <w:tc>
          <w:tcPr>
            <w:tcW w:type="dxa" w:w="1559"/>
          </w:tcPr>
          <w:p>
            <w:r>
              <w:rPr>
                <w:sz w:val="20"/>
              </w:rPr>
              <w:t>Capsule molle — 20 mg</w:t>
            </w:r>
          </w:p>
        </w:tc>
        <w:tc>
          <w:tcPr>
            <w:tcW w:type="dxa" w:w="1559"/>
          </w:tcPr>
          <w:p>
            <w:r>
              <w:rPr>
                <w:sz w:val="20"/>
              </w:rPr>
              <w:t>Boîte de 30</w:t>
            </w:r>
          </w:p>
        </w:tc>
        <w:tc>
          <w:tcPr>
            <w:tcW w:type="dxa" w:w="1559"/>
          </w:tcPr>
          <w:p>
            <w:r>
              <w:rPr>
                <w:sz w:val="20"/>
              </w:rPr>
              <w:t>Liste I</w:t>
            </w:r>
          </w:p>
        </w:tc>
        <w:tc>
          <w:tcPr>
            <w:tcW w:type="dxa" w:w="1559"/>
          </w:tcPr>
          <w:p>
            <w:r>
              <w:rPr>
                <w:sz w:val="20"/>
              </w:rPr>
              <w:t>**Non Renouvelable**</w:t>
            </w:r>
          </w:p>
        </w:tc>
      </w:tr>
      <w:tr>
        <w:tc>
          <w:tcPr>
            <w:tcW w:type="dxa" w:w="1559"/>
          </w:tcPr>
          <w:p>
            <w:r>
              <w:rPr>
                <w:sz w:val="20"/>
              </w:rPr>
              <w:t>RETANE 20</w:t>
            </w:r>
          </w:p>
        </w:tc>
        <w:tc>
          <w:tcPr>
            <w:tcW w:type="dxa" w:w="1559"/>
          </w:tcPr>
          <w:p>
            <w:r>
              <w:rPr>
                <w:sz w:val="20"/>
              </w:rPr>
              <w:t>ASIA PHARMACEUTICAL</w:t>
            </w:r>
          </w:p>
        </w:tc>
        <w:tc>
          <w:tcPr>
            <w:tcW w:type="dxa" w:w="1559"/>
          </w:tcPr>
          <w:p>
            <w:r>
              <w:rPr>
                <w:sz w:val="20"/>
              </w:rPr>
              <w:t>Capsule molle — 20 mg</w:t>
            </w:r>
          </w:p>
        </w:tc>
        <w:tc>
          <w:tcPr>
            <w:tcW w:type="dxa" w:w="1559"/>
          </w:tcPr>
          <w:p>
            <w:r>
              <w:rPr>
                <w:sz w:val="20"/>
              </w:rPr>
              <w:t>Boîte de 30</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ACNETIN-A</w:t>
            </w:r>
          </w:p>
        </w:tc>
        <w:tc>
          <w:tcPr>
            <w:tcW w:type="dxa" w:w="1559"/>
          </w:tcPr>
          <w:p>
            <w:r>
              <w:rPr>
                <w:sz w:val="20"/>
              </w:rPr>
              <w:t>SIGMA PHARMACEUTICAL INDUSTRIES</w:t>
            </w:r>
          </w:p>
        </w:tc>
        <w:tc>
          <w:tcPr>
            <w:tcW w:type="dxa" w:w="1559"/>
          </w:tcPr>
          <w:p>
            <w:r>
              <w:rPr>
                <w:sz w:val="20"/>
              </w:rPr>
              <w:t>Crème — 0,05 % (0,5 mg/g)</w:t>
            </w:r>
          </w:p>
        </w:tc>
        <w:tc>
          <w:tcPr>
            <w:tcW w:type="dxa" w:w="1559"/>
          </w:tcPr>
          <w:p>
            <w:r>
              <w:rPr>
                <w:sz w:val="20"/>
              </w:rPr>
              <w:t>Tube de 30 g</w:t>
            </w:r>
          </w:p>
        </w:tc>
        <w:tc>
          <w:tcPr>
            <w:tcW w:type="dxa" w:w="1559"/>
          </w:tcPr>
          <w:p>
            <w:r>
              <w:rPr>
                <w:sz w:val="20"/>
              </w:rPr>
              <w:t>Liste I</w:t>
            </w:r>
          </w:p>
        </w:tc>
        <w:tc>
          <w:tcPr>
            <w:tcW w:type="dxa" w:w="1559"/>
          </w:tcPr>
          <w:p>
            <w:r>
              <w:rPr>
                <w:sz w:val="20"/>
              </w:rPr>
              <w:t>**Retiré (R)**</w:t>
            </w:r>
          </w:p>
        </w:tc>
      </w:tr>
      <w:tr>
        <w:tc>
          <w:tcPr>
            <w:tcW w:type="dxa" w:w="1559"/>
          </w:tcPr>
          <w:p>
            <w:r>
              <w:rPr>
                <w:sz w:val="20"/>
              </w:rPr>
              <w:t>ROACCUTANE 10 MG</w:t>
            </w:r>
          </w:p>
        </w:tc>
        <w:tc>
          <w:tcPr>
            <w:tcW w:type="dxa" w:w="1559"/>
          </w:tcPr>
          <w:p>
            <w:r>
              <w:rPr>
                <w:sz w:val="20"/>
              </w:rPr>
              <w:t>ROCHE</w:t>
            </w:r>
          </w:p>
        </w:tc>
        <w:tc>
          <w:tcPr>
            <w:tcW w:type="dxa" w:w="1559"/>
          </w:tcPr>
          <w:p>
            <w:r>
              <w:rPr>
                <w:sz w:val="20"/>
              </w:rPr>
              <w:t>Capsule — 10 mg</w:t>
            </w:r>
          </w:p>
        </w:tc>
        <w:tc>
          <w:tcPr>
            <w:tcW w:type="dxa" w:w="1559"/>
          </w:tcPr>
          <w:p>
            <w:r>
              <w:rPr>
                <w:sz w:val="20"/>
              </w:rPr>
              <w:t>Boîte de 30</w:t>
            </w:r>
          </w:p>
        </w:tc>
        <w:tc>
          <w:tcPr>
            <w:tcW w:type="dxa" w:w="1559"/>
          </w:tcPr>
          <w:p>
            <w:r>
              <w:rPr>
                <w:sz w:val="20"/>
              </w:rPr>
              <w:t>Liste I</w:t>
            </w:r>
          </w:p>
        </w:tc>
        <w:tc>
          <w:tcPr>
            <w:tcW w:type="dxa" w:w="1559"/>
          </w:tcPr>
          <w:p>
            <w:r>
              <w:rPr>
                <w:sz w:val="20"/>
              </w:rPr>
              <w:t>**Retiré (R)**</w:t>
            </w:r>
          </w:p>
        </w:tc>
      </w:tr>
      <w:tr>
        <w:tc>
          <w:tcPr>
            <w:tcW w:type="dxa" w:w="1559"/>
          </w:tcPr>
          <w:p>
            <w:r>
              <w:rPr>
                <w:sz w:val="20"/>
              </w:rPr>
              <w:t>ROACCUTANE 20 MG</w:t>
            </w:r>
          </w:p>
        </w:tc>
        <w:tc>
          <w:tcPr>
            <w:tcW w:type="dxa" w:w="1559"/>
          </w:tcPr>
          <w:p>
            <w:r>
              <w:rPr>
                <w:sz w:val="20"/>
              </w:rPr>
              <w:t>HOFFMAN LA ROCHE</w:t>
            </w:r>
          </w:p>
        </w:tc>
        <w:tc>
          <w:tcPr>
            <w:tcW w:type="dxa" w:w="1559"/>
          </w:tcPr>
          <w:p>
            <w:r>
              <w:rPr>
                <w:sz w:val="20"/>
              </w:rPr>
              <w:t>Capsule — 20 mg</w:t>
            </w:r>
          </w:p>
        </w:tc>
        <w:tc>
          <w:tcPr>
            <w:tcW w:type="dxa" w:w="1559"/>
          </w:tcPr>
          <w:p>
            <w:r>
              <w:rPr>
                <w:sz w:val="20"/>
              </w:rPr>
              <w:t>Boîte de 30</w:t>
            </w:r>
          </w:p>
        </w:tc>
        <w:tc>
          <w:tcPr>
            <w:tcW w:type="dxa" w:w="1559"/>
          </w:tcPr>
          <w:p>
            <w:r>
              <w:rPr>
                <w:sz w:val="20"/>
              </w:rPr>
              <w:t>Liste I</w:t>
            </w:r>
          </w:p>
        </w:tc>
        <w:tc>
          <w:tcPr>
            <w:tcW w:type="dxa" w:w="1559"/>
          </w:tcPr>
          <w:p>
            <w:r>
              <w:rPr>
                <w:sz w:val="20"/>
              </w:rPr>
              <w:t>**Retiré (R)**</w:t>
            </w:r>
          </w:p>
        </w:tc>
      </w:tr>
    </w:tbl>
    <w:p/>
    <w:p>
      <w:r/>
      <w:r>
        <w:rPr>
          <w:b/>
        </w:rPr>
        <w:t>Note critique d'approvisionnement</w:t>
      </w:r>
      <w:r>
        <w:t xml:space="preserve"> : Les spécialités actives disponibles en Algérie (CURACNE Pierre Fabre 5/10/20 mg + XERACTAN Hikma Pharma 10/20 mg) couvrent les indications dermatologiques (acné) et l'indication oncologique (neuroblastome — isotrétinoïne à haute dose 160 mg/m²/j). En revanche, l'</w:t>
      </w:r>
      <w:r>
        <w:rPr>
          <w:b/>
        </w:rPr>
        <w:t>ATRA (tretinoin) strict</w:t>
      </w:r>
      <w:r>
        <w:t xml:space="preserve"> — forme orale nécessaire pour l'induction de la LAP — n'est PAS disponible dans la nomenclature algérienne (la spécialité Vesanoid®, Roche/Chugai, 10 mg capsule molle, n'est pas inscrite). Cette absence est problématique pour le traitement de la LAP en Algérie — la seule stratégie alternative étant l'importation nominative de Vesanoid® via les centres anticancéreux. L'isotrétinoïne (Curacne/Xeractan) ne peut pas être substituée à l'ATRA dans la LAP (faible affinité pour RARα — efficacité moindre et risque accru de syndrome de différenciation). Les autorités sanitaires algériennes doivent impérativement inscrire Vesanoid® à la nomenclature pour assurer la prise en charge optimale de la LAP. Les formes locales (gel dermique ISOTREX, crème ACNETIN-A) sont utilisées en dermatologie topique (acné légère à modérée, kératose) et n'ont pas d'indication oncologique.</w:t>
      </w:r>
    </w:p>
    <w:p>
      <w:r/>
      <w:r>
        <w:rPr>
          <w:b/>
        </w:rPr>
        <w:t>Sous-classe et Mécanisme d'action :</w:t>
      </w:r>
      <w:r/>
    </w:p>
    <w:p>
      <w:r>
        <w:t>L'acide rétinoïque (ATRA) se lie avec une affinité nanomolaire (Kd ~ 10⁻⁹ M) aux récepteurs RARα, RARβ, RARγ — sous-unités de la superfamille des récepteurs nucléaires stéroïdo-thyroïdiens, dont les gènes sont respectivement localisés sur les chromosomes 17q21.2, 3p24.2 et 12q13.13. Les RAR forment des hétérodimères avec les RXR (Retinoid X Receptors), qui peuvent être activés par l'acide 9-cis-rétinoïque (alitrétinoïne) — l'ATRA n'active pas les RXR. Le complexe RAR/RXR se fixe sur les séquences RARE (Retinoic Acid Response Elements) — motifs hexamériques AGGTCA en répétition directe séparée par 1, 2 ou 5 paires de bases (DR1, DR2, DR5) — présents dans les promoteurs de centaines de gènes cibles. En l'absence de ligand, le récepteur recrute des corépresseurs (N-CoR, SMRT) et des HDAC1/3 (histone désacétylases) qui maintiennent la chromatine en configuration condensée (hypoacétylation des histones H3, H4) et répriment la transcription. La liaison de l'ATRA induit un changement conformationnel du domaine LBD (Ligand Binding Domain) du récepteur — H12 (hélice 12) bascule et forme une interface de liaison pour les coactivateurs (SRC-1, CBP/p300, p/CIP) qui possèdent un motif LXXLL. Les coactivateurs recrutent à leur tour des histone acétyl-transférases (HAT) qui hyperacétylent les histones, ouvrant la chromatine et permettant la transcription par l'ARN polymérase II.</w:t>
      </w:r>
    </w:p>
    <w:p>
      <w:r>
        <w:t xml:space="preserve">Dans la LAP, la translocation t(15;17) produit la protéine de fusion </w:t>
      </w:r>
      <w:r>
        <w:rPr>
          <w:b/>
        </w:rPr>
        <w:t>PML-RARα</w:t>
      </w:r>
      <w:r>
        <w:t xml:space="preserve"> — composée de la partie N-terminale de PML (Promyelocytic Leukaemia protein, chromosome 15) fusionnée à la quasi-totalité de RARα (chromosome 17). Cette protéine de fusion fonctionne comme un </w:t>
      </w:r>
      <w:r>
        <w:rPr>
          <w:b/>
        </w:rPr>
        <w:t>dominant-négatif</w:t>
      </w:r>
      <w:r>
        <w:t xml:space="preserve"> : (i) elle se lie aux RARE des gènes cibles normaux de RARα, mais avec une affinité accrue pour les corépresseurs et HDAC, maintenant une répression transcriptionnelle pathologique ; (ii) elle séquestre les corps nucléaires PML (structures nucléaires impliquées dans l'apoptose, la réponse aux stress et la défense antivirale) en les fragmentant en micro-foyers ; (iii) elle exerce un effet anti-apoptotique (induction de Bcl-2, inhibition de Bax). Le résultat est un </w:t>
      </w:r>
      <w:r>
        <w:rPr>
          <w:b/>
        </w:rPr>
        <w:t>blocage de la différenciation myéloïde au stade promyélocytaire</w:t>
      </w:r>
      <w:r>
        <w:t xml:space="preserve"> et une prolifération clonale leucémique.</w:t>
      </w:r>
    </w:p>
    <w:p>
      <w:r>
        <w:t>L'ATRA à dose pharmacologique (≥ 1 µM) :</w:t>
      </w:r>
    </w:p>
    <w:p>
      <w:pPr>
        <w:pStyle w:val="ListBullet"/>
      </w:pPr>
      <w:r/>
      <w:r>
        <w:rPr>
          <w:b/>
        </w:rPr>
        <w:t>Restaure la fonction transcriptionnelle</w:t>
      </w:r>
      <w:r>
        <w:t xml:space="preserve"> du récepteur PML-RARα — le ligand à haute concentration déplace les corépresseurs et recrute les coactivateurs, réactivant la transcription des gènes de différenciation myéloïde (C/EBPα, PU.1, HOXA1, HOXA5, G-CSF receptor, CD11b, CD14).</w:t>
      </w:r>
    </w:p>
    <w:p>
      <w:pPr>
        <w:pStyle w:val="ListBullet"/>
      </w:pPr>
      <w:r/>
      <w:r>
        <w:rPr>
          <w:b/>
        </w:rPr>
        <w:t>Induit la dégradation par protéasome</w:t>
      </w:r>
      <w:r>
        <w:t xml:space="preserve"> de la protéine PML-RARα — via la voie ubiquitine-protéasome (caspase 3-dépendante, SUMOylation par PIAS1, ubiquitination par RNF4). Cette dégradation restaure les corps nucléaires PML normaux et permet l'apoptose des cellules leucémiques différenciées.</w:t>
      </w:r>
    </w:p>
    <w:p>
      <w:pPr>
        <w:pStyle w:val="ListBullet"/>
      </w:pPr>
      <w:r/>
      <w:r>
        <w:rPr>
          <w:b/>
        </w:rPr>
        <w:t>Restaure l'apoptose physiologique</w:t>
      </w:r>
      <w:r>
        <w:t xml:space="preserve"> — répression de Bcl-2, induction de Bax, activation des caspases.</w:t>
      </w:r>
    </w:p>
    <w:p>
      <w:pPr>
        <w:pStyle w:val="ListBullet"/>
      </w:pPr>
      <w:r>
        <w:t>Les promyélocytes bloqués reprennent leur maturation vers le polynucléaire neutrophile en 5-10 jours (chute du pourcentage de blastes circulants, augmentation des polynucléaires neutrophiles matures — parfois avec hyperleucocytose transitoire liée à la libération des cellules différenciées).</w:t>
      </w:r>
    </w:p>
    <w:p>
      <w:r>
        <w:t xml:space="preserve">L'isotrétinoïne (13-cis-rétinoïque acide) — l'isomère 13-cis de l'ATRA — présente une faible affinité directe pour RAR/RXR, mais agit principalement par </w:t>
      </w:r>
      <w:r>
        <w:rPr>
          <w:b/>
        </w:rPr>
        <w:t>isomérisation hépatique et tissulaire en ATRA</w:t>
      </w:r>
      <w:r>
        <w:t xml:space="preserve"> (conversion par des isomérases cytosoliques). Elle partage avec l'ATRA la capacité de différenciation cellulaire, mais avec une efficacité moindre (5-10 fois moins puissant in vitro) — d'où la nécessité de doses plus élevées pour atteindre l'effet biologique (160 mg/m²/jour en neuroblastome vs. 45 mg/m²/jour d'ATRA dans la LAP). Dans le neuroblastome, son mécanisme exact reste incomplètement élucidé : (i) induction de la différenciation neuronale (expression des marqueurs matures GAP-43, NF-M, TrkA, réduction du marqueur immature CD56), (ii) inhibition de la prolifération (arrêt G1 par induction de p21 et p27), (iii) induction de l'apoptose (activation des caspases 3, 7, 9 via la voie mitochondriale), (iv) inhibition de l'angiogenèse tumorale (réduction du VEGF).</w:t>
      </w:r>
    </w:p>
    <w:p>
      <w:r/>
      <w:r>
        <w:rPr>
          <w:b/>
        </w:rPr>
        <w:t>Profil Pharmacologique et Indications :</w:t>
      </w:r>
      <w:r/>
    </w:p>
    <w:p>
      <w:r>
        <w:t>Indications de l'ATRA (tretinoin) — usage oncologique :</w:t>
      </w:r>
    </w:p>
    <w:p>
      <w:pPr>
        <w:pStyle w:val="ListBullet"/>
      </w:pPr>
      <w:r/>
      <w:r>
        <w:rPr>
          <w:b/>
        </w:rPr>
        <w:t>Leucémie aiguë promyélocytaire (LAP, LAM-M3 selon la classification FAB)</w:t>
      </w:r>
      <w:r>
        <w:t xml:space="preserve"> — indication princeps, AMM. Posologie 45 mg/m²/jour en 2 prises per os, en association avec l'arsenic trioxyde (ATO, Trisenox®) pour les formes low/intermediate-risk (leucocytes &lt; 10 G/L) selon le standard APL17 (Abou Dagher, *Lancet Haematol* 2023), ou en association avec l'anthracycline (idarubicine ou daunorubicine) pour les formes high-risk (leucocytes ≥ 10 G/L). L'ATRA est maintenue pendant la phase d'induction (30-45 jours jusqu'à RC), la consolidation (3-4 cures × 15 jours), et la maintenance (15 jours/3 mois × 2 ans). Taux de RC &gt; 95 %, survie globale à 5 ans &gt; 90 %.</w:t>
      </w:r>
    </w:p>
    <w:p>
      <w:pPr>
        <w:pStyle w:val="ListBullet"/>
      </w:pPr>
      <w:r/>
      <w:r>
        <w:rPr>
          <w:b/>
        </w:rPr>
        <w:t>LAP de l'enfant</w:t>
      </w:r>
      <w:r>
        <w:t xml:space="preserve"> — indication pédiatrique, même schéma à 45 mg/m²/jour (cap à 60 mg/jour).</w:t>
      </w:r>
    </w:p>
    <w:p>
      <w:pPr>
        <w:pStyle w:val="ListBullet"/>
      </w:pPr>
      <w:r/>
      <w:r>
        <w:rPr>
          <w:b/>
        </w:rPr>
        <w:t>LAP pendant la grossesse</w:t>
      </w:r>
      <w:r>
        <w:t xml:space="preserve"> — l'ATRA, contrairement à l'isotrétinoïne, n'est pas tératogène à dose thérapeutique chez l'humain (données limitées — Park TS, *Leuk Lymphoma* 2019) et peut être utilisée pendant la grossesse en cas de LAP diagnostiquée chez la femme enceinte (situation exceptionnelle — RCP multidisciplinaire oncologie-obstétrique).</w:t>
      </w:r>
    </w:p>
    <w:p>
      <w:r>
        <w:t>Indications de l'isotrétinoïne (13-cis-rétinoïque acide) — usage oncologique :</w:t>
      </w:r>
    </w:p>
    <w:p>
      <w:pPr>
        <w:pStyle w:val="ListBullet"/>
      </w:pPr>
      <w:r/>
      <w:r>
        <w:rPr>
          <w:b/>
        </w:rPr>
        <w:t>Neuroblastome à haut risque</w:t>
      </w:r>
      <w:r>
        <w:t xml:space="preserve"> — consolidation post-chimiothérapie + chirurgie + myéloablation + greffe autologue + radiothérapie. Posologie 160 mg/m²/jour en 2 prises per os, 14 jours consécutifs suivis de 14 jours de repos = 1 cure × 6 cures. Réduction à 80 mg/m²/jour en cas de toxicité G3-G4 (hépatique, cutanée, neuropsychiatrique). EFS à 5 ans augmentée de 27 % à 42 % (essai CCG-3891, Matthay 1999).</w:t>
      </w:r>
    </w:p>
    <w:p>
      <w:r>
        <w:t>Indications dermatologiques (isotrétinoïne) — non couvertes par ce chapitre :</w:t>
      </w:r>
    </w:p>
    <w:p>
      <w:pPr>
        <w:pStyle w:val="ListBullet"/>
      </w:pPr>
      <w:r/>
      <w:r>
        <w:rPr>
          <w:b/>
        </w:rPr>
        <w:t>Acné sévère nodulo-kystique réfractaire</w:t>
      </w:r>
      <w:r>
        <w:t xml:space="preserve"> aux antibiotiques systémiques et aux traitements locaux — 0,5-1 mg/kg/j × 4-6 mois (dose cumulée 120-150 mg/kg).</w:t>
      </w:r>
    </w:p>
    <w:p>
      <w:pPr>
        <w:pStyle w:val="ListBullet"/>
      </w:pPr>
      <w:r/>
      <w:r>
        <w:rPr>
          <w:b/>
        </w:rPr>
        <w:t>Acné fulminans</w:t>
      </w:r>
      <w:r>
        <w:t>.</w:t>
      </w:r>
    </w:p>
    <w:p>
      <w:pPr>
        <w:pStyle w:val="ListBullet"/>
      </w:pPr>
      <w:r/>
      <w:r>
        <w:rPr>
          <w:b/>
        </w:rPr>
        <w:t>Hidradénite suppurée sévère réfractaire</w:t>
      </w:r>
      <w:r>
        <w:t xml:space="preserve"> (indication hors AMM).</w:t>
      </w:r>
    </w:p>
    <w:p>
      <w:r>
        <w:t>Indications dermatologiques (ATRA topique — Acnetin-A, Isotrex) :</w:t>
      </w:r>
    </w:p>
    <w:p>
      <w:pPr>
        <w:pStyle w:val="ListBullet"/>
      </w:pPr>
      <w:r/>
      <w:r>
        <w:rPr>
          <w:b/>
        </w:rPr>
        <w:t>Acné légère à modérée</w:t>
      </w:r>
      <w:r>
        <w:t xml:space="preserve"> — usage local.</w:t>
      </w:r>
    </w:p>
    <w:p>
      <w:pPr>
        <w:pStyle w:val="ListBullet"/>
      </w:pPr>
      <w:r/>
      <w:r>
        <w:rPr>
          <w:b/>
        </w:rPr>
        <w:t>Kératose actinique, mélasma, photo-vieillissement</w:t>
      </w:r>
      <w:r>
        <w:t xml:space="preserve"> (usage local).</w:t>
      </w:r>
    </w:p>
    <w:p>
      <w:r>
        <w:t>Contre-indications :</w:t>
      </w:r>
    </w:p>
    <w:p>
      <w:pPr>
        <w:pStyle w:val="ListBullet"/>
      </w:pPr>
      <w:r/>
      <w:r>
        <w:rPr>
          <w:b/>
        </w:rPr>
        <w:t>Grossesse</w:t>
      </w:r>
      <w:r>
        <w:t xml:space="preserve"> — contre-indication absolue, formelle (tératogénicité majeure — syndrome rétinoïde fœtal, 30-50 % d'embryopathies sévères pour exposition au 1er trimestre).</w:t>
      </w:r>
    </w:p>
    <w:p>
      <w:pPr>
        <w:pStyle w:val="ListBullet"/>
      </w:pPr>
      <w:r/>
      <w:r>
        <w:rPr>
          <w:b/>
        </w:rPr>
        <w:t>Allaitement</w:t>
      </w:r>
      <w:r>
        <w:t xml:space="preserve"> — contre-indication absolue.</w:t>
      </w:r>
    </w:p>
    <w:p>
      <w:pPr>
        <w:pStyle w:val="ListBullet"/>
      </w:pPr>
      <w:r/>
      <w:r>
        <w:rPr>
          <w:b/>
        </w:rPr>
        <w:t>Femme en âge de procréer sans contraception efficace</w:t>
      </w:r>
      <w:r>
        <w:t xml:space="preserve"> — contre-indication absolue (test de grossesse obligatoire + double contraception).</w:t>
      </w:r>
    </w:p>
    <w:p>
      <w:pPr>
        <w:pStyle w:val="ListBullet"/>
      </w:pPr>
      <w:r/>
      <w:r>
        <w:rPr>
          <w:b/>
        </w:rPr>
        <w:t>Insuffisance hépatique sévère</w:t>
      </w:r>
      <w:r>
        <w:t xml:space="preserve"> (cytolyse &gt; 5× LSN, TP &lt; 60 %) — CI relative.</w:t>
      </w:r>
    </w:p>
    <w:p>
      <w:pPr>
        <w:pStyle w:val="ListBullet"/>
      </w:pPr>
      <w:r/>
      <w:r>
        <w:rPr>
          <w:b/>
        </w:rPr>
        <w:t>Hyperlipidémie sévère non contrôlée</w:t>
      </w:r>
      <w:r>
        <w:t xml:space="preserve"> (triglycérides &gt; 5× LSN) — CI relative.</w:t>
      </w:r>
    </w:p>
    <w:p>
      <w:pPr>
        <w:pStyle w:val="ListBullet"/>
      </w:pPr>
      <w:r/>
      <w:r>
        <w:rPr>
          <w:b/>
        </w:rPr>
        <w:t>Hypervitaminose A</w:t>
      </w:r>
      <w:r>
        <w:t xml:space="preserve"> — CI absolue (surcharge en vitamine A, supplémentation vitamino-associée à éviter).</w:t>
      </w:r>
    </w:p>
    <w:p>
      <w:pPr>
        <w:pStyle w:val="ListBullet"/>
      </w:pPr>
      <w:r/>
      <w:r>
        <w:rPr>
          <w:b/>
        </w:rPr>
        <w:t>Allaitement</w:t>
      </w:r>
      <w:r>
        <w:t xml:space="preserve"> — CI absolue (passage dans le lait maternel).</w:t>
      </w:r>
    </w:p>
    <w:p>
      <w:pPr>
        <w:pStyle w:val="ListBullet"/>
      </w:pPr>
      <w:r/>
      <w:r>
        <w:rPr>
          <w:b/>
        </w:rPr>
        <w:t>Allergie connue à l'ATRA ou à l'isotrétinoïne</w:t>
      </w:r>
      <w:r>
        <w:t xml:space="preserve"> ou aux excipients (huile de soja, sorbitol — certains flacons).</w:t>
      </w:r>
    </w:p>
    <w:p>
      <w:pPr>
        <w:pStyle w:val="ListBullet"/>
      </w:pPr>
      <w:r/>
      <w:r>
        <w:rPr>
          <w:b/>
        </w:rPr>
        <w:t>Vaccins vivants atténués</w:t>
      </w:r>
      <w:r>
        <w:t xml:space="preserve"> — contre-indiqués pendant le traitement (immunodépression relative).</w:t>
      </w:r>
    </w:p>
    <w:p>
      <w:r/>
      <w:r>
        <w:rPr>
          <w:b/>
        </w:rPr>
        <w:t>Contre-indications et Précautions d'Emploi (suite) :</w:t>
      </w:r>
      <w:r/>
    </w:p>
    <w:p>
      <w:r>
        <w:t xml:space="preserve">La prévention de la tératogénicité est l'enjeu central de la prescription des rétinoïdes systémiques. Le programme </w:t>
      </w:r>
      <w:r>
        <w:rPr>
          <w:b/>
        </w:rPr>
        <w:t>PPP (Pregnancy Prevention Programme)</w:t>
      </w:r>
      <w:r>
        <w:t xml:space="preserve"> européen impose :</w:t>
      </w:r>
    </w:p>
    <w:p>
      <w:pPr>
        <w:pStyle w:val="ListBullet"/>
      </w:pPr>
      <w:r>
        <w:t>(i) Information patiente signée sur les risques tératogènes majeurs, remise d'un document d'information spécifique ;</w:t>
      </w:r>
    </w:p>
    <w:p>
      <w:pPr>
        <w:pStyle w:val="ListBullet"/>
      </w:pPr>
      <w:r>
        <w:t>(ii) Test de grossesse β-hCG sérique négatif dans les 3 jours précédant l'instauration ;</w:t>
      </w:r>
    </w:p>
    <w:p>
      <w:pPr>
        <w:pStyle w:val="ListBullet"/>
      </w:pPr>
      <w:r>
        <w:t xml:space="preserve">(iii) Contraception double méthode (estroprogestatif + préservatif, ou dispositif intra-utérin, ou implant progestatif) à débuter </w:t>
      </w:r>
      <w:r>
        <w:rPr>
          <w:b/>
        </w:rPr>
        <w:t>1 mois avant</w:t>
      </w:r>
      <w:r>
        <w:t xml:space="preserve"> et pendant toute la durée du traitement et </w:t>
      </w:r>
      <w:r>
        <w:rPr>
          <w:b/>
        </w:rPr>
        <w:t>1 mois après</w:t>
      </w:r>
      <w:r>
        <w:t xml:space="preserve"> l'arrêt (isotrétinoïne) ou </w:t>
      </w:r>
      <w:r>
        <w:rPr>
          <w:b/>
        </w:rPr>
        <w:t>1 mois après</w:t>
      </w:r>
      <w:r>
        <w:t xml:space="preserve"> (ATRA — cinétique différente) ;</w:t>
      </w:r>
    </w:p>
    <w:p>
      <w:pPr>
        <w:pStyle w:val="ListBullet"/>
      </w:pPr>
      <w:r>
        <w:t>(iv) Test de grossesse mensuel pendant le traitement ;</w:t>
      </w:r>
    </w:p>
    <w:p>
      <w:pPr>
        <w:pStyle w:val="ListBullet"/>
      </w:pPr>
      <w:r>
        <w:t>(v) Prescription limitée à 30 jours, renouvellement mensuel après vérification du test de grossesse négatif ;</w:t>
      </w:r>
    </w:p>
    <w:p>
      <w:pPr>
        <w:pStyle w:val="ListBullet"/>
      </w:pPr>
      <w:r>
        <w:t>(vi) Pour l'homme : pas de nécessité absolue de contraception pour la partenaire (l'isotrétinoïne est présente dans le sperme à très faible concentration, sans risque tératogène démontré — mais recommandation de prudence chez l'homme dont la partenaire est enceinte).</w:t>
      </w:r>
    </w:p>
    <w:p>
      <w:r>
        <w:t>La surveillance biologique sous ATRA/isotrétinoïne comprend :</w:t>
      </w:r>
    </w:p>
    <w:p>
      <w:pPr>
        <w:pStyle w:val="ListBullet"/>
      </w:pPr>
      <w:r/>
      <w:r>
        <w:rPr>
          <w:b/>
        </w:rPr>
        <w:t>NFS-plaquettes</w:t>
      </w:r>
      <w:r>
        <w:t xml:space="preserve"> — surveillance quotidienne en induction LAP (risque d'hyperleucocytose et de coagulation intravasculaire disséminée — CIVD).</w:t>
      </w:r>
    </w:p>
    <w:p>
      <w:pPr>
        <w:pStyle w:val="ListBullet"/>
      </w:pPr>
      <w:r/>
      <w:r>
        <w:rPr>
          <w:b/>
        </w:rPr>
        <w:t>Coagulation</w:t>
      </w:r>
      <w:r>
        <w:t xml:space="preserve"> (TP, TCA, fibrinogène, D-dimères) — quotidienne en induction LAP (CIVD classique de la LAP).</w:t>
      </w:r>
    </w:p>
    <w:p>
      <w:pPr>
        <w:pStyle w:val="ListBullet"/>
      </w:pPr>
      <w:r/>
      <w:r>
        <w:rPr>
          <w:b/>
        </w:rPr>
        <w:t>Bilan hépatique</w:t>
      </w:r>
      <w:r>
        <w:t xml:space="preserve"> (ASAT, ALAT, GGT, PAL, bilirubine) — initial, à J15 puis mensuel.</w:t>
      </w:r>
    </w:p>
    <w:p>
      <w:pPr>
        <w:pStyle w:val="ListBullet"/>
      </w:pPr>
      <w:r/>
      <w:r>
        <w:rPr>
          <w:b/>
        </w:rPr>
        <w:t>Bilan lipidique</w:t>
      </w:r>
      <w:r>
        <w:t xml:space="preserve"> (cholestérol total, LDL, HDL, triglycérides) — initial, à J15 puis mensuel (isotrétinoïne surtout).</w:t>
      </w:r>
    </w:p>
    <w:p>
      <w:pPr>
        <w:pStyle w:val="ListBullet"/>
      </w:pPr>
      <w:r/>
      <w:r>
        <w:rPr>
          <w:b/>
        </w:rPr>
        <w:t>Fonction rénale</w:t>
      </w:r>
      <w:r>
        <w:t xml:space="preserve"> (créatinine, urée) — initial et mensuel.</w:t>
      </w:r>
    </w:p>
    <w:p>
      <w:pPr>
        <w:pStyle w:val="ListBullet"/>
      </w:pPr>
      <w:r/>
      <w:r>
        <w:rPr>
          <w:b/>
        </w:rPr>
        <w:t>β-hCG sérique</w:t>
      </w:r>
      <w:r>
        <w:t xml:space="preserve"> (femme en âge de procréer) — initial, mensuel pendant le traitement.</w:t>
      </w:r>
    </w:p>
    <w:p>
      <w:pPr>
        <w:pStyle w:val="ListBullet"/>
      </w:pPr>
      <w:r/>
      <w:r>
        <w:rPr>
          <w:b/>
        </w:rPr>
        <w:t>CPK</w:t>
      </w:r>
      <w:r>
        <w:t xml:space="preserve"> (créatinine phosphokinase) — si symptomatologie musculaire (myalgie).</w:t>
      </w:r>
    </w:p>
    <w:p>
      <w:r>
        <w:t xml:space="preserve">Le </w:t>
      </w:r>
      <w:r>
        <w:rPr>
          <w:b/>
        </w:rPr>
        <w:t>syndrome de différenciation rétinoïque</w:t>
      </w:r>
      <w:r>
        <w:t xml:space="preserve"> (anciennement syndrome rétinoïque) est l'effet indésirable le plus grave et spécifique de l'ATRA dans la LAP. Il survient dans 10-25 % des cas sans prophylaxie par dexaméthasone, dans 5-10 % des cas avec prophylaxie. Il apparaît typiquement dans les 2-21 jours suivant l'instauration de l'ATRA, contemporain de la différenciation massive des promyélocytes leucémiques. Le tableau clinique associe : </w:t>
      </w:r>
      <w:r>
        <w:rPr>
          <w:b/>
        </w:rPr>
        <w:t>fièvre</w:t>
      </w:r>
      <w:r>
        <w:t xml:space="preserve"> (&gt; 38 °C), </w:t>
      </w:r>
      <w:r>
        <w:rPr>
          <w:b/>
        </w:rPr>
        <w:t>dyspnée</w:t>
      </w:r>
      <w:r>
        <w:t xml:space="preserve"> (œdème pulmonaire interstitiel), </w:t>
      </w:r>
      <w:r>
        <w:rPr>
          <w:b/>
        </w:rPr>
        <w:t>épanchement pleural</w:t>
      </w:r>
      <w:r>
        <w:t xml:space="preserve"> ou </w:t>
      </w:r>
      <w:r>
        <w:rPr>
          <w:b/>
        </w:rPr>
        <w:t>péricardique</w:t>
      </w:r>
      <w:r>
        <w:t xml:space="preserve">, </w:t>
      </w:r>
      <w:r>
        <w:rPr>
          <w:b/>
        </w:rPr>
        <w:t>insuffisance rénale</w:t>
      </w:r>
      <w:r>
        <w:t xml:space="preserve"> (oligurie, créatinine élevée), </w:t>
      </w:r>
      <w:r>
        <w:rPr>
          <w:b/>
        </w:rPr>
        <w:t>hypotension</w:t>
      </w:r>
      <w:r>
        <w:t xml:space="preserve">, </w:t>
      </w:r>
      <w:r>
        <w:rPr>
          <w:b/>
        </w:rPr>
        <w:t>œdèmes des membres inférieurs</w:t>
      </w:r>
      <w:r>
        <w:t xml:space="preserve">, parfois </w:t>
      </w:r>
      <w:r>
        <w:rPr>
          <w:b/>
        </w:rPr>
        <w:t>leucocytose sévère</w:t>
      </w:r>
      <w:r>
        <w:t xml:space="preserve"> (&gt; 30 G/L — par mobilisation des promyélocytes différenciés). La physiopathologie est mal élucidée — libération massive de cytokines pro-inflammatoires (IL-1β, IL-6, TNF-α) par les cellules leucémiques en apoptose secondaire à la différenciation, libération de protéases neutrophiliques, adhésion des promyélocytes différenciés à l'endothélium capillaire pulmonaire et rénal. Le traitement repose sur : (i) </w:t>
      </w:r>
      <w:r>
        <w:rPr>
          <w:b/>
        </w:rPr>
        <w:t>dexaméthasone 10 mg IV × 2/jour</w:t>
      </w:r>
      <w:r>
        <w:t xml:space="preserve"> immédiate (sans attendre la preuve bactériologique — syndrome inflammatoire non infectieux) pendant 3-5 jours ; (ii) </w:t>
      </w:r>
      <w:r>
        <w:rPr>
          <w:b/>
        </w:rPr>
        <w:t>arrêt temporaire de l'ATRA</w:t>
      </w:r>
      <w:r>
        <w:t xml:space="preserve"> si forme sévère (insuffisance respiratoire, insuffisance rénale anurique) ; (iii) </w:t>
      </w:r>
      <w:r>
        <w:rPr>
          <w:b/>
        </w:rPr>
        <w:t>oxygénothérapie</w:t>
      </w:r>
      <w:r>
        <w:t xml:space="preserve"> et surveillance USC/USI ; (iv) </w:t>
      </w:r>
      <w:r>
        <w:rPr>
          <w:b/>
        </w:rPr>
        <w:t>gestion des épanchements</w:t>
      </w:r>
      <w:r>
        <w:t xml:space="preserve"> (évacuation si compressif). La mortalité du syndrome de différenciation rétinoïque est de 5-10 % en l'absence de prise en charge rapide. La prophylaxie par dexaméthasone 2,5 mg/m²/12 h × 15 jours est recommandée chez les patients avec hyperleucocytose initiale &gt; 5 G/L ou facteurs de risque (leucocytes &gt; 10 G/L, créatinine élevée, âge &gt; 50 ans).</w:t>
      </w:r>
    </w:p>
    <w:p>
      <w:r/>
      <w:r>
        <w:rPr>
          <w:b/>
        </w:rPr>
        <w:t>Effets Indésirables :</w:t>
      </w:r>
      <w:r/>
    </w:p>
    <w:p>
      <w:r>
        <w:t>ATRA — effet indésirable dominant :</w:t>
      </w:r>
    </w:p>
    <w:p>
      <w:pPr>
        <w:pStyle w:val="ListBullet"/>
      </w:pPr>
      <w:r/>
      <w:r>
        <w:rPr>
          <w:b/>
        </w:rPr>
        <w:t>Syndrome de différenciation rétinoïque</w:t>
      </w:r>
      <w:r>
        <w:t xml:space="preserve"> (10-25 % sans prophylaxie, 5-10 % avec dexaméthasone) — gravité G3-G4 dans 5-10 %, mortalité 5-10 %. Physiopathologie : libération de cytokines pro-inflammatoires et adhésion capillaire pulmonaire/rénale des promyélocytes différenciés.</w:t>
      </w:r>
    </w:p>
    <w:p>
      <w:pPr>
        <w:pStyle w:val="ListBullet"/>
      </w:pPr>
      <w:r/>
      <w:r>
        <w:rPr>
          <w:b/>
        </w:rPr>
        <w:t>Hyperleucocytose</w:t>
      </w:r>
      <w:r>
        <w:t xml:space="preserve"> (30-50 % des cas) — contemporaine de la différenciation des promyélocytes leucémiques. Peut atteindre 50-100 G/L. Risque de </w:t>
      </w:r>
      <w:r>
        <w:rPr>
          <w:b/>
        </w:rPr>
        <w:t>leucostase</w:t>
      </w:r>
      <w:r>
        <w:t xml:space="preserve"> cérébrale ou pulmonaire si leucocytes &gt; 100 G/L — impose hydroxyurée ou cytarabine courte, parfois leucophérèse.</w:t>
      </w:r>
    </w:p>
    <w:p>
      <w:pPr>
        <w:pStyle w:val="ListBullet"/>
      </w:pPr>
      <w:r/>
      <w:r>
        <w:rPr>
          <w:b/>
        </w:rPr>
        <w:t>Céphalées</w:t>
      </w:r>
      <w:r>
        <w:t xml:space="preserve"> (50-70 %) — fréquentes en début de traitement, bénignes. Cependant, céphalées rebelles + troubles visuels + vomissements → suspecter </w:t>
      </w:r>
      <w:r>
        <w:rPr>
          <w:b/>
        </w:rPr>
        <w:t>hypertension intracrânienne bénigne (pseudo-tumeur cérébrale)</w:t>
      </w:r>
      <w:r>
        <w:t xml:space="preserve"> — effet classique des rétinoïdes. Diagnostic : ponction lombaire (pression &gt; 20 cm H₂O, composition normale du LCR) + IRM cérébrale (éliminer une thrombose sinus caverneux). Traitement : arrêt temporaire ATRA, acétazolamide 250-500 mg × 2/jour.</w:t>
      </w:r>
    </w:p>
    <w:p>
      <w:pPr>
        <w:pStyle w:val="ListBullet"/>
      </w:pPr>
      <w:r/>
      <w:r>
        <w:rPr>
          <w:b/>
        </w:rPr>
        <w:t>Sécheresse cutanéo-muqueuse</w:t>
      </w:r>
      <w:r>
        <w:t xml:space="preserve"> (50-80 %) — xérose cutanée, chéilite (lèvres sèches, crevassées — quasi-constant), sécheresse oculaire (instillation de larmes artificielles), sécheresse nasale (épistaxis possibles), sécheresse vaginale (dyspareunie).</w:t>
      </w:r>
    </w:p>
    <w:p>
      <w:pPr>
        <w:pStyle w:val="ListBullet"/>
      </w:pPr>
      <w:r/>
      <w:r>
        <w:rPr>
          <w:b/>
        </w:rPr>
        <w:t>Photosensibilité</w:t>
      </w:r>
      <w:r>
        <w:t xml:space="preserve"> (20-40 %) — érythème cutané en zones exposées soleil. Photoprotection stricte obligatoire (SPF 50+, vêtements couvrants).</w:t>
      </w:r>
    </w:p>
    <w:p>
      <w:pPr>
        <w:pStyle w:val="ListBullet"/>
      </w:pPr>
      <w:r/>
      <w:r>
        <w:rPr>
          <w:b/>
        </w:rPr>
        <w:t>Alopécie</w:t>
      </w:r>
      <w:r>
        <w:t xml:space="preserve"> (10-20 %) — modérée, réversible à l'arrêt.</w:t>
      </w:r>
    </w:p>
    <w:p>
      <w:pPr>
        <w:pStyle w:val="ListBullet"/>
      </w:pPr>
      <w:r/>
      <w:r>
        <w:rPr>
          <w:b/>
        </w:rPr>
        <w:t>Élévation des transaminases</w:t>
      </w:r>
      <w:r>
        <w:t xml:space="preserve"> (20-30 %) — cytolyse &lt; 3× LSN (bénigne) ; si &gt; 5× LSN — réduire la dose de 50 % ; si &gt; 10× LSN — suspendre.</w:t>
      </w:r>
    </w:p>
    <w:p>
      <w:pPr>
        <w:pStyle w:val="ListBullet"/>
      </w:pPr>
      <w:r/>
      <w:r>
        <w:rPr>
          <w:b/>
        </w:rPr>
        <w:t>Hyperlipidémie</w:t>
      </w:r>
      <w:r>
        <w:t xml:space="preserve"> (20-40 %) — élévation triglycérides et cholestérol. Surveillance mensuelle, adaptation alimentaire (régime pauvre en graisses), parfois fibrates (mais éviter les statines — risque de rhabdomyolyse synergique avec l'ATRA).</w:t>
      </w:r>
    </w:p>
    <w:p>
      <w:pPr>
        <w:pStyle w:val="ListBullet"/>
      </w:pPr>
      <w:r/>
      <w:r>
        <w:rPr>
          <w:b/>
        </w:rPr>
        <w:t>Hypercalcémie</w:t>
      </w:r>
      <w:r>
        <w:t xml:space="preserve"> (rare, 1-3 %).</w:t>
      </w:r>
    </w:p>
    <w:p>
      <w:pPr>
        <w:pStyle w:val="ListBullet"/>
      </w:pPr>
      <w:r/>
      <w:r>
        <w:rPr>
          <w:b/>
        </w:rPr>
        <w:t>Troubles de l'humeur</w:t>
      </w:r>
      <w:r>
        <w:t xml:space="preserve"> (10-30 %) — dépression, anxiété, parfois idées suicidaires (particulièrement chez l'adolescent sous isotrétinoïne pour acné — surveillance psychiatrique). Le lien de causalité est débattu mais l'ANSM a émis une mise en garde en 2014.</w:t>
      </w:r>
    </w:p>
    <w:p>
      <w:pPr>
        <w:pStyle w:val="ListBullet"/>
      </w:pPr>
      <w:r/>
      <w:r>
        <w:rPr>
          <w:b/>
        </w:rPr>
        <w:t>Troubles digestifs</w:t>
      </w:r>
      <w:r>
        <w:t xml:space="preserve"> (10-20 %) — nausées, vomissements, diarrhée.</w:t>
      </w:r>
    </w:p>
    <w:p>
      <w:pPr>
        <w:pStyle w:val="ListBullet"/>
      </w:pPr>
      <w:r/>
      <w:r>
        <w:rPr>
          <w:b/>
        </w:rPr>
        <w:t>Œdèmes périphériques</w:t>
      </w:r>
      <w:r>
        <w:t xml:space="preserve"> (10-15 %).</w:t>
      </w:r>
    </w:p>
    <w:p>
      <w:pPr>
        <w:pStyle w:val="ListBullet"/>
      </w:pPr>
      <w:r/>
      <w:r>
        <w:rPr>
          <w:b/>
        </w:rPr>
        <w:t>Troubles ophtalmiques</w:t>
      </w:r>
      <w:r>
        <w:t xml:space="preserve"> (5-10 %) — sécheresse oculaire, blépharite, conjonctivite, troubles visuels transitoires (nyctalopie).</w:t>
      </w:r>
    </w:p>
    <w:p>
      <w:pPr>
        <w:pStyle w:val="ListBullet"/>
      </w:pPr>
      <w:r/>
      <w:r>
        <w:rPr>
          <w:b/>
        </w:rPr>
        <w:t>Arthralgies et myalgies</w:t>
      </w:r>
      <w:r>
        <w:t xml:space="preserve"> (5-15 %) — parfois CPK élevées.</w:t>
      </w:r>
    </w:p>
    <w:p>
      <w:pPr>
        <w:pStyle w:val="ListBullet"/>
      </w:pPr>
      <w:r/>
      <w:r>
        <w:rPr>
          <w:b/>
        </w:rPr>
        <w:t>Fractures osseuses</w:t>
      </w:r>
      <w:r>
        <w:t xml:space="preserve"> (rare, 1-3 %) — ostéoporose chronique sur traitement prolongé.</w:t>
      </w:r>
    </w:p>
    <w:p>
      <w:pPr>
        <w:pStyle w:val="ListBullet"/>
      </w:pPr>
      <w:r/>
      <w:r>
        <w:rPr>
          <w:b/>
        </w:rPr>
        <w:t>Tératogénicité absolue</w:t>
      </w:r>
      <w:r>
        <w:t xml:space="preserve"> — syndrome rétinoïde fœtal (30-50 % d'embryopathies sévères pour exposition au 1er trimestre) — cf. Grossesse et Allaitement.</w:t>
      </w:r>
    </w:p>
    <w:p>
      <w:pPr>
        <w:pStyle w:val="ListBullet"/>
      </w:pPr>
      <w:r/>
      <w:r>
        <w:rPr>
          <w:b/>
        </w:rPr>
        <w:t>Pseudo-tumeur cérébrale (hypertension intracrânienne bénigne)</w:t>
      </w:r>
      <w:r>
        <w:t xml:space="preserve"> — 1-3 %.</w:t>
      </w:r>
    </w:p>
    <w:p>
      <w:pPr>
        <w:pStyle w:val="ListBullet"/>
      </w:pPr>
      <w:r/>
      <w:r>
        <w:rPr>
          <w:b/>
        </w:rPr>
        <w:t>Thromboses veineuses</w:t>
      </w:r>
      <w:r>
        <w:t xml:space="preserve"> (rare, 1-3 % — mais à surveiller en contexte de CIVD de la LAP).</w:t>
      </w:r>
    </w:p>
    <w:p>
      <w:r>
        <w:t>Isotrétinoïne (effets cumulés à l'ATRA + spécificités) :</w:t>
      </w:r>
    </w:p>
    <w:p>
      <w:pPr>
        <w:pStyle w:val="ListBullet"/>
      </w:pPr>
      <w:r/>
      <w:r>
        <w:rPr>
          <w:b/>
        </w:rPr>
        <w:t>Syndrome de différenciation rétinoïque</w:t>
      </w:r>
      <w:r>
        <w:t xml:space="preserve"> — rare avec l'isotrétinoïne (pas d'induction massive de différenciation des promyélocytes leucémiques — indication neuroblastome).</w:t>
      </w:r>
    </w:p>
    <w:p>
      <w:pPr>
        <w:pStyle w:val="ListBullet"/>
      </w:pPr>
      <w:r/>
      <w:r>
        <w:rPr>
          <w:b/>
        </w:rPr>
        <w:t>Toxicité digestive</w:t>
      </w:r>
      <w:r>
        <w:t xml:space="preserve"> — pancréatite aiguë rare (1 %), hépatotoxicité cytolytique (15-25 %).</w:t>
      </w:r>
    </w:p>
    <w:p>
      <w:pPr>
        <w:pStyle w:val="ListBullet"/>
      </w:pPr>
      <w:r/>
      <w:r>
        <w:rPr>
          <w:b/>
        </w:rPr>
        <w:t>Toxicité osseuse</w:t>
      </w:r>
      <w:r>
        <w:t xml:space="preserve"> — ostéoporose sur traitement prolongé (&gt; 1 an), hyperostoses vertébrales antérieures, calcifications tendineuses (rare, 1-5 %).</w:t>
      </w:r>
    </w:p>
    <w:p>
      <w:pPr>
        <w:pStyle w:val="ListBullet"/>
      </w:pPr>
      <w:r/>
      <w:r>
        <w:rPr>
          <w:b/>
        </w:rPr>
        <w:t>Troubles psychiatriques</w:t>
      </w:r>
      <w:r>
        <w:t xml:space="preserve"> — dépression, anxiété, idées suicidaires — particulièrement chez l'adolescent (mise en garde ANSM 2014). Surveillance psychiatrique systématique, arrêt immédiat en cas d'idées suicidaires.</w:t>
      </w:r>
    </w:p>
    <w:p>
      <w:pPr>
        <w:pStyle w:val="ListBullet"/>
      </w:pPr>
      <w:r/>
      <w:r>
        <w:rPr>
          <w:b/>
        </w:rPr>
        <w:t>Troubles visuels</w:t>
      </w:r>
      <w:r>
        <w:t xml:space="preserve"> — nyctalopie précoce (carence relative en vitamine A — paradoxe mécanistique), sécheresse oculaire, blépharite. Arrêt des lentilles de contact pendant le traitement (risque de kératite).</w:t>
      </w:r>
    </w:p>
    <w:p>
      <w:pPr>
        <w:pStyle w:val="ListBullet"/>
      </w:pPr>
      <w:r/>
      <w:r>
        <w:rPr>
          <w:b/>
        </w:rPr>
        <w:t>Toxicité musculaire</w:t>
      </w:r>
      <w:r>
        <w:t xml:space="preserve"> — myalgies, élévation CPK (5-15 %). Risque de rhabdomyolyse majoré par exercice physique intense et association aux macrolides (inhibition CYP3A4) et fibrates.</w:t>
      </w:r>
    </w:p>
    <w:p>
      <w:pPr>
        <w:pStyle w:val="ListBullet"/>
      </w:pPr>
      <w:r/>
      <w:r>
        <w:rPr>
          <w:b/>
        </w:rPr>
        <w:t>Effets sur la croissance</w:t>
      </w:r>
      <w:r>
        <w:t xml:space="preserve"> (enfant) — épiphysiodèse prématurée, ostéoporose, retards de croissance (rares, à surveiller en neuroblastome pédiatrique haute dose).</w:t>
      </w:r>
    </w:p>
    <w:p>
      <w:pPr>
        <w:pStyle w:val="ListBullet"/>
      </w:pPr>
      <w:r/>
      <w:r>
        <w:rPr>
          <w:b/>
        </w:rPr>
        <w:t>Troubles gastro-intestinaux</w:t>
      </w:r>
      <w:r>
        <w:t xml:space="preserve"> — maladie inflammatoire chronique intestinale (MICI) démasquée par isotrétinoïne (rare mais décrit — arrêt si symptômes digestifs).</w:t>
      </w:r>
    </w:p>
    <w:p>
      <w:r/>
      <w:r>
        <w:rPr>
          <w:b/>
        </w:rPr>
        <w:t>Prévention et Gestion des Effets Indésirables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Effet indésirable</w:t>
            </w:r>
          </w:p>
        </w:tc>
        <w:tc>
          <w:tcPr>
            <w:tcW w:type="dxa" w:w="1871"/>
          </w:tcPr>
          <w:p>
            <w:r>
              <w:rPr>
                <w:b/>
                <w:sz w:val="20"/>
              </w:rPr>
              <w:t>Fréquence</w:t>
            </w:r>
          </w:p>
        </w:tc>
        <w:tc>
          <w:tcPr>
            <w:tcW w:type="dxa" w:w="1871"/>
          </w:tcPr>
          <w:p>
            <w:r>
              <w:rPr>
                <w:b/>
                <w:sz w:val="20"/>
              </w:rPr>
              <w:t>Détection</w:t>
            </w:r>
          </w:p>
        </w:tc>
        <w:tc>
          <w:tcPr>
            <w:tcW w:type="dxa" w:w="1871"/>
          </w:tcPr>
          <w:p>
            <w:r>
              <w:rPr>
                <w:b/>
                <w:sz w:val="20"/>
              </w:rPr>
              <w:t>Prévention</w:t>
            </w:r>
          </w:p>
        </w:tc>
        <w:tc>
          <w:tcPr>
            <w:tcW w:type="dxa" w:w="1871"/>
          </w:tcPr>
          <w:p>
            <w:r>
              <w:rPr>
                <w:b/>
                <w:sz w:val="20"/>
              </w:rPr>
              <w:t>Traitement</w:t>
            </w:r>
          </w:p>
        </w:tc>
      </w:tr>
      <w:tr>
        <w:tc>
          <w:tcPr>
            <w:tcW w:type="dxa" w:w="1871"/>
          </w:tcPr>
          <w:p>
            <w:r>
              <w:rPr>
                <w:sz w:val="20"/>
              </w:rPr>
              <w:t>Syndrome de différenciation rétinoïque</w:t>
            </w:r>
          </w:p>
        </w:tc>
        <w:tc>
          <w:tcPr>
            <w:tcW w:type="dxa" w:w="1871"/>
          </w:tcPr>
          <w:p>
            <w:r>
              <w:rPr>
                <w:sz w:val="20"/>
              </w:rPr>
              <w:t>5-25 %</w:t>
            </w:r>
          </w:p>
        </w:tc>
        <w:tc>
          <w:tcPr>
            <w:tcW w:type="dxa" w:w="1871"/>
          </w:tcPr>
          <w:p>
            <w:r>
              <w:rPr>
                <w:sz w:val="20"/>
              </w:rPr>
              <w:t>Clinique + NFS quotidienne</w:t>
            </w:r>
          </w:p>
        </w:tc>
        <w:tc>
          <w:tcPr>
            <w:tcW w:type="dxa" w:w="1871"/>
          </w:tcPr>
          <w:p>
            <w:r>
              <w:rPr>
                <w:sz w:val="20"/>
              </w:rPr>
              <w:t>Dexaméthasone 2,5 mg/m² × 2/jour × 15 jours si leucocytes &gt; 5 G/L ; surveillance NFS quotidienne en induction</w:t>
            </w:r>
          </w:p>
        </w:tc>
        <w:tc>
          <w:tcPr>
            <w:tcW w:type="dxa" w:w="1871"/>
          </w:tcPr>
          <w:p>
            <w:r>
              <w:rPr>
                <w:sz w:val="20"/>
              </w:rPr>
              <w:t>Dexaméthasone 10 mg IV × 2/j × 3-5 jours, arrêt temporaire ATRA si forme sévère, USC/USI</w:t>
            </w:r>
          </w:p>
        </w:tc>
      </w:tr>
      <w:tr>
        <w:tc>
          <w:tcPr>
            <w:tcW w:type="dxa" w:w="1871"/>
          </w:tcPr>
          <w:p>
            <w:r>
              <w:rPr>
                <w:sz w:val="20"/>
              </w:rPr>
              <w:t>Hyperleucocytose</w:t>
            </w:r>
          </w:p>
        </w:tc>
        <w:tc>
          <w:tcPr>
            <w:tcW w:type="dxa" w:w="1871"/>
          </w:tcPr>
          <w:p>
            <w:r>
              <w:rPr>
                <w:sz w:val="20"/>
              </w:rPr>
              <w:t>30-50 %</w:t>
            </w:r>
          </w:p>
        </w:tc>
        <w:tc>
          <w:tcPr>
            <w:tcW w:type="dxa" w:w="1871"/>
          </w:tcPr>
          <w:p>
            <w:r>
              <w:rPr>
                <w:sz w:val="20"/>
              </w:rPr>
              <w:t>NFS quotidienne</w:t>
            </w:r>
          </w:p>
        </w:tc>
        <w:tc>
          <w:tcPr>
            <w:tcW w:type="dxa" w:w="1871"/>
          </w:tcPr>
          <w:p>
            <w:r>
              <w:rPr>
                <w:sz w:val="20"/>
              </w:rPr>
              <w:t>—</w:t>
            </w:r>
          </w:p>
        </w:tc>
        <w:tc>
          <w:tcPr>
            <w:tcW w:type="dxa" w:w="1871"/>
          </w:tcPr>
          <w:p>
            <w:r>
              <w:rPr>
                <w:sz w:val="20"/>
              </w:rPr>
              <w:t>Hydroxyurée 1-2 g/j si leucocytes &gt; 50 G/L, cytarabine courte, parfois leucophérèse si leucocytes &gt; 100 G/L</w:t>
            </w:r>
          </w:p>
        </w:tc>
      </w:tr>
      <w:tr>
        <w:tc>
          <w:tcPr>
            <w:tcW w:type="dxa" w:w="1871"/>
          </w:tcPr>
          <w:p>
            <w:r>
              <w:rPr>
                <w:sz w:val="20"/>
              </w:rPr>
              <w:t>Pseudo-tumeur cérébrale</w:t>
            </w:r>
          </w:p>
        </w:tc>
        <w:tc>
          <w:tcPr>
            <w:tcW w:type="dxa" w:w="1871"/>
          </w:tcPr>
          <w:p>
            <w:r>
              <w:rPr>
                <w:sz w:val="20"/>
              </w:rPr>
              <w:t>1-3 %</w:t>
            </w:r>
          </w:p>
        </w:tc>
        <w:tc>
          <w:tcPr>
            <w:tcW w:type="dxa" w:w="1871"/>
          </w:tcPr>
          <w:p>
            <w:r>
              <w:rPr>
                <w:sz w:val="20"/>
              </w:rPr>
              <w:t>Clinique (céphalées rebelles, troubles visuels) + PL + IRM</w:t>
            </w:r>
          </w:p>
        </w:tc>
        <w:tc>
          <w:tcPr>
            <w:tcW w:type="dxa" w:w="1871"/>
          </w:tcPr>
          <w:p>
            <w:r>
              <w:rPr>
                <w:sz w:val="20"/>
              </w:rPr>
              <w:t>Éviter associations (tétracyclines — doxycycline, minocycline)</w:t>
            </w:r>
          </w:p>
        </w:tc>
        <w:tc>
          <w:tcPr>
            <w:tcW w:type="dxa" w:w="1871"/>
          </w:tcPr>
          <w:p>
            <w:r>
              <w:rPr>
                <w:sz w:val="20"/>
              </w:rPr>
              <w:t>Arrêt ATRA, acétazolamide 250-500 mg × 2/j, surveillance ophtalmologique</w:t>
            </w:r>
          </w:p>
        </w:tc>
      </w:tr>
      <w:tr>
        <w:tc>
          <w:tcPr>
            <w:tcW w:type="dxa" w:w="1871"/>
          </w:tcPr>
          <w:p>
            <w:r>
              <w:rPr>
                <w:sz w:val="20"/>
              </w:rPr>
              <w:t>Sécheresse cutanéo-muqueuse</w:t>
            </w:r>
          </w:p>
        </w:tc>
        <w:tc>
          <w:tcPr>
            <w:tcW w:type="dxa" w:w="1871"/>
          </w:tcPr>
          <w:p>
            <w:r>
              <w:rPr>
                <w:sz w:val="20"/>
              </w:rPr>
              <w:t>50-80 %</w:t>
            </w:r>
          </w:p>
        </w:tc>
        <w:tc>
          <w:tcPr>
            <w:tcW w:type="dxa" w:w="1871"/>
          </w:tcPr>
          <w:p>
            <w:r>
              <w:rPr>
                <w:sz w:val="20"/>
              </w:rPr>
              <w:t>Clinique</w:t>
            </w:r>
          </w:p>
        </w:tc>
        <w:tc>
          <w:tcPr>
            <w:tcW w:type="dxa" w:w="1871"/>
          </w:tcPr>
          <w:p>
            <w:r>
              <w:rPr>
                <w:sz w:val="20"/>
              </w:rPr>
              <w:t>Émollients, baume à lèvres, larmes artificielles</w:t>
            </w:r>
          </w:p>
        </w:tc>
        <w:tc>
          <w:tcPr>
            <w:tcW w:type="dxa" w:w="1871"/>
          </w:tcPr>
          <w:p>
            <w:r>
              <w:rPr>
                <w:sz w:val="20"/>
              </w:rPr>
              <w:t>Hydratation cutanée, photoprotection SPF 50+</w:t>
            </w:r>
          </w:p>
        </w:tc>
      </w:tr>
      <w:tr>
        <w:tc>
          <w:tcPr>
            <w:tcW w:type="dxa" w:w="1871"/>
          </w:tcPr>
          <w:p>
            <w:r>
              <w:rPr>
                <w:sz w:val="20"/>
              </w:rPr>
              <w:t>Cytolyse hépatique</w:t>
            </w:r>
          </w:p>
        </w:tc>
        <w:tc>
          <w:tcPr>
            <w:tcW w:type="dxa" w:w="1871"/>
          </w:tcPr>
          <w:p>
            <w:r>
              <w:rPr>
                <w:sz w:val="20"/>
              </w:rPr>
              <w:t>20-30 %</w:t>
            </w:r>
          </w:p>
        </w:tc>
        <w:tc>
          <w:tcPr>
            <w:tcW w:type="dxa" w:w="1871"/>
          </w:tcPr>
          <w:p>
            <w:r>
              <w:rPr>
                <w:sz w:val="20"/>
              </w:rPr>
              <w:t>ASAT/ALAT J15 puis mensuel</w:t>
            </w:r>
          </w:p>
        </w:tc>
        <w:tc>
          <w:tcPr>
            <w:tcW w:type="dxa" w:w="1871"/>
          </w:tcPr>
          <w:p>
            <w:r>
              <w:rPr>
                <w:sz w:val="20"/>
              </w:rPr>
              <w:t>Éviter hépatotoxiques (paracétamol ≤ 2 g/j, alcool)</w:t>
            </w:r>
          </w:p>
        </w:tc>
        <w:tc>
          <w:tcPr>
            <w:tcW w:type="dxa" w:w="1871"/>
          </w:tcPr>
          <w:p>
            <w:r>
              <w:rPr>
                <w:sz w:val="20"/>
              </w:rPr>
              <w:t>Réduction dose 50 % si ASAT/ALAT &gt; 5× LSN, arrêt si &gt; 10× LSN</w:t>
            </w:r>
          </w:p>
        </w:tc>
      </w:tr>
      <w:tr>
        <w:tc>
          <w:tcPr>
            <w:tcW w:type="dxa" w:w="1871"/>
          </w:tcPr>
          <w:p>
            <w:r>
              <w:rPr>
                <w:sz w:val="20"/>
              </w:rPr>
              <w:t>Hyperlipidémie</w:t>
            </w:r>
          </w:p>
        </w:tc>
        <w:tc>
          <w:tcPr>
            <w:tcW w:type="dxa" w:w="1871"/>
          </w:tcPr>
          <w:p>
            <w:r>
              <w:rPr>
                <w:sz w:val="20"/>
              </w:rPr>
              <w:t>20-40 %</w:t>
            </w:r>
          </w:p>
        </w:tc>
        <w:tc>
          <w:tcPr>
            <w:tcW w:type="dxa" w:w="1871"/>
          </w:tcPr>
          <w:p>
            <w:r>
              <w:rPr>
                <w:sz w:val="20"/>
              </w:rPr>
              <w:t>Lipidogramme J15 puis mensuel</w:t>
            </w:r>
          </w:p>
        </w:tc>
        <w:tc>
          <w:tcPr>
            <w:tcW w:type="dxa" w:w="1871"/>
          </w:tcPr>
          <w:p>
            <w:r>
              <w:rPr>
                <w:sz w:val="20"/>
              </w:rPr>
              <w:t>Régime pauvre en graisses, exercice</w:t>
            </w:r>
          </w:p>
        </w:tc>
        <w:tc>
          <w:tcPr>
            <w:tcW w:type="dxa" w:w="1871"/>
          </w:tcPr>
          <w:p>
            <w:r>
              <w:rPr>
                <w:sz w:val="20"/>
              </w:rPr>
              <w:t>Statines (éviter si CPK élevées), fibrates (prudence — risque rhabdomyolyse)</w:t>
            </w:r>
          </w:p>
        </w:tc>
      </w:tr>
      <w:tr>
        <w:tc>
          <w:tcPr>
            <w:tcW w:type="dxa" w:w="1871"/>
          </w:tcPr>
          <w:p>
            <w:r>
              <w:rPr>
                <w:sz w:val="20"/>
              </w:rPr>
              <w:t>Céphalées</w:t>
            </w:r>
          </w:p>
        </w:tc>
        <w:tc>
          <w:tcPr>
            <w:tcW w:type="dxa" w:w="1871"/>
          </w:tcPr>
          <w:p>
            <w:r>
              <w:rPr>
                <w:sz w:val="20"/>
              </w:rPr>
              <w:t>50-70 %</w:t>
            </w:r>
          </w:p>
        </w:tc>
        <w:tc>
          <w:tcPr>
            <w:tcW w:type="dxa" w:w="1871"/>
          </w:tcPr>
          <w:p>
            <w:r>
              <w:rPr>
                <w:sz w:val="20"/>
              </w:rPr>
              <w:t>Clinique</w:t>
            </w:r>
          </w:p>
        </w:tc>
        <w:tc>
          <w:tcPr>
            <w:tcW w:type="dxa" w:w="1871"/>
          </w:tcPr>
          <w:p>
            <w:r>
              <w:rPr>
                <w:sz w:val="20"/>
              </w:rPr>
              <w:t>—</w:t>
            </w:r>
          </w:p>
        </w:tc>
        <w:tc>
          <w:tcPr>
            <w:tcW w:type="dxa" w:w="1871"/>
          </w:tcPr>
          <w:p>
            <w:r>
              <w:rPr>
                <w:sz w:val="20"/>
              </w:rPr>
              <w:t>Antalgiques (paracétamol), si rebelle → éliminer pseudo-tumeur cérébrale</w:t>
            </w:r>
          </w:p>
        </w:tc>
      </w:tr>
      <w:tr>
        <w:tc>
          <w:tcPr>
            <w:tcW w:type="dxa" w:w="1871"/>
          </w:tcPr>
          <w:p>
            <w:r>
              <w:rPr>
                <w:sz w:val="20"/>
              </w:rPr>
              <w:t>Dépression / idées suicidaires</w:t>
            </w:r>
          </w:p>
        </w:tc>
        <w:tc>
          <w:tcPr>
            <w:tcW w:type="dxa" w:w="1871"/>
          </w:tcPr>
          <w:p>
            <w:r>
              <w:rPr>
                <w:sz w:val="20"/>
              </w:rPr>
              <w:t>10-30 %</w:t>
            </w:r>
          </w:p>
        </w:tc>
        <w:tc>
          <w:tcPr>
            <w:tcW w:type="dxa" w:w="1871"/>
          </w:tcPr>
          <w:p>
            <w:r>
              <w:rPr>
                <w:sz w:val="20"/>
              </w:rPr>
              <w:t>Échelle dépressive (HAD, PHQ-9) mensuelle</w:t>
            </w:r>
          </w:p>
        </w:tc>
        <w:tc>
          <w:tcPr>
            <w:tcW w:type="dxa" w:w="1871"/>
          </w:tcPr>
          <w:p>
            <w:r>
              <w:rPr>
                <w:sz w:val="20"/>
              </w:rPr>
              <w:t>Information patient et famille</w:t>
            </w:r>
          </w:p>
        </w:tc>
        <w:tc>
          <w:tcPr>
            <w:tcW w:type="dxa" w:w="1871"/>
          </w:tcPr>
          <w:p>
            <w:r>
              <w:rPr>
                <w:sz w:val="20"/>
              </w:rPr>
              <w:t>Arrêt immédiat + consultation psychiatrique urgente</w:t>
            </w:r>
          </w:p>
        </w:tc>
      </w:tr>
      <w:tr>
        <w:tc>
          <w:tcPr>
            <w:tcW w:type="dxa" w:w="1871"/>
          </w:tcPr>
          <w:p>
            <w:r>
              <w:rPr>
                <w:sz w:val="20"/>
              </w:rPr>
              <w:t>Tératogénicité</w:t>
            </w:r>
          </w:p>
        </w:tc>
        <w:tc>
          <w:tcPr>
            <w:tcW w:type="dxa" w:w="1871"/>
          </w:tcPr>
          <w:p>
            <w:r>
              <w:rPr>
                <w:sz w:val="20"/>
              </w:rPr>
              <w:t>30-50 % (expo 1er trimestre)</w:t>
            </w:r>
          </w:p>
        </w:tc>
        <w:tc>
          <w:tcPr>
            <w:tcW w:type="dxa" w:w="1871"/>
          </w:tcPr>
          <w:p>
            <w:r>
              <w:rPr>
                <w:sz w:val="20"/>
              </w:rPr>
              <w:t>Test grossesse mensuel</w:t>
            </w:r>
          </w:p>
        </w:tc>
        <w:tc>
          <w:tcPr>
            <w:tcW w:type="dxa" w:w="1871"/>
          </w:tcPr>
          <w:p>
            <w:r>
              <w:rPr>
                <w:sz w:val="20"/>
              </w:rPr>
              <w:t>Contraception double + PPP</w:t>
            </w:r>
          </w:p>
        </w:tc>
        <w:tc>
          <w:tcPr>
            <w:tcW w:type="dxa" w:w="1871"/>
          </w:tcPr>
          <w:p>
            <w:r>
              <w:rPr>
                <w:sz w:val="20"/>
              </w:rPr>
              <w:t>En cas de grossesse : interruption thérapeutique de grossesse à discuter (terme ≤ 12 semaines, après information patiente et RCP multidisciplinaire)</w:t>
            </w:r>
          </w:p>
        </w:tc>
      </w:tr>
    </w:tbl>
    <w:p/>
    <w:p>
      <w:r/>
      <w:r>
        <w:rPr>
          <w:b/>
        </w:rPr>
        <w:t>Interactions Importantes :</w:t>
      </w:r>
      <w:r/>
    </w:p>
    <w:p>
      <w:pPr>
        <w:pStyle w:val="ListBullet"/>
      </w:pPr>
      <w:r/>
      <w:r>
        <w:rPr>
          <w:b/>
        </w:rPr>
        <w:t>ATRA / isotrétinoïne + vitamine A</w:t>
      </w:r>
      <w:r>
        <w:t xml:space="preserve"> (supplémentation vitamino-associée) — contre-indication absolue : risque d'hypervitaminose A sévère (syndrome pseudo-tumeur cérébrale, hépatotoxicité, desquamation cutanée). Éviter également les aliments riches en vitamine A (foie, huile de foie de morue) en quantité excessive.</w:t>
      </w:r>
    </w:p>
    <w:p>
      <w:pPr>
        <w:pStyle w:val="ListBullet"/>
      </w:pPr>
      <w:r/>
      <w:r>
        <w:rPr>
          <w:b/>
        </w:rPr>
        <w:t>ATRA + tétracyclines</w:t>
      </w:r>
      <w:r>
        <w:t xml:space="preserve"> (doxycycline, minocycline, lymécycline) — contre-indication absolue : risque majeur de pseudo-tumeur cérébrale (hypertension intracrânienne bénigne) — effet synergique.</w:t>
      </w:r>
    </w:p>
    <w:p>
      <w:pPr>
        <w:pStyle w:val="ListBullet"/>
      </w:pPr>
      <w:r/>
      <w:r>
        <w:rPr>
          <w:b/>
        </w:rPr>
        <w:t>ATRA + gemfibrozil / fibrates</w:t>
      </w:r>
      <w:r>
        <w:t xml:space="preserve"> — risque de rhabdomyolyse (potentialisation de la toxicité musculaire).</w:t>
      </w:r>
    </w:p>
    <w:p>
      <w:pPr>
        <w:pStyle w:val="ListBullet"/>
      </w:pPr>
      <w:r/>
      <w:r>
        <w:rPr>
          <w:b/>
        </w:rPr>
        <w:t>ATRA + statines</w:t>
      </w:r>
      <w:r>
        <w:t xml:space="preserve"> (atorvastatine, simvastatine, rosuvastatine) — prudence (risque de rhabdomyolyse synergique). Surveillance CPK.</w:t>
      </w:r>
    </w:p>
    <w:p>
      <w:pPr>
        <w:pStyle w:val="ListBullet"/>
      </w:pPr>
      <w:r/>
      <w:r>
        <w:rPr>
          <w:b/>
        </w:rPr>
        <w:t>ATRA + macrolides</w:t>
      </w:r>
      <w:r>
        <w:t xml:space="preserve"> (érythromycine, clarithromycine, télithromycine) — prudence : les macrolides inhibent le CYP3A4 qui métabolise l'ATRA, augmentant son exposition (toxicité accrue). Préférer l'azithromycine (peu métabolisée par CYP3A4).</w:t>
      </w:r>
    </w:p>
    <w:p>
      <w:pPr>
        <w:pStyle w:val="ListBullet"/>
      </w:pPr>
      <w:r/>
      <w:r>
        <w:rPr>
          <w:b/>
        </w:rPr>
        <w:t>ATRA + kétoconazole / itraconazole / voriconazole / posaconazole</w:t>
      </w:r>
      <w:r>
        <w:t xml:space="preserve"> — prudence : inhibition CYP3A4, augmentation exposition ATRA. Surveillance clinique et biologique.</w:t>
      </w:r>
    </w:p>
    <w:p>
      <w:pPr>
        <w:pStyle w:val="ListBullet"/>
      </w:pPr>
      <w:r/>
      <w:r>
        <w:rPr>
          <w:b/>
        </w:rPr>
        <w:t>ATRA + rifampicine / phénytoïne / carbamazépine / phénobarbital</w:t>
      </w:r>
      <w:r>
        <w:t xml:space="preserve"> — inducteurs CYP3A4, réduisent l'exposition ATRA (perte d'efficacité). Éviter si possible, sinon augmenter la dose d'ATRA.</w:t>
      </w:r>
    </w:p>
    <w:p>
      <w:pPr>
        <w:pStyle w:val="ListBullet"/>
      </w:pPr>
      <w:r/>
      <w:r>
        <w:rPr>
          <w:b/>
        </w:rPr>
        <w:t>ATRA + millepertuis (Hypericum perforatum)</w:t>
      </w:r>
      <w:r>
        <w:t xml:space="preserve"> — contre-indication absolue : inducteur puissant CYP3A4 et P-gp, réduction majeure exposition ATRA (perte d'efficacité).</w:t>
      </w:r>
    </w:p>
    <w:p>
      <w:pPr>
        <w:pStyle w:val="ListBullet"/>
      </w:pPr>
      <w:r/>
      <w:r>
        <w:rPr>
          <w:b/>
        </w:rPr>
        <w:t>ATRA + pamplemousse (jus)</w:t>
      </w:r>
      <w:r>
        <w:t xml:space="preserve"> — contre-indication relative : inhibition CYP3A4 intestinale, augmentation exposition ATRA. Éviter.</w:t>
      </w:r>
    </w:p>
    <w:p>
      <w:pPr>
        <w:pStyle w:val="ListBullet"/>
      </w:pPr>
      <w:r/>
      <w:r>
        <w:rPr>
          <w:b/>
        </w:rPr>
        <w:t>ATRA + méthotrexate</w:t>
      </w:r>
      <w:r>
        <w:t xml:space="preserve"> — administration dans protocoles de maintenance LAP (ATRA + MTX + 6-MP), pas d'interaction majeure.</w:t>
      </w:r>
    </w:p>
    <w:p>
      <w:pPr>
        <w:pStyle w:val="ListBullet"/>
      </w:pPr>
      <w:r/>
      <w:r>
        <w:rPr>
          <w:b/>
        </w:rPr>
        <w:t>ATRA + arsenic trioxyde (ATO, Trisenox®)</w:t>
      </w:r>
      <w:r>
        <w:t xml:space="preserve"> — synergie thérapeutique (combinaison standard APL17 — ATRA + ATO sans chimiothérapie). Surveillance QTc (allongement par ATO).</w:t>
      </w:r>
    </w:p>
    <w:p>
      <w:pPr>
        <w:pStyle w:val="ListBullet"/>
      </w:pPr>
      <w:r/>
      <w:r>
        <w:rPr>
          <w:b/>
        </w:rPr>
        <w:t>ATRA + AVK (warfarine)</w:t>
      </w:r>
      <w:r>
        <w:t xml:space="preserve"> — surveillance INR (interaction variable).</w:t>
      </w:r>
    </w:p>
    <w:p>
      <w:pPr>
        <w:pStyle w:val="ListBullet"/>
      </w:pPr>
      <w:r/>
      <w:r>
        <w:rPr>
          <w:b/>
        </w:rPr>
        <w:t>ATRA + contraceptifs oraux estroprogestatifs</w:t>
      </w:r>
      <w:r>
        <w:t xml:space="preserve"> — pas d'interaction pharmacocinétique majeure, mais nécessité absolue de contraception efficace sous ATRA/isotrétinoïne tératogène — les estroprogestatifs sont autorisés (contrairement à l'asparaginase — pas de risque thrombotique majeur).</w:t>
      </w:r>
    </w:p>
    <w:p>
      <w:pPr>
        <w:pStyle w:val="ListBullet"/>
      </w:pPr>
      <w:r/>
      <w:r>
        <w:rPr>
          <w:b/>
        </w:rPr>
        <w:t>Isotrétinoïne + éthanol</w:t>
      </w:r>
      <w:r>
        <w:t xml:space="preserve"> — évitement (potentialisation hépatotoxicité, et formulation de certaines capsules en éthanol).</w:t>
      </w:r>
    </w:p>
    <w:p>
      <w:pPr>
        <w:pStyle w:val="ListBullet"/>
      </w:pPr>
      <w:r/>
      <w:r>
        <w:rPr>
          <w:b/>
        </w:rPr>
        <w:t>ATRA / isotrétinoïne + vaccins vivants atténués</w:t>
      </w:r>
      <w:r>
        <w:t xml:space="preserve"> — contre-indication relative (immunodépression).</w:t>
      </w:r>
    </w:p>
    <w:p>
      <w:r/>
      <w:r>
        <w:rPr>
          <w:b/>
        </w:rPr>
        <w:t>Grossesse et Allaitement :</w:t>
      </w:r>
      <w:r/>
    </w:p>
    <w:p>
      <w:pPr>
        <w:pStyle w:val="ListBullet"/>
      </w:pPr>
      <w:r/>
      <w:r>
        <w:rPr>
          <w:b/>
        </w:rPr>
        <w:t>Grossesse — ATRA (tretinoin)</w:t>
      </w:r>
      <w:r>
        <w:t xml:space="preserve"> : Le CRAT classe l'ATRA en </w:t>
      </w:r>
      <w:r>
        <w:rPr>
          <w:b/>
        </w:rPr>
        <w:t>catégorie D / « formellement contre-indiqué »</w:t>
      </w:r>
      <w:r>
        <w:t xml:space="preserve"> chez la femme enceinte, en raison de la tératogénicité majeure démontrée chez l'animal (toutes les espèces testées : souris, rat, lapin, singe) et de plusieurs cas cliniques humains d'embryopathies sévères après exposition thérapeutique (Faqi AS, *Reprod Toxicol* 2013 ; 35 : 8-13). Cependant, une situation exceptionnelle existe : la </w:t>
      </w:r>
      <w:r>
        <w:rPr>
          <w:b/>
        </w:rPr>
        <w:t>LAP diagnostiquée chez la femme enceinte</w:t>
      </w:r>
      <w:r>
        <w:t xml:space="preserve"> — maladie rapidement fatale en l'absence de traitement. Dans cette situation, l'ATRA est utilisé par nécessité absolue, après information éclairée de la patiente et RCP multidisciplinaire oncologie-pédiatrie-obstétrique-génétique. Les données limitées (case reports, séries limitées — Park TS, *Leuk Lymphoma* 2019) suggèrent que le risque tératogène de l'ATRA à dose thérapeutique (45 mg/m²/j) est plus faible que celui de l'isotrétinoïne (peut-être en raison de la cinétique plus courte — demi-vie 0,7 h vs 10-20 h pour l'isotrétinoïne). Néanmoins, une surveillance échographique morphologique spécialisée (expertise en échographie cardiaque fœtale et cranio-faciale) est recommandée.</w:t>
      </w:r>
    </w:p>
    <w:p>
      <w:pPr>
        <w:pStyle w:val="ListBullet"/>
      </w:pPr>
      <w:r/>
      <w:r>
        <w:rPr>
          <w:b/>
        </w:rPr>
        <w:t>Grossesse — isotrétinoïne</w:t>
      </w:r>
      <w:r>
        <w:t xml:space="preserve"> : Le CRAT classe l'isotrétinoïne en </w:t>
      </w:r>
      <w:r>
        <w:rPr>
          <w:b/>
        </w:rPr>
        <w:t>catégorie X / « formellement contre-indiqué »</w:t>
      </w:r>
      <w:r>
        <w:t xml:space="preserve"> — tératogène majeur, syndrome rétinoïde fœtal décrit (Lammer 1985 — *NEJM*). Le risque est maximal pendant le 1er trimestre (15-50 % d'embryopathies sévères pour une exposition entre J0 et J45 post-conception). En cas de grossesse sous isotrétinoïne, une interruption thérapeutique de grossesse doit être discutée systématiquement (loi algérienne autorise l'IVG thérapeutique pour motif médical maternel ou fœtal).</w:t>
      </w:r>
    </w:p>
    <w:p>
      <w:pPr>
        <w:pStyle w:val="ListBullet"/>
      </w:pPr>
      <w:r/>
      <w:r>
        <w:rPr>
          <w:b/>
        </w:rPr>
        <w:t>Contraception</w:t>
      </w:r>
      <w:r>
        <w:t xml:space="preserve"> : Double méthode obligatoire (estroprogestatif + préservatif, ou DIU, ou implant progestatif) à débuter </w:t>
      </w:r>
      <w:r>
        <w:rPr>
          <w:b/>
        </w:rPr>
        <w:t>1 mois avant</w:t>
      </w:r>
      <w:r>
        <w:t xml:space="preserve"> et pendant toute la durée du traitement + </w:t>
      </w:r>
      <w:r>
        <w:rPr>
          <w:b/>
        </w:rPr>
        <w:t>1 mois après</w:t>
      </w:r>
      <w:r>
        <w:t xml:space="preserve"> l'arrêt (isotrétinoïne) ou </w:t>
      </w:r>
      <w:r>
        <w:rPr>
          <w:b/>
        </w:rPr>
        <w:t>1 mois après</w:t>
      </w:r>
      <w:r>
        <w:t xml:space="preserve"> (ATRA — cinétique différente). Test de grossesse β-hCG sérique dans les 3 jours précédant l'instauration, mensuellement pendant le traitement, et 1 mois après l'arrêt.</w:t>
      </w:r>
    </w:p>
    <w:p>
      <w:pPr>
        <w:pStyle w:val="ListBullet"/>
      </w:pPr>
      <w:r/>
      <w:r>
        <w:rPr>
          <w:b/>
        </w:rPr>
        <w:t>Allaitement</w:t>
      </w:r>
      <w:r>
        <w:t xml:space="preserve"> : </w:t>
      </w:r>
      <w:r>
        <w:rPr>
          <w:b/>
        </w:rPr>
        <w:t>Contre-indication absolue</w:t>
      </w:r>
      <w:r>
        <w:t xml:space="preserve"> — passage des rétinoïdes dans le lait maternel démontré chez l'animal, risque potentiel pour le nourrisson (hypervitaminose A, troubles de la croissance).</w:t>
      </w:r>
    </w:p>
    <w:p>
      <w:pPr>
        <w:pStyle w:val="ListBullet"/>
      </w:pPr>
      <w:r/>
      <w:r>
        <w:rPr>
          <w:b/>
        </w:rPr>
        <w:t>Conservation des gamètes</w:t>
      </w:r>
      <w:r>
        <w:t xml:space="preserve"> : Pas d'indication systématique — les rétinoïdes ne sont pas gonadotoxiques à dose thérapeutique (contrairement aux alkylants, anthracyclines, platine).</w:t>
      </w:r>
    </w:p>
    <w:p>
      <w:r/>
      <w:r>
        <w:rPr>
          <w:b/>
        </w:rPr>
        <w:t>Posologie et Mode d'Administration :</w:t>
      </w:r>
      <w:r/>
    </w:p>
    <w:p>
      <w:r/>
      <w:r>
        <w:rPr>
          <w:b/>
        </w:rPr>
        <w:t>ATRA (tretinoin — Vesanoid® 10 mg capsule molle, NON disponible en Algérie) :</w:t>
      </w:r>
      <w:r/>
    </w:p>
    <w:p>
      <w:pPr>
        <w:pStyle w:val="ListBullet"/>
      </w:pPr>
      <w:r/>
      <w:r>
        <w:rPr>
          <w:b/>
        </w:rPr>
        <w:t>Induction LAP</w:t>
      </w:r>
      <w:r>
        <w:t xml:space="preserve"> : 45 mg/m²/jour en 2 prises per os (matin et soir) jusqu'à rémission complète (typiquement 30-45 jours). Cap absolu 60 mg/jour chez l'enfant.</w:t>
      </w:r>
    </w:p>
    <w:p>
      <w:pPr>
        <w:pStyle w:val="ListBullet"/>
      </w:pPr>
      <w:r/>
      <w:r>
        <w:rPr>
          <w:b/>
        </w:rPr>
        <w:t>Consolidation LAP</w:t>
      </w:r>
      <w:r>
        <w:t xml:space="preserve"> : 45 mg/m²/jour en 2 prises pendant 15 jours toutes les 3 cures (3-4 cures).</w:t>
      </w:r>
    </w:p>
    <w:p>
      <w:pPr>
        <w:pStyle w:val="ListBullet"/>
      </w:pPr>
      <w:r/>
      <w:r>
        <w:rPr>
          <w:b/>
        </w:rPr>
        <w:t>Maintenance LAP</w:t>
      </w:r>
      <w:r>
        <w:t xml:space="preserve"> : 45 mg/m²/jour en 2 prises 15 jours/3 mois pendant 2 ans (en association avec 6-mercaptopurine et méthotrexate en protocole classique, ou seule dans le protocole APL17 sans chimio).</w:t>
      </w:r>
    </w:p>
    <w:p>
      <w:pPr>
        <w:pStyle w:val="ListBullet"/>
      </w:pPr>
      <w:r/>
      <w:r>
        <w:rPr>
          <w:b/>
        </w:rPr>
        <w:t>LAP high-risk (leucocytes ≥ 10 G/L)</w:t>
      </w:r>
      <w:r>
        <w:t xml:space="preserve"> : ATRA + ATO (arsenic trioxyde 0,15 mg/kg/j IV) + idarubicine 12 mg/m² J2, J4, J6, J8 (induction).</w:t>
      </w:r>
    </w:p>
    <w:p>
      <w:pPr>
        <w:pStyle w:val="ListBullet"/>
      </w:pPr>
      <w:r/>
      <w:r>
        <w:rPr>
          <w:b/>
        </w:rPr>
        <w:t>Adaptation</w:t>
      </w:r>
      <w:r>
        <w:t xml:space="preserve"> : si cytolyse ASAT/ALAT &gt; 5× LSN → réduire à 25 mg/m²/j ; si &gt; 10× LSN → suspendre 5-10 jours.</w:t>
      </w:r>
    </w:p>
    <w:p>
      <w:pPr>
        <w:pStyle w:val="ListBullet"/>
      </w:pPr>
      <w:r/>
      <w:r>
        <w:rPr>
          <w:b/>
        </w:rPr>
        <w:t>Administration</w:t>
      </w:r>
      <w:r>
        <w:t xml:space="preserve"> : per os au cours d'un repas (améliore l'absorption — lipophile), avec un grand verre d'eau. Ne pas écraser ni croquer les capsules.</w:t>
      </w:r>
    </w:p>
    <w:p>
      <w:r/>
      <w:r>
        <w:rPr>
          <w:b/>
        </w:rPr>
        <w:t>Isotrétinoïne (Curacne®, Xeractan® — disponibles en Algérie 5/10/20 mg capsule molle) :</w:t>
      </w:r>
      <w:r/>
    </w:p>
    <w:p>
      <w:pPr>
        <w:pStyle w:val="ListBullet"/>
      </w:pPr>
      <w:r/>
      <w:r>
        <w:rPr>
          <w:b/>
        </w:rPr>
        <w:t>Neuroblastome à haut risque (consolidation)</w:t>
      </w:r>
      <w:r>
        <w:t xml:space="preserve"> : 160 mg/m²/jour en 2 prises per os pendant 14 jours consécutifs suivis de 14 jours de repos = 1 cure × 6 cures (soit 24 semaines au total). Dose maximale par cure : 4 480 mg/m² (14 jours × 160 mg/m²).</w:t>
      </w:r>
    </w:p>
    <w:p>
      <w:pPr>
        <w:pStyle w:val="ListBullet"/>
      </w:pPr>
      <w:r/>
      <w:r>
        <w:rPr>
          <w:b/>
        </w:rPr>
        <w:t>Adaptation</w:t>
      </w:r>
      <w:r>
        <w:t xml:space="preserve"> : si toxicité G3-G4 (hépatique, cutanée, neuropsychiatrique) → réduction à 80 mg/m²/jour. Si toxicité persistante → suspension temporaire 7-14 jours.</w:t>
      </w:r>
    </w:p>
    <w:p>
      <w:pPr>
        <w:pStyle w:val="ListBullet"/>
      </w:pPr>
      <w:r/>
      <w:r>
        <w:rPr>
          <w:b/>
        </w:rPr>
        <w:t>Acné sévère nodulo-kystique (dermatologie)</w:t>
      </w:r>
      <w:r>
        <w:t xml:space="preserve"> : 0,5-1 mg/kg/jour en 2 prises pendant 4-6 mois (dose cumulée 120-150 mg/kg). Adaptation selon tolérance et réponse.</w:t>
      </w:r>
    </w:p>
    <w:p>
      <w:pPr>
        <w:pStyle w:val="ListBullet"/>
      </w:pPr>
      <w:r/>
      <w:r>
        <w:rPr>
          <w:b/>
        </w:rPr>
        <w:t>Administration</w:t>
      </w:r>
      <w:r>
        <w:t xml:space="preserve"> : per os au cours d'un repas riche en graisses (améliore l'absorption — lipophile, nécessite bile et micelles mixtes).</w:t>
      </w:r>
    </w:p>
    <w:p>
      <w:r/>
      <w:r>
        <w:rPr>
          <w:b/>
        </w:rPr>
        <w:t>Conservation</w:t>
      </w:r>
      <w:r>
        <w:t xml:space="preserve"> : capsules molles entre +15 °C et +25 °C, à l'abri de la lumière et de l'humidité. Ne pas congeler. Stability 3 ans.</w:t>
      </w:r>
    </w:p>
    <w:p>
      <w:r/>
      <w:r>
        <w:rPr>
          <w:b/>
        </w:rPr>
        <w:t>Arbitrage et Bénéfices des Formes Galéniques :</w:t>
      </w:r>
      <w:r/>
    </w:p>
    <w:p>
      <w:r>
        <w:t xml:space="preserve">Les formes disponibles en Algérie pour l'isotrétinoïne sont des </w:t>
      </w:r>
      <w:r>
        <w:rPr>
          <w:b/>
        </w:rPr>
        <w:t>capsules molles à 5, 10 et 20 mg</w:t>
      </w:r>
      <w:r>
        <w:t xml:space="preserve"> — bien adaptées à la dose dermatologique classique (0,5-1 mg/kg/j — soit 30-80 mg/j pour un adulte de 70 kg). Pour l'indication neuroblastome pédiatrique (160 mg/m²/j — soit 200-250 mg/jour pour un enfant de 8 ans), les formes à 20 mg permettent une administration pratique (10-12 capsules par jour en 2 prises). Pour l'indication LAP (ATRA 45 mg/m²/j), les capsules d'isotrétinoïne NE PEUVENT PAS être substituées à l'ATRA (Vesanoid® 10 mg) — l'isotrétinoïne a une affinité plus faible pour RARα et un risque accru de syndrome de différenciation rétinoïque. L'</w:t>
      </w:r>
      <w:r>
        <w:rPr>
          <w:b/>
        </w:rPr>
        <w:t>ATRA (Vesanoid®) n'est PAS disponible en Algérie</w:t>
      </w:r>
      <w:r>
        <w:t xml:space="preserve"> — situation problématique nécessitant l'importation nominative pour le traitement de la LAP.</w:t>
      </w:r>
    </w:p>
    <w:p>
      <w:r>
        <w:t>Les formes locales (gel dermique ISOTREX 0,05 %, crème ACNETIN-A 0,05 %) sont utilisées exclusivement en dermatologie topique (acné, kératose) — sans intérêt en oncologie systémique. Leur statut NON_RENOUVELABLE ou RETIRÉ en Algérie limite leur disponibilité, mais d'autres alternatives locales (adapalène, trétinoïne topique générique) existent.</w:t>
      </w:r>
    </w:p>
    <w:p>
      <w:r/>
      <w:r>
        <w:rPr>
          <w:b/>
        </w:rPr>
        <w:t>Instructions et Conseils au Patient (et aux parents pour les enfants sous neuroblastome) :</w:t>
      </w:r>
      <w:r/>
    </w:p>
    <w:p>
      <w:pPr>
        <w:pStyle w:val="ListBullet"/>
      </w:pPr>
      <w:r/>
      <w:r>
        <w:rPr>
          <w:b/>
        </w:rPr>
        <w:t>Information préalable obligatoire</w:t>
      </w:r>
      <w:r>
        <w:t xml:space="preserve"> (signée) :</w:t>
      </w:r>
    </w:p>
    <w:p>
      <w:pPr>
        <w:pStyle w:val="ListBullet"/>
      </w:pPr>
      <w:r>
        <w:t>Pour la femme en âge de procréer : notice spécifique sur la tératogénicité absolue, obligation de contraception double méthode, tests de grossesse mensuels.</w:t>
      </w:r>
    </w:p>
    <w:p>
      <w:pPr>
        <w:pStyle w:val="ListBullet"/>
      </w:pPr>
      <w:r>
        <w:t>Pour l'adolescent/jeune adulte : information sur les risques psychiatriques (dépression, idées suicidaires), nécessité de signaler immédiatement tout changement d'humeur.</w:t>
      </w:r>
    </w:p>
    <w:p>
      <w:pPr>
        <w:pStyle w:val="ListBullet"/>
      </w:pPr>
      <w:r/>
      <w:r>
        <w:rPr>
          <w:b/>
        </w:rPr>
        <w:t>Signes d'alerte à reconnaître et consulter en urgence</w:t>
      </w:r>
      <w:r>
        <w:t xml:space="preserve"> :</w:t>
      </w:r>
    </w:p>
    <w:p>
      <w:pPr>
        <w:pStyle w:val="ListBullet"/>
      </w:pPr>
      <w:r>
        <w:t>Fièvre + dyspnée + œdèmes des membres inférieurs + prise de poids rapide → syndrome de différenciation rétinoïque (urgence hématologique).</w:t>
      </w:r>
    </w:p>
    <w:p>
      <w:pPr>
        <w:pStyle w:val="ListBullet"/>
      </w:pPr>
      <w:r>
        <w:t>Céphalées violentes rebelles + troubles visuels (vision floue, diplopie) + vomissements → pseudo-tumeur cérébrale.</w:t>
      </w:r>
    </w:p>
    <w:p>
      <w:pPr>
        <w:pStyle w:val="ListBullet"/>
      </w:pPr>
      <w:r>
        <w:t>Douleurs musculaires intenses + urines foncées → rhabdomyolyse (surtout si association à statines, fibrates, macrolides).</w:t>
      </w:r>
    </w:p>
    <w:p>
      <w:pPr>
        <w:pStyle w:val="ListBullet"/>
      </w:pPr>
      <w:r>
        <w:t>Idées noires, anxiété sévère, agitation, troubles du sommeil → consultation psychiatrique urgente.</w:t>
      </w:r>
    </w:p>
    <w:p>
      <w:pPr>
        <w:pStyle w:val="ListBullet"/>
      </w:pPr>
      <w:r>
        <w:t>Douleur abdominale épigastrique + vomissements → pancréatite aiguë (rare mais grave).</w:t>
      </w:r>
    </w:p>
    <w:p>
      <w:pPr>
        <w:pStyle w:val="ListBullet"/>
      </w:pPr>
      <w:r/>
      <w:r>
        <w:rPr>
          <w:b/>
        </w:rPr>
        <w:t>Surveillance à domicile</w:t>
      </w:r>
      <w:r>
        <w:t xml:space="preserve"> : prise de température quotidienne (induction LAP), glycémie capillaire (si corticothérapie associée), poids quotidien (induction LAP — syndrome de différenciation), état cutané (sécheresse, photosensibilité), état psychiatrique (échelle HAD ou PHQ-9 mensuelle).</w:t>
      </w:r>
    </w:p>
    <w:p>
      <w:pPr>
        <w:pStyle w:val="ListBullet"/>
      </w:pPr>
      <w:r/>
      <w:r>
        <w:rPr>
          <w:b/>
        </w:rPr>
        <w:t>Alimentation</w:t>
      </w:r>
      <w:r>
        <w:t xml:space="preserve"> : régime pauvre en graisses pendant le traitement (réduction de l'hyperlipidémie), hydratation abondante (1,5-2 L/j), prise des capsules au cours d'un repas (améliore l'absorption). Éviter la supplémentation vitamino-A (risque d'hypervitaminose).</w:t>
      </w:r>
    </w:p>
    <w:p>
      <w:pPr>
        <w:pStyle w:val="ListBullet"/>
      </w:pPr>
      <w:r/>
      <w:r>
        <w:rPr>
          <w:b/>
        </w:rPr>
        <w:t>Photoprotection</w:t>
      </w:r>
      <w:r>
        <w:t xml:space="preserve"> : écran solaire SPF 50+ obligatoire sur zones exposées, vêtements couvrants, chapeau. Éviter l'exposition directe au soleil 11h-15h.</w:t>
      </w:r>
    </w:p>
    <w:p>
      <w:pPr>
        <w:pStyle w:val="ListBullet"/>
      </w:pPr>
      <w:r/>
      <w:r>
        <w:rPr>
          <w:b/>
        </w:rPr>
        <w:t>Soins cutanés</w:t>
      </w:r>
      <w:r>
        <w:t xml:space="preserve"> : émollients ( Dexeryl, Lipikar) 2×/j sur tout le corps, baume à lèvres hydratant (Céralip, Cicaplast) 5-10×/j, larmes artificielles (Refresh, Lacrigel) en cas de sécheresse oculaire. Arrêt des lentilles de contact pendant le traitement.</w:t>
      </w:r>
    </w:p>
    <w:p>
      <w:pPr>
        <w:pStyle w:val="ListBullet"/>
      </w:pPr>
      <w:r/>
      <w:r>
        <w:rPr>
          <w:b/>
        </w:rPr>
        <w:t>Activité</w:t>
      </w:r>
      <w:r>
        <w:t xml:space="preserve"> : éviter les exercices physiques intenses (risque de rhabdomyolyse et élévation CPK). Sports modérés autorisés.</w:t>
      </w:r>
    </w:p>
    <w:p>
      <w:pPr>
        <w:pStyle w:val="ListBullet"/>
      </w:pPr>
      <w:r/>
      <w:r>
        <w:rPr>
          <w:b/>
        </w:rPr>
        <w:t>Vaccins</w:t>
      </w:r>
      <w:r>
        <w:t xml:space="preserve"> : tous les vaccins vivants atténués sont contre-indiqués pendant le traitement. Les vaccins inactivés sont autorisés.</w:t>
      </w:r>
    </w:p>
    <w:p>
      <w:pPr>
        <w:pStyle w:val="ListBullet"/>
      </w:pPr>
      <w:r/>
      <w:r>
        <w:rPr>
          <w:b/>
        </w:rPr>
        <w:t>Contraception</w:t>
      </w:r>
      <w:r>
        <w:t xml:space="preserve"> : double méthode (estroprogestatif + préservatif) à débuter 1 mois avant et pendant le traitement + 1 mois après. Tests de grossesse mensuels.</w:t>
      </w:r>
    </w:p>
    <w:p>
      <w:pPr>
        <w:pStyle w:val="ListBullet"/>
      </w:pPr>
      <w:r/>
      <w:r>
        <w:rPr>
          <w:b/>
        </w:rPr>
        <w:t>Allaitement</w:t>
      </w:r>
      <w:r>
        <w:t xml:space="preserve"> : contre-indication absolue.</w:t>
      </w:r>
    </w:p>
    <w:p>
      <w:pPr>
        <w:pStyle w:val="ListBullet"/>
      </w:pPr>
      <w:r/>
      <w:r>
        <w:rPr>
          <w:b/>
        </w:rPr>
        <w:t>Conseil pharmacien d'officine</w:t>
      </w:r>
      <w:r>
        <w:t xml:space="preserve"> : délivrance stricte sur ordonnance (Liste I), vérification de la date de l'ordonnance (moins de 7 jours pour les rétinoïdes tératogènes), remise de la notice d'information patient, vérification du test de grossesse négatif pour les femmes en âge de procréer (le pharmacien peut refuser la délivrance en l'absence de test négatif). Vigilance sur les interactions (vitamine A, tétracyclines, macrolides, pamplemousse, millepertuis).</w:t>
      </w:r>
    </w:p>
    <w:p>
      <w:r/>
      <w:r>
        <w:rPr>
          <w:b/>
        </w:rPr>
        <w:t>Notes, Règles d'Or &amp; Pièges au Comptoir :</w:t>
      </w:r>
      <w:r/>
    </w:p>
    <w:p>
      <w:pPr>
        <w:pStyle w:val="ListNumber"/>
      </w:pPr>
      <w:r/>
      <w:r>
        <w:rPr>
          <w:b/>
        </w:rPr>
        <w:t>Règle d'or n°1</w:t>
      </w:r>
      <w:r>
        <w:t xml:space="preserve"> : Toute prescription d'ATRA ou d'isotrétinoïne chez une femme en âge de procréer doit s'accompagner d'un test de grossesse β-hCG sérique négatif dans les 3 jours précédents + contraception double méthode + information patiente signée.</w:t>
      </w:r>
    </w:p>
    <w:p>
      <w:pPr>
        <w:pStyle w:val="ListNumber"/>
      </w:pPr>
      <w:r/>
      <w:r>
        <w:rPr>
          <w:b/>
        </w:rPr>
        <w:t>Règle d'or n°2</w:t>
      </w:r>
      <w:r>
        <w:t xml:space="preserve"> : Le pharmacien peut (et doit) refuser la délivrance d'un rétinoïde tératogène en l'absence de test de grossesse négatif récent ou en l'absence de contraception efficace documentée.</w:t>
      </w:r>
    </w:p>
    <w:p>
      <w:pPr>
        <w:pStyle w:val="ListNumber"/>
      </w:pPr>
      <w:r/>
      <w:r>
        <w:rPr>
          <w:b/>
        </w:rPr>
        <w:t>Règle d'or n°3</w:t>
      </w:r>
      <w:r>
        <w:t xml:space="preserve"> : En cas de syndrome de différenciation rétinoïque (fièvre + dyspnée + œdèmes + prise de poids sous ATRA LAP), administrer immédiatement dexaméthasone 10 mg IV × 2/j — ne pas attendre la confirmation bactériologique (syndrome non infectieux).</w:t>
      </w:r>
    </w:p>
    <w:p>
      <w:pPr>
        <w:pStyle w:val="ListNumber"/>
      </w:pPr>
      <w:r/>
      <w:r>
        <w:rPr>
          <w:b/>
        </w:rPr>
        <w:t>Règle d'or n°4</w:t>
      </w:r>
      <w:r>
        <w:t xml:space="preserve"> : En cas de suspicion de pseudo-tumeur cérébrale (céphalées rebelles + troubles visuels), arrêter l'ATRA, faire une ponction lombaire (mesure de pression) et une IRM cérébrale. Ne pas associer ATRA et tétracyclines (effet synergique).</w:t>
      </w:r>
    </w:p>
    <w:p>
      <w:pPr>
        <w:pStyle w:val="ListNumber"/>
      </w:pPr>
      <w:r/>
      <w:r>
        <w:rPr>
          <w:b/>
        </w:rPr>
        <w:t>Règle d'or n°5</w:t>
      </w:r>
      <w:r>
        <w:t xml:space="preserve"> : L'ATRA et l'isotrétinoïne ne sont PAS interchangeables — l'isotrétinoïne a une efficacité moindre dans la LAP (syndrome de différenciation plus fréquent), et l'ATRA n'a pas été évaluée dans le neuroblastome.</w:t>
      </w:r>
    </w:p>
    <w:p>
      <w:pPr>
        <w:pStyle w:val="ListNumber"/>
      </w:pPr>
      <w:r/>
      <w:r>
        <w:rPr>
          <w:b/>
        </w:rPr>
        <w:t>Piège n°1</w:t>
      </w:r>
      <w:r>
        <w:t xml:space="preserve"> : Ne pas confondre ATRA (Vesanoid® 10 mg capsule, NON disponible en Algérie) et isotrétinoïne (Curacne®/Xeractan® 5/10/20 mg, disponibles) — l'ATRA est nécessaire pour la LAP, l'isotrétinoïne pour le neuroblastome.</w:t>
      </w:r>
    </w:p>
    <w:p>
      <w:pPr>
        <w:pStyle w:val="ListNumber"/>
      </w:pPr>
      <w:r/>
      <w:r>
        <w:rPr>
          <w:b/>
        </w:rPr>
        <w:t>Piège n°2</w:t>
      </w:r>
      <w:r>
        <w:t xml:space="preserve"> : Le syndrome de différenciation rétinoïque n'est PAS un échec thérapeutique — c'est un effet *on-target* de l'ATRA (différenciation massive des promyélocytes) — à traiter par dexaméthasone, pas par arrêt définitif.</w:t>
      </w:r>
    </w:p>
    <w:p>
      <w:pPr>
        <w:pStyle w:val="ListNumber"/>
      </w:pPr>
      <w:r/>
      <w:r>
        <w:rPr>
          <w:b/>
        </w:rPr>
        <w:t>Piège n°3</w:t>
      </w:r>
      <w:r>
        <w:t xml:space="preserve"> : L'hyperleucocytose sous ATRA (jusqu'à 50-100 G/L) est le reflet de la différenciation des promyélocytes — à surveiller étroitement (risque de leucostase) mais à ne pas confondre avec une progression de la leucémie.</w:t>
      </w:r>
    </w:p>
    <w:p>
      <w:pPr>
        <w:pStyle w:val="ListNumber"/>
      </w:pPr>
      <w:r/>
      <w:r>
        <w:rPr>
          <w:b/>
        </w:rPr>
        <w:t>Piège n°4</w:t>
      </w:r>
      <w:r>
        <w:t xml:space="preserve"> : L'ATRA peut être utilisé pendant la grossesse en cas de LAP maternelle (situation exceptionnelle, RCP multidisciplinaire) — contrairement à l'isotrétinoïne qui est strictement contre-indiquée.</w:t>
      </w:r>
    </w:p>
    <w:p>
      <w:pPr>
        <w:pStyle w:val="ListNumber"/>
      </w:pPr>
      <w:r/>
      <w:r>
        <w:rPr>
          <w:b/>
        </w:rPr>
        <w:t>Piège n°5</w:t>
      </w:r>
      <w:r>
        <w:t xml:space="preserve"> : Vitamine A, foie, huile de foie de morue → contre-indiqués sous ATRA/isotrétinoïne (hypervitaminose synergique).</w:t>
      </w:r>
    </w:p>
    <w:p>
      <w:pPr>
        <w:pStyle w:val="ListNumber"/>
      </w:pPr>
      <w:r/>
      <w:r>
        <w:rPr>
          <w:b/>
        </w:rPr>
        <w:t>Piège n°6</w:t>
      </w:r>
      <w:r>
        <w:t xml:space="preserve"> : Pamplemousse et millepertuis contre-indiqués (modification CYP3A4).</w:t>
      </w:r>
    </w:p>
    <w:p>
      <w:pPr>
        <w:pStyle w:val="ListNumber"/>
      </w:pPr>
      <w:r/>
      <w:r>
        <w:rPr>
          <w:b/>
        </w:rPr>
        <w:t>Piège n°7</w:t>
      </w:r>
      <w:r>
        <w:t xml:space="preserve"> : Statines, fibrates, macrolides → surveiller CPK (risque rhabdomyolyse).</w:t>
      </w:r>
    </w:p>
    <w:p>
      <w:pPr>
        <w:pStyle w:val="ListNumber"/>
      </w:pPr>
      <w:r/>
      <w:r>
        <w:rPr>
          <w:b/>
        </w:rPr>
        <w:t>Piège n°8</w:t>
      </w:r>
      <w:r>
        <w:t xml:space="preserve"> : Pour le neuroblastome, l'isotrétinoïne est utilisée à très haute dose (160 mg/m²/j — 5-10× la dose dermatologique classique), surveillance toxicité accrue.</w:t>
      </w:r>
    </w:p>
    <w:p>
      <w:pPr>
        <w:pStyle w:val="ListNumber"/>
      </w:pPr>
      <w:r/>
      <w:r>
        <w:rPr>
          <w:b/>
        </w:rPr>
        <w:t>Piège n°9</w:t>
      </w:r>
      <w:r>
        <w:t xml:space="preserve"> : Test de grossesse mensuel obligatoire — le pharmacien peut (doit) exiger le résultat avant délivrance.</w:t>
      </w:r>
    </w:p>
    <w:p>
      <w:pPr>
        <w:pStyle w:val="ListNumber"/>
      </w:pPr>
      <w:r/>
      <w:r>
        <w:rPr>
          <w:b/>
        </w:rPr>
        <w:t>Piège n°10</w:t>
      </w:r>
      <w:r>
        <w:t xml:space="preserve"> : Conservation des capsules à température ambiante (+15 à +25 °C) — ne pas congeler (altère la capsule molle et l'absorption).</w:t>
      </w:r>
    </w:p>
    <w:p>
      <w:pPr>
        <w:pStyle w:val="Heading2"/>
      </w:pPr>
      <w:r>
        <w:t>Sous-classe 108.3 — Cytokines antitumorales — Interféron alpha (IFN-α)</w:t>
      </w:r>
    </w:p>
    <w:p>
      <w:r>
        <w:t xml:space="preserve">Les cytokines antitumorales constituent la troisième voie pharmacologique abordée dans ce chapitre. Elles représentent historiquement le premier exemple d'immunothérapie anticancéreuse active non spécifique, antérieure de plusieurs décennies aux inhibiteurs de checkpoint immunitaire (ipilimumab 2011, nivolumab 2014, pembrolizumab 2014) qui dominent aujourd'hui le paysage oncologique. Les interférons (IFN) — découverts en 1957 par Alick Isaacs et Jean Lindenmann au National Institute for Medical Research de Londres (Isaacs A, Lindenmann J, </w:t>
      </w:r>
      <w:r>
        <w:rPr>
          <w:i/>
        </w:rPr>
        <w:t>Proc R Soc Lond B Biol Sci</w:t>
      </w:r>
      <w:r>
        <w:t xml:space="preserve"> 1957 ; 147 : 258-267) — tirent leur nom de leur capacité à « interférer » avec la réplication virale. Ils sont classés en trois grandes familles selon leur structure et leur récepteur :</w:t>
      </w:r>
    </w:p>
    <w:p>
      <w:pPr>
        <w:pStyle w:val="ListBullet"/>
      </w:pPr>
      <w:r/>
      <w:r>
        <w:rPr>
          <w:b/>
        </w:rPr>
        <w:t>Interférons de type I</w:t>
      </w:r>
      <w:r>
        <w:t xml:space="preserve"> : IFN-α (sous-types α1, α2, α4, α5, α7, α8, α10, α14, α16, α17, α21 — 13 sous-types chez l'humain), IFN-β (1 sous-type unique), IFN-ε, IFN-κ, IFN-ω. Tous se lient au récepteur commun IFNAR1/IFNAR2, exprimé ubiquitaitement. Produits principalement par les cellules dendritiques plasmacytoïdes (IFN-α) et les fibroblastes (IFN-β) en réponse à une infection virale (via récepteurs TLR3, TLR7, TLR9, RIG-I, MDA5).</w:t>
      </w:r>
    </w:p>
    <w:p>
      <w:pPr>
        <w:pStyle w:val="ListBullet"/>
      </w:pPr>
      <w:r/>
      <w:r>
        <w:rPr>
          <w:b/>
        </w:rPr>
        <w:t>Interféron de type II</w:t>
      </w:r>
      <w:r>
        <w:t xml:space="preserve"> : IFN-γ (un seul sous-type) — se lie au récepteur IFNGR1/IFNGR2, produit par les lymphocytes T CD4+ Th1, CD8+ cytotoxiques et les cellules NK.</w:t>
      </w:r>
    </w:p>
    <w:p>
      <w:pPr>
        <w:pStyle w:val="ListBullet"/>
      </w:pPr>
      <w:r/>
      <w:r>
        <w:rPr>
          <w:b/>
        </w:rPr>
        <w:t>Interférons de type III</w:t>
      </w:r>
      <w:r>
        <w:t xml:space="preserve"> : IFN-λ1 (IL-29), IFN-λ2 (IL-28A), IFN-λ3 (IL-28B), IFN-λ4 — se lient au récepteur IFNLR1/IL-10R2, exprimé préférentiellement par les cellules épithéliales (voies respiratoires, digestives, hépatiques).</w:t>
      </w:r>
    </w:p>
    <w:p>
      <w:r>
        <w:t>Les interférons thérapeutiques utilisés en oncologie appartiennent tous au type I et plus spécifiquement au sous-type IFN-α. Trois molécules sont disponibles :</w:t>
      </w:r>
    </w:p>
    <w:p>
      <w:pPr>
        <w:pStyle w:val="ListBullet"/>
      </w:pPr>
      <w:r/>
      <w:r>
        <w:rPr>
          <w:b/>
        </w:rPr>
        <w:t>IFN-α 2a</w:t>
      </w:r>
      <w:r>
        <w:t xml:space="preserve"> (Roferon-A®, Roche) — protéine recombinante de 165 acides aminés, 19,2 kDa, produite par génie génétique dans *E. coli*, identique à l'IFN-α humain natif à une substitution près (lysine en position 23 au lieu de l'arginine). AMM initiale 1986.</w:t>
      </w:r>
    </w:p>
    <w:p>
      <w:pPr>
        <w:pStyle w:val="ListBullet"/>
      </w:pPr>
      <w:r/>
      <w:r>
        <w:rPr>
          <w:b/>
        </w:rPr>
        <w:t>IFN-α 2b</w:t>
      </w:r>
      <w:r>
        <w:t xml:space="preserve"> (IntronA®, Schering-Plough / Merck ; Heberon Alfa R®, Heber Biotec Cuba) — protéine recombinante de 165 acides aminés, 19,3 kDa, identique à l'IFN-α humain natif. AMM initiale 1986.</w:t>
      </w:r>
    </w:p>
    <w:p>
      <w:pPr>
        <w:pStyle w:val="ListBullet"/>
      </w:pPr>
      <w:r/>
      <w:r>
        <w:rPr>
          <w:b/>
        </w:rPr>
        <w:t>IFN-α 2a pégylé (peg-IFN-α 2a, Pegasys®, Roche)</w:t>
      </w:r>
      <w:r>
        <w:t xml:space="preserve"> — IFN-α 2a couplé à une molécule de polyéthylène glycol bifonctionnel de 40 kDa (branche linéaire). Demi-vie prolongée à 60-80 h (vs 4-6 h pour la forme native), autorisant une injection hebdomadaire (180 µg/semaine). AMM 2002.</w:t>
      </w:r>
    </w:p>
    <w:p>
      <w:pPr>
        <w:pStyle w:val="ListBullet"/>
      </w:pPr>
      <w:r/>
      <w:r>
        <w:rPr>
          <w:b/>
        </w:rPr>
        <w:t>IFN-α 2b pégylé (peg-IFN-α 2b, ViraferonPeg®, Schering-Plough)</w:t>
      </w:r>
      <w:r>
        <w:t xml:space="preserve"> — IFN-α 2b couplé à un PEG monométhoxy de 12 kDa. Demi-vie 40-50 h, injection hebdomadaire. AMM 2001.</w:t>
      </w:r>
    </w:p>
    <w:p>
      <w:r>
        <w:t>La pégylation — technique de couplage à un polymère de polyéthylène glycol (PEG) inventée par Davis, Abuchowski et collègues à Rutgers University en 1973 — a transformé la pharmacocinétique des interférons : la forme native IFN-α 2a a une demi-vie courte (4-6 h après IM/SC) imposant 3 injections par semaine, avec des pics de concentration responsables de la symptomatologie pseudo-grippale ; la forme pégylée peg-IFN-α 2a (Pegasys®) a une demi-vie prolongée à 60-80 h, autorisant une seule injection hebdomadaire, avec un profil de concentration plat réduisant les effets indésirables. La pégylation réduit également l'immunogénicité (les anticorps anti-PEG sont moins fréquents que les anticorps anti-IFN-α natif — 5-10 % vs 20-30 %), ce qui améliore la tolérance et l'observance.</w:t>
      </w:r>
    </w:p>
    <w:p>
      <w:r>
        <w:t>Les indications de l'IFN-α ont considérablement évolué au cours des trois dernières décennies :</w:t>
      </w:r>
    </w:p>
    <w:p>
      <w:pPr>
        <w:pStyle w:val="ListBullet"/>
      </w:pPr>
      <w:r/>
      <w:r>
        <w:rPr>
          <w:b/>
        </w:rPr>
        <w:t>Hairy cell leukemia (leucémie à tricholeucocytes, LHI)</w:t>
      </w:r>
      <w:r>
        <w:t xml:space="preserve"> — indication historique, IFN-α 2 MU/m² × 3/sem IM/SC pendant 12-18 mois — rémissions complètes dans 70-80 % des cas (Quesada JR, *N Engl J Med* 1984). Supplanté depuis 1995 par la cladribine (2-CdA) et la pentostatine qui obtiennent des RC &gt; 90 % en une seule cure IV. L'IFN-α conserve une indication de 2e/3e ligne en cas de résistance ou de contre-indication aux analogues de purine.</w:t>
      </w:r>
    </w:p>
    <w:p>
      <w:pPr>
        <w:pStyle w:val="ListBullet"/>
      </w:pPr>
      <w:r/>
      <w:r>
        <w:rPr>
          <w:b/>
        </w:rPr>
        <w:t>Lymphome cutané T épidermotrope (mycosis fongoïde, syndrome de Sézary)</w:t>
      </w:r>
      <w:r>
        <w:t xml:space="preserve"> — IFN-α 3-9 MU × 3/sem SC — réponses objectives dans 50-70 % des cas (stades I-IIA 70-80 %, stades IIB-IV 30-50 %). Conservation d'une place importante en dermatologie oncologique, souvent en association avec la PUVA-thérapie ou la bexarotène (réinoïde RXR agoniste).</w:t>
      </w:r>
    </w:p>
    <w:p>
      <w:pPr>
        <w:pStyle w:val="ListBullet"/>
      </w:pPr>
      <w:r/>
      <w:r>
        <w:rPr>
          <w:b/>
        </w:rPr>
        <w:t>Maladie de Vaquez (polyglobulie primitive, PV)</w:t>
      </w:r>
      <w:r>
        <w:t xml:space="preserve"> — peg-IFN-α 2a 45-90 µg/sem SC en 1re intention chez le sujet jeune (&lt; 60 ans) en raison de son action sur le clone JAK2V617F (réduction de l'allèle mutant — essai PROUD-PV, Kiladjian JJ, *Lancet Haematol* 2018). Alternative à la phlébotomie + aspirine chez les sujets à risque thrombotique élevé. Supériorité sur l'hydroxyurée chez les sujets jeunes et en cas de résistance/intolérance à l'hydroxyurée (essai PVN-1, MPN-RC 2013).</w:t>
      </w:r>
    </w:p>
    <w:p>
      <w:pPr>
        <w:pStyle w:val="ListBullet"/>
      </w:pPr>
      <w:r/>
      <w:r>
        <w:rPr>
          <w:b/>
        </w:rPr>
        <w:t>Thrombocythémie essentielle (TE)</w:t>
      </w:r>
      <w:r>
        <w:t xml:space="preserve"> — peg-IFN-α 2a 90 µg/sem SC — indication chez la femme enceinte (alternative à l'hydroxyurée tératogène) et chez le sujet jeune. Réduction de l'allèle JAK2V617F (essai PT-1, Harrison CN, *Blood* 2005).</w:t>
      </w:r>
    </w:p>
    <w:p>
      <w:pPr>
        <w:pStyle w:val="ListBullet"/>
      </w:pPr>
      <w:r/>
      <w:r>
        <w:rPr>
          <w:b/>
        </w:rPr>
        <w:t>Leucémie myéloïde chronique (LMC) en phase chronique</w:t>
      </w:r>
      <w:r>
        <w:t xml:space="preserve"> — indication historique (essai Italian CML Study Group 1998 — Hehlmann R, *Blood* 1994 ; 84 : 4159-4168), supplantée depuis 2001 par l'imatinib (révolution ITK BCR-ABL). L'IFN-α conserve une indication chez la femme enceinte atteinte de LMC (alternative à l'imatinib tératogène — Kinzig-Schippers M, *Nat Clin Pract Oncol* 2008).</w:t>
      </w:r>
    </w:p>
    <w:p>
      <w:pPr>
        <w:pStyle w:val="ListBullet"/>
      </w:pPr>
      <w:r/>
      <w:r>
        <w:rPr>
          <w:b/>
        </w:rPr>
        <w:t>Carcinome rénal métastatique</w:t>
      </w:r>
      <w:r>
        <w:t xml:space="preserve"> — indication historique (essai Motzer RJ, *J Clin Oncol* 2002 — IFN-α 9 MU × 3/sem × 12 mois), supplantée depuis 2005 par les ITK anti-angiogéniques (sunitinib, pazopanib, axitinib) puis par les inhibiteurs de checkpoint immunitaire (nivolumab, nivolumab-ipilimumab) depuis 2018.</w:t>
      </w:r>
    </w:p>
    <w:p>
      <w:pPr>
        <w:pStyle w:val="ListBullet"/>
      </w:pPr>
      <w:r/>
      <w:r>
        <w:rPr>
          <w:b/>
        </w:rPr>
        <w:t>Mélanome métastatique</w:t>
      </w:r>
      <w:r>
        <w:t xml:space="preserve"> — indication historique (essai Kirkwood JM, ECOG 1684 — *J Clin Oncol* 1996), supplantée par ipilimumab (2011), pembrolizumab/nivolumab (2014), combinaison nivo+ipi (2017), et thérapies ciblées BRAF/MEK (vemurafenib+cobimetinib, dabrafenib+trametinib, encorafenib+binimetinib). L'IFN-α à haute dose conserve une indication en </w:t>
      </w:r>
      <w:r>
        <w:rPr>
          <w:b/>
        </w:rPr>
        <w:t>adjuvant</w:t>
      </w:r>
      <w:r>
        <w:t xml:space="preserve"> du mélanome à haut risque de rechute (stade IIB-IIC complètement réséqué — essai ECOG 1684, *J Clin Oncol* 1996) — supplanté partiellement par le pembrolizumab adjuvant depuis 2018 (essai KEYNOTE-054, Eggermont AM, *N Engl J Med* 2018).</w:t>
      </w:r>
    </w:p>
    <w:p>
      <w:pPr>
        <w:pStyle w:val="ListBullet"/>
      </w:pPr>
      <w:r/>
      <w:r>
        <w:rPr>
          <w:b/>
        </w:rPr>
        <w:t>Sarcome de Kaposi lié au VIH</w:t>
      </w:r>
      <w:r>
        <w:t xml:space="preserve"> — indication historique (essai Krown SE, *N Engl J Med* 1983), supplantée par les antirétroviraux hautement actifs (HAART) depuis 1996 et par les liposomes doxorubicine (Caelyx®).</w:t>
      </w:r>
    </w:p>
    <w:p>
      <w:pPr>
        <w:pStyle w:val="ListBullet"/>
      </w:pPr>
      <w:r/>
      <w:r>
        <w:rPr>
          <w:b/>
        </w:rPr>
        <w:t>Hépatite chronique B (VHB)</w:t>
      </w:r>
      <w:r>
        <w:t xml:space="preserve"> — peg-IFN-α 2a 180 µg/sem × 48 semaines — alternative au traitement oral antiviral (entecavir, ténofovir) chez les patients HBeAg positif jeunes avec élévation ALAT et faible charge virale (afin de viser une séroconversion HBeAg avec chance d'arrêt du traitement — réponse soutenue dans 30-35 % des cas).</w:t>
      </w:r>
    </w:p>
    <w:p>
      <w:pPr>
        <w:pStyle w:val="ListBullet"/>
      </w:pPr>
      <w:r/>
      <w:r>
        <w:rPr>
          <w:b/>
        </w:rPr>
        <w:t>Hépatite chronique C (VHC)</w:t>
      </w:r>
      <w:r>
        <w:t xml:space="preserve"> — peg-IFN-α 2a ou 2b en association avec la ribavirine × 24-48 semaines — supplantée depuis 2014-2018 par les antiviraux à action directe (AAD — sofosbuvir, ledipasvir, daclatasvir, velpatasvir, glecaprevir/pibrentasvir) qui guérissent le VHC en 8-12 semaines avec une tolérance excellente. L'IFN-α n'a plus de place dans le traitement du VHC en 2024-2025.</w:t>
      </w:r>
    </w:p>
    <w:p>
      <w:r>
        <w:t>La place de l'IFN-α en oncologie s'est donc progressivement réduite au profit de thérapeutiques plus modernes et mieux tolérées (ITK, immunothérapie checkpoint, antiviraux directs). Mais il conserve un rôle irremplaçable dans certaines indications de niche (maladie de Vaquez du sujet jeune, thrombocythémie essentielle de la femme enceinte, mycosis fongoïde réfractaire, LMC de la femme enceinte) et représente le prototype historique de l'immunothérapie anticancéreuse.</w:t>
      </w:r>
    </w:p>
    <w:p>
      <w:pPr>
        <w:pStyle w:val="Heading3"/>
      </w:pPr>
      <w:r>
        <w:t>3. DCI : Interféron alpha (IFN-α 2a / 2b / peg-IFN-α 2a / peg-IFN-α 2b)</w:t>
      </w:r>
    </w:p>
    <w:p>
      <w:r/>
      <w:r>
        <w:rPr>
          <w:b/>
        </w:rPr>
        <w:t>Liste des Catégories :</w:t>
      </w:r>
      <w:r>
        <w:t xml:space="preserve"> Cytokine antitumorale — interféron de type I (α2a et α2b) ; ligand du récepteur IFNAR1/IFNAR2, activation de la voie JAK-STAT (Janus kinase — signal transducer and activator of transcription) ; agent antiviral, anti-prolifératif, immunomodulateur ; médicament à surveillance neuropsychiatrique stricte (dépression, idées suicidaires) ; médicament à surveillance thyroïdienne (dysthyroïdie auto-immune) ; médicament à surveillance hématologique (cytopénie) ; médicament à surveillance hépatique (cytolyse) ; tératogène possible (CRAT : « à éviter » — catégorie C, données limitées humaines, tératogène chez l'animal à haute dose) ; prescription réservée aux spécialistes en oncologie, hématologie, hépatologie, dermatologie ; Liste I ; médication hospitalière stricte (initiation) ; ATC L03AB04 (IFN-α 2a) / L03AB05 (IFN-α 2b) / L03AB10 (peg-IFN-α 2b) / L03AB11 (peg-IFN-α 2a).</w:t>
      </w:r>
    </w:p>
    <w:p>
      <w:r>
        <w:t xml:space="preserve">L'interféron alpha-2a (IFN-α 2a, Roferon-A®) et l'interféron alpha-2b (IFN-α 2b, IntronA®) sont des protéines recombinantes produites par génie génétique dans </w:t>
      </w:r>
      <w:r>
        <w:rPr>
          <w:i/>
        </w:rPr>
        <w:t>E. coli</w:t>
      </w:r>
      <w:r>
        <w:t xml:space="preserve"> à partir du gène </w:t>
      </w:r>
      <w:r>
        <w:rPr>
          <w:i/>
        </w:rPr>
        <w:t>IFNA2</w:t>
      </w:r>
      <w:r>
        <w:t xml:space="preserve"> humain cloné en 1980 par Charles Weissmann (Université de Zurich). L'IFN-α 2a (165 acides aminés, 19,2 kDa, pI 5,9) diffère de l'IFN-α 2b par une seule substitution (lysine vs arginine en position 23), sans différence clinique pertinente d'efficacité ou de tolérance. Leur structure tertiaire comprend 5 hélices α reliées par des boucles, formant un repliement caractéristique de la famille des cytokines de type « 4-helix bundle ». L'IFN-α se lie au récepteur de surface IFNAR1 (interféron alpha/beta receptor 1, chrom. 21q22.11) et IFNAR2 (chrom. 21q22.11), exprimés sur la plupart des cellules nucléées. Cette liaison active les voies de signalisation JAK-STAT : JAK1 (associée à IFNAR2) phosphoryle TYK2 (associée à IFNAR1), qui à leur tour phosphorylent STAT1 et STAT2. Les STAT1-STAT2 hétérodimérisés se combinent avec IRF9 (Interferon Regulatory Factor 9) pour former le complexe ISGF3 (Interferon-Stimulated Gene Factor 3) qui transloque au noyau et se fixe sur les séquences ISRE (Interferon-Stimulated Response Elements) des promoteurs de plus de 300 gènes cibles — les « interferon-stimulated genes » (ISGs).</w:t>
      </w:r>
    </w:p>
    <w:p>
      <w:r>
        <w:t>Les principaux ISGs et leurs effets biologiques :</w:t>
      </w:r>
    </w:p>
    <w:p>
      <w:pPr>
        <w:pStyle w:val="ListBullet"/>
      </w:pPr>
      <w:r/>
      <w:r>
        <w:rPr>
          <w:b/>
        </w:rPr>
        <w:t>2′-5′-Oligoadénylate synthase (OAS1, OAS2, OAS3)</w:t>
      </w:r>
      <w:r>
        <w:t xml:space="preserve"> — active la RNase L qui dégrade l'ARN viral.</w:t>
      </w:r>
    </w:p>
    <w:p>
      <w:pPr>
        <w:pStyle w:val="ListBullet"/>
      </w:pPr>
      <w:r/>
      <w:r>
        <w:rPr>
          <w:b/>
        </w:rPr>
        <w:t>PKR (Protein Kinase R, EI2AK2)</w:t>
      </w:r>
      <w:r>
        <w:t xml:space="preserve"> — phosphoryle et inactive le facteur d'initiation de la traduction eIF2α, bloquant la traduction des protéines virales (et cellulaires — d'où l'effet anti-prolifératif).</w:t>
      </w:r>
    </w:p>
    <w:p>
      <w:pPr>
        <w:pStyle w:val="ListBullet"/>
      </w:pPr>
      <w:r/>
      <w:r>
        <w:rPr>
          <w:b/>
        </w:rPr>
        <w:t>MxA (Myxovirus resistance 1)</w:t>
      </w:r>
      <w:r>
        <w:t xml:space="preserve"> — protéine à activité antivirale contre les virus à ARN (influenza, VHC).</w:t>
      </w:r>
    </w:p>
    <w:p>
      <w:pPr>
        <w:pStyle w:val="ListBullet"/>
      </w:pPr>
      <w:r/>
      <w:r>
        <w:rPr>
          <w:b/>
        </w:rPr>
        <w:t>ISG15</w:t>
      </w:r>
      <w:r>
        <w:t xml:space="preserve"> — ubiquitine-like qui conjugue les protéines cellulaires et module la réponse immune.</w:t>
      </w:r>
    </w:p>
    <w:p>
      <w:pPr>
        <w:pStyle w:val="ListBullet"/>
      </w:pPr>
      <w:r/>
      <w:r>
        <w:rPr>
          <w:b/>
        </w:rPr>
        <w:t>CXCL10 (IP-10), CXCL11 (I-TAC)</w:t>
      </w:r>
      <w:r>
        <w:t xml:space="preserve"> — chimokines attractives pour les lymphocytes T CD8+ cytotoxiques.</w:t>
      </w:r>
    </w:p>
    <w:p>
      <w:pPr>
        <w:pStyle w:val="ListBullet"/>
      </w:pPr>
      <w:r/>
      <w:r>
        <w:rPr>
          <w:b/>
        </w:rPr>
        <w:t>p21 (CDKN1A)</w:t>
      </w:r>
      <w:r>
        <w:t xml:space="preserve"> — inhibiteur de kinase dépendante des cyclines — arrête le cycle cellulaire en G1.</w:t>
      </w:r>
    </w:p>
    <w:p>
      <w:pPr>
        <w:pStyle w:val="ListBullet"/>
      </w:pPr>
      <w:r/>
      <w:r>
        <w:rPr>
          <w:b/>
        </w:rPr>
        <w:t>TRAIL (TNF-related apoptosis-inducing ligand)</w:t>
      </w:r>
      <w:r>
        <w:t xml:space="preserve"> — induit l'apoptose des cellules tumorales via les récepteurs de mort DR4 (TRAIL-R1) et DR5 (TRAIL-R2).</w:t>
      </w:r>
    </w:p>
    <w:p>
      <w:pPr>
        <w:pStyle w:val="ListBullet"/>
      </w:pPr>
      <w:r/>
      <w:r>
        <w:rPr>
          <w:b/>
        </w:rPr>
        <w:t>MHC classe I (HLA-A, HLA-B, HLA-C)</w:t>
      </w:r>
      <w:r>
        <w:t xml:space="preserve"> — augmentation de l'expression à la surface des cellules tumorales, améliorant la reconnaissance par les lymphocytes T CD8+ cytotoxiques.</w:t>
      </w:r>
    </w:p>
    <w:p>
      <w:r>
        <w:t xml:space="preserve">Les effets biologiques de l'IFN-α sont donc multiples : </w:t>
      </w:r>
      <w:r>
        <w:rPr>
          <w:b/>
        </w:rPr>
        <w:t>antiviral</w:t>
      </w:r>
      <w:r>
        <w:t xml:space="preserve"> (inhibition de la réplication virale par blocage de la traduction, dégradation de l'ARN viral, action directe sur les particules virales), </w:t>
      </w:r>
      <w:r>
        <w:rPr>
          <w:b/>
        </w:rPr>
        <w:t>anti-prolifératif</w:t>
      </w:r>
      <w:r>
        <w:t xml:space="preserve"> (arrêt G1 par p21, inhibition de c-Myc, inhibition de la traduction par PKR), </w:t>
      </w:r>
      <w:r>
        <w:rPr>
          <w:b/>
        </w:rPr>
        <w:t>pro-apoptotique</w:t>
      </w:r>
      <w:r>
        <w:t xml:space="preserve"> (TRAIL, Fas, voie mitochondriale), et </w:t>
      </w:r>
      <w:r>
        <w:rPr>
          <w:b/>
        </w:rPr>
        <w:t>immunomodulateur</w:t>
      </w:r>
      <w:r>
        <w:t xml:space="preserve"> (augmentation de la présentation antigénique CMH I, activation NK et cytotoxique T, modulation de la balance Th1/Th2). Cette combinaison d'effets explique l'activité antitumorale observée dans les hémopathies lymphoïdes (hairy cell leukemia, mycosis fongoïde, LMC) et les tumeurs solides sensibles à l'immunomodulation (carcinome rénal, mélanome).</w:t>
      </w:r>
    </w:p>
    <w:p>
      <w:r/>
      <w:r>
        <w:rPr>
          <w:b/>
        </w:rPr>
        <w:t>Médicaments disponibles en Algérie (Marques, Laboratoires, Formes et Dosages) :</w:t>
      </w:r>
      <w:r/>
    </w:p>
    <w:p>
      <w:r>
        <w:t>Formes non renouvelables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HEBERON ALFA R</w:t>
            </w:r>
          </w:p>
        </w:tc>
        <w:tc>
          <w:tcPr>
            <w:tcW w:type="dxa" w:w="1559"/>
          </w:tcPr>
          <w:p>
            <w:r>
              <w:rPr>
                <w:sz w:val="20"/>
              </w:rPr>
              <w:t>HEBER BIOTEC (Cuba)</w:t>
            </w:r>
          </w:p>
        </w:tc>
        <w:tc>
          <w:tcPr>
            <w:tcW w:type="dxa" w:w="1559"/>
          </w:tcPr>
          <w:p>
            <w:r>
              <w:rPr>
                <w:sz w:val="20"/>
              </w:rPr>
              <w:t>Poudre pour solution injectable IM/SC — 3 MUI/flacon</w:t>
            </w:r>
          </w:p>
        </w:tc>
        <w:tc>
          <w:tcPr>
            <w:tcW w:type="dxa" w:w="1559"/>
          </w:tcPr>
          <w:p>
            <w:r>
              <w:rPr>
                <w:sz w:val="20"/>
              </w:rPr>
              <w:t>Boîte de 25</w:t>
            </w:r>
          </w:p>
        </w:tc>
        <w:tc>
          <w:tcPr>
            <w:tcW w:type="dxa" w:w="1559"/>
          </w:tcPr>
          <w:p>
            <w:r>
              <w:rPr>
                <w:sz w:val="20"/>
              </w:rPr>
              <w:t>Liste I</w:t>
            </w:r>
          </w:p>
        </w:tc>
        <w:tc>
          <w:tcPr>
            <w:tcW w:type="dxa" w:w="1559"/>
          </w:tcPr>
          <w:p>
            <w:r>
              <w:rPr>
                <w:sz w:val="20"/>
              </w:rPr>
              <w:t>**Non Renouvelable**</w:t>
            </w:r>
          </w:p>
        </w:tc>
      </w:tr>
      <w:tr>
        <w:tc>
          <w:tcPr>
            <w:tcW w:type="dxa" w:w="1559"/>
          </w:tcPr>
          <w:p>
            <w:r>
              <w:rPr>
                <w:sz w:val="20"/>
              </w:rPr>
              <w:t>HEBERON ALFA R</w:t>
            </w:r>
          </w:p>
        </w:tc>
        <w:tc>
          <w:tcPr>
            <w:tcW w:type="dxa" w:w="1559"/>
          </w:tcPr>
          <w:p>
            <w:r>
              <w:rPr>
                <w:sz w:val="20"/>
              </w:rPr>
              <w:t>HEBER BIOTEC (Cuba)</w:t>
            </w:r>
          </w:p>
        </w:tc>
        <w:tc>
          <w:tcPr>
            <w:tcW w:type="dxa" w:w="1559"/>
          </w:tcPr>
          <w:p>
            <w:r>
              <w:rPr>
                <w:sz w:val="20"/>
              </w:rPr>
              <w:t>Poudre pour solution injectable IM/SC — 5 MUI/flacon</w:t>
            </w:r>
          </w:p>
        </w:tc>
        <w:tc>
          <w:tcPr>
            <w:tcW w:type="dxa" w:w="1559"/>
          </w:tcPr>
          <w:p>
            <w:r>
              <w:rPr>
                <w:sz w:val="20"/>
              </w:rPr>
              <w:t>Boîte de 25</w:t>
            </w:r>
          </w:p>
        </w:tc>
        <w:tc>
          <w:tcPr>
            <w:tcW w:type="dxa" w:w="1559"/>
          </w:tcPr>
          <w:p>
            <w:r>
              <w:rPr>
                <w:sz w:val="20"/>
              </w:rPr>
              <w:t>Liste I</w:t>
            </w:r>
          </w:p>
        </w:tc>
        <w:tc>
          <w:tcPr>
            <w:tcW w:type="dxa" w:w="1559"/>
          </w:tcPr>
          <w:p>
            <w:r>
              <w:rPr>
                <w:sz w:val="20"/>
              </w:rPr>
              <w:t>**Non Renouvelable**</w:t>
            </w:r>
          </w:p>
        </w:tc>
      </w:tr>
      <w:tr>
        <w:tc>
          <w:tcPr>
            <w:tcW w:type="dxa" w:w="1559"/>
          </w:tcPr>
          <w:p>
            <w:r>
              <w:rPr>
                <w:sz w:val="20"/>
              </w:rPr>
              <w:t>HEBERON ALFA R</w:t>
            </w:r>
          </w:p>
        </w:tc>
        <w:tc>
          <w:tcPr>
            <w:tcW w:type="dxa" w:w="1559"/>
          </w:tcPr>
          <w:p>
            <w:r>
              <w:rPr>
                <w:sz w:val="20"/>
              </w:rPr>
              <w:t>HEBER BIOTEC (Cuba)</w:t>
            </w:r>
          </w:p>
        </w:tc>
        <w:tc>
          <w:tcPr>
            <w:tcW w:type="dxa" w:w="1559"/>
          </w:tcPr>
          <w:p>
            <w:r>
              <w:rPr>
                <w:sz w:val="20"/>
              </w:rPr>
              <w:t>Poudre pour solution injectable IM/SC — 10 MUI/flacon</w:t>
            </w:r>
          </w:p>
        </w:tc>
        <w:tc>
          <w:tcPr>
            <w:tcW w:type="dxa" w:w="1559"/>
          </w:tcPr>
          <w:p>
            <w:r>
              <w:rPr>
                <w:sz w:val="20"/>
              </w:rPr>
              <w:t>Boîte de 25</w:t>
            </w:r>
          </w:p>
        </w:tc>
        <w:tc>
          <w:tcPr>
            <w:tcW w:type="dxa" w:w="1559"/>
          </w:tcPr>
          <w:p>
            <w:r>
              <w:rPr>
                <w:sz w:val="20"/>
              </w:rPr>
              <w:t>Liste I</w:t>
            </w:r>
          </w:p>
        </w:tc>
        <w:tc>
          <w:tcPr>
            <w:tcW w:type="dxa" w:w="1559"/>
          </w:tcPr>
          <w:p>
            <w:r>
              <w:rPr>
                <w:sz w:val="20"/>
              </w:rPr>
              <w:t>**Non Renouvelable**</w:t>
            </w:r>
          </w:p>
        </w:tc>
      </w:tr>
      <w:tr>
        <w:tc>
          <w:tcPr>
            <w:tcW w:type="dxa" w:w="1559"/>
          </w:tcPr>
          <w:p>
            <w:r>
              <w:rPr>
                <w:sz w:val="20"/>
              </w:rPr>
              <w:t>INTRONA</w:t>
            </w:r>
          </w:p>
        </w:tc>
        <w:tc>
          <w:tcPr>
            <w:tcW w:type="dxa" w:w="1559"/>
          </w:tcPr>
          <w:p>
            <w:r>
              <w:rPr>
                <w:sz w:val="20"/>
              </w:rPr>
              <w:t>SCHERING PLOUGH</w:t>
            </w:r>
          </w:p>
        </w:tc>
        <w:tc>
          <w:tcPr>
            <w:tcW w:type="dxa" w:w="1559"/>
          </w:tcPr>
          <w:p>
            <w:r>
              <w:rPr>
                <w:sz w:val="20"/>
              </w:rPr>
              <w:t>Poudre pour solution injectable IM/SC — 5 MUI/mL</w:t>
            </w:r>
          </w:p>
        </w:tc>
        <w:tc>
          <w:tcPr>
            <w:tcW w:type="dxa" w:w="1559"/>
          </w:tcPr>
          <w:p>
            <w:r>
              <w:rPr>
                <w:sz w:val="20"/>
              </w:rPr>
              <w:t>Boîte de 1 flacon + 1 solvant + 1 seringue + 2 aiguilles</w:t>
            </w:r>
          </w:p>
        </w:tc>
        <w:tc>
          <w:tcPr>
            <w:tcW w:type="dxa" w:w="1559"/>
          </w:tcPr>
          <w:p>
            <w:r>
              <w:rPr>
                <w:sz w:val="20"/>
              </w:rPr>
              <w:t>Liste I</w:t>
            </w:r>
          </w:p>
        </w:tc>
        <w:tc>
          <w:tcPr>
            <w:tcW w:type="dxa" w:w="1559"/>
          </w:tcPr>
          <w:p>
            <w:r>
              <w:rPr>
                <w:sz w:val="20"/>
              </w:rPr>
              <w:t>**Non Renouvelable**</w:t>
            </w:r>
          </w:p>
        </w:tc>
      </w:tr>
      <w:tr>
        <w:tc>
          <w:tcPr>
            <w:tcW w:type="dxa" w:w="1559"/>
          </w:tcPr>
          <w:p>
            <w:r>
              <w:rPr>
                <w:sz w:val="20"/>
              </w:rPr>
              <w:t>INTRONA</w:t>
            </w:r>
          </w:p>
        </w:tc>
        <w:tc>
          <w:tcPr>
            <w:tcW w:type="dxa" w:w="1559"/>
          </w:tcPr>
          <w:p>
            <w:r>
              <w:rPr>
                <w:sz w:val="20"/>
              </w:rPr>
              <w:t>SCHERING PLOUGH</w:t>
            </w:r>
          </w:p>
        </w:tc>
        <w:tc>
          <w:tcPr>
            <w:tcW w:type="dxa" w:w="1559"/>
          </w:tcPr>
          <w:p>
            <w:r>
              <w:rPr>
                <w:sz w:val="20"/>
              </w:rPr>
              <w:t>Poudre pour solution injectable IM/SC — 10 MUI/mL</w:t>
            </w:r>
          </w:p>
        </w:tc>
        <w:tc>
          <w:tcPr>
            <w:tcW w:type="dxa" w:w="1559"/>
          </w:tcPr>
          <w:p>
            <w:r>
              <w:rPr>
                <w:sz w:val="20"/>
              </w:rPr>
              <w:t>Boîte de 1 flacon + 1 solvant + 1 seringue + 2 aiguilles</w:t>
            </w:r>
          </w:p>
        </w:tc>
        <w:tc>
          <w:tcPr>
            <w:tcW w:type="dxa" w:w="1559"/>
          </w:tcPr>
          <w:p>
            <w:r>
              <w:rPr>
                <w:sz w:val="20"/>
              </w:rPr>
              <w:t>Liste I</w:t>
            </w:r>
          </w:p>
        </w:tc>
        <w:tc>
          <w:tcPr>
            <w:tcW w:type="dxa" w:w="1559"/>
          </w:tcPr>
          <w:p>
            <w:r>
              <w:rPr>
                <w:sz w:val="20"/>
              </w:rPr>
              <w:t>**Non Renouvelable**</w:t>
            </w:r>
          </w:p>
        </w:tc>
      </w:tr>
      <w:tr>
        <w:tc>
          <w:tcPr>
            <w:tcW w:type="dxa" w:w="1559"/>
          </w:tcPr>
          <w:p>
            <w:r>
              <w:rPr>
                <w:sz w:val="20"/>
              </w:rPr>
              <w:t>INTRONA</w:t>
            </w:r>
          </w:p>
        </w:tc>
        <w:tc>
          <w:tcPr>
            <w:tcW w:type="dxa" w:w="1559"/>
          </w:tcPr>
          <w:p>
            <w:r>
              <w:rPr>
                <w:sz w:val="20"/>
              </w:rPr>
              <w:t>SCHERING PLOUGH</w:t>
            </w:r>
          </w:p>
        </w:tc>
        <w:tc>
          <w:tcPr>
            <w:tcW w:type="dxa" w:w="1559"/>
          </w:tcPr>
          <w:p>
            <w:r>
              <w:rPr>
                <w:sz w:val="20"/>
              </w:rPr>
              <w:t>Poudre pour solution injectable IM/SC — 3 MUI/mL</w:t>
            </w:r>
          </w:p>
        </w:tc>
        <w:tc>
          <w:tcPr>
            <w:tcW w:type="dxa" w:w="1559"/>
          </w:tcPr>
          <w:p>
            <w:r>
              <w:rPr>
                <w:sz w:val="20"/>
              </w:rPr>
              <w:t>Boîte de 1 flacon + 1 solvant + 1 seringue + 2 aiguilles</w:t>
            </w:r>
          </w:p>
        </w:tc>
        <w:tc>
          <w:tcPr>
            <w:tcW w:type="dxa" w:w="1559"/>
          </w:tcPr>
          <w:p>
            <w:r>
              <w:rPr>
                <w:sz w:val="20"/>
              </w:rPr>
              <w:t>Liste I</w:t>
            </w:r>
          </w:p>
        </w:tc>
        <w:tc>
          <w:tcPr>
            <w:tcW w:type="dxa" w:w="1559"/>
          </w:tcPr>
          <w:p>
            <w:r>
              <w:rPr>
                <w:sz w:val="20"/>
              </w:rPr>
              <w:t>**Non Renouvelable**</w:t>
            </w:r>
          </w:p>
        </w:tc>
      </w:tr>
      <w:tr>
        <w:tc>
          <w:tcPr>
            <w:tcW w:type="dxa" w:w="1559"/>
          </w:tcPr>
          <w:p>
            <w:r>
              <w:rPr>
                <w:sz w:val="20"/>
              </w:rPr>
              <w:t>ROFERON-A</w:t>
            </w:r>
          </w:p>
        </w:tc>
        <w:tc>
          <w:tcPr>
            <w:tcW w:type="dxa" w:w="1559"/>
          </w:tcPr>
          <w:p>
            <w:r>
              <w:rPr>
                <w:sz w:val="20"/>
              </w:rPr>
              <w:t>ROCHE PHARMA</w:t>
            </w:r>
          </w:p>
        </w:tc>
        <w:tc>
          <w:tcPr>
            <w:tcW w:type="dxa" w:w="1559"/>
          </w:tcPr>
          <w:p>
            <w:r>
              <w:rPr>
                <w:sz w:val="20"/>
              </w:rPr>
              <w:t>Solution injectable SC en seringue pré-remplie — 3 MUI/0,5 mL</w:t>
            </w:r>
          </w:p>
        </w:tc>
        <w:tc>
          <w:tcPr>
            <w:tcW w:type="dxa" w:w="1559"/>
          </w:tcPr>
          <w:p>
            <w:r>
              <w:rPr>
                <w:sz w:val="20"/>
              </w:rPr>
              <w:t>Boîte de 1 seringue pré-remplie</w:t>
            </w:r>
          </w:p>
        </w:tc>
        <w:tc>
          <w:tcPr>
            <w:tcW w:type="dxa" w:w="1559"/>
          </w:tcPr>
          <w:p>
            <w:r>
              <w:rPr>
                <w:sz w:val="20"/>
              </w:rPr>
              <w:t>Liste I</w:t>
            </w:r>
          </w:p>
        </w:tc>
        <w:tc>
          <w:tcPr>
            <w:tcW w:type="dxa" w:w="1559"/>
          </w:tcPr>
          <w:p>
            <w:r>
              <w:rPr>
                <w:sz w:val="20"/>
              </w:rPr>
              <w:t>**Non Renouvelable**</w:t>
            </w:r>
          </w:p>
        </w:tc>
      </w:tr>
      <w:tr>
        <w:tc>
          <w:tcPr>
            <w:tcW w:type="dxa" w:w="1559"/>
          </w:tcPr>
          <w:p>
            <w:r>
              <w:rPr>
                <w:sz w:val="20"/>
              </w:rPr>
              <w:t>ROFERON-A</w:t>
            </w:r>
          </w:p>
        </w:tc>
        <w:tc>
          <w:tcPr>
            <w:tcW w:type="dxa" w:w="1559"/>
          </w:tcPr>
          <w:p>
            <w:r>
              <w:rPr>
                <w:sz w:val="20"/>
              </w:rPr>
              <w:t>ROCHE PHARMA</w:t>
            </w:r>
          </w:p>
        </w:tc>
        <w:tc>
          <w:tcPr>
            <w:tcW w:type="dxa" w:w="1559"/>
          </w:tcPr>
          <w:p>
            <w:r>
              <w:rPr>
                <w:sz w:val="20"/>
              </w:rPr>
              <w:t>Solution injectable SC en seringue pré-remplie — 9 MUI/0,5 mL</w:t>
            </w:r>
          </w:p>
        </w:tc>
        <w:tc>
          <w:tcPr>
            <w:tcW w:type="dxa" w:w="1559"/>
          </w:tcPr>
          <w:p>
            <w:r>
              <w:rPr>
                <w:sz w:val="20"/>
              </w:rPr>
              <w:t>Boîte de 1 seringue pré-remplie</w:t>
            </w:r>
          </w:p>
        </w:tc>
        <w:tc>
          <w:tcPr>
            <w:tcW w:type="dxa" w:w="1559"/>
          </w:tcPr>
          <w:p>
            <w:r>
              <w:rPr>
                <w:sz w:val="20"/>
              </w:rPr>
              <w:t>Liste I</w:t>
            </w:r>
          </w:p>
        </w:tc>
        <w:tc>
          <w:tcPr>
            <w:tcW w:type="dxa" w:w="1559"/>
          </w:tcPr>
          <w:p>
            <w:r>
              <w:rPr>
                <w:sz w:val="20"/>
              </w:rPr>
              <w:t>**Non Renouvelable**</w:t>
            </w:r>
          </w:p>
        </w:tc>
      </w:tr>
      <w:tr>
        <w:tc>
          <w:tcPr>
            <w:tcW w:type="dxa" w:w="1559"/>
          </w:tcPr>
          <w:p>
            <w:r>
              <w:rPr>
                <w:sz w:val="20"/>
              </w:rPr>
              <w:t>PEGASYS</w:t>
            </w:r>
          </w:p>
        </w:tc>
        <w:tc>
          <w:tcPr>
            <w:tcW w:type="dxa" w:w="1559"/>
          </w:tcPr>
          <w:p>
            <w:r>
              <w:rPr>
                <w:sz w:val="20"/>
              </w:rPr>
              <w:t>ROCHE PHARMA (SCHWEIZ) LTD</w:t>
            </w:r>
          </w:p>
        </w:tc>
        <w:tc>
          <w:tcPr>
            <w:tcW w:type="dxa" w:w="1559"/>
          </w:tcPr>
          <w:p>
            <w:r>
              <w:rPr>
                <w:sz w:val="20"/>
              </w:rPr>
              <w:t>Solution injectable SC en seringue pré-remplie — 180 µg/0,5 mL (ou 360 µg/mL)</w:t>
            </w:r>
          </w:p>
        </w:tc>
        <w:tc>
          <w:tcPr>
            <w:tcW w:type="dxa" w:w="1559"/>
          </w:tcPr>
          <w:p>
            <w:r>
              <w:rPr>
                <w:sz w:val="20"/>
              </w:rPr>
              <w:t>Boîte de 1 seringue de 0,5 mL</w:t>
            </w:r>
          </w:p>
        </w:tc>
        <w:tc>
          <w:tcPr>
            <w:tcW w:type="dxa" w:w="1559"/>
          </w:tcPr>
          <w:p>
            <w:r>
              <w:rPr>
                <w:sz w:val="20"/>
              </w:rPr>
              <w:t>Liste I</w:t>
            </w:r>
          </w:p>
        </w:tc>
        <w:tc>
          <w:tcPr>
            <w:tcW w:type="dxa" w:w="1559"/>
          </w:tcPr>
          <w:p>
            <w:r>
              <w:rPr>
                <w:sz w:val="20"/>
              </w:rPr>
              <w:t>**Non Renouvelable**</w:t>
            </w:r>
          </w:p>
        </w:tc>
      </w:tr>
    </w:tbl>
    <w:p/>
    <w:p>
      <w:r>
        <w:t>Formes retirées (plus commercialisées en Algérie) :</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LEMERON</w:t>
            </w:r>
          </w:p>
        </w:tc>
        <w:tc>
          <w:tcPr>
            <w:tcW w:type="dxa" w:w="1559"/>
          </w:tcPr>
          <w:p>
            <w:r>
              <w:rPr>
                <w:sz w:val="20"/>
              </w:rPr>
              <w:t>LEMERY</w:t>
            </w:r>
          </w:p>
        </w:tc>
        <w:tc>
          <w:tcPr>
            <w:tcW w:type="dxa" w:w="1559"/>
          </w:tcPr>
          <w:p>
            <w:r>
              <w:rPr>
                <w:sz w:val="20"/>
              </w:rPr>
              <w:t>Poudre pour solution injectable IM/SC — 3 MUI</w:t>
            </w:r>
          </w:p>
        </w:tc>
        <w:tc>
          <w:tcPr>
            <w:tcW w:type="dxa" w:w="1559"/>
          </w:tcPr>
          <w:p>
            <w:r>
              <w:rPr>
                <w:sz w:val="20"/>
              </w:rPr>
              <w:t>Boîte de 1 flacon + 1 solvant</w:t>
            </w:r>
          </w:p>
        </w:tc>
        <w:tc>
          <w:tcPr>
            <w:tcW w:type="dxa" w:w="1559"/>
          </w:tcPr>
          <w:p>
            <w:r>
              <w:rPr>
                <w:sz w:val="20"/>
              </w:rPr>
              <w:t>Liste I</w:t>
            </w:r>
          </w:p>
        </w:tc>
        <w:tc>
          <w:tcPr>
            <w:tcW w:type="dxa" w:w="1559"/>
          </w:tcPr>
          <w:p>
            <w:r>
              <w:rPr>
                <w:sz w:val="20"/>
              </w:rPr>
              <w:t>**Retiré (R)**</w:t>
            </w:r>
          </w:p>
        </w:tc>
      </w:tr>
      <w:tr>
        <w:tc>
          <w:tcPr>
            <w:tcW w:type="dxa" w:w="1559"/>
          </w:tcPr>
          <w:p>
            <w:r>
              <w:rPr>
                <w:sz w:val="20"/>
              </w:rPr>
              <w:t>VIRAFERONPEG 50 µG</w:t>
            </w:r>
          </w:p>
        </w:tc>
        <w:tc>
          <w:tcPr>
            <w:tcW w:type="dxa" w:w="1559"/>
          </w:tcPr>
          <w:p>
            <w:r>
              <w:rPr>
                <w:sz w:val="20"/>
              </w:rPr>
              <w:t>SCHERING PLOUGH EUROPE</w:t>
            </w:r>
          </w:p>
        </w:tc>
        <w:tc>
          <w:tcPr>
            <w:tcW w:type="dxa" w:w="1559"/>
          </w:tcPr>
          <w:p>
            <w:r>
              <w:rPr>
                <w:sz w:val="20"/>
              </w:rPr>
              <w:t>Poudre et solvant pour solution injectable SC en stylo pré-rempli — 50 µg/stylo</w:t>
            </w:r>
          </w:p>
        </w:tc>
        <w:tc>
          <w:tcPr>
            <w:tcW w:type="dxa" w:w="1559"/>
          </w:tcPr>
          <w:p>
            <w:r>
              <w:rPr>
                <w:sz w:val="20"/>
              </w:rPr>
              <w:t>Boîte de 1 stylo pré-rempli de 0,5 mL (cartouche bi-compartimentée) + 1 aiguille + 2 tampons nettoyants</w:t>
            </w:r>
          </w:p>
        </w:tc>
        <w:tc>
          <w:tcPr>
            <w:tcW w:type="dxa" w:w="1559"/>
          </w:tcPr>
          <w:p>
            <w:r>
              <w:rPr>
                <w:sz w:val="20"/>
              </w:rPr>
              <w:t>Liste I</w:t>
            </w:r>
          </w:p>
        </w:tc>
        <w:tc>
          <w:tcPr>
            <w:tcW w:type="dxa" w:w="1559"/>
          </w:tcPr>
          <w:p>
            <w:r>
              <w:rPr>
                <w:sz w:val="20"/>
              </w:rPr>
              <w:t>**Retiré (R)**</w:t>
            </w:r>
          </w:p>
        </w:tc>
      </w:tr>
      <w:tr>
        <w:tc>
          <w:tcPr>
            <w:tcW w:type="dxa" w:w="1559"/>
          </w:tcPr>
          <w:p>
            <w:r>
              <w:rPr>
                <w:sz w:val="20"/>
              </w:rPr>
              <w:t>VIRAFERONPEG 80 µG</w:t>
            </w:r>
          </w:p>
        </w:tc>
        <w:tc>
          <w:tcPr>
            <w:tcW w:type="dxa" w:w="1559"/>
          </w:tcPr>
          <w:p>
            <w:r>
              <w:rPr>
                <w:sz w:val="20"/>
              </w:rPr>
              <w:t>SCHERING PLOUGH EUROPE</w:t>
            </w:r>
          </w:p>
        </w:tc>
        <w:tc>
          <w:tcPr>
            <w:tcW w:type="dxa" w:w="1559"/>
          </w:tcPr>
          <w:p>
            <w:r>
              <w:rPr>
                <w:sz w:val="20"/>
              </w:rPr>
              <w:t>Poudre et solvant pour solution injectable SC en stylo pré-rempli — 80 µg/stylo</w:t>
            </w:r>
          </w:p>
        </w:tc>
        <w:tc>
          <w:tcPr>
            <w:tcW w:type="dxa" w:w="1559"/>
          </w:tcPr>
          <w:p>
            <w:r>
              <w:rPr>
                <w:sz w:val="20"/>
              </w:rPr>
              <w:t>Boîte de 1 stylo pré-rempli de 0,5 mL (cartouche bi-compartimentée) + 1 aiguille + 2 tampons nettoyants</w:t>
            </w:r>
          </w:p>
        </w:tc>
        <w:tc>
          <w:tcPr>
            <w:tcW w:type="dxa" w:w="1559"/>
          </w:tcPr>
          <w:p>
            <w:r>
              <w:rPr>
                <w:sz w:val="20"/>
              </w:rPr>
              <w:t>Liste I</w:t>
            </w:r>
          </w:p>
        </w:tc>
        <w:tc>
          <w:tcPr>
            <w:tcW w:type="dxa" w:w="1559"/>
          </w:tcPr>
          <w:p>
            <w:r>
              <w:rPr>
                <w:sz w:val="20"/>
              </w:rPr>
              <w:t>**Retiré (R)**</w:t>
            </w:r>
          </w:p>
        </w:tc>
      </w:tr>
      <w:tr>
        <w:tc>
          <w:tcPr>
            <w:tcW w:type="dxa" w:w="1559"/>
          </w:tcPr>
          <w:p>
            <w:r>
              <w:rPr>
                <w:sz w:val="20"/>
              </w:rPr>
              <w:t>VIRAFERONPEG 100 µG</w:t>
            </w:r>
          </w:p>
        </w:tc>
        <w:tc>
          <w:tcPr>
            <w:tcW w:type="dxa" w:w="1559"/>
          </w:tcPr>
          <w:p>
            <w:r>
              <w:rPr>
                <w:sz w:val="20"/>
              </w:rPr>
              <w:t>SCHERING PLOUGH EUROPE</w:t>
            </w:r>
          </w:p>
        </w:tc>
        <w:tc>
          <w:tcPr>
            <w:tcW w:type="dxa" w:w="1559"/>
          </w:tcPr>
          <w:p>
            <w:r>
              <w:rPr>
                <w:sz w:val="20"/>
              </w:rPr>
              <w:t>Poudre et solvant pour solution injectable SC en stylo pré-rempli — 100 µg/stylo</w:t>
            </w:r>
          </w:p>
        </w:tc>
        <w:tc>
          <w:tcPr>
            <w:tcW w:type="dxa" w:w="1559"/>
          </w:tcPr>
          <w:p>
            <w:r>
              <w:rPr>
                <w:sz w:val="20"/>
              </w:rPr>
              <w:t>Boîte de 1 stylo pré-rempli de 0,5 mL (cartouche bi-compartimentée) + 1 aiguille + 2 tampons nettoyants</w:t>
            </w:r>
          </w:p>
        </w:tc>
        <w:tc>
          <w:tcPr>
            <w:tcW w:type="dxa" w:w="1559"/>
          </w:tcPr>
          <w:p>
            <w:r>
              <w:rPr>
                <w:sz w:val="20"/>
              </w:rPr>
              <w:t>Liste I</w:t>
            </w:r>
          </w:p>
        </w:tc>
        <w:tc>
          <w:tcPr>
            <w:tcW w:type="dxa" w:w="1559"/>
          </w:tcPr>
          <w:p>
            <w:r>
              <w:rPr>
                <w:sz w:val="20"/>
              </w:rPr>
              <w:t>**Retiré (R)**</w:t>
            </w:r>
          </w:p>
        </w:tc>
      </w:tr>
      <w:tr>
        <w:tc>
          <w:tcPr>
            <w:tcW w:type="dxa" w:w="1559"/>
          </w:tcPr>
          <w:p>
            <w:r>
              <w:rPr>
                <w:sz w:val="20"/>
              </w:rPr>
              <w:t>VIRAFERONPEG 120 µG</w:t>
            </w:r>
          </w:p>
        </w:tc>
        <w:tc>
          <w:tcPr>
            <w:tcW w:type="dxa" w:w="1559"/>
          </w:tcPr>
          <w:p>
            <w:r>
              <w:rPr>
                <w:sz w:val="20"/>
              </w:rPr>
              <w:t>SCHERING PLOUGH EUROPE</w:t>
            </w:r>
          </w:p>
        </w:tc>
        <w:tc>
          <w:tcPr>
            <w:tcW w:type="dxa" w:w="1559"/>
          </w:tcPr>
          <w:p>
            <w:r>
              <w:rPr>
                <w:sz w:val="20"/>
              </w:rPr>
              <w:t>Poudre et solvant pour solution injectable SC en stylo pré-rempli — 120 µg/stylo</w:t>
            </w:r>
          </w:p>
        </w:tc>
        <w:tc>
          <w:tcPr>
            <w:tcW w:type="dxa" w:w="1559"/>
          </w:tcPr>
          <w:p>
            <w:r>
              <w:rPr>
                <w:sz w:val="20"/>
              </w:rPr>
              <w:t>Boîte de 1 stylo pré-rempli de 0,5 mL (cartouche bi-compartimentée) + 1 aiguille + 2 tampons nettoyants</w:t>
            </w:r>
          </w:p>
        </w:tc>
        <w:tc>
          <w:tcPr>
            <w:tcW w:type="dxa" w:w="1559"/>
          </w:tcPr>
          <w:p>
            <w:r>
              <w:rPr>
                <w:sz w:val="20"/>
              </w:rPr>
              <w:t>Liste I</w:t>
            </w:r>
          </w:p>
        </w:tc>
        <w:tc>
          <w:tcPr>
            <w:tcW w:type="dxa" w:w="1559"/>
          </w:tcPr>
          <w:p>
            <w:r>
              <w:rPr>
                <w:sz w:val="20"/>
              </w:rPr>
              <w:t>**Retiré (R)**</w:t>
            </w:r>
          </w:p>
        </w:tc>
      </w:tr>
      <w:tr>
        <w:tc>
          <w:tcPr>
            <w:tcW w:type="dxa" w:w="1559"/>
          </w:tcPr>
          <w:p>
            <w:r>
              <w:rPr>
                <w:sz w:val="20"/>
              </w:rPr>
              <w:t>VIRAFERONPEG 150 µG</w:t>
            </w:r>
          </w:p>
        </w:tc>
        <w:tc>
          <w:tcPr>
            <w:tcW w:type="dxa" w:w="1559"/>
          </w:tcPr>
          <w:p>
            <w:r>
              <w:rPr>
                <w:sz w:val="20"/>
              </w:rPr>
              <w:t>SCHERING PLOUGH EUROPE</w:t>
            </w:r>
          </w:p>
        </w:tc>
        <w:tc>
          <w:tcPr>
            <w:tcW w:type="dxa" w:w="1559"/>
          </w:tcPr>
          <w:p>
            <w:r>
              <w:rPr>
                <w:sz w:val="20"/>
              </w:rPr>
              <w:t>Poudre et solvant pour solution injectable SC en stylo pré-rempli — 150 µg/stylo</w:t>
            </w:r>
          </w:p>
        </w:tc>
        <w:tc>
          <w:tcPr>
            <w:tcW w:type="dxa" w:w="1559"/>
          </w:tcPr>
          <w:p>
            <w:r>
              <w:rPr>
                <w:sz w:val="20"/>
              </w:rPr>
              <w:t>Boîte de 1 stylo pré-rempli de 0,5 mL (cartouche bi-compartimentée) + 1 aiguille + 2 tampons nettoyants</w:t>
            </w:r>
          </w:p>
        </w:tc>
        <w:tc>
          <w:tcPr>
            <w:tcW w:type="dxa" w:w="1559"/>
          </w:tcPr>
          <w:p>
            <w:r>
              <w:rPr>
                <w:sz w:val="20"/>
              </w:rPr>
              <w:t>Liste I</w:t>
            </w:r>
          </w:p>
        </w:tc>
        <w:tc>
          <w:tcPr>
            <w:tcW w:type="dxa" w:w="1559"/>
          </w:tcPr>
          <w:p>
            <w:r>
              <w:rPr>
                <w:sz w:val="20"/>
              </w:rPr>
              <w:t>**Retiré (R)**</w:t>
            </w:r>
          </w:p>
        </w:tc>
      </w:tr>
    </w:tbl>
    <w:p/>
    <w:p>
      <w:r/>
      <w:r>
        <w:rPr>
          <w:b/>
        </w:rPr>
        <w:t>Note critique d'approvisionnement</w:t>
      </w:r>
      <w:r>
        <w:t xml:space="preserve"> : À la date de la nomenclature algérienne Avril 2026, </w:t>
      </w:r>
      <w:r>
        <w:rPr>
          <w:b/>
        </w:rPr>
        <w:t>aucune spécialité d'interféron alpha n'est disponible en statut ACTIF</w:t>
      </w:r>
      <w:r>
        <w:t xml:space="preserve"> — toutes les marques sont en statut NON_RENOUVELABLE (Heberon Alfa R Heber Biotec Cuba, IntronA Schering-Plough, Roferon-A Roche, Pegasys Roche) ou RETIRÉE (Lemeron Lemery, ViraferonPeg Schering-Plough). Cette situation est particulièrement préoccupante pour la prise en charge des indications où l'IFN-α reste irremplaçable : maladie de Vaquez du sujet jeune, thrombocythémie essentielle de la femme enceinte, mycosis fongoïde, hépatite chronique B (alternative à l'entecavir/tenofovir), hépatite chronique C (en cas d'échec ou de contre-indication aux AAD), LMC de la femme enceinte. Les autorités sanitaires algériennes et la Société Algérienne d'Hématologie (SAH) ont soumis plusieurs requêtes pour réinscription de Pegasys® (peg-IFN-α 2a, forme la plus pratique en termes d'observance hebdomadaire) sur la liste des médicaments à statut spécial. En attendant, l'approvisionnement se fait par importation directe nominative pour les patients nécessitant un traitement urgent.</w:t>
      </w:r>
    </w:p>
    <w:p>
      <w:r/>
      <w:r>
        <w:rPr>
          <w:b/>
        </w:rPr>
        <w:t>Sous-classe et Mécanisme d'action :</w:t>
      </w:r>
      <w:r/>
    </w:p>
    <w:p>
      <w:r>
        <w:t xml:space="preserve">L'interféron alpha-2a (IFN-α 2a, Roferon-A®) et l'interféron alpha-2b (IFN-α 2b, IntronA®, Heberon Alfa R®) sont produits par génie génétique dans </w:t>
      </w:r>
      <w:r>
        <w:rPr>
          <w:i/>
        </w:rPr>
        <w:t>Escherichia coli</w:t>
      </w:r>
      <w:r>
        <w:t xml:space="preserve"> à partir du gène </w:t>
      </w:r>
      <w:r>
        <w:rPr>
          <w:i/>
        </w:rPr>
        <w:t>IFNA2</w:t>
      </w:r>
      <w:r>
        <w:t xml:space="preserve"> humain cloné en 1980 par Charles Weissmann (Université de Zurich). L'IFN-α 2a (165 acides aminés, 19,2 kDa, pI 5,9 — Roferon-A®, Roche) diffère de l'IFN-α 2b (165 acides aminés, 19,3 kDa, pI 5,9 — IntronA®, Schering-Plough) par une seule substitution (lysine en position 23 au lieu de l'arginine) — sans différence clinique pertinente d'efficacité ou de tolérance. Leur structure tertiaire comprend 5 hélices α reliées par des boucles, formant un repliement caractéristique de la famille des cytokines de type « 4-helix bundle ». L'IFN-α se lie au récepteur de surface IFNAR1 (interféron alpha/beta receptor 1, chrom. 21q22.11) et IFNAR2 (chrom. 21q22.11), exprimés sur la plupart des cellules nucléées.</w:t>
      </w:r>
    </w:p>
    <w:p>
      <w:r>
        <w:t>La cascade de signalisation JAK-STAT :</w:t>
      </w:r>
    </w:p>
    <w:p>
      <w:pPr>
        <w:pStyle w:val="ListBullet"/>
      </w:pPr>
      <w:r>
        <w:t xml:space="preserve">(1) </w:t>
      </w:r>
      <w:r>
        <w:rPr>
          <w:b/>
        </w:rPr>
        <w:t>Liaison IFN-α → IFNAR1/IFNAR2</w:t>
      </w:r>
      <w:r>
        <w:t xml:space="preserve"> — induit leur rapprochement et la transphosphorylation des kinases JAK1 (associée à IFNAR2) et TYK2 (associée à IFNAR1).</w:t>
      </w:r>
    </w:p>
    <w:p>
      <w:pPr>
        <w:pStyle w:val="ListBullet"/>
      </w:pPr>
      <w:r>
        <w:t xml:space="preserve">(2) </w:t>
      </w:r>
      <w:r>
        <w:rPr>
          <w:b/>
        </w:rPr>
        <w:t>Phosphorylation des récepteurs</w:t>
      </w:r>
      <w:r>
        <w:t xml:space="preserve"> sur des résidus tyrosine intracellulaires — crée des sites de fixation pour les STAT.</w:t>
      </w:r>
    </w:p>
    <w:p>
      <w:pPr>
        <w:pStyle w:val="ListBullet"/>
      </w:pPr>
      <w:r>
        <w:t xml:space="preserve">(3) </w:t>
      </w:r>
      <w:r>
        <w:rPr>
          <w:b/>
        </w:rPr>
        <w:t>Recrutement et phosphorylation de STAT1 et STAT2</w:t>
      </w:r>
      <w:r>
        <w:t xml:space="preserve"> (sur Tyr 701 pour STAT1, Tyr 690 pour STAT2) par JAK1 et TYK2.</w:t>
      </w:r>
    </w:p>
    <w:p>
      <w:pPr>
        <w:pStyle w:val="ListBullet"/>
      </w:pPr>
      <w:r>
        <w:t xml:space="preserve">(4) </w:t>
      </w:r>
      <w:r>
        <w:rPr>
          <w:b/>
        </w:rPr>
        <w:t>Hétérodimérisation STAT1-STAT2</w:t>
      </w:r>
      <w:r>
        <w:t xml:space="preserve"> par leurs domaines SH2 phospho-tyrosine.</w:t>
      </w:r>
    </w:p>
    <w:p>
      <w:pPr>
        <w:pStyle w:val="ListBullet"/>
      </w:pPr>
      <w:r>
        <w:t xml:space="preserve">(5) </w:t>
      </w:r>
      <w:r>
        <w:rPr>
          <w:b/>
        </w:rPr>
        <w:t>Combinaison avec IRF9</w:t>
      </w:r>
      <w:r>
        <w:t xml:space="preserve"> (Interferon Regulatory Factor 9) → formation du complexe </w:t>
      </w:r>
      <w:r>
        <w:rPr>
          <w:b/>
        </w:rPr>
        <w:t>ISGF3</w:t>
      </w:r>
      <w:r>
        <w:t xml:space="preserve"> (Interferon-Stimulated Gene Factor 3).</w:t>
      </w:r>
    </w:p>
    <w:p>
      <w:pPr>
        <w:pStyle w:val="ListBullet"/>
      </w:pPr>
      <w:r>
        <w:t xml:space="preserve">(6) </w:t>
      </w:r>
      <w:r>
        <w:rPr>
          <w:b/>
        </w:rPr>
        <w:t>Translocation nucléaire d'ISGF3</w:t>
      </w:r>
      <w:r>
        <w:t xml:space="preserve"> et fixation sur les séquences ISRE (Interferon-Stimulated Response Elements — motif AGTTTCNNTTTCNNTTTCC) présentes dans les promoteurs de plus de 300 gènes cibles — les « interferon-stimulated genes » (ISGs).</w:t>
      </w:r>
    </w:p>
    <w:p>
      <w:pPr>
        <w:pStyle w:val="ListBullet"/>
      </w:pPr>
      <w:r>
        <w:t xml:space="preserve">(7) </w:t>
      </w:r>
      <w:r>
        <w:rPr>
          <w:b/>
        </w:rPr>
        <w:t>Transcription des ISGs</w:t>
      </w:r>
      <w:r>
        <w:t xml:space="preserve"> et traduction des protéines effectrices (antivirales, anti-prolifératives, pro-apoptotiques, immunomodulatrices).</w:t>
      </w:r>
    </w:p>
    <w:p>
      <w:r>
        <w:t>Voies accessoires de signalisation activées par l'IFN-α :</w:t>
      </w:r>
    </w:p>
    <w:p>
      <w:pPr>
        <w:pStyle w:val="ListBullet"/>
      </w:pPr>
      <w:r/>
      <w:r>
        <w:rPr>
          <w:b/>
        </w:rPr>
        <w:t>STAT3</w:t>
      </w:r>
      <w:r>
        <w:t xml:space="preserve"> (homodimère) — transcription de gènes anti-apoptotiques (Bcl-xL, survivine) — rôle ambigu, plutôt pro-tumoral.</w:t>
      </w:r>
    </w:p>
    <w:p>
      <w:pPr>
        <w:pStyle w:val="ListBullet"/>
      </w:pPr>
      <w:r/>
      <w:r>
        <w:rPr>
          <w:b/>
        </w:rPr>
        <w:t>STAT4</w:t>
      </w:r>
      <w:r>
        <w:t xml:space="preserve"> — activation des cellules NK et production d'IFN-γ.</w:t>
      </w:r>
    </w:p>
    <w:p>
      <w:pPr>
        <w:pStyle w:val="ListBullet"/>
      </w:pPr>
      <w:r/>
      <w:r>
        <w:rPr>
          <w:b/>
        </w:rPr>
        <w:t>STAT5</w:t>
      </w:r>
      <w:r>
        <w:t xml:space="preserve"> (rare) — effets hématopoïétiques.</w:t>
      </w:r>
    </w:p>
    <w:p>
      <w:pPr>
        <w:pStyle w:val="ListBullet"/>
      </w:pPr>
      <w:r/>
      <w:r>
        <w:rPr>
          <w:b/>
        </w:rPr>
        <w:t>PI3K-AKT-mTOR</w:t>
      </w:r>
      <w:r>
        <w:t xml:space="preserve"> — survie cellulaire, prolifération.</w:t>
      </w:r>
    </w:p>
    <w:p>
      <w:pPr>
        <w:pStyle w:val="ListBullet"/>
      </w:pPr>
      <w:r/>
      <w:r>
        <w:rPr>
          <w:b/>
        </w:rPr>
        <w:t>MAPK-ERK1/2</w:t>
      </w:r>
      <w:r>
        <w:t xml:space="preserve"> — prolifération, différenciation.</w:t>
      </w:r>
    </w:p>
    <w:p>
      <w:pPr>
        <w:pStyle w:val="ListBullet"/>
      </w:pPr>
      <w:r/>
      <w:r>
        <w:rPr>
          <w:b/>
        </w:rPr>
        <w:t>IRF1, IRF7</w:t>
      </w:r>
      <w:r>
        <w:t xml:space="preserve"> — facteurs de transcription antiviraux.</w:t>
      </w:r>
    </w:p>
    <w:p>
      <w:r>
        <w:t>Les principaux ISGs et leurs effets biologiques :</w:t>
      </w:r>
    </w:p>
    <w:p>
      <w:pPr>
        <w:pStyle w:val="ListBullet"/>
      </w:pPr>
      <w:r/>
      <w:r>
        <w:rPr>
          <w:b/>
        </w:rPr>
        <w:t>2′-5′-Oligoadénylate synthase (OAS1, OAS2, OAS3)</w:t>
      </w:r>
      <w:r>
        <w:t xml:space="preserve"> — synthétise des oligomères 2′-5′-oligoadénylate qui activent la RNase L — dégrade l'ARN viral (et cellulaire — effet anti-prolifératif).</w:t>
      </w:r>
    </w:p>
    <w:p>
      <w:pPr>
        <w:pStyle w:val="ListBullet"/>
      </w:pPr>
      <w:r/>
      <w:r>
        <w:rPr>
          <w:b/>
        </w:rPr>
        <w:t>PKR (Protein Kinase R, EI2AK2)</w:t>
      </w:r>
      <w:r>
        <w:t xml:space="preserve"> — phosphoryle et inactive le facteur d'initiation de la traduction eIF2α → blocage de la traduction des protéines virales et cellulaires.</w:t>
      </w:r>
    </w:p>
    <w:p>
      <w:pPr>
        <w:pStyle w:val="ListBullet"/>
      </w:pPr>
      <w:r/>
      <w:r>
        <w:rPr>
          <w:b/>
        </w:rPr>
        <w:t>MxA (Myxovirus resistance 1)</w:t>
      </w:r>
      <w:r>
        <w:t xml:space="preserve"> — protéine à activité antivirale contre les virus à ARN (influenza, VHC, VHB) — inhibe la réplication virale en séquestrant les complexes ribonucléoprotéiques viraux.</w:t>
      </w:r>
    </w:p>
    <w:p>
      <w:pPr>
        <w:pStyle w:val="ListBullet"/>
      </w:pPr>
      <w:r/>
      <w:r>
        <w:rPr>
          <w:b/>
        </w:rPr>
        <w:t>MxB</w:t>
      </w:r>
      <w:r>
        <w:t xml:space="preserve"> — activité antivirale contre le VIH (inhibition de l'import nucléaire du complexe pré-intégration).</w:t>
      </w:r>
    </w:p>
    <w:p>
      <w:pPr>
        <w:pStyle w:val="ListBullet"/>
      </w:pPr>
      <w:r/>
      <w:r>
        <w:rPr>
          <w:b/>
        </w:rPr>
        <w:t>ISG15</w:t>
      </w:r>
      <w:r>
        <w:t xml:space="preserve"> — ubiquitine-like qui conjugue plus de 200 protéines cellulaires (ISGylation) — module la réponse immune et la réplication virale.</w:t>
      </w:r>
    </w:p>
    <w:p>
      <w:pPr>
        <w:pStyle w:val="ListBullet"/>
      </w:pPr>
      <w:r/>
      <w:r>
        <w:rPr>
          <w:b/>
        </w:rPr>
        <w:t>CXCL10 (IP-10), CXCL11 (I-TAC)</w:t>
      </w:r>
      <w:r>
        <w:t xml:space="preserve"> — chimokines attractives pour les lymphocytes T CD8+ cytotoxiques exprimant CXCR3.</w:t>
      </w:r>
    </w:p>
    <w:p>
      <w:pPr>
        <w:pStyle w:val="ListBullet"/>
      </w:pPr>
      <w:r/>
      <w:r>
        <w:rPr>
          <w:b/>
        </w:rPr>
        <w:t>p21 (CDKN1A)</w:t>
      </w:r>
      <w:r>
        <w:t xml:space="preserve"> — inhibiteur de kinase dépendante des cyclines (CDK2, CDK4) — arrête le cycle cellulaire en G1.</w:t>
      </w:r>
    </w:p>
    <w:p>
      <w:pPr>
        <w:pStyle w:val="ListBullet"/>
      </w:pPr>
      <w:r/>
      <w:r>
        <w:rPr>
          <w:b/>
        </w:rPr>
        <w:t>TRAIL (TNF-related apoptosis-inducing ligand, TNFSF10)</w:t>
      </w:r>
      <w:r>
        <w:t xml:space="preserve"> — induit l'apoptose des cellules tumorales via les récepteurs de mort DR4 (TRAIL-R1, TNFRSF10A) et DR5 (TRAIL-R2, TNFRSF10B).</w:t>
      </w:r>
    </w:p>
    <w:p>
      <w:pPr>
        <w:pStyle w:val="ListBullet"/>
      </w:pPr>
      <w:r/>
      <w:r>
        <w:rPr>
          <w:b/>
        </w:rPr>
        <w:t>Fas (CD95, TNFRSF6)</w:t>
      </w:r>
      <w:r>
        <w:t xml:space="preserve"> — récepteur de mort, induction de l'apoptose via la voie extrinsèque (caspase 8).</w:t>
      </w:r>
    </w:p>
    <w:p>
      <w:pPr>
        <w:pStyle w:val="ListBullet"/>
      </w:pPr>
      <w:r/>
      <w:r>
        <w:rPr>
          <w:b/>
        </w:rPr>
        <w:t>MHC classe I (HLA-A, HLA-B, HLA-C, B2M)</w:t>
      </w:r>
      <w:r>
        <w:t xml:space="preserve"> — augmentation de l'expression à la surface des cellules tumorales, améliorant la reconnaissance par les lymphocytes T CD8+ cytotoxiques.</w:t>
      </w:r>
    </w:p>
    <w:p>
      <w:pPr>
        <w:pStyle w:val="ListBullet"/>
      </w:pPr>
      <w:r/>
      <w:r>
        <w:rPr>
          <w:b/>
        </w:rPr>
        <w:t>TAP1, TAP2 (Transporter associated with Antigen Processing)</w:t>
      </w:r>
      <w:r>
        <w:t xml:space="preserve"> — transporteurs du peptide antigénique dans le réticulum endoplasmique pour la présentation CMH I.</w:t>
      </w:r>
    </w:p>
    <w:p>
      <w:pPr>
        <w:pStyle w:val="ListBullet"/>
      </w:pPr>
      <w:r/>
      <w:r>
        <w:rPr>
          <w:b/>
        </w:rPr>
        <w:t>Proteasome subunits (LMP2, LMP7, MECL1)</w:t>
      </w:r>
      <w:r>
        <w:t xml:space="preserve"> — sous-unités immunoprotéasomiques générant les peptides pour la présentation CMH I.</w:t>
      </w:r>
    </w:p>
    <w:p>
      <w:r>
        <w:t>Les effets biologiques de l'IFN-α sont donc multiples :</w:t>
      </w:r>
    </w:p>
    <w:p>
      <w:pPr>
        <w:pStyle w:val="ListBullet"/>
      </w:pPr>
      <w:r/>
      <w:r>
        <w:rPr>
          <w:b/>
        </w:rPr>
        <w:t>Antiviral</w:t>
      </w:r>
      <w:r>
        <w:t xml:space="preserve"> : inhibition de la réplication virale par blocage de la traduction (PKR), dégradation de l'ARN viral (OAS-RNase L), action directe sur les particules virales (MxA, MxB).</w:t>
      </w:r>
    </w:p>
    <w:p>
      <w:pPr>
        <w:pStyle w:val="ListBullet"/>
      </w:pPr>
      <w:r/>
      <w:r>
        <w:rPr>
          <w:b/>
        </w:rPr>
        <w:t>Anti-prolifératif</w:t>
      </w:r>
      <w:r>
        <w:t xml:space="preserve"> : arrêt G1 par p21, inhibition de c-Myc, inhibition de la traduction par PKR, inhibition de la ribonucléotide réductase.</w:t>
      </w:r>
    </w:p>
    <w:p>
      <w:pPr>
        <w:pStyle w:val="ListBullet"/>
      </w:pPr>
      <w:r/>
      <w:r>
        <w:rPr>
          <w:b/>
        </w:rPr>
        <w:t>Pro-apoptotique</w:t>
      </w:r>
      <w:r>
        <w:t xml:space="preserve"> : TRAIL, Fas, voie mitochondriale (Bax, Bcl-2 downregulation), activation des caspases 3, 8, 9.</w:t>
      </w:r>
    </w:p>
    <w:p>
      <w:pPr>
        <w:pStyle w:val="ListBullet"/>
      </w:pPr>
      <w:r/>
      <w:r>
        <w:rPr>
          <w:b/>
        </w:rPr>
        <w:t>Immunomodulateur</w:t>
      </w:r>
      <w:r>
        <w:t xml:space="preserve"> : augmentation de la présentation antigénique CMH I, activation des cellules NK (production IFN-γ), activation des lymphocytes T CD8+ cytotoxiques, modulation de la balance Th1/Th2 (favorise Th1).</w:t>
      </w:r>
    </w:p>
    <w:p>
      <w:r>
        <w:t xml:space="preserve">Les </w:t>
      </w:r>
      <w:r>
        <w:rPr>
          <w:b/>
        </w:rPr>
        <w:t>formes pégylées</w:t>
      </w:r>
      <w:r>
        <w:t xml:space="preserve"> (peg-IFN-α 2a = Pegasys®, Roche ; peg-IFN-α 2b = ViraferonPeg®, Schering-Plough) sont obtenues par couplage covalent de l'IFN-α natif à une molécule de polyéthylène glycol (PEG) :</w:t>
      </w:r>
    </w:p>
    <w:p>
      <w:pPr>
        <w:pStyle w:val="ListBullet"/>
      </w:pPr>
      <w:r/>
      <w:r>
        <w:rPr>
          <w:b/>
        </w:rPr>
        <w:t>peg-IFN-α 2a (Pegasys®)</w:t>
      </w:r>
      <w:r>
        <w:t xml:space="preserve"> : PEG bifonctionnel linéaire de 40 kDa couplé à Lys-31 de l'IFN-α 2a. Volume de distribution réduit (8-12 L), clairance réduite 100×, demi-vie prolongée 60-80 h, exposition AUC augmentée 7×. Injection hebdomadaire 180 µg SC. Immunogénicité réduite (5-10 % d'anticorps anti-PEG vs 20-30 % d'anticorps anti-IFN-α natif).</w:t>
      </w:r>
    </w:p>
    <w:p>
      <w:pPr>
        <w:pStyle w:val="ListBullet"/>
      </w:pPr>
      <w:r/>
      <w:r>
        <w:rPr>
          <w:b/>
        </w:rPr>
        <w:t>peg-IFN-α 2b (ViraferonPeg®)</w:t>
      </w:r>
      <w:r>
        <w:t xml:space="preserve"> : PEG monométhoxy de 12 kDa couplé à His-34 de l'IFN-α 2b. Volume de distribution plus important (20-30 L), clairance moins réduite, demi-vie 40-50 h. Injection hebdomadaire 1,5 µg/kg SC (dose pondérée).</w:t>
      </w:r>
    </w:p>
    <w:p>
      <w:r/>
      <w:r>
        <w:rPr>
          <w:b/>
        </w:rPr>
        <w:t>Profil Pharmacologique et Indications :</w:t>
      </w:r>
      <w:r/>
    </w:p>
    <w:p>
      <w:r>
        <w:t>Indications principales (AMM — RCP) :</w:t>
      </w:r>
    </w:p>
    <w:p>
      <w:pPr>
        <w:pStyle w:val="ListBullet"/>
      </w:pPr>
      <w:r/>
      <w:r>
        <w:rPr>
          <w:b/>
        </w:rPr>
        <w:t>Hairy cell leukemia (leucémie à tricholeucocytes, LHI)</w:t>
      </w:r>
      <w:r>
        <w:t xml:space="preserve"> — IFN-α 2a 3 MU/m² × 3/sem SC × 12-18 mois, en 2e/3e ligne en cas de résistance/intolérance à la cladribine ou pentostatine. Réponses objectives 70-80 % (RC 8 %, RP 60-70 %). Réponses durables (médiane 24-36 mois après arrêt).</w:t>
      </w:r>
    </w:p>
    <w:p>
      <w:pPr>
        <w:pStyle w:val="ListBullet"/>
      </w:pPr>
      <w:r/>
      <w:r>
        <w:rPr>
          <w:b/>
        </w:rPr>
        <w:t>Lymphome cutané T épidermotrope (mycosis fongoïde, syndrome de Sézary)</w:t>
      </w:r>
      <w:r>
        <w:t xml:space="preserve"> — IFN-α 3-9 MU × 3/sem SC, en association avec la PUVA-thérapie, le bexarotène ou la doxorubicine liposomale. Réponses 50-70 % (RC 15-25 %, RP 30-50 %). Maintien jusqu'à progression ou toxicité.</w:t>
      </w:r>
    </w:p>
    <w:p>
      <w:pPr>
        <w:pStyle w:val="ListBullet"/>
      </w:pPr>
      <w:r/>
      <w:r>
        <w:rPr>
          <w:b/>
        </w:rPr>
        <w:t>Maladie de Vaquez (polyglobulie primitive, PV)</w:t>
      </w:r>
      <w:r>
        <w:t xml:space="preserve"> — peg-IFN-α 2a 45-90 µg/sem SC, en 1re intention chez le sujet jeune (&lt; 60 ans) en raison de son action sur le clone JAK2V617F (réduction de l'allèle mutant). Réponses hématologiques 70-80 %, réponses moléculaires 40-50 % (essai PROUD-PV, Kiladjian JJ, *Lancet Haematol* 2018). Supériorité sur l'hydroxyurée chez les sujets jeunes.</w:t>
      </w:r>
    </w:p>
    <w:p>
      <w:pPr>
        <w:pStyle w:val="ListBullet"/>
      </w:pPr>
      <w:r/>
      <w:r>
        <w:rPr>
          <w:b/>
        </w:rPr>
        <w:t>Thrombocythémie essentielle (TE)</w:t>
      </w:r>
      <w:r>
        <w:t xml:space="preserve"> — peg-IFN-α 2a 90 µg/sem SC, en 1re intention chez le sujet jeune et chez la femme enceinte (alternative à l'hydroxyurée tératogène). Réponses 70-80 % (essai PT-1, Harrison CN, *Blood* 2005).</w:t>
      </w:r>
    </w:p>
    <w:p>
      <w:pPr>
        <w:pStyle w:val="ListBullet"/>
      </w:pPr>
      <w:r/>
      <w:r>
        <w:rPr>
          <w:b/>
        </w:rPr>
        <w:t>LMC en phase chronique</w:t>
      </w:r>
      <w:r>
        <w:t xml:space="preserve"> — IFN-α 5 MU/m² × 5/sem SC, indication historique (essai Hehlmann 1994), supplantée par l'imatinib depuis 2001. Conservation d'une indication chez la femme enceinte (alternative à l'imatinib tératogène) — Kinzig-Schippers M, *Nat Clin Pract Oncol* 2008.</w:t>
      </w:r>
    </w:p>
    <w:p>
      <w:pPr>
        <w:pStyle w:val="ListBullet"/>
      </w:pPr>
      <w:r/>
      <w:r>
        <w:rPr>
          <w:b/>
        </w:rPr>
        <w:t>Carcinome rénal métastatique</w:t>
      </w:r>
      <w:r>
        <w:t xml:space="preserve"> — indication historique (essai Motzer 2002), supplantée par les ITK anti-angiogéniques (sunitinib, pazopanib, axitinib) et les inhibiteurs de checkpoint (nivolumab, nivolumab-ipilimumab).</w:t>
      </w:r>
    </w:p>
    <w:p>
      <w:pPr>
        <w:pStyle w:val="ListBullet"/>
      </w:pPr>
      <w:r/>
      <w:r>
        <w:rPr>
          <w:b/>
        </w:rPr>
        <w:t>Mélanome métastatique</w:t>
      </w:r>
      <w:r>
        <w:t xml:space="preserve"> — indication historique (essai ECOG 1684 — adjuvant, *J Clin Oncol* 1996), supplantée par les anti-CTLA-4 (ipilimumab), anti-PD-1 (nivolumab, pembrolizumab), et les thérapies ciblées BRAF/MEK.</w:t>
      </w:r>
    </w:p>
    <w:p>
      <w:pPr>
        <w:pStyle w:val="ListBullet"/>
      </w:pPr>
      <w:r/>
      <w:r>
        <w:rPr>
          <w:b/>
        </w:rPr>
        <w:t>Sarcome de Kaposi lié au VIH</w:t>
      </w:r>
      <w:r>
        <w:t xml:space="preserve"> — indication historique (essai Krown 1983), supplantée par les antirétroviraux HAART et les liposomes doxorubicine.</w:t>
      </w:r>
    </w:p>
    <w:p>
      <w:pPr>
        <w:pStyle w:val="ListBullet"/>
      </w:pPr>
      <w:r/>
      <w:r>
        <w:rPr>
          <w:b/>
        </w:rPr>
        <w:t>Hépatite chronique B (VHB)</w:t>
      </w:r>
      <w:r>
        <w:t xml:space="preserve"> — peg-IFN-α 2a 180 µg/sem × 48 semaines, alternative au traitement oral antiviral (entecavir, ténofovir) chez les patients HBeAg positif jeunes avec élévation ALAT et faible charge virale. Réponse soutenue 30-35 % (séroconversion HBeAg, diminution ADN-VHB &lt; 2 000 UI/mL, normalisation ALAT).</w:t>
      </w:r>
    </w:p>
    <w:p>
      <w:pPr>
        <w:pStyle w:val="ListBullet"/>
      </w:pPr>
      <w:r/>
      <w:r>
        <w:rPr>
          <w:b/>
        </w:rPr>
        <w:t>Hépatite chronique C (VHC)</w:t>
      </w:r>
      <w:r>
        <w:t xml:space="preserve"> — peg-IFN-α 2a ou 2b en association avec la ribavirine × 24-48 semaines — supplantée depuis 2014-2018 par les antiviraux à action directe (AAD — sofosbuvir, ledipasvir, daclatasvir, velpatasvir, glecaprevir/pibrentasvir) qui guérissent le VHC en 8-12 semaines avec tolérance excellente.</w:t>
      </w:r>
    </w:p>
    <w:p>
      <w:pPr>
        <w:pStyle w:val="ListBullet"/>
      </w:pPr>
      <w:r/>
      <w:r>
        <w:rPr>
          <w:b/>
        </w:rPr>
        <w:t>Condylomes génitaux réfractaires</w:t>
      </w:r>
      <w:r>
        <w:t xml:space="preserve"> (papillomavirus humain HPV 6, 11) — IFN-α 1 MU/gel × 3/jour local × 8 semaines — alternative à l'imiquimod.</w:t>
      </w:r>
    </w:p>
    <w:p>
      <w:r>
        <w:t>Contre-indications :</w:t>
      </w:r>
    </w:p>
    <w:p>
      <w:pPr>
        <w:pStyle w:val="ListBullet"/>
      </w:pPr>
      <w:r/>
      <w:r>
        <w:rPr>
          <w:b/>
        </w:rPr>
        <w:t>Hypersensibilité à l'IFN-α ou aux protéines d'E. coli</w:t>
      </w:r>
      <w:r>
        <w:t xml:space="preserve"> résiduelles.</w:t>
      </w:r>
    </w:p>
    <w:p>
      <w:pPr>
        <w:pStyle w:val="ListBullet"/>
      </w:pPr>
      <w:r/>
      <w:r>
        <w:rPr>
          <w:b/>
        </w:rPr>
        <w:t>Antécédent psychiatrique sévère</w:t>
      </w:r>
      <w:r>
        <w:t xml:space="preserve"> — dépression majeure, trouble bipolaire, antécédent de tentative de suicide — contre-indication relative absolue si non contrôlé.</w:t>
      </w:r>
    </w:p>
    <w:p>
      <w:pPr>
        <w:pStyle w:val="ListBullet"/>
      </w:pPr>
      <w:r/>
      <w:r>
        <w:rPr>
          <w:b/>
        </w:rPr>
        <w:t>Hépatite auto-immune</w:t>
      </w:r>
      <w:r>
        <w:t xml:space="preserve"> — contre-indication absolue (aggravation).</w:t>
      </w:r>
    </w:p>
    <w:p>
      <w:pPr>
        <w:pStyle w:val="ListBullet"/>
      </w:pPr>
      <w:r/>
      <w:r>
        <w:rPr>
          <w:b/>
        </w:rPr>
        <w:t>Cirrhose décompensée</w:t>
      </w:r>
      <w:r>
        <w:t xml:space="preserve"> (Child-Pugh B ou C) — contre-indication absolue (risque de décompensation et d'infection bactérienne).</w:t>
      </w:r>
    </w:p>
    <w:p>
      <w:pPr>
        <w:pStyle w:val="ListBullet"/>
      </w:pPr>
      <w:r/>
      <w:r>
        <w:rPr>
          <w:b/>
        </w:rPr>
        <w:t>Maladie auto-immune non contrôlée</w:t>
      </w:r>
      <w:r>
        <w:t xml:space="preserve"> (lupus érythémateux systémique, polyarthrite rhumatoïde active, maladie de Crohn active, sclérose en plaques) — contre-indication relative (aggravation possible).</w:t>
      </w:r>
    </w:p>
    <w:p>
      <w:pPr>
        <w:pStyle w:val="ListBullet"/>
      </w:pPr>
      <w:r/>
      <w:r>
        <w:rPr>
          <w:b/>
        </w:rPr>
        <w:t>Transplantation d'organe</w:t>
      </w:r>
      <w:r>
        <w:t xml:space="preserve"> sous immunosuppresseurs — contre-indication (risque de rejet).</w:t>
      </w:r>
    </w:p>
    <w:p>
      <w:pPr>
        <w:pStyle w:val="ListBullet"/>
      </w:pPr>
      <w:r/>
      <w:r>
        <w:rPr>
          <w:b/>
        </w:rPr>
        <w:t>Insuffisance hépatique sévère</w:t>
      </w:r>
      <w:r>
        <w:t xml:space="preserve"> (bilirubine &gt; 2,5× LSN, TP &lt; 60 %) — CI relative.</w:t>
      </w:r>
    </w:p>
    <w:p>
      <w:pPr>
        <w:pStyle w:val="ListBullet"/>
      </w:pPr>
      <w:r/>
      <w:r>
        <w:rPr>
          <w:b/>
        </w:rPr>
        <w:t>Insuffisance rénale sévère</w:t>
      </w:r>
      <w:r>
        <w:t xml:space="preserve"> (DFG &lt; 30 mL/min pour les formes non pégylées — adaptation nécessaire pour peg-IFN-α 2a : 135 µg/sem si DFG &lt; 30 mL/min).</w:t>
      </w:r>
    </w:p>
    <w:p>
      <w:pPr>
        <w:pStyle w:val="ListBullet"/>
      </w:pPr>
      <w:r/>
      <w:r>
        <w:rPr>
          <w:b/>
        </w:rPr>
        <w:t>Grossesse</w:t>
      </w:r>
      <w:r>
        <w:t xml:space="preserve"> — à éviter (CRAT catégorie C — données limitées humaines, tératogène chez l'animal à haute dose). Peg-IFN-α 2a utilisé en pratique chez la femme enceinte atteinte de TE (alternative à l'hydroxyurée tératogène).</w:t>
      </w:r>
    </w:p>
    <w:p>
      <w:pPr>
        <w:pStyle w:val="ListBullet"/>
      </w:pPr>
      <w:r/>
      <w:r>
        <w:rPr>
          <w:b/>
        </w:rPr>
        <w:t>Allaitement</w:t>
      </w:r>
      <w:r>
        <w:t xml:space="preserve"> — contre-indication absolue (passage dans le lait maternel démontré chez l'animal).</w:t>
      </w:r>
    </w:p>
    <w:p>
      <w:pPr>
        <w:pStyle w:val="ListBullet"/>
      </w:pPr>
      <w:r/>
      <w:r>
        <w:rPr>
          <w:b/>
        </w:rPr>
        <w:t>Vaccins vivants atténués</w:t>
      </w:r>
      <w:r>
        <w:t xml:space="preserve"> — contre-indiqués pendant et jusqu'à 1 mois après la fin du traitement.</w:t>
      </w:r>
    </w:p>
    <w:p>
      <w:pPr>
        <w:pStyle w:val="ListBullet"/>
      </w:pPr>
      <w:r/>
      <w:r>
        <w:rPr>
          <w:b/>
        </w:rPr>
        <w:t>Troubles thyroïdiens non contrôlés</w:t>
      </w:r>
      <w:r>
        <w:t xml:space="preserve"> — contre-indication relative.</w:t>
      </w:r>
    </w:p>
    <w:p>
      <w:r/>
      <w:r>
        <w:rPr>
          <w:b/>
        </w:rPr>
        <w:t>Contre-indications et Précautions d'Emploi (suite) :</w:t>
      </w:r>
      <w:r/>
    </w:p>
    <w:p>
      <w:r>
        <w:t xml:space="preserve">La </w:t>
      </w:r>
      <w:r>
        <w:rPr>
          <w:b/>
        </w:rPr>
        <w:t>surveillance neuropsychiatrique</w:t>
      </w:r>
      <w:r>
        <w:t xml:space="preserve"> est l'enjeu central de la prescription d'IFN-α. La </w:t>
      </w:r>
      <w:r>
        <w:rPr>
          <w:b/>
        </w:rPr>
        <w:t>dépression</w:t>
      </w:r>
      <w:r>
        <w:t xml:space="preserve"> survient dans 20-40 % des cas sous IFN-α (dose-dépendante — plus fréquente à haute dose comme 9-10 MU × 3/sem qu'à dose modérée peg-IFN 90 µg/sem), avec un risque d'idées suicidaires dans 5-10 % des cas (Raison CL, </w:t>
      </w:r>
      <w:r>
        <w:rPr>
          <w:i/>
        </w:rPr>
        <w:t>Mol Psychiatry</w:t>
      </w:r>
      <w:r>
        <w:t xml:space="preserve"> 2008). Le mécanisme est multifactoriel : (i) activation de la voie indoléamine 2,3-dioxygénase (IDO) — dégradation du tryptophane en kynurénine — diminution de la synthèse de sérotonine centrale ; (ii) activation de l'axe corticotrope (CRH-ACTH-cortisol) ; (iii) induction de cytokines pro-inflammatoires (IL-6, TNF-α) qui activent l'inflammation neurovégétative. La prévention repose sur : (a) dépistage systématique des antécédents psychiatriques avant instauration (échelle HAD, PHQ-9 — contre-indication si dépression non contrôlée ou antécédent de tentative de suicide) ; (b) information patient et famille sur les signes d'alerte (tristesse, anhédonie, anxiété, idées noires) ; (c) prescription prophylactique d'antidépresseurs (citalopram 20 mg/j — essai Raison CL, </w:t>
      </w:r>
      <w:r>
        <w:rPr>
          <w:i/>
        </w:rPr>
        <w:t>J Clin Oncol</w:t>
      </w:r>
      <w:r>
        <w:t xml:space="preserve"> 2014 — non systématique mais à discuter chez les patients à risque) ; (d) consultation psychiatrique systématique en cas d'idées suicidaires — arrêt immédiat de l'IFN-α.</w:t>
      </w:r>
    </w:p>
    <w:p>
      <w:r>
        <w:t xml:space="preserve">La </w:t>
      </w:r>
      <w:r>
        <w:rPr>
          <w:b/>
        </w:rPr>
        <w:t>surveillance thyroïdienne</w:t>
      </w:r>
      <w:r>
        <w:t xml:space="preserve"> est essentielle. L'IFN-α induit une </w:t>
      </w:r>
      <w:r>
        <w:rPr>
          <w:b/>
        </w:rPr>
        <w:t>dysthyroïdie auto-immune</w:t>
      </w:r>
      <w:r>
        <w:t xml:space="preserve"> dans 5-15 % des cas (hypothyroïdie dans 10-12 %, hyperthyroïdie dans 2-3 % — sometimes biphasic). Le mécanisme est une activation de l'immunité humorale anti-thyroïdienne (anticorps anti-TPO, anti-thyroglobuline) chez les patients prédisposés (notamment femmes, HLA-DR3/DR5). La surveillance repose sur : dosage TSH et T4 libre à l'instauration, à M1, M3 puis tous les 3 mois pendant le traitement et 6 mois après l'arrêt. En cas d'hypothyroïdie confirmée (TSH &gt; 10 mUI/L, T4 libre abaissée) — substitution par lévothyroxine (25-100 µg/j), sans nécessité d'arrêt de l'IFN-α. En cas d'hyperthyroïdie (maladie de Basedow induite) — antithyroïdiens de synthèse (carbimazole, thiamazole), parfois arrêt transitoire de l'IFN-α.</w:t>
      </w:r>
    </w:p>
    <w:p>
      <w:r>
        <w:t xml:space="preserve">La </w:t>
      </w:r>
      <w:r>
        <w:rPr>
          <w:b/>
        </w:rPr>
        <w:t>surveillance hématologique</w:t>
      </w:r>
      <w:r>
        <w:t xml:space="preserve"> : cytopénies (leucopénie 20-30 %, neutropénie G3-G4 5-10 %, thrombopénie 10-15 %, anémie 5-10 %) — par inhibition de la prolifération des progéniteurs médullaires et activation de l'apoptose. Surveillance NFS-plaquettes à J1, M1 puis tous les 3 mois. Adaptation posologique si PNN &lt; 0,75 G/L ou plaquettes &lt; 50 G/L (réduction 50 %), arrêt si PNN &lt; 0,5 G/L ou plaquettes &lt; 25 G/L.</w:t>
      </w:r>
    </w:p>
    <w:p>
      <w:r>
        <w:t xml:space="preserve">La </w:t>
      </w:r>
      <w:r>
        <w:rPr>
          <w:b/>
        </w:rPr>
        <w:t>surveillance hépatique</w:t>
      </w:r>
      <w:r>
        <w:t xml:space="preserve"> : cytolyse hépatique 15-30 % des cas (ASAT/ALAT &lt; 3× LSN le plus souvent), plus rarement hépatite cholestatique. Surveillance mensuelle. Adaptation si ASAT/ALAT &gt; 5× LSN.</w:t>
      </w:r>
    </w:p>
    <w:p>
      <w:r>
        <w:t xml:space="preserve">La </w:t>
      </w:r>
      <w:r>
        <w:rPr>
          <w:b/>
        </w:rPr>
        <w:t>surveillance cardiovasculaire</w:t>
      </w:r>
      <w:r>
        <w:t xml:space="preserve"> : ischémie myocardique (rare, &lt; 1 %), trouble du rythme (FA, extrasystoles), cardiomyopathie dilatée (rare). Surveillance ECG initial, mensuel si antécédent cardiovasculaire.</w:t>
      </w:r>
    </w:p>
    <w:p>
      <w:r>
        <w:t xml:space="preserve">La </w:t>
      </w:r>
      <w:r>
        <w:rPr>
          <w:b/>
        </w:rPr>
        <w:t>surveillance immunologique</w:t>
      </w:r>
      <w:r>
        <w:t xml:space="preserve"> : syndrome lupique démasqué (rare, 1-3 %), psoriasis démasqué ou aggravé (5-10 %), vitiligo (rare, &lt; 1 %), diabète type 1 (rare, &lt; 1 %), anémie hémolytique auto-immune, purpura thrombopénique idiopathique, polymyosite. Surveillance clinique et immunologique (anticorps anti-nucléaires initiaux et tous les 6 mois).</w:t>
      </w:r>
    </w:p>
    <w:p>
      <w:r/>
      <w:r>
        <w:rPr>
          <w:b/>
        </w:rPr>
        <w:t>Effets Indésirables :</w:t>
      </w:r>
      <w:r/>
    </w:p>
    <w:p>
      <w:pPr>
        <w:pStyle w:val="ListBullet"/>
      </w:pPr>
      <w:r/>
      <w:r>
        <w:rPr>
          <w:b/>
        </w:rPr>
        <w:t>Syndrome pseudo-grippal</w:t>
      </w:r>
      <w:r>
        <w:t xml:space="preserve"> (80-90 % des cas — quasiment constant à l'initiation) : fièvre (38-39 °C), frissons, myalgies, céphalées, asthénie, arthralgies. Survenant 4-8 h après l'injection, auto-résolutif en 12-24 h. S'atténue progressivement après 2-4 semaines de traitement. Prévention : paracétamol 1 g 30 min avant et 4 h après l'injection, injection le soir (sommeil couvre les symptômes).</w:t>
      </w:r>
    </w:p>
    <w:p>
      <w:pPr>
        <w:pStyle w:val="ListBullet"/>
      </w:pPr>
      <w:r/>
      <w:r>
        <w:rPr>
          <w:b/>
        </w:rPr>
        <w:t>Fatigue chronique</w:t>
      </w:r>
      <w:r>
        <w:t xml:space="preserve"> (30-50 %) — parfois sévère, pouvant persister plusieurs mois après l'arrêt. Mécanisme : modification de la neurotransmission centrale (tryptophane-kynurénine).</w:t>
      </w:r>
    </w:p>
    <w:p>
      <w:pPr>
        <w:pStyle w:val="ListBullet"/>
      </w:pPr>
      <w:r/>
      <w:r>
        <w:rPr>
          <w:b/>
        </w:rPr>
        <w:t>Dépression</w:t>
      </w:r>
      <w:r>
        <w:t xml:space="preserve"> (20-40 %) — à surveiller étroitement, risque d'idées suicidaires (5-10 %). Mécanisme multifactoriel (cf. supra). Surveillance psychiatrique systématique.</w:t>
      </w:r>
    </w:p>
    <w:p>
      <w:pPr>
        <w:pStyle w:val="ListBullet"/>
      </w:pPr>
      <w:r/>
      <w:r>
        <w:rPr>
          <w:b/>
        </w:rPr>
        <w:t>Anxiété, irritabilité, troubles du sommeil</w:t>
      </w:r>
      <w:r>
        <w:t xml:space="preserve"> (20-30 %).</w:t>
      </w:r>
    </w:p>
    <w:p>
      <w:pPr>
        <w:pStyle w:val="ListBullet"/>
      </w:pPr>
      <w:r/>
      <w:r>
        <w:rPr>
          <w:b/>
        </w:rPr>
        <w:t>Troubles cognitifs</w:t>
      </w:r>
      <w:r>
        <w:t xml:space="preserve"> (10-20 %) — difficultés de concentration, troubles mnésiques, ralentissement idéique.</w:t>
      </w:r>
    </w:p>
    <w:p>
      <w:pPr>
        <w:pStyle w:val="ListBullet"/>
      </w:pPr>
      <w:r/>
      <w:r>
        <w:rPr>
          <w:b/>
        </w:rPr>
        <w:t>Dysthyroïdie</w:t>
      </w:r>
      <w:r>
        <w:t xml:space="preserve"> (5-15 %) — hypothyroïdie 10-12 %, hyperthyroïdie 2-3 % (parfois biphasique).</w:t>
      </w:r>
    </w:p>
    <w:p>
      <w:pPr>
        <w:pStyle w:val="ListBullet"/>
      </w:pPr>
      <w:r/>
      <w:r>
        <w:rPr>
          <w:b/>
        </w:rPr>
        <w:t>Cytopénies</w:t>
      </w:r>
      <w:r>
        <w:t xml:space="preserve"> (20-30 %) — leucopénie 20-30 %, neutropénie G3-G4 5-10 %, thrombopénie 10-15 %, anémie 5-10 %.</w:t>
      </w:r>
    </w:p>
    <w:p>
      <w:pPr>
        <w:pStyle w:val="ListBullet"/>
      </w:pPr>
      <w:r/>
      <w:r>
        <w:rPr>
          <w:b/>
        </w:rPr>
        <w:t>Cytolyse hépatique</w:t>
      </w:r>
      <w:r>
        <w:t xml:space="preserve"> (15-30 %) — ASAT/ALAT &lt; 3× LSN le plus souvent, rarement &gt; 5× LSN.</w:t>
      </w:r>
    </w:p>
    <w:p>
      <w:pPr>
        <w:pStyle w:val="ListBullet"/>
      </w:pPr>
      <w:r/>
      <w:r>
        <w:rPr>
          <w:b/>
        </w:rPr>
        <w:t>Troubles digestifs</w:t>
      </w:r>
      <w:r>
        <w:t xml:space="preserve"> (15-25 %) — nausées, anorexie, diarrhée, douleurs abdominales, perte de poids (5-10 %).</w:t>
      </w:r>
    </w:p>
    <w:p>
      <w:pPr>
        <w:pStyle w:val="ListBullet"/>
      </w:pPr>
      <w:r/>
      <w:r>
        <w:rPr>
          <w:b/>
        </w:rPr>
        <w:t>Alopécie</w:t>
      </w:r>
      <w:r>
        <w:t xml:space="preserve"> (5-15 %) — modérée, réversible à l'arrêt.</w:t>
      </w:r>
    </w:p>
    <w:p>
      <w:pPr>
        <w:pStyle w:val="ListBullet"/>
      </w:pPr>
      <w:r/>
      <w:r>
        <w:rPr>
          <w:b/>
        </w:rPr>
        <w:t>Réactions cutanées au point d'injection</w:t>
      </w:r>
      <w:r>
        <w:t xml:space="preserve"> (10-20 %) — érythème, induration, nodule, parfois nécrose.</w:t>
      </w:r>
    </w:p>
    <w:p>
      <w:pPr>
        <w:pStyle w:val="ListBullet"/>
      </w:pPr>
      <w:r/>
      <w:r>
        <w:rPr>
          <w:b/>
        </w:rPr>
        <w:t>Sécheresse cutanéo-muqueuse</w:t>
      </w:r>
      <w:r>
        <w:t xml:space="preserve"> (10-20 %) — xérose, prurit.</w:t>
      </w:r>
    </w:p>
    <w:p>
      <w:pPr>
        <w:pStyle w:val="ListBullet"/>
      </w:pPr>
      <w:r/>
      <w:r>
        <w:rPr>
          <w:b/>
        </w:rPr>
        <w:t>Psoriasis démasqué ou aggravé</w:t>
      </w:r>
      <w:r>
        <w:t xml:space="preserve"> (5-10 %).</w:t>
      </w:r>
    </w:p>
    <w:p>
      <w:pPr>
        <w:pStyle w:val="ListBullet"/>
      </w:pPr>
      <w:r/>
      <w:r>
        <w:rPr>
          <w:b/>
        </w:rPr>
        <w:t>Vitiligo</w:t>
      </w:r>
      <w:r>
        <w:t xml:space="preserve"> (rare, &lt; 1 %).</w:t>
      </w:r>
    </w:p>
    <w:p>
      <w:pPr>
        <w:pStyle w:val="ListBullet"/>
      </w:pPr>
      <w:r/>
      <w:r>
        <w:rPr>
          <w:b/>
        </w:rPr>
        <w:t>Syndrome lupique démasqué</w:t>
      </w:r>
      <w:r>
        <w:t xml:space="preserve"> (rare, 1-3 %).</w:t>
      </w:r>
    </w:p>
    <w:p>
      <w:pPr>
        <w:pStyle w:val="ListBullet"/>
      </w:pPr>
      <w:r/>
      <w:r>
        <w:rPr>
          <w:b/>
        </w:rPr>
        <w:t>Troubles cardiovasculaires</w:t>
      </w:r>
      <w:r>
        <w:t xml:space="preserve"> (rare, &lt; 1 %) — ischémie myocardique, trouble du rythme (FA, extrasystoles), cardiomyopathie dilatée.</w:t>
      </w:r>
    </w:p>
    <w:p>
      <w:pPr>
        <w:pStyle w:val="ListBullet"/>
      </w:pPr>
      <w:r/>
      <w:r>
        <w:rPr>
          <w:b/>
        </w:rPr>
        <w:t>Troubles respiratoires</w:t>
      </w:r>
      <w:r>
        <w:t xml:space="preserve"> (rare, 1-3 %) — pneumopathie interstitielle, pneumopathie sarcoidosique, bronchospasme.</w:t>
      </w:r>
    </w:p>
    <w:p>
      <w:pPr>
        <w:pStyle w:val="ListBullet"/>
      </w:pPr>
      <w:r/>
      <w:r>
        <w:rPr>
          <w:b/>
        </w:rPr>
        <w:t>Néphrotoxicité</w:t>
      </w:r>
      <w:r>
        <w:t xml:space="preserve"> (rare, 1-2 %) — protéinurie, syndrome néphrotique, glomérulonéphrite extra-membraneuse.</w:t>
      </w:r>
    </w:p>
    <w:p>
      <w:pPr>
        <w:pStyle w:val="ListBullet"/>
      </w:pPr>
      <w:r/>
      <w:r>
        <w:rPr>
          <w:b/>
        </w:rPr>
        <w:t>Troubles ophtalmologiques</w:t>
      </w:r>
      <w:r>
        <w:t xml:space="preserve"> (rare, 1-3 %) — rétinopathie (cotton-wool spots, hémorragies rétiniennes), névrite optique, œdème maculaire. Surveillance ophtalmologique systématique (fond d'œil initial et tous les 3-6 mois).</w:t>
      </w:r>
    </w:p>
    <w:p>
      <w:pPr>
        <w:pStyle w:val="ListBullet"/>
      </w:pPr>
      <w:r/>
      <w:r>
        <w:rPr>
          <w:b/>
        </w:rPr>
        <w:t>Troubles auto-immuns</w:t>
      </w:r>
      <w:r>
        <w:t xml:space="preserve"> (5-10 %) — diabète type 1, anémie hémolytique auto-immune, purpura thrombopénique idiopathique, polymyosite, maladie de Behçet démasqué, vitiligo, psoriasis.</w:t>
      </w:r>
    </w:p>
    <w:p>
      <w:pPr>
        <w:pStyle w:val="ListBullet"/>
      </w:pPr>
      <w:r/>
      <w:r>
        <w:rPr>
          <w:b/>
        </w:rPr>
        <w:t>Hypersensibilité immédiate</w:t>
      </w:r>
      <w:r>
        <w:t xml:space="preserve"> (rare, 1-3 %) — urticaire, angio-œdème, bronchospasme.</w:t>
      </w:r>
    </w:p>
    <w:p>
      <w:pPr>
        <w:pStyle w:val="ListBullet"/>
      </w:pPr>
      <w:r/>
      <w:r>
        <w:rPr>
          <w:b/>
        </w:rPr>
        <w:t>Poussée d'infection</w:t>
      </w:r>
      <w:r>
        <w:t xml:space="preserve"> (varicelle, herpès) possible chez les patients immunodéprimés.</w:t>
      </w:r>
    </w:p>
    <w:p>
      <w:pPr>
        <w:pStyle w:val="ListBullet"/>
      </w:pPr>
      <w:r/>
      <w:r>
        <w:rPr>
          <w:b/>
        </w:rPr>
        <w:t>Neutralisation par anticorps anti-IFN-α</w:t>
      </w:r>
      <w:r>
        <w:t xml:space="preserve"> (5-30 % sous forme native, 5-10 % sous forme pégylée) — perte d'efficacité progressive, à détecter par la réapparition de la maladie ou la disparition du syndrome pseudo-grippal.</w:t>
      </w:r>
    </w:p>
    <w:p>
      <w:r/>
      <w:r>
        <w:rPr>
          <w:b/>
        </w:rPr>
        <w:t>Prévention et Gestion des Effets Indésirables :</w:t>
      </w:r>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Effet indésirable</w:t>
            </w:r>
          </w:p>
        </w:tc>
        <w:tc>
          <w:tcPr>
            <w:tcW w:type="dxa" w:w="1871"/>
          </w:tcPr>
          <w:p>
            <w:r>
              <w:rPr>
                <w:b/>
                <w:sz w:val="20"/>
              </w:rPr>
              <w:t>Fréquence</w:t>
            </w:r>
          </w:p>
        </w:tc>
        <w:tc>
          <w:tcPr>
            <w:tcW w:type="dxa" w:w="1871"/>
          </w:tcPr>
          <w:p>
            <w:r>
              <w:rPr>
                <w:b/>
                <w:sz w:val="20"/>
              </w:rPr>
              <w:t>Détection</w:t>
            </w:r>
          </w:p>
        </w:tc>
        <w:tc>
          <w:tcPr>
            <w:tcW w:type="dxa" w:w="1871"/>
          </w:tcPr>
          <w:p>
            <w:r>
              <w:rPr>
                <w:b/>
                <w:sz w:val="20"/>
              </w:rPr>
              <w:t>Prévention</w:t>
            </w:r>
          </w:p>
        </w:tc>
        <w:tc>
          <w:tcPr>
            <w:tcW w:type="dxa" w:w="1871"/>
          </w:tcPr>
          <w:p>
            <w:r>
              <w:rPr>
                <w:b/>
                <w:sz w:val="20"/>
              </w:rPr>
              <w:t>Traitement</w:t>
            </w:r>
          </w:p>
        </w:tc>
      </w:tr>
      <w:tr>
        <w:tc>
          <w:tcPr>
            <w:tcW w:type="dxa" w:w="1871"/>
          </w:tcPr>
          <w:p>
            <w:r>
              <w:rPr>
                <w:sz w:val="20"/>
              </w:rPr>
              <w:t>Syndrome pseudo-grippal</w:t>
            </w:r>
          </w:p>
        </w:tc>
        <w:tc>
          <w:tcPr>
            <w:tcW w:type="dxa" w:w="1871"/>
          </w:tcPr>
          <w:p>
            <w:r>
              <w:rPr>
                <w:sz w:val="20"/>
              </w:rPr>
              <w:t>80-90 %</w:t>
            </w:r>
          </w:p>
        </w:tc>
        <w:tc>
          <w:tcPr>
            <w:tcW w:type="dxa" w:w="1871"/>
          </w:tcPr>
          <w:p>
            <w:r>
              <w:rPr>
                <w:sz w:val="20"/>
              </w:rPr>
              <w:t>Clinique (4-8 h post-injection)</w:t>
            </w:r>
          </w:p>
        </w:tc>
        <w:tc>
          <w:tcPr>
            <w:tcW w:type="dxa" w:w="1871"/>
          </w:tcPr>
          <w:p>
            <w:r>
              <w:rPr>
                <w:sz w:val="20"/>
              </w:rPr>
              <w:t>Paracétamol 1 g 30 min avant et 4 h après injection, injection le soir</w:t>
            </w:r>
          </w:p>
        </w:tc>
        <w:tc>
          <w:tcPr>
            <w:tcW w:type="dxa" w:w="1871"/>
          </w:tcPr>
          <w:p>
            <w:r>
              <w:rPr>
                <w:sz w:val="20"/>
              </w:rPr>
              <w:t>Idem — s'atténue après 2-4 semaines</w:t>
            </w:r>
          </w:p>
        </w:tc>
      </w:tr>
      <w:tr>
        <w:tc>
          <w:tcPr>
            <w:tcW w:type="dxa" w:w="1871"/>
          </w:tcPr>
          <w:p>
            <w:r>
              <w:rPr>
                <w:sz w:val="20"/>
              </w:rPr>
              <w:t>Dépression</w:t>
            </w:r>
          </w:p>
        </w:tc>
        <w:tc>
          <w:tcPr>
            <w:tcW w:type="dxa" w:w="1871"/>
          </w:tcPr>
          <w:p>
            <w:r>
              <w:rPr>
                <w:sz w:val="20"/>
              </w:rPr>
              <w:t>20-40 %</w:t>
            </w:r>
          </w:p>
        </w:tc>
        <w:tc>
          <w:tcPr>
            <w:tcW w:type="dxa" w:w="1871"/>
          </w:tcPr>
          <w:p>
            <w:r>
              <w:rPr>
                <w:sz w:val="20"/>
              </w:rPr>
              <w:t>Échelle HAD, PHQ-9 mensuelle</w:t>
            </w:r>
          </w:p>
        </w:tc>
        <w:tc>
          <w:tcPr>
            <w:tcW w:type="dxa" w:w="1871"/>
          </w:tcPr>
          <w:p>
            <w:r>
              <w:rPr>
                <w:sz w:val="20"/>
              </w:rPr>
              <w:t>Dépistage antécédents psychiatriques avant instauration, information patient et famille, antidépresseur prophylactique si à risque</w:t>
            </w:r>
          </w:p>
        </w:tc>
        <w:tc>
          <w:tcPr>
            <w:tcW w:type="dxa" w:w="1871"/>
          </w:tcPr>
          <w:p>
            <w:r>
              <w:rPr>
                <w:sz w:val="20"/>
              </w:rPr>
              <w:t>Arrêt IFN-α, consultation psychiatrique urgente, antidépresseur (citalopram 20 mg/j), surveillance rapprochée</w:t>
            </w:r>
          </w:p>
        </w:tc>
      </w:tr>
      <w:tr>
        <w:tc>
          <w:tcPr>
            <w:tcW w:type="dxa" w:w="1871"/>
          </w:tcPr>
          <w:p>
            <w:r>
              <w:rPr>
                <w:sz w:val="20"/>
              </w:rPr>
              <w:t>Idées suicidaires</w:t>
            </w:r>
          </w:p>
        </w:tc>
        <w:tc>
          <w:tcPr>
            <w:tcW w:type="dxa" w:w="1871"/>
          </w:tcPr>
          <w:p>
            <w:r>
              <w:rPr>
                <w:sz w:val="20"/>
              </w:rPr>
              <w:t>5-10 %</w:t>
            </w:r>
          </w:p>
        </w:tc>
        <w:tc>
          <w:tcPr>
            <w:tcW w:type="dxa" w:w="1871"/>
          </w:tcPr>
          <w:p>
            <w:r>
              <w:rPr>
                <w:sz w:val="20"/>
              </w:rPr>
              <w:t>Évaluation psychiatrique</w:t>
            </w:r>
          </w:p>
        </w:tc>
        <w:tc>
          <w:tcPr>
            <w:tcW w:type="dxa" w:w="1871"/>
          </w:tcPr>
          <w:p>
            <w:r>
              <w:rPr>
                <w:sz w:val="20"/>
              </w:rPr>
              <w:t>—</w:t>
            </w:r>
          </w:p>
        </w:tc>
        <w:tc>
          <w:tcPr>
            <w:tcW w:type="dxa" w:w="1871"/>
          </w:tcPr>
          <w:p>
            <w:r>
              <w:rPr>
                <w:sz w:val="20"/>
              </w:rPr>
              <w:t>Arrêt immédiat IFN-α, hospitalisation psychiatrique urgente</w:t>
            </w:r>
          </w:p>
        </w:tc>
      </w:tr>
      <w:tr>
        <w:tc>
          <w:tcPr>
            <w:tcW w:type="dxa" w:w="1871"/>
          </w:tcPr>
          <w:p>
            <w:r>
              <w:rPr>
                <w:sz w:val="20"/>
              </w:rPr>
              <w:t>Dysthyroïdie</w:t>
            </w:r>
          </w:p>
        </w:tc>
        <w:tc>
          <w:tcPr>
            <w:tcW w:type="dxa" w:w="1871"/>
          </w:tcPr>
          <w:p>
            <w:r>
              <w:rPr>
                <w:sz w:val="20"/>
              </w:rPr>
              <w:t>5-15 %</w:t>
            </w:r>
          </w:p>
        </w:tc>
        <w:tc>
          <w:tcPr>
            <w:tcW w:type="dxa" w:w="1871"/>
          </w:tcPr>
          <w:p>
            <w:r>
              <w:rPr>
                <w:sz w:val="20"/>
              </w:rPr>
              <w:t>TSH, T4 libre initiaux puis tous les 3 mois</w:t>
            </w:r>
          </w:p>
        </w:tc>
        <w:tc>
          <w:tcPr>
            <w:tcW w:type="dxa" w:w="1871"/>
          </w:tcPr>
          <w:p>
            <w:r>
              <w:rPr>
                <w:sz w:val="20"/>
              </w:rPr>
              <w:t>—</w:t>
            </w:r>
          </w:p>
        </w:tc>
        <w:tc>
          <w:tcPr>
            <w:tcW w:type="dxa" w:w="1871"/>
          </w:tcPr>
          <w:p>
            <w:r>
              <w:rPr>
                <w:sz w:val="20"/>
              </w:rPr>
              <w:t>Lévothyroxine 25-100 µg/j si hypothyroïdie ; carbimazole 20-40 mg/j si hyperthyroïdie ; surveillance endocrinologique</w:t>
            </w:r>
          </w:p>
        </w:tc>
      </w:tr>
      <w:tr>
        <w:tc>
          <w:tcPr>
            <w:tcW w:type="dxa" w:w="1871"/>
          </w:tcPr>
          <w:p>
            <w:r>
              <w:rPr>
                <w:sz w:val="20"/>
              </w:rPr>
              <w:t>Cytopénie</w:t>
            </w:r>
          </w:p>
        </w:tc>
        <w:tc>
          <w:tcPr>
            <w:tcW w:type="dxa" w:w="1871"/>
          </w:tcPr>
          <w:p>
            <w:r>
              <w:rPr>
                <w:sz w:val="20"/>
              </w:rPr>
              <w:t>20-30 %</w:t>
            </w:r>
          </w:p>
        </w:tc>
        <w:tc>
          <w:tcPr>
            <w:tcW w:type="dxa" w:w="1871"/>
          </w:tcPr>
          <w:p>
            <w:r>
              <w:rPr>
                <w:sz w:val="20"/>
              </w:rPr>
              <w:t>NFS-plaquettes mensuelle</w:t>
            </w:r>
          </w:p>
        </w:tc>
        <w:tc>
          <w:tcPr>
            <w:tcW w:type="dxa" w:w="1871"/>
          </w:tcPr>
          <w:p>
            <w:r>
              <w:rPr>
                <w:sz w:val="20"/>
              </w:rPr>
              <w:t>—</w:t>
            </w:r>
          </w:p>
        </w:tc>
        <w:tc>
          <w:tcPr>
            <w:tcW w:type="dxa" w:w="1871"/>
          </w:tcPr>
          <w:p>
            <w:r>
              <w:rPr>
                <w:sz w:val="20"/>
              </w:rPr>
              <w:t>Réduction dose 50 % si PNN &lt; 0,75 G/L ou plaquettes &lt; 50 G/L ; arrêt si PNN &lt; 0,5 G/L ou plaquettes &lt; 25 G/L ; G-CSF si neutropénie fébrile</w:t>
            </w:r>
          </w:p>
        </w:tc>
      </w:tr>
      <w:tr>
        <w:tc>
          <w:tcPr>
            <w:tcW w:type="dxa" w:w="1871"/>
          </w:tcPr>
          <w:p>
            <w:r>
              <w:rPr>
                <w:sz w:val="20"/>
              </w:rPr>
              <w:t>Cytolyse hépatique</w:t>
            </w:r>
          </w:p>
        </w:tc>
        <w:tc>
          <w:tcPr>
            <w:tcW w:type="dxa" w:w="1871"/>
          </w:tcPr>
          <w:p>
            <w:r>
              <w:rPr>
                <w:sz w:val="20"/>
              </w:rPr>
              <w:t>15-30 %</w:t>
            </w:r>
          </w:p>
        </w:tc>
        <w:tc>
          <w:tcPr>
            <w:tcW w:type="dxa" w:w="1871"/>
          </w:tcPr>
          <w:p>
            <w:r>
              <w:rPr>
                <w:sz w:val="20"/>
              </w:rPr>
              <w:t>ASAT/ALAT mensuel</w:t>
            </w:r>
          </w:p>
        </w:tc>
        <w:tc>
          <w:tcPr>
            <w:tcW w:type="dxa" w:w="1871"/>
          </w:tcPr>
          <w:p>
            <w:r>
              <w:rPr>
                <w:sz w:val="20"/>
              </w:rPr>
              <w:t>Éviter hépatotoxiques (paracétamol ≤ 2 g/j, alcool)</w:t>
            </w:r>
          </w:p>
        </w:tc>
        <w:tc>
          <w:tcPr>
            <w:tcW w:type="dxa" w:w="1871"/>
          </w:tcPr>
          <w:p>
            <w:r>
              <w:rPr>
                <w:sz w:val="20"/>
              </w:rPr>
              <w:t>Réduction dose 50 % si ASAT/ALAT &gt; 5× LSN, arrêt si &gt; 10× LSN</w:t>
            </w:r>
          </w:p>
        </w:tc>
      </w:tr>
      <w:tr>
        <w:tc>
          <w:tcPr>
            <w:tcW w:type="dxa" w:w="1871"/>
          </w:tcPr>
          <w:p>
            <w:r>
              <w:rPr>
                <w:sz w:val="20"/>
              </w:rPr>
              <w:t>Rétinopathie</w:t>
            </w:r>
          </w:p>
        </w:tc>
        <w:tc>
          <w:tcPr>
            <w:tcW w:type="dxa" w:w="1871"/>
          </w:tcPr>
          <w:p>
            <w:r>
              <w:rPr>
                <w:sz w:val="20"/>
              </w:rPr>
              <w:t>1-3 %</w:t>
            </w:r>
          </w:p>
        </w:tc>
        <w:tc>
          <w:tcPr>
            <w:tcW w:type="dxa" w:w="1871"/>
          </w:tcPr>
          <w:p>
            <w:r>
              <w:rPr>
                <w:sz w:val="20"/>
              </w:rPr>
              <w:t>Fond d'œil initial et tous les 3-6 mois</w:t>
            </w:r>
          </w:p>
        </w:tc>
        <w:tc>
          <w:tcPr>
            <w:tcW w:type="dxa" w:w="1871"/>
          </w:tcPr>
          <w:p>
            <w:r>
              <w:rPr>
                <w:sz w:val="20"/>
              </w:rPr>
              <w:t>Surveillance ophtalmologique systématique (surtout si diabète, HTA)</w:t>
            </w:r>
          </w:p>
        </w:tc>
        <w:tc>
          <w:tcPr>
            <w:tcW w:type="dxa" w:w="1871"/>
          </w:tcPr>
          <w:p>
            <w:r>
              <w:rPr>
                <w:sz w:val="20"/>
              </w:rPr>
              <w:t>Arrêt IFN-α si rétinopathie ischémique</w:t>
            </w:r>
          </w:p>
        </w:tc>
      </w:tr>
      <w:tr>
        <w:tc>
          <w:tcPr>
            <w:tcW w:type="dxa" w:w="1871"/>
          </w:tcPr>
          <w:p>
            <w:r>
              <w:rPr>
                <w:sz w:val="20"/>
              </w:rPr>
              <w:t>Syndrome lupique</w:t>
            </w:r>
          </w:p>
        </w:tc>
        <w:tc>
          <w:tcPr>
            <w:tcW w:type="dxa" w:w="1871"/>
          </w:tcPr>
          <w:p>
            <w:r>
              <w:rPr>
                <w:sz w:val="20"/>
              </w:rPr>
              <w:t>1-3 %</w:t>
            </w:r>
          </w:p>
        </w:tc>
        <w:tc>
          <w:tcPr>
            <w:tcW w:type="dxa" w:w="1871"/>
          </w:tcPr>
          <w:p>
            <w:r>
              <w:rPr>
                <w:sz w:val="20"/>
              </w:rPr>
              <w:t>AAN initiaux et tous les 6 mois</w:t>
            </w:r>
          </w:p>
        </w:tc>
        <w:tc>
          <w:tcPr>
            <w:tcW w:type="dxa" w:w="1871"/>
          </w:tcPr>
          <w:p>
            <w:r>
              <w:rPr>
                <w:sz w:val="20"/>
              </w:rPr>
              <w:t>—</w:t>
            </w:r>
          </w:p>
        </w:tc>
        <w:tc>
          <w:tcPr>
            <w:tcW w:type="dxa" w:w="1871"/>
          </w:tcPr>
          <w:p>
            <w:r>
              <w:rPr>
                <w:sz w:val="20"/>
              </w:rPr>
              <w:t>Arrêt IFN-α, consultation rhumatologique</w:t>
            </w:r>
          </w:p>
        </w:tc>
      </w:tr>
      <w:tr>
        <w:tc>
          <w:tcPr>
            <w:tcW w:type="dxa" w:w="1871"/>
          </w:tcPr>
          <w:p>
            <w:r>
              <w:rPr>
                <w:sz w:val="20"/>
              </w:rPr>
              <w:t>Pneumopathie interstitielle</w:t>
            </w:r>
          </w:p>
        </w:tc>
        <w:tc>
          <w:tcPr>
            <w:tcW w:type="dxa" w:w="1871"/>
          </w:tcPr>
          <w:p>
            <w:r>
              <w:rPr>
                <w:sz w:val="20"/>
              </w:rPr>
              <w:t>1-3 %</w:t>
            </w:r>
          </w:p>
        </w:tc>
        <w:tc>
          <w:tcPr>
            <w:tcW w:type="dxa" w:w="1871"/>
          </w:tcPr>
          <w:p>
            <w:r>
              <w:rPr>
                <w:sz w:val="20"/>
              </w:rPr>
              <w:t>Radio thoracique + TDM HR si symptômes</w:t>
            </w:r>
          </w:p>
        </w:tc>
        <w:tc>
          <w:tcPr>
            <w:tcW w:type="dxa" w:w="1871"/>
          </w:tcPr>
          <w:p>
            <w:r>
              <w:rPr>
                <w:sz w:val="20"/>
              </w:rPr>
              <w:t>—</w:t>
            </w:r>
          </w:p>
        </w:tc>
        <w:tc>
          <w:tcPr>
            <w:tcW w:type="dxa" w:w="1871"/>
          </w:tcPr>
          <w:p>
            <w:r>
              <w:rPr>
                <w:sz w:val="20"/>
              </w:rPr>
              <w:t>Arrêt IFN-α, corticothérapie 1 mg/kg/j</w:t>
            </w:r>
          </w:p>
        </w:tc>
      </w:tr>
      <w:tr>
        <w:tc>
          <w:tcPr>
            <w:tcW w:type="dxa" w:w="1871"/>
          </w:tcPr>
          <w:p>
            <w:r>
              <w:rPr>
                <w:sz w:val="20"/>
              </w:rPr>
              <w:t>Réaction site injection</w:t>
            </w:r>
          </w:p>
        </w:tc>
        <w:tc>
          <w:tcPr>
            <w:tcW w:type="dxa" w:w="1871"/>
          </w:tcPr>
          <w:p>
            <w:r>
              <w:rPr>
                <w:sz w:val="20"/>
              </w:rPr>
              <w:t>10-20 %</w:t>
            </w:r>
          </w:p>
        </w:tc>
        <w:tc>
          <w:tcPr>
            <w:tcW w:type="dxa" w:w="1871"/>
          </w:tcPr>
          <w:p>
            <w:r>
              <w:rPr>
                <w:sz w:val="20"/>
              </w:rPr>
              <w:t>Examen local</w:t>
            </w:r>
          </w:p>
        </w:tc>
        <w:tc>
          <w:tcPr>
            <w:tcW w:type="dxa" w:w="1871"/>
          </w:tcPr>
          <w:p>
            <w:r>
              <w:rPr>
                <w:sz w:val="20"/>
              </w:rPr>
              <w:t>Rotation des sites, application de glace avant injection</w:t>
            </w:r>
          </w:p>
        </w:tc>
        <w:tc>
          <w:tcPr>
            <w:tcW w:type="dxa" w:w="1871"/>
          </w:tcPr>
          <w:p>
            <w:r>
              <w:rPr>
                <w:sz w:val="20"/>
              </w:rPr>
              <w:t>Pansement hydrocolloïde, antiseptique local</w:t>
            </w:r>
          </w:p>
        </w:tc>
      </w:tr>
    </w:tbl>
    <w:p/>
    <w:p>
      <w:r/>
      <w:r>
        <w:rPr>
          <w:b/>
        </w:rPr>
        <w:t>Interactions Importantes :</w:t>
      </w:r>
      <w:r/>
    </w:p>
    <w:p>
      <w:pPr>
        <w:pStyle w:val="ListBullet"/>
      </w:pPr>
      <w:r/>
      <w:r>
        <w:rPr>
          <w:b/>
        </w:rPr>
        <w:t>IFN-α + vaccins vivants atténués</w:t>
      </w:r>
      <w:r>
        <w:t xml:space="preserve"> (ROR, varicelle, BCG, fièvre jaune, rotavirus) — contre-indication absolue (immunodépression IFN-induite — risque d'infection vaccinale généralisée).</w:t>
      </w:r>
    </w:p>
    <w:p>
      <w:pPr>
        <w:pStyle w:val="ListBullet"/>
      </w:pPr>
      <w:r/>
      <w:r>
        <w:rPr>
          <w:b/>
        </w:rPr>
        <w:t>IFN-α + théophylline</w:t>
      </w:r>
      <w:r>
        <w:t xml:space="preserve"> — l'IFN-α inhibe le CYP1A2 qui métabolise la théophylline → augmentation exposition théophylline (toxicité : convulsions, troubles du rythme). Surveillance théophyllinémie, adaptation dose.</w:t>
      </w:r>
    </w:p>
    <w:p>
      <w:pPr>
        <w:pStyle w:val="ListBullet"/>
      </w:pPr>
      <w:r/>
      <w:r>
        <w:rPr>
          <w:b/>
        </w:rPr>
        <w:t>IFN-α + antirétroviraux</w:t>
      </w:r>
      <w:r>
        <w:t xml:space="preserve"> (zidovudine AZT, didanosine ddI, stavudine d4T) — potentialisation de la toxicité mitochondriale (neuropathie périphérique, pancréatite, hépatotoxicité, acidose lactique). Surveillance clinique et biologique (lactates, amylase, ALAT).</w:t>
      </w:r>
    </w:p>
    <w:p>
      <w:pPr>
        <w:pStyle w:val="ListBullet"/>
      </w:pPr>
      <w:r/>
      <w:r>
        <w:rPr>
          <w:b/>
        </w:rPr>
        <w:t>IFN-α + ribavirine</w:t>
      </w:r>
      <w:r>
        <w:t xml:space="preserve"> — association standard du traitement du VHC (peg-IFN-α + ribavirine). Potentialisation de l'anémie hémolytique ribavirine-induite + anémie IFN-induite — surveillance NFS mensuelle, EPO si Hb &lt; 10 g/dL.</w:t>
      </w:r>
    </w:p>
    <w:p>
      <w:pPr>
        <w:pStyle w:val="ListBullet"/>
      </w:pPr>
      <w:r/>
      <w:r>
        <w:rPr>
          <w:b/>
        </w:rPr>
        <w:t>IFN-α + boceprévir / télaprévir</w:t>
      </w:r>
      <w:r>
        <w:t xml:space="preserve"> (antiprotéases VHC 1re génération) — interaction pharmacocinétique majeure (inhibition CYP3A4 par les antiprotéases), abandon des associations.</w:t>
      </w:r>
    </w:p>
    <w:p>
      <w:pPr>
        <w:pStyle w:val="ListBullet"/>
      </w:pPr>
      <w:r/>
      <w:r>
        <w:rPr>
          <w:b/>
        </w:rPr>
        <w:t>IFN-α + anticoagulants oraux (warfarine)</w:t>
      </w:r>
      <w:r>
        <w:t xml:space="preserve"> — surveillance INR (interaction variable — l'IFN-α inhibe le CYP2C9).</w:t>
      </w:r>
    </w:p>
    <w:p>
      <w:pPr>
        <w:pStyle w:val="ListBullet"/>
      </w:pPr>
      <w:r/>
      <w:r>
        <w:rPr>
          <w:b/>
        </w:rPr>
        <w:t>IFN-α + clozapine</w:t>
      </w:r>
      <w:r>
        <w:t xml:space="preserve"> — risque accru de neutropénie/agranulocytose (synergie).</w:t>
      </w:r>
    </w:p>
    <w:p>
      <w:pPr>
        <w:pStyle w:val="ListBullet"/>
      </w:pPr>
      <w:r/>
      <w:r>
        <w:rPr>
          <w:b/>
        </w:rPr>
        <w:t>IFN-α + mycophénolate mofétil / azathioprine / méthotrexate</w:t>
      </w:r>
      <w:r>
        <w:t xml:space="preserve"> — potentialisation immunosuppressive et hématotoxique.</w:t>
      </w:r>
    </w:p>
    <w:p>
      <w:pPr>
        <w:pStyle w:val="ListBullet"/>
      </w:pPr>
      <w:r/>
      <w:r>
        <w:rPr>
          <w:b/>
        </w:rPr>
        <w:t>IFN-α + antidépresseurs tricycliques (amitriptyline, clomipramine)</w:t>
      </w:r>
      <w:r>
        <w:t xml:space="preserve"> — prudence (potentialisation de la dépression IFN-induite, mais aussi interactions métaboliques). Préférer les ISRS (citalopram, sertraline).</w:t>
      </w:r>
    </w:p>
    <w:p>
      <w:pPr>
        <w:pStyle w:val="ListBullet"/>
      </w:pPr>
      <w:r/>
      <w:r>
        <w:rPr>
          <w:b/>
        </w:rPr>
        <w:t>IFN-α + millepertuis</w:t>
      </w:r>
      <w:r>
        <w:t xml:space="preserve"> — contre-indication relative (inducteur CYP3A4, mais aussi effet antidépresseur — interaction complexe). Éviter.</w:t>
      </w:r>
    </w:p>
    <w:p>
      <w:pPr>
        <w:pStyle w:val="ListBullet"/>
      </w:pPr>
      <w:r/>
      <w:r>
        <w:rPr>
          <w:b/>
        </w:rPr>
        <w:t>IFN-α + alcool</w:t>
      </w:r>
      <w:r>
        <w:t xml:space="preserve"> — contre-indication relative (potentialisation hépatotoxicité).</w:t>
      </w:r>
    </w:p>
    <w:p>
      <w:pPr>
        <w:pStyle w:val="ListBullet"/>
      </w:pPr>
      <w:r/>
      <w:r>
        <w:rPr>
          <w:b/>
        </w:rPr>
        <w:t>IFN-α + paracétamol</w:t>
      </w:r>
      <w:r>
        <w:t xml:space="preserve"> — éviter &gt; 2 g/j (potentialisation hépatotoxicité).</w:t>
      </w:r>
    </w:p>
    <w:p>
      <w:pPr>
        <w:pStyle w:val="ListBullet"/>
      </w:pPr>
      <w:r/>
      <w:r>
        <w:rPr>
          <w:b/>
        </w:rPr>
        <w:t>IFN-α + statines</w:t>
      </w:r>
      <w:r>
        <w:t xml:space="preserve"> — surveillance CPK (potentialisation myotoxicité).</w:t>
      </w:r>
    </w:p>
    <w:p>
      <w:pPr>
        <w:pStyle w:val="ListBullet"/>
      </w:pPr>
      <w:r/>
      <w:r>
        <w:rPr>
          <w:b/>
        </w:rPr>
        <w:t>IFN-α + cidofovir / foscarnet</w:t>
      </w:r>
      <w:r>
        <w:t xml:space="preserve"> (antiviraux CMV) — potentialisation néphrotoxicité.</w:t>
      </w:r>
    </w:p>
    <w:p>
      <w:r/>
      <w:r>
        <w:rPr>
          <w:b/>
        </w:rPr>
        <w:t>Grossesse et Allaitement :</w:t>
      </w:r>
      <w:r/>
    </w:p>
    <w:p>
      <w:pPr>
        <w:pStyle w:val="ListBullet"/>
      </w:pPr>
      <w:r/>
      <w:r>
        <w:rPr>
          <w:b/>
        </w:rPr>
        <w:t>Grossesse</w:t>
      </w:r>
      <w:r>
        <w:t xml:space="preserve"> (CRAT) : L'IFN-α est classé en </w:t>
      </w:r>
      <w:r>
        <w:rPr>
          <w:b/>
        </w:rPr>
        <w:t>catégorie C (« à éviter » — données limitées humaines, tératogène chez l'animal à haute dose — dose ≥ 20 MU/kg chez le singe, soit 100× la dose humaine)</w:t>
      </w:r>
      <w:r>
        <w:t>. Le CRAT ne recommande pas son utilisation systématique chez la femme enceinte, mais souligne qu'en cas d'indication forte (LMC, maladie de Vaquez, thrombocythémie essentielle de la femme enceinte — alternative à l'hydroxyurée tératogène et à l'imatinib tératogène), l'IFN-α peut être utilisé à dose thérapeutique (3-5 MU × 3/sem) pendant la grossesse, avec un recueil de consentement éclairé de la patiente. Les données limitées (case reports, séries limitées — Kinzig-Schippers M, *Nat Clin Pract Oncol* 2008 ; Kuroda H, *Int J Hematol* 2010) ne montrent pas d'augmentation du risque de malformations congénitales majeures sous IFN-α à dose thérapeutique pendant la grossesse, mais une prudence reste de mise (surveillance échographique morphologique, monitoring de croissance fœtale).</w:t>
      </w:r>
    </w:p>
    <w:p>
      <w:pPr>
        <w:pStyle w:val="ListBullet"/>
      </w:pPr>
      <w:r/>
      <w:r>
        <w:rPr>
          <w:b/>
        </w:rPr>
        <w:t>Allaitement</w:t>
      </w:r>
      <w:r>
        <w:t xml:space="preserve"> : </w:t>
      </w:r>
      <w:r>
        <w:rPr>
          <w:b/>
        </w:rPr>
        <w:t>Contre-indication absolue</w:t>
      </w:r>
      <w:r>
        <w:t xml:space="preserve"> — passage de l'IFN-α dans le lait maternel démontré chez l'animal, risque immunologique et hématologique pour le nourrisson.</w:t>
      </w:r>
    </w:p>
    <w:p>
      <w:pPr>
        <w:pStyle w:val="ListBullet"/>
      </w:pPr>
      <w:r/>
      <w:r>
        <w:rPr>
          <w:b/>
        </w:rPr>
        <w:t>Contraception</w:t>
      </w:r>
      <w:r>
        <w:t xml:space="preserve"> : Chez la femme en âge de procréer — contraception efficace (estroprogestatif ou progestatif) pendant le traitement. Chez la femme enceinte atteinte de LMC/PV/TE — l'IFN-α est l'alternative de choix (vs. imatinib/hydroxyurée tératogènes).</w:t>
      </w:r>
    </w:p>
    <w:p>
      <w:pPr>
        <w:pStyle w:val="ListBullet"/>
      </w:pPr>
      <w:r/>
      <w:r>
        <w:rPr>
          <w:b/>
        </w:rPr>
        <w:t>Conservation des gamètes</w:t>
      </w:r>
      <w:r>
        <w:t xml:space="preserve"> : Pas d'indication systématique — l'IFN-α n'est pas gonadotoxique à dose thérapeutique.</w:t>
      </w:r>
    </w:p>
    <w:p>
      <w:r/>
      <w:r>
        <w:rPr>
          <w:b/>
        </w:rPr>
        <w:t>Posologie et Mode d'Administration :</w:t>
      </w:r>
      <w:r/>
    </w:p>
    <w:p>
      <w:r/>
      <w:r>
        <w:rPr>
          <w:b/>
        </w:rPr>
        <w:t>IFN-α 2a (Roferon-A®) et IFN-α 2b (IntronA®, Heberon Alfa R®) — formes natives :</w:t>
      </w:r>
      <w:r/>
    </w:p>
    <w:p>
      <w:pPr>
        <w:pStyle w:val="ListBullet"/>
      </w:pPr>
      <w:r/>
      <w:r>
        <w:rPr>
          <w:b/>
        </w:rPr>
        <w:t>Hairy cell leukemia</w:t>
      </w:r>
      <w:r>
        <w:t xml:space="preserve"> : 3 MU/m²/j × 7 jours, puis 3 MU/m² × 3/sem SC/IM × 12-18 mois.</w:t>
      </w:r>
    </w:p>
    <w:p>
      <w:pPr>
        <w:pStyle w:val="ListBullet"/>
      </w:pPr>
      <w:r/>
      <w:r>
        <w:rPr>
          <w:b/>
        </w:rPr>
        <w:t>Mycosis fongoïde / syndrome de Sézary</w:t>
      </w:r>
      <w:r>
        <w:t xml:space="preserve"> : 3 MU × 3/sem SC × 6 mois, escalade à 6 MU × 3/sem puis 9 MU × 3/sem en fonction de la tolérance et de la réponse.</w:t>
      </w:r>
    </w:p>
    <w:p>
      <w:pPr>
        <w:pStyle w:val="ListBullet"/>
      </w:pPr>
      <w:r/>
      <w:r>
        <w:rPr>
          <w:b/>
        </w:rPr>
        <w:t>Maladie de Vaquez (forme native si peg-IFN non disponible)</w:t>
      </w:r>
      <w:r>
        <w:t xml:space="preserve"> : 3 MU × 3/sem SC.</w:t>
      </w:r>
    </w:p>
    <w:p>
      <w:pPr>
        <w:pStyle w:val="ListBullet"/>
      </w:pPr>
      <w:r/>
      <w:r>
        <w:rPr>
          <w:b/>
        </w:rPr>
        <w:t>Thrombocythémie essentielle</w:t>
      </w:r>
      <w:r>
        <w:t xml:space="preserve"> : 3 MU × 3/sem SC.</w:t>
      </w:r>
    </w:p>
    <w:p>
      <w:pPr>
        <w:pStyle w:val="ListBullet"/>
      </w:pPr>
      <w:r/>
      <w:r>
        <w:rPr>
          <w:b/>
        </w:rPr>
        <w:t>LMC (femme enceinte)</w:t>
      </w:r>
      <w:r>
        <w:t xml:space="preserve"> : 5 MU/m² × 5/sem SC.</w:t>
      </w:r>
    </w:p>
    <w:p>
      <w:pPr>
        <w:pStyle w:val="ListBullet"/>
      </w:pPr>
      <w:r/>
      <w:r>
        <w:rPr>
          <w:b/>
        </w:rPr>
        <w:t>Carcinome rénal / mélanome (indication historique)</w:t>
      </w:r>
      <w:r>
        <w:t xml:space="preserve"> : 9-18 MU × 3/sem SC.</w:t>
      </w:r>
    </w:p>
    <w:p>
      <w:pPr>
        <w:pStyle w:val="ListBullet"/>
      </w:pPr>
      <w:r/>
      <w:r>
        <w:rPr>
          <w:b/>
        </w:rPr>
        <w:t>Hépatite chronique B</w:t>
      </w:r>
      <w:r>
        <w:t xml:space="preserve"> : 5-6 MU/m² × 3/sem SC × 24-48 semaines (forme native) ou peg-IFN-α 2a 180 µg/sem × 48 semaines (forme pégylée).</w:t>
      </w:r>
    </w:p>
    <w:p>
      <w:r/>
      <w:r>
        <w:rPr>
          <w:b/>
        </w:rPr>
        <w:t>peg-IFN-α 2a (Pegasys®) — forme pégylée (180 µg/0,5 mL seringue pré-remplie) :</w:t>
      </w:r>
      <w:r/>
    </w:p>
    <w:p>
      <w:pPr>
        <w:pStyle w:val="ListBullet"/>
      </w:pPr>
      <w:r/>
      <w:r>
        <w:rPr>
          <w:b/>
        </w:rPr>
        <w:t>Hépatite chronique B</w:t>
      </w:r>
      <w:r>
        <w:t xml:space="preserve"> : 180 µg/sem SC × 48 semaines.</w:t>
      </w:r>
    </w:p>
    <w:p>
      <w:pPr>
        <w:pStyle w:val="ListBullet"/>
      </w:pPr>
      <w:r/>
      <w:r>
        <w:rPr>
          <w:b/>
        </w:rPr>
        <w:t>Hépatite chronique C</w:t>
      </w:r>
      <w:r>
        <w:t xml:space="preserve"> : 180 µg/sem SC × 24-48 semaines (en association avec ribavirine, et antiprotéases de 2e génération siméprévir/paritaprévir selon génotype — supplanté par les AAD).</w:t>
      </w:r>
    </w:p>
    <w:p>
      <w:pPr>
        <w:pStyle w:val="ListBullet"/>
      </w:pPr>
      <w:r/>
      <w:r>
        <w:rPr>
          <w:b/>
        </w:rPr>
        <w:t>Maladie de Vaquez</w:t>
      </w:r>
      <w:r>
        <w:t xml:space="preserve"> : 45-90 µg/sem SC, ajustement selon réponse hématologique et tolérance.</w:t>
      </w:r>
    </w:p>
    <w:p>
      <w:pPr>
        <w:pStyle w:val="ListBullet"/>
      </w:pPr>
      <w:r/>
      <w:r>
        <w:rPr>
          <w:b/>
        </w:rPr>
        <w:t>Thrombocythémie essentielle</w:t>
      </w:r>
      <w:r>
        <w:t xml:space="preserve"> : 90 µg/sem SC.</w:t>
      </w:r>
    </w:p>
    <w:p>
      <w:pPr>
        <w:pStyle w:val="ListBullet"/>
      </w:pPr>
      <w:r/>
      <w:r>
        <w:rPr>
          <w:b/>
        </w:rPr>
        <w:t>Adaptation rénale</w:t>
      </w:r>
      <w:r>
        <w:t xml:space="preserve"> : 135 µg/sem SC si DFG &lt; 30 mL/min.</w:t>
      </w:r>
    </w:p>
    <w:p>
      <w:pPr>
        <w:pStyle w:val="ListBullet"/>
      </w:pPr>
      <w:r/>
      <w:r>
        <w:rPr>
          <w:b/>
        </w:rPr>
        <w:t>Adaptation hématologique</w:t>
      </w:r>
      <w:r>
        <w:t xml:space="preserve"> : réduction à 90 µg/sem si PNN &lt; 0,75 G/L ou plaquettes &lt; 50 G/L ; arrêt si PNN &lt; 0,5 G/L ou plaquettes &lt; 25 G/L.</w:t>
      </w:r>
    </w:p>
    <w:p>
      <w:pPr>
        <w:pStyle w:val="ListBullet"/>
      </w:pPr>
      <w:r/>
      <w:r>
        <w:rPr>
          <w:b/>
        </w:rPr>
        <w:t>Adaptation hépatique</w:t>
      </w:r>
      <w:r>
        <w:t xml:space="preserve"> : surveillance ASAT/ALAT mensuelle, réduction à 90 µg/sem si ASAT/ALAT &gt; 5× LSN, arrêt si &gt; 10× LSN.</w:t>
      </w:r>
    </w:p>
    <w:p>
      <w:r/>
      <w:r>
        <w:rPr>
          <w:b/>
        </w:rPr>
        <w:t>peg-IFN-α 2b (ViraferonPeg®) — forme pégylée (50/80/100/120/150 µg/stylo pré-rempli) :</w:t>
      </w:r>
      <w:r/>
    </w:p>
    <w:p>
      <w:pPr>
        <w:pStyle w:val="ListBullet"/>
      </w:pPr>
      <w:r/>
      <w:r>
        <w:rPr>
          <w:b/>
        </w:rPr>
        <w:t>Hépatite chronique C</w:t>
      </w:r>
      <w:r>
        <w:t xml:space="preserve"> : 1,5 µg/kg/sem SC × 24-48 semaines (en association avec ribavirine).</w:t>
      </w:r>
    </w:p>
    <w:p>
      <w:pPr>
        <w:pStyle w:val="ListBullet"/>
      </w:pPr>
      <w:r/>
      <w:r>
        <w:rPr>
          <w:b/>
        </w:rPr>
        <w:t>Adaptation rénale</w:t>
      </w:r>
      <w:r>
        <w:t xml:space="preserve"> : 1 µg/kg/sem si DFG 30-50 mL/min, 0,5 µg/kg/sem si DFG &lt; 30 mL/min.</w:t>
      </w:r>
    </w:p>
    <w:p>
      <w:pPr>
        <w:pStyle w:val="ListBullet"/>
      </w:pPr>
      <w:r/>
      <w:r>
        <w:rPr>
          <w:b/>
        </w:rPr>
        <w:t>Adaptation pondérale</w:t>
      </w:r>
      <w:r>
        <w:t xml:space="preserve"> — délivrance par stylo selon le poids du patient (50 µg si &lt; 40 kg, 80 µg si 40-50 kg, 100 µg si 50-65 kg, 120 µg si 65-75 kg, 150 µg si &gt; 75 kg).</w:t>
      </w:r>
    </w:p>
    <w:p>
      <w:r/>
      <w:r>
        <w:rPr>
          <w:b/>
        </w:rPr>
        <w:t>Administration</w:t>
      </w:r>
      <w:r>
        <w:t xml:space="preserve"> :</w:t>
      </w:r>
    </w:p>
    <w:p>
      <w:pPr>
        <w:pStyle w:val="ListBullet"/>
      </w:pPr>
      <w:r/>
      <w:r>
        <w:rPr>
          <w:b/>
        </w:rPr>
        <w:t>Voie SC</w:t>
      </w:r>
      <w:r>
        <w:t xml:space="preserve"> (privilégiée — auto-administration par le patient après formation initiale en milieu hospitalier) : abdomen (pério-ombilical, à 5 cm de l'ombilic), face antérieure des cuisses, bras (zone externe). Rotation des sites à chaque injection. Aiguille 25-27 G, 12-16 mm de longueur.</w:t>
      </w:r>
    </w:p>
    <w:p>
      <w:pPr>
        <w:pStyle w:val="ListBullet"/>
      </w:pPr>
      <w:r/>
      <w:r>
        <w:rPr>
          <w:b/>
        </w:rPr>
        <w:t>Voie IM</w:t>
      </w:r>
      <w:r>
        <w:t xml:space="preserve"> (alternative — Heberon Alfa R Cuba, IntronA Schering-Plough) : quadrant supéro-externe de la fesse. Aiguille 21-23 G, 25-40 mm.</w:t>
      </w:r>
    </w:p>
    <w:p>
      <w:pPr>
        <w:pStyle w:val="ListBullet"/>
      </w:pPr>
      <w:r/>
      <w:r>
        <w:rPr>
          <w:b/>
        </w:rPr>
        <w:t>Voie IV</w:t>
      </w:r>
      <w:r>
        <w:t xml:space="preserve"> : exceptionnelle, protocoles expérimentaux.</w:t>
      </w:r>
    </w:p>
    <w:p>
      <w:pPr>
        <w:pStyle w:val="ListBullet"/>
      </w:pPr>
      <w:r/>
      <w:r>
        <w:rPr>
          <w:b/>
        </w:rPr>
        <w:t>Conservation</w:t>
      </w:r>
      <w:r>
        <w:t xml:space="preserve"> : poudre lyophilisée entre +2 °C et +8 °C (réfrigérateur), à l'abri de la lumière. Solution reconstituée stable 24 h entre +2 °C et +8 °C. Pegasys® seringue pré-remplie stable 24 h à température ambiante (max 25 °C).</w:t>
      </w:r>
    </w:p>
    <w:p>
      <w:r/>
      <w:r>
        <w:rPr>
          <w:b/>
        </w:rPr>
        <w:t>Arbitrage et Bénéfices des Formes Galéniques :</w:t>
      </w:r>
      <w:r/>
    </w:p>
    <w:p>
      <w:r>
        <w:t>L'</w:t>
      </w:r>
      <w:r>
        <w:rPr>
          <w:b/>
        </w:rPr>
        <w:t>arbitrage principal</w:t>
      </w:r>
      <w:r>
        <w:t xml:space="preserve"> entre formes natives et formes pégylées repose sur la </w:t>
      </w:r>
      <w:r>
        <w:rPr>
          <w:b/>
        </w:rPr>
        <w:t>commodité d'administration</w:t>
      </w:r>
      <w:r>
        <w:t xml:space="preserve"> :</w:t>
      </w:r>
    </w:p>
    <w:p>
      <w:pPr>
        <w:pStyle w:val="ListBullet"/>
      </w:pPr>
      <w:r/>
      <w:r>
        <w:rPr>
          <w:b/>
        </w:rPr>
        <w:t>Formes natives</w:t>
      </w:r>
      <w:r>
        <w:t xml:space="preserve"> (IFN-α 2a Roferon-A®, IFN-α 2b IntronA®, Heberon Alfa R®) — 3 injections par semaine (lundi-mercredi-vendredi), donc 156 injections par an. Pic de concentration important à chaque injection (responsable du syndrome pseudo-grippal) avec chute entre les injections (risque de rebond viral). Immunogénicité plus élevée (20-30 % d'anticorps anti-IFN-α). Coût plus faible.</w:t>
      </w:r>
    </w:p>
    <w:p>
      <w:pPr>
        <w:pStyle w:val="ListBullet"/>
      </w:pPr>
      <w:r/>
      <w:r>
        <w:rPr>
          <w:b/>
        </w:rPr>
        <w:t>Formes pégylées</w:t>
      </w:r>
      <w:r>
        <w:t xml:space="preserve"> (peg-IFN-α 2a Pegasys®, peg-IFN-α 2b ViraferonPeg®) — 1 injection par semaine, donc 52 injections par an. Concentration plasmatique stable (profil plat) — réduction du syndrome pseudo-grippal et de l'immunogénicité (5-10 % d'anticorps anti-PEG). Coût plus élevé mais observance améliorée. </w:t>
      </w:r>
      <w:r>
        <w:rPr>
          <w:b/>
        </w:rPr>
        <w:t>Standard actuel</w:t>
      </w:r>
      <w:r>
        <w:t xml:space="preserve"> des indications où l'IFN-α reste pertinent (PV, TE, mycosis fongoïde, hépatite chronique B).</w:t>
      </w:r>
    </w:p>
    <w:p>
      <w:r/>
      <w:r>
        <w:rPr>
          <w:b/>
        </w:rPr>
        <w:t>Choix entre peg-IFN-α 2a (Pegasys®) et peg-IFN-α 2b (ViraferonPeg®)</w:t>
      </w:r>
      <w:r>
        <w:t xml:space="preserve"> : pas de différence cliniquement pertinente d'efficacité entre les deux formes. La </w:t>
      </w:r>
      <w:r>
        <w:rPr>
          <w:b/>
        </w:rPr>
        <w:t>peg-IFN-α 2a (Pegasys®)</w:t>
      </w:r>
      <w:r>
        <w:t xml:space="preserve"> est plus pratique à utiliser (dose fixe 180 µg/sem, vs. dose pondérée 1,5 µg/kg/sem pour ViraferonPeg®). Les essais comparatifs (IDEAL, McHutchison JG, </w:t>
      </w:r>
      <w:r>
        <w:rPr>
          <w:i/>
        </w:rPr>
        <w:t>N Engl J Med</w:t>
      </w:r>
      <w:r>
        <w:t xml:space="preserve"> 2009 — hépatite C) n'ont pas montré de supériorité claire d'une forme sur l'autre. En pratique clinique algérienne, </w:t>
      </w:r>
      <w:r>
        <w:rPr>
          <w:b/>
        </w:rPr>
        <w:t>Pegasys® (peg-IFN-α 2a)</w:t>
      </w:r>
      <w:r>
        <w:t xml:space="preserve"> est la forme la plus utilisée (lorsqu'elle est disponible — actuellement en statut NON_RENOUVELABLE dans la nomenclature algérienne).</w:t>
      </w:r>
    </w:p>
    <w:p>
      <w:r/>
      <w:r>
        <w:rPr>
          <w:b/>
        </w:rPr>
        <w:t>Situation algérienne</w:t>
      </w:r>
      <w:r>
        <w:t xml:space="preserve"> : Toutes les marques d'IFN-α sont en statut NON_RENOUVELABLE ou RETIRÉ en Algérie (Heberon Alfa R Cuba, IntronA Schering-Plough, Roferon-A Roche, Pegasys Roche, ViraferonPeg Schering-Plough, Lemeron Lemery). Cette situation expose les patients nécessitant un traitement par IFN-α (maladie de Vaquez du sujet jeune, thrombocythémie essentielle de la femme enceinte, mycosis fongoïde, hépatite chronique B, hépatite chronique C) à un risque de rupture d'approvisionnement. Les alternatives thérapeutiques sont : (a) hydroxyurée (maladie de Vaquez du sujet &gt; 60 ans — non indiquée chez la femme enceinte tératogène) ; (b) anagrelide (thrombocythémie essentielle — non indiquée chez la femme enceinte) ; (c) entecavir / ténofovir (hépatite chronique B — alternatives efficaces à l'IFN-α) ; (d) AAD (hépatite chronique C — sofosbuvir/ledipasvir, daclatasvir disponibles en Algérie). Mais pour la mycosis fongoïde et la LMC de la femme enceinte, l'IFN-α reste irremplaçable.</w:t>
      </w:r>
    </w:p>
    <w:p>
      <w:r/>
      <w:r>
        <w:rPr>
          <w:b/>
        </w:rPr>
        <w:t>Instructions et Conseils au Patient :</w:t>
      </w:r>
      <w:r/>
    </w:p>
    <w:p>
      <w:pPr>
        <w:pStyle w:val="ListBullet"/>
      </w:pPr>
      <w:r/>
      <w:r>
        <w:rPr>
          <w:b/>
        </w:rPr>
        <w:t>Information préalable</w:t>
      </w:r>
      <w:r>
        <w:t xml:space="preserve"> (signée) : remise d'une notice d'information patient détaillant les effets indésirables critiques (dépression, dysthyroïdie, cytopénie, hépatotoxicité) et les signes d'alerte à reconnaître.</w:t>
      </w:r>
    </w:p>
    <w:p>
      <w:pPr>
        <w:pStyle w:val="ListBullet"/>
      </w:pPr>
      <w:r/>
      <w:r>
        <w:rPr>
          <w:b/>
        </w:rPr>
        <w:t>Signes d'alerte à reconnaître et consulter en urgence</w:t>
      </w:r>
      <w:r>
        <w:t xml:space="preserve"> :</w:t>
      </w:r>
    </w:p>
    <w:p>
      <w:pPr>
        <w:pStyle w:val="ListBullet"/>
      </w:pPr>
      <w:r>
        <w:t>Tristesse, anhédonie, idées noires, anxiété sévère → consultation psychiatrique urgente, arrêt immédiat IFN-α.</w:t>
      </w:r>
    </w:p>
    <w:p>
      <w:pPr>
        <w:pStyle w:val="ListBullet"/>
      </w:pPr>
      <w:r>
        <w:t>Polyurie-polydipsie, palpitations, tremulations, perte de poids → hyperthyroïdie.</w:t>
      </w:r>
    </w:p>
    <w:p>
      <w:pPr>
        <w:pStyle w:val="ListBullet"/>
      </w:pPr>
      <w:r>
        <w:t>Asthénie, frilositité, constipation, prise de poids → hypothyroïdie.</w:t>
      </w:r>
    </w:p>
    <w:p>
      <w:pPr>
        <w:pStyle w:val="ListBullet"/>
      </w:pPr>
      <w:r>
        <w:t>Fièvre + angine + gingivorragies → neutropénie fébrile (urgence hématologique).</w:t>
      </w:r>
    </w:p>
    <w:p>
      <w:pPr>
        <w:pStyle w:val="ListBullet"/>
      </w:pPr>
      <w:r>
        <w:t>Douleur thoracique, dyspnée → ischémie myocardique ou trouble du rythme.</w:t>
      </w:r>
    </w:p>
    <w:p>
      <w:pPr>
        <w:pStyle w:val="ListBullet"/>
      </w:pPr>
      <w:r>
        <w:t>Vision floue, scotomes → rétinopathie ischémique (urgence ophtalmologique).</w:t>
      </w:r>
    </w:p>
    <w:p>
      <w:pPr>
        <w:pStyle w:val="ListBullet"/>
      </w:pPr>
      <w:r>
        <w:t>Éruption cutanée en vespertilio, arthralgies → syndrome lupique démasqué.</w:t>
      </w:r>
    </w:p>
    <w:p>
      <w:pPr>
        <w:pStyle w:val="ListBullet"/>
      </w:pPr>
      <w:r/>
      <w:r>
        <w:rPr>
          <w:b/>
        </w:rPr>
        <w:t>Surveillance à domicile</w:t>
      </w:r>
      <w:r>
        <w:t xml:space="preserve"> : prise de température quotidienne (1ère semaine), glycémie capillaire (si diabète), état psychiatrique (échelle HAD ou PHQ-9 mensuelle), poids, état cutané au point d'injection.</w:t>
      </w:r>
    </w:p>
    <w:p>
      <w:pPr>
        <w:pStyle w:val="ListBullet"/>
      </w:pPr>
      <w:r/>
      <w:r>
        <w:rPr>
          <w:b/>
        </w:rPr>
        <w:t>Auto-administration SC</w:t>
      </w:r>
      <w:r>
        <w:t xml:space="preserve"> : formation initiale en milieu hospitalier (infirmière d'éducation thérapeutique), technique d'auto-injection (rotation des sites, désinfection, élimination des aiguilles en collecteur DASTRI), carnet de suivi des injections et des effets indésirables.</w:t>
      </w:r>
    </w:p>
    <w:p>
      <w:pPr>
        <w:pStyle w:val="ListBullet"/>
      </w:pPr>
      <w:r/>
      <w:r>
        <w:rPr>
          <w:b/>
        </w:rPr>
        <w:t>Injection le soir</w:t>
      </w:r>
      <w:r>
        <w:t xml:space="preserve"> : recommandée pour couvrir le syndrome pseudo-grippal par le sommeil. Paracétamol 1 g 30 min avant et 4 h après l'injection pendant les 4-6 premières injections.</w:t>
      </w:r>
    </w:p>
    <w:p>
      <w:pPr>
        <w:pStyle w:val="ListBullet"/>
      </w:pPr>
      <w:r/>
      <w:r>
        <w:rPr>
          <w:b/>
        </w:rPr>
        <w:t>Hydratation</w:t>
      </w:r>
      <w:r>
        <w:t xml:space="preserve"> : abondante (2 L/j) — réduit le syndrome pseudo-grippal.</w:t>
      </w:r>
    </w:p>
    <w:p>
      <w:pPr>
        <w:pStyle w:val="ListBullet"/>
      </w:pPr>
      <w:r/>
      <w:r>
        <w:rPr>
          <w:b/>
        </w:rPr>
        <w:t>Vaccins</w:t>
      </w:r>
      <w:r>
        <w:t xml:space="preserve"> : tous les vaccins vivants atténués (ROR, varicelle, BCG, fièvre jaune, rotavirus) sont contre-indiqués pendant et jusqu'à 1 mois après la fin du traitement. Les vaccins inactivés (grippe saisonnière, pneumocoque, hépatite B, HPV, méningocoque) sont recommandés.</w:t>
      </w:r>
    </w:p>
    <w:p>
      <w:pPr>
        <w:pStyle w:val="ListBullet"/>
      </w:pPr>
      <w:r/>
      <w:r>
        <w:rPr>
          <w:b/>
        </w:rPr>
        <w:t>Contraception</w:t>
      </w:r>
      <w:r>
        <w:t xml:space="preserve"> : chez la femme en âge de procréer — contraception efficace pendant le traitement. Chez la femme enceinte atteinte de LMC/PV/TE — l'IFN-α est l'alternative de choix (vs. imatinib/hydroxyurée tératogènes).</w:t>
      </w:r>
    </w:p>
    <w:p>
      <w:pPr>
        <w:pStyle w:val="ListBullet"/>
      </w:pPr>
      <w:r/>
      <w:r>
        <w:rPr>
          <w:b/>
        </w:rPr>
        <w:t>Allaitement</w:t>
      </w:r>
      <w:r>
        <w:t xml:space="preserve"> : contre-indication absolue pendant le traitement.</w:t>
      </w:r>
    </w:p>
    <w:p>
      <w:pPr>
        <w:pStyle w:val="ListBullet"/>
      </w:pPr>
      <w:r/>
      <w:r>
        <w:rPr>
          <w:b/>
        </w:rPr>
        <w:t>Conseil pharmacien d'officine</w:t>
      </w:r>
      <w:r>
        <w:t xml:space="preserve"> : délivrance stricte sur ordonnance (Liste I), vérification de la chaîne du froid (transport en sac isotherme + accumulateur de froid entre +2 °C et +8 °C), information patient sur la conservation au réfrigérateur, la technique d'auto-injection, les effets indésirables critiques, la surveillance psychiatrique et thyroïdienne. Vigilance sur les interactions (théophylline, AVK, antirétroviraux, ribavirine, clozapine).</w:t>
      </w:r>
    </w:p>
    <w:p>
      <w:r/>
      <w:r>
        <w:rPr>
          <w:b/>
        </w:rPr>
        <w:t>Notes, Règles d'Or &amp; Pièges au Comptoir :</w:t>
      </w:r>
      <w:r/>
    </w:p>
    <w:p>
      <w:pPr>
        <w:pStyle w:val="ListNumber"/>
      </w:pPr>
      <w:r/>
      <w:r>
        <w:rPr>
          <w:b/>
        </w:rPr>
        <w:t>Règle d'or n°1</w:t>
      </w:r>
      <w:r>
        <w:t xml:space="preserve"> : Toute instauration d'IFN-α impose un dépistage systématique des antécédents psychiatriques — dépression non contrôlée, trouble bipolaire, antécédent de tentative de suicide = contre-indication absolue.</w:t>
      </w:r>
    </w:p>
    <w:p>
      <w:pPr>
        <w:pStyle w:val="ListNumber"/>
      </w:pPr>
      <w:r/>
      <w:r>
        <w:rPr>
          <w:b/>
        </w:rPr>
        <w:t>Règle d'or n°2</w:t>
      </w:r>
      <w:r>
        <w:t xml:space="preserve"> : Surveillance thyroïdienne systématique (TSH, T4 libre) à l'instauration, à M1, M3 puis tous les 3 mois — dysthyroïdie auto-immune dans 5-15 % des cas.</w:t>
      </w:r>
    </w:p>
    <w:p>
      <w:pPr>
        <w:pStyle w:val="ListNumber"/>
      </w:pPr>
      <w:r/>
      <w:r>
        <w:rPr>
          <w:b/>
        </w:rPr>
        <w:t>Règle d'or n°3</w:t>
      </w:r>
      <w:r>
        <w:t xml:space="preserve"> : Surveillance NFS-plaquettes mensuelle — cytopénies dans 20-30 % des cas. Adaptation posologique si PNN &lt; 0,75 G/L ou plaquettes &lt; 50 G/L, arrêt si PNN &lt; 0,5 G/L ou plaquettes &lt; 25 G/L.</w:t>
      </w:r>
    </w:p>
    <w:p>
      <w:pPr>
        <w:pStyle w:val="ListNumber"/>
      </w:pPr>
      <w:r/>
      <w:r>
        <w:rPr>
          <w:b/>
        </w:rPr>
        <w:t>Règle d'or n°4</w:t>
      </w:r>
      <w:r>
        <w:t xml:space="preserve"> : Chez la femme enceinte atteinte de LMC/PV/TE — l'IFN-α est l'alternative de choix (vs. imatinib/hydroxyurée tératogènes). Surveillance échographique morphologique.</w:t>
      </w:r>
    </w:p>
    <w:p>
      <w:pPr>
        <w:pStyle w:val="ListNumber"/>
      </w:pPr>
      <w:r/>
      <w:r>
        <w:rPr>
          <w:b/>
        </w:rPr>
        <w:t>Règle d'or n°5</w:t>
      </w:r>
      <w:r>
        <w:t xml:space="preserve"> : Préférer les formes pégylées (Pegasys® 180 µg/sem) aux formes natives (3 injections/sem) en termes d'observance et de tolérance — si disponible.</w:t>
      </w:r>
    </w:p>
    <w:p>
      <w:pPr>
        <w:pStyle w:val="ListNumber"/>
      </w:pPr>
      <w:r/>
      <w:r>
        <w:rPr>
          <w:b/>
        </w:rPr>
        <w:t>Piège n°1</w:t>
      </w:r>
      <w:r>
        <w:t xml:space="preserve"> : Statut NON_RENOUVELABLE de toutes les marques d'IFN-α en Algérie — anticiper l'approvisionnement, recourir à l'importation nominative en cas de rupture.</w:t>
      </w:r>
    </w:p>
    <w:p>
      <w:pPr>
        <w:pStyle w:val="ListNumber"/>
      </w:pPr>
      <w:r/>
      <w:r>
        <w:rPr>
          <w:b/>
        </w:rPr>
        <w:t>Piège n°2</w:t>
      </w:r>
      <w:r>
        <w:t xml:space="preserve"> : Ne pas confondre peg-IFN-α 2a (Pegasys® 180 µg/sem dose fixe) et peg-IFN-α 2b (ViraferonPeg® 1,5 µg/kg/sem dose pondérée) — posologies et adaptations différentes.</w:t>
      </w:r>
    </w:p>
    <w:p>
      <w:pPr>
        <w:pStyle w:val="ListNumber"/>
      </w:pPr>
      <w:r/>
      <w:r>
        <w:rPr>
          <w:b/>
        </w:rPr>
        <w:t>Piège n°3</w:t>
      </w:r>
      <w:r>
        <w:t xml:space="preserve"> : Le syndrome pseudo-grippal (80-90 % à l'initiation) est quasi constant mais s'atténue après 2-4 semaines — ne pas l'interpréter comme un échec ou un changement de traitement.</w:t>
      </w:r>
    </w:p>
    <w:p>
      <w:pPr>
        <w:pStyle w:val="ListNumber"/>
      </w:pPr>
      <w:r/>
      <w:r>
        <w:rPr>
          <w:b/>
        </w:rPr>
        <w:t>Piège n°4</w:t>
      </w:r>
      <w:r>
        <w:t xml:space="preserve"> : La disparition du syndrome pseudo-grippal après plusieurs semaines de traitement peut traduire le développement d'anticorps neutralisants anti-IFN-α — à suspecter en cas de réapparition de la maladie ou de perte d'efficacité.</w:t>
      </w:r>
    </w:p>
    <w:p>
      <w:pPr>
        <w:pStyle w:val="ListNumber"/>
      </w:pPr>
      <w:r/>
      <w:r>
        <w:rPr>
          <w:b/>
        </w:rPr>
        <w:t>Piège n°5</w:t>
      </w:r>
      <w:r>
        <w:t xml:space="preserve"> : Vaccins vivants atténués contre-indiqués pendant et jusqu'à 1 mois après l'arrêt (ROR, varicelle, BCG, fièvre jaune, rotavirus).</w:t>
      </w:r>
    </w:p>
    <w:p>
      <w:pPr>
        <w:pStyle w:val="ListNumber"/>
      </w:pPr>
      <w:r/>
      <w:r>
        <w:rPr>
          <w:b/>
        </w:rPr>
        <w:t>Piège n°6</w:t>
      </w:r>
      <w:r>
        <w:t xml:space="preserve"> : Théophylline — surveiller la théophyllinémie (inhibition CYP1A2 par IFN-α, risque de surdosage).</w:t>
      </w:r>
    </w:p>
    <w:p>
      <w:pPr>
        <w:pStyle w:val="ListNumber"/>
      </w:pPr>
      <w:r/>
      <w:r>
        <w:rPr>
          <w:b/>
        </w:rPr>
        <w:t>Piège n°7</w:t>
      </w:r>
      <w:r>
        <w:t xml:space="preserve"> : Clozapine — risque accru d'agranulocytose (synergie avec la neutropénie IFN-induite).</w:t>
      </w:r>
    </w:p>
    <w:p>
      <w:pPr>
        <w:pStyle w:val="ListNumber"/>
      </w:pPr>
      <w:r/>
      <w:r>
        <w:rPr>
          <w:b/>
        </w:rPr>
        <w:t>Piège n°8</w:t>
      </w:r>
      <w:r>
        <w:t xml:space="preserve"> : Surveillance ophtalmologique systématique (fond d'œil initial et tous les 3-6 mois) — rétinopathie ischémique (cotton-wool spots, hémorragies rétiniennes) dans 1-3 % des cas, surtout chez les diabétiques et hypertendus.</w:t>
      </w:r>
    </w:p>
    <w:p>
      <w:pPr>
        <w:pStyle w:val="ListNumber"/>
      </w:pPr>
      <w:r/>
      <w:r>
        <w:rPr>
          <w:b/>
        </w:rPr>
        <w:t>Piège n°9</w:t>
      </w:r>
      <w:r>
        <w:t xml:space="preserve"> : Surveillance cardiologique si antécédent cardiovasculaire — ischémie myocardique, trouble du rythme, cardiomyopathie dilatée.</w:t>
      </w:r>
    </w:p>
    <w:p>
      <w:pPr>
        <w:pStyle w:val="ListNumber"/>
      </w:pPr>
      <w:r/>
      <w:r>
        <w:rPr>
          <w:b/>
        </w:rPr>
        <w:t>Piège n°10</w:t>
      </w:r>
      <w:r>
        <w:t xml:space="preserve"> : Conservation entre +2 °C et +8 °C (réfrigérateur) — ne pas congeler. Vérifier la chaîne du froid lors de la délivrance (transport en sac isotherme + accumulateur de froid).</w:t>
      </w:r>
    </w:p>
    <w:p>
      <w:pPr>
        <w:pStyle w:val="Heading2"/>
      </w:pPr>
      <w:r>
        <w:t>4. Tableau Comparatif Synoptique des 3 DCIs du Chapitre 108</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sz w:val="20"/>
              </w:rPr>
              <w:t>Paramètre</w:t>
            </w:r>
          </w:p>
        </w:tc>
        <w:tc>
          <w:tcPr>
            <w:tcW w:type="dxa" w:w="2339"/>
          </w:tcPr>
          <w:p>
            <w:r>
              <w:rPr>
                <w:b/>
                <w:sz w:val="20"/>
              </w:rPr>
              <w:t>L-Asparaginase (Kidrolase®)</w:t>
            </w:r>
          </w:p>
        </w:tc>
        <w:tc>
          <w:tcPr>
            <w:tcW w:type="dxa" w:w="2339"/>
          </w:tcPr>
          <w:p>
            <w:r>
              <w:rPr>
                <w:b/>
                <w:sz w:val="20"/>
              </w:rPr>
              <w:t>Acide rétinoïque (ATRA / isotrétinoïne)</w:t>
            </w:r>
          </w:p>
        </w:tc>
        <w:tc>
          <w:tcPr>
            <w:tcW w:type="dxa" w:w="2339"/>
          </w:tcPr>
          <w:p>
            <w:r>
              <w:rPr>
                <w:b/>
                <w:sz w:val="20"/>
              </w:rPr>
              <w:t>Interféron alpha (IFN-α 2a/2b / peg-IFN-α 2a/2b)</w:t>
            </w:r>
          </w:p>
        </w:tc>
      </w:tr>
      <w:tr>
        <w:tc>
          <w:tcPr>
            <w:tcW w:type="dxa" w:w="2339"/>
          </w:tcPr>
          <w:p>
            <w:r>
              <w:rPr>
                <w:sz w:val="20"/>
              </w:rPr>
              <w:t>**Sous-classe**</w:t>
            </w:r>
          </w:p>
        </w:tc>
        <w:tc>
          <w:tcPr>
            <w:tcW w:type="dxa" w:w="2339"/>
          </w:tcPr>
          <w:p>
            <w:r>
              <w:rPr>
                <w:sz w:val="20"/>
              </w:rPr>
              <w:t>Enzymes antitumorales</w:t>
            </w:r>
          </w:p>
        </w:tc>
        <w:tc>
          <w:tcPr>
            <w:tcW w:type="dxa" w:w="2339"/>
          </w:tcPr>
          <w:p>
            <w:r>
              <w:rPr>
                <w:sz w:val="20"/>
              </w:rPr>
              <w:t>Différenciation cellulaire</w:t>
            </w:r>
          </w:p>
        </w:tc>
        <w:tc>
          <w:tcPr>
            <w:tcW w:type="dxa" w:w="2339"/>
          </w:tcPr>
          <w:p>
            <w:r>
              <w:rPr>
                <w:sz w:val="20"/>
              </w:rPr>
              <w:t>Cytokines antitumorales</w:t>
            </w:r>
          </w:p>
        </w:tc>
      </w:tr>
      <w:tr>
        <w:tc>
          <w:tcPr>
            <w:tcW w:type="dxa" w:w="2339"/>
          </w:tcPr>
          <w:p>
            <w:r>
              <w:rPr>
                <w:sz w:val="20"/>
              </w:rPr>
              <w:t>**Mécanisme principal**</w:t>
            </w:r>
          </w:p>
        </w:tc>
        <w:tc>
          <w:tcPr>
            <w:tcW w:type="dxa" w:w="2339"/>
          </w:tcPr>
          <w:p>
            <w:r>
              <w:rPr>
                <w:sz w:val="20"/>
              </w:rPr>
              <w:t>Dégradation de l'asparagine → privation métabolique (déplétion asparagine plasmatique) ; blocage synthèse protéique ; apoptose (voie mitochondriale)</w:t>
            </w:r>
          </w:p>
        </w:tc>
        <w:tc>
          <w:tcPr>
            <w:tcW w:type="dxa" w:w="2339"/>
          </w:tcPr>
          <w:p>
            <w:r>
              <w:rPr>
                <w:sz w:val="20"/>
              </w:rPr>
              <w:t>Liaison RARα → activation transcription gènes différenciation ; dégradation protéine PML-RARα (LAP) ; induit maturation promyélocytes</w:t>
            </w:r>
          </w:p>
        </w:tc>
        <w:tc>
          <w:tcPr>
            <w:tcW w:type="dxa" w:w="2339"/>
          </w:tcPr>
          <w:p>
            <w:r>
              <w:rPr>
                <w:sz w:val="20"/>
              </w:rPr>
              <w:t>Liaison IFNAR1/2 → activation JAK-STAT (STAT1/STAT2/IRF9 = ISGF3) → transcription ISGs ; effets antiviral, anti-prolifératif, pro-apoptotique, immunomodulateur</w:t>
            </w:r>
          </w:p>
        </w:tc>
      </w:tr>
      <w:tr>
        <w:tc>
          <w:tcPr>
            <w:tcW w:type="dxa" w:w="2339"/>
          </w:tcPr>
          <w:p>
            <w:r>
              <w:rPr>
                <w:sz w:val="20"/>
              </w:rPr>
              <w:t>**Cible moléculaire**</w:t>
            </w:r>
          </w:p>
        </w:tc>
        <w:tc>
          <w:tcPr>
            <w:tcW w:type="dxa" w:w="2339"/>
          </w:tcPr>
          <w:p>
            <w:r>
              <w:rPr>
                <w:sz w:val="20"/>
              </w:rPr>
              <w:t>Asparagine circulante</w:t>
            </w:r>
          </w:p>
        </w:tc>
        <w:tc>
          <w:tcPr>
            <w:tcW w:type="dxa" w:w="2339"/>
          </w:tcPr>
          <w:p>
            <w:r>
              <w:rPr>
                <w:sz w:val="20"/>
              </w:rPr>
              <w:t>RARα (ATRA), RARβ/γ ; isomérisation hépatique en ATRA (isotrétinoïne)</w:t>
            </w:r>
          </w:p>
        </w:tc>
        <w:tc>
          <w:tcPr>
            <w:tcW w:type="dxa" w:w="2339"/>
          </w:tcPr>
          <w:p>
            <w:r>
              <w:rPr>
                <w:sz w:val="20"/>
              </w:rPr>
              <w:t>IFNAR1/IFNAR2 → JAK1/TYK2 → STAT1/STAT2/IRF9</w:t>
            </w:r>
          </w:p>
        </w:tc>
      </w:tr>
      <w:tr>
        <w:tc>
          <w:tcPr>
            <w:tcW w:type="dxa" w:w="2339"/>
          </w:tcPr>
          <w:p>
            <w:r>
              <w:rPr>
                <w:sz w:val="20"/>
              </w:rPr>
              <w:t>**Indication princeps**</w:t>
            </w:r>
          </w:p>
        </w:tc>
        <w:tc>
          <w:tcPr>
            <w:tcW w:type="dxa" w:w="2339"/>
          </w:tcPr>
          <w:p>
            <w:r>
              <w:rPr>
                <w:sz w:val="20"/>
              </w:rPr>
              <w:t>LAL enfant/adulte jeune (induction + consolidation)</w:t>
            </w:r>
          </w:p>
        </w:tc>
        <w:tc>
          <w:tcPr>
            <w:tcW w:type="dxa" w:w="2339"/>
          </w:tcPr>
          <w:p>
            <w:r>
              <w:rPr>
                <w:sz w:val="20"/>
              </w:rPr>
              <w:t>LAP (ATRA) ; neuroblastome haut risque (isotrétinoïne consolidation) ; acné sévère (dermatologie)</w:t>
            </w:r>
          </w:p>
        </w:tc>
        <w:tc>
          <w:tcPr>
            <w:tcW w:type="dxa" w:w="2339"/>
          </w:tcPr>
          <w:p>
            <w:r>
              <w:rPr>
                <w:sz w:val="20"/>
              </w:rPr>
              <w:t>LHI (hairy cell leukemia), mycosis fongoïde, maladie de Vaquez, TE, LMC grossesse, hépatites B et C</w:t>
            </w:r>
          </w:p>
        </w:tc>
      </w:tr>
      <w:tr>
        <w:tc>
          <w:tcPr>
            <w:tcW w:type="dxa" w:w="2339"/>
          </w:tcPr>
          <w:p>
            <w:r>
              <w:rPr>
                <w:sz w:val="20"/>
              </w:rPr>
              <w:t>**Dose standard**</w:t>
            </w:r>
          </w:p>
        </w:tc>
        <w:tc>
          <w:tcPr>
            <w:tcW w:type="dxa" w:w="2339"/>
          </w:tcPr>
          <w:p>
            <w:r>
              <w:rPr>
                <w:sz w:val="20"/>
              </w:rPr>
              <w:t>5 000-10 000 UI/m² IM × 2-3/sem</w:t>
            </w:r>
          </w:p>
        </w:tc>
        <w:tc>
          <w:tcPr>
            <w:tcW w:type="dxa" w:w="2339"/>
          </w:tcPr>
          <w:p>
            <w:r>
              <w:rPr>
                <w:sz w:val="20"/>
              </w:rPr>
              <w:t>ATRA 45 mg/m²/j PO × 30-45 j (induction LAP) ; isotrétinoïne 160 mg/m²/j PO × 14 j/28 j × 6 cures (neuroblastome)</w:t>
            </w:r>
          </w:p>
        </w:tc>
        <w:tc>
          <w:tcPr>
            <w:tcW w:type="dxa" w:w="2339"/>
          </w:tcPr>
          <w:p>
            <w:r>
              <w:rPr>
                <w:sz w:val="20"/>
              </w:rPr>
              <w:t>IFN-α 2a/2b : 3-9 MU × 3/sem SC ; peg-IFN-α 2a 180 µg/sem SC</w:t>
            </w:r>
          </w:p>
        </w:tc>
      </w:tr>
      <w:tr>
        <w:tc>
          <w:tcPr>
            <w:tcW w:type="dxa" w:w="2339"/>
          </w:tcPr>
          <w:p>
            <w:r>
              <w:rPr>
                <w:sz w:val="20"/>
              </w:rPr>
              <w:t>**Demi-vie plasmatique**</w:t>
            </w:r>
          </w:p>
        </w:tc>
        <w:tc>
          <w:tcPr>
            <w:tcW w:type="dxa" w:w="2339"/>
          </w:tcPr>
          <w:p>
            <w:r>
              <w:rPr>
                <w:sz w:val="20"/>
              </w:rPr>
              <w:t>8-30 h (E. coli native IM) ; 5-7 j (pegaspargase)</w:t>
            </w:r>
          </w:p>
        </w:tc>
        <w:tc>
          <w:tcPr>
            <w:tcW w:type="dxa" w:w="2339"/>
          </w:tcPr>
          <w:p>
            <w:r>
              <w:rPr>
                <w:sz w:val="20"/>
              </w:rPr>
              <w:t>ATRA : 0,7-1 h ; isotrétinoïne : 10-20 h</w:t>
            </w:r>
          </w:p>
        </w:tc>
        <w:tc>
          <w:tcPr>
            <w:tcW w:type="dxa" w:w="2339"/>
          </w:tcPr>
          <w:p>
            <w:r>
              <w:rPr>
                <w:sz w:val="20"/>
              </w:rPr>
              <w:t>IFN-α natif : 4-6 h ; peg-IFN-α 2a : 60-80 h ; peg-IFN-α 2b : 40-50 h</w:t>
            </w:r>
          </w:p>
        </w:tc>
      </w:tr>
      <w:tr>
        <w:tc>
          <w:tcPr>
            <w:tcW w:type="dxa" w:w="2339"/>
          </w:tcPr>
          <w:p>
            <w:r>
              <w:rPr>
                <w:sz w:val="20"/>
              </w:rPr>
              <w:t>**Voie d'administration**</w:t>
            </w:r>
          </w:p>
        </w:tc>
        <w:tc>
          <w:tcPr>
            <w:tcW w:type="dxa" w:w="2339"/>
          </w:tcPr>
          <w:p>
            <w:r>
              <w:rPr>
                <w:sz w:val="20"/>
              </w:rPr>
              <w:t>IM (privilégiée), IV perfusion 30 min-4 h, rarement intrathécale</w:t>
            </w:r>
          </w:p>
        </w:tc>
        <w:tc>
          <w:tcPr>
            <w:tcW w:type="dxa" w:w="2339"/>
          </w:tcPr>
          <w:p>
            <w:r>
              <w:rPr>
                <w:sz w:val="20"/>
              </w:rPr>
              <w:t>Per os (capsule molle au cours d'un repas)</w:t>
            </w:r>
          </w:p>
        </w:tc>
        <w:tc>
          <w:tcPr>
            <w:tcW w:type="dxa" w:w="2339"/>
          </w:tcPr>
          <w:p>
            <w:r>
              <w:rPr>
                <w:sz w:val="20"/>
              </w:rPr>
              <w:t>SC (auto-administration), IM (Heberon Alfa R)</w:t>
            </w:r>
          </w:p>
        </w:tc>
      </w:tr>
      <w:tr>
        <w:tc>
          <w:tcPr>
            <w:tcW w:type="dxa" w:w="2339"/>
          </w:tcPr>
          <w:p>
            <w:r>
              <w:rPr>
                <w:sz w:val="20"/>
              </w:rPr>
              <w:t>**Élimination**</w:t>
            </w:r>
          </w:p>
        </w:tc>
        <w:tc>
          <w:tcPr>
            <w:tcW w:type="dxa" w:w="2339"/>
          </w:tcPr>
          <w:p>
            <w:r>
              <w:rPr>
                <w:sz w:val="20"/>
              </w:rPr>
              <w:t>Réticulo-endothélial (mineure rénale) ; non CYP450-dépendante</w:t>
            </w:r>
          </w:p>
        </w:tc>
        <w:tc>
          <w:tcPr>
            <w:tcW w:type="dxa" w:w="2339"/>
          </w:tcPr>
          <w:p>
            <w:r>
              <w:rPr>
                <w:sz w:val="20"/>
              </w:rPr>
              <w:t>Hépatique CYP3A4, CYP2C8, CYP26A1 (rétinoïque acide hydroxylase)</w:t>
            </w:r>
          </w:p>
        </w:tc>
        <w:tc>
          <w:tcPr>
            <w:tcW w:type="dxa" w:w="2339"/>
          </w:tcPr>
          <w:p>
            <w:r>
              <w:rPr>
                <w:sz w:val="20"/>
              </w:rPr>
              <w:t>Protéolyse lysosomale, biliaire, rénale mineure</w:t>
            </w:r>
          </w:p>
        </w:tc>
      </w:tr>
      <w:tr>
        <w:tc>
          <w:tcPr>
            <w:tcW w:type="dxa" w:w="2339"/>
          </w:tcPr>
          <w:p>
            <w:r>
              <w:rPr>
                <w:sz w:val="20"/>
              </w:rPr>
              <w:t>**EI signature**</w:t>
            </w:r>
          </w:p>
        </w:tc>
        <w:tc>
          <w:tcPr>
            <w:tcW w:type="dxa" w:w="2339"/>
          </w:tcPr>
          <w:p>
            <w:r>
              <w:rPr>
                <w:sz w:val="20"/>
              </w:rPr>
              <w:t>Anaphylaxie (10-30 %), pancréatite (5-10 %), coagulopathie (40-60 %), thromboses sinus caverneux (1-3 %)</w:t>
            </w:r>
          </w:p>
        </w:tc>
        <w:tc>
          <w:tcPr>
            <w:tcW w:type="dxa" w:w="2339"/>
          </w:tcPr>
          <w:p>
            <w:r>
              <w:rPr>
                <w:sz w:val="20"/>
              </w:rPr>
              <w:t>Syndrome de différenciation rétinoïque (5-25 %), pseudo-tumeur cérébrale (1-3 %), tératogénicité absolue, sécheresse cutanéo-muqueuse, hyperlipidémie</w:t>
            </w:r>
          </w:p>
        </w:tc>
        <w:tc>
          <w:tcPr>
            <w:tcW w:type="dxa" w:w="2339"/>
          </w:tcPr>
          <w:p>
            <w:r>
              <w:rPr>
                <w:sz w:val="20"/>
              </w:rPr>
              <w:t>Dépression / idées suicidaires (5-10 %), dysthyroïdie (5-15 %), cytopénies (20-30 %), syndrome pseudo-grippal (80-90 %), rétinopathie (1-3 %)</w:t>
            </w:r>
          </w:p>
        </w:tc>
      </w:tr>
      <w:tr>
        <w:tc>
          <w:tcPr>
            <w:tcW w:type="dxa" w:w="2339"/>
          </w:tcPr>
          <w:p>
            <w:r>
              <w:rPr>
                <w:sz w:val="20"/>
              </w:rPr>
              <w:t>**Surveillance hématologique**</w:t>
            </w:r>
          </w:p>
        </w:tc>
        <w:tc>
          <w:tcPr>
            <w:tcW w:type="dxa" w:w="2339"/>
          </w:tcPr>
          <w:p>
            <w:r>
              <w:rPr>
                <w:sz w:val="20"/>
              </w:rPr>
              <w:t>NFS-plaquettes hebdomadaire (myélosuppression modérée)</w:t>
            </w:r>
          </w:p>
        </w:tc>
        <w:tc>
          <w:tcPr>
            <w:tcW w:type="dxa" w:w="2339"/>
          </w:tcPr>
          <w:p>
            <w:r>
              <w:rPr>
                <w:sz w:val="20"/>
              </w:rPr>
              <w:t>NFS quotidienne induction LAP (hyperleucocytose + CIVD LAP)</w:t>
            </w:r>
          </w:p>
        </w:tc>
        <w:tc>
          <w:tcPr>
            <w:tcW w:type="dxa" w:w="2339"/>
          </w:tcPr>
          <w:p>
            <w:r>
              <w:rPr>
                <w:sz w:val="20"/>
              </w:rPr>
              <w:t>NFS-plaquettes mensuelle (cytopénies)</w:t>
            </w:r>
          </w:p>
        </w:tc>
      </w:tr>
      <w:tr>
        <w:tc>
          <w:tcPr>
            <w:tcW w:type="dxa" w:w="2339"/>
          </w:tcPr>
          <w:p>
            <w:r>
              <w:rPr>
                <w:sz w:val="20"/>
              </w:rPr>
              <w:t>**Surveillance hémostase**</w:t>
            </w:r>
          </w:p>
        </w:tc>
        <w:tc>
          <w:tcPr>
            <w:tcW w:type="dxa" w:w="2339"/>
          </w:tcPr>
          <w:p>
            <w:r>
              <w:rPr>
                <w:sz w:val="20"/>
              </w:rPr>
              <w:t>Fibrinogène, AT-III, TP, TCA, D-dimères hebdomadaire (thromboses/hémorragies)</w:t>
            </w:r>
          </w:p>
        </w:tc>
        <w:tc>
          <w:tcPr>
            <w:tcW w:type="dxa" w:w="2339"/>
          </w:tcPr>
          <w:p>
            <w:r>
              <w:rPr>
                <w:sz w:val="20"/>
              </w:rPr>
              <w:t>TP, TCA, fibrinogène quotidien en induction LAP (CIVD LAP)</w:t>
            </w:r>
          </w:p>
        </w:tc>
        <w:tc>
          <w:tcPr>
            <w:tcW w:type="dxa" w:w="2339"/>
          </w:tcPr>
          <w:p>
            <w:r>
              <w:rPr>
                <w:sz w:val="20"/>
              </w:rPr>
              <w:t>Pas de surveillance spécifique (pas d'effet direct sur coagulation)</w:t>
            </w:r>
          </w:p>
        </w:tc>
      </w:tr>
      <w:tr>
        <w:tc>
          <w:tcPr>
            <w:tcW w:type="dxa" w:w="2339"/>
          </w:tcPr>
          <w:p>
            <w:r>
              <w:rPr>
                <w:sz w:val="20"/>
              </w:rPr>
              <w:t>**Surveillance hépatique**</w:t>
            </w:r>
          </w:p>
        </w:tc>
        <w:tc>
          <w:tcPr>
            <w:tcW w:type="dxa" w:w="2339"/>
          </w:tcPr>
          <w:p>
            <w:r>
              <w:rPr>
                <w:sz w:val="20"/>
              </w:rPr>
              <w:t>ASAT/ALAT, GGT, PAL, bilirubine hebdomadaire (hépatotoxicité 30-50 %)</w:t>
            </w:r>
          </w:p>
        </w:tc>
        <w:tc>
          <w:tcPr>
            <w:tcW w:type="dxa" w:w="2339"/>
          </w:tcPr>
          <w:p>
            <w:r>
              <w:rPr>
                <w:sz w:val="20"/>
              </w:rPr>
              <w:t>ASAT/ALAT mensuel (cytolyse 20-30 %)</w:t>
            </w:r>
          </w:p>
        </w:tc>
        <w:tc>
          <w:tcPr>
            <w:tcW w:type="dxa" w:w="2339"/>
          </w:tcPr>
          <w:p>
            <w:r>
              <w:rPr>
                <w:sz w:val="20"/>
              </w:rPr>
              <w:t>ASAT/ALAT mensuel (cytolyse 15-30 %)</w:t>
            </w:r>
          </w:p>
        </w:tc>
      </w:tr>
      <w:tr>
        <w:tc>
          <w:tcPr>
            <w:tcW w:type="dxa" w:w="2339"/>
          </w:tcPr>
          <w:p>
            <w:r>
              <w:rPr>
                <w:sz w:val="20"/>
              </w:rPr>
              <w:t>**Surveillance pancréatique**</w:t>
            </w:r>
          </w:p>
        </w:tc>
        <w:tc>
          <w:tcPr>
            <w:tcW w:type="dxa" w:w="2339"/>
          </w:tcPr>
          <w:p>
            <w:r>
              <w:rPr>
                <w:sz w:val="20"/>
              </w:rPr>
              <w:t>Lipase, amylase hebdomadaire (pancréatite 5-10 %)</w:t>
            </w:r>
          </w:p>
        </w:tc>
        <w:tc>
          <w:tcPr>
            <w:tcW w:type="dxa" w:w="2339"/>
          </w:tcPr>
          <w:p>
            <w:r>
              <w:rPr>
                <w:sz w:val="20"/>
              </w:rPr>
              <w:t>Pas de surveillance systématique</w:t>
            </w:r>
          </w:p>
        </w:tc>
        <w:tc>
          <w:tcPr>
            <w:tcW w:type="dxa" w:w="2339"/>
          </w:tcPr>
          <w:p>
            <w:r>
              <w:rPr>
                <w:sz w:val="20"/>
              </w:rPr>
              <w:t>Pas de surveillance systématique</w:t>
            </w:r>
          </w:p>
        </w:tc>
      </w:tr>
      <w:tr>
        <w:tc>
          <w:tcPr>
            <w:tcW w:type="dxa" w:w="2339"/>
          </w:tcPr>
          <w:p>
            <w:r>
              <w:rPr>
                <w:sz w:val="20"/>
              </w:rPr>
              <w:t>**Surveillance thyroïdienne**</w:t>
            </w:r>
          </w:p>
        </w:tc>
        <w:tc>
          <w:tcPr>
            <w:tcW w:type="dxa" w:w="2339"/>
          </w:tcPr>
          <w:p>
            <w:r>
              <w:rPr>
                <w:sz w:val="20"/>
              </w:rPr>
              <w:t>Non requise</w:t>
            </w:r>
          </w:p>
        </w:tc>
        <w:tc>
          <w:tcPr>
            <w:tcW w:type="dxa" w:w="2339"/>
          </w:tcPr>
          <w:p>
            <w:r>
              <w:rPr>
                <w:sz w:val="20"/>
              </w:rPr>
              <w:t>Non requise</w:t>
            </w:r>
          </w:p>
        </w:tc>
        <w:tc>
          <w:tcPr>
            <w:tcW w:type="dxa" w:w="2339"/>
          </w:tcPr>
          <w:p>
            <w:r>
              <w:rPr>
                <w:sz w:val="20"/>
              </w:rPr>
              <w:t>TSH, T4 libre initiaux, M1, M3 puis tous les 3 mois (dysthyroïdie 5-15 %)</w:t>
            </w:r>
          </w:p>
        </w:tc>
      </w:tr>
      <w:tr>
        <w:tc>
          <w:tcPr>
            <w:tcW w:type="dxa" w:w="2339"/>
          </w:tcPr>
          <w:p>
            <w:r>
              <w:rPr>
                <w:sz w:val="20"/>
              </w:rPr>
              <w:t>**Surveillance psychiatrique**</w:t>
            </w:r>
          </w:p>
        </w:tc>
        <w:tc>
          <w:tcPr>
            <w:tcW w:type="dxa" w:w="2339"/>
          </w:tcPr>
          <w:p>
            <w:r>
              <w:rPr>
                <w:sz w:val="20"/>
              </w:rPr>
              <w:t>Non requise</w:t>
            </w:r>
          </w:p>
        </w:tc>
        <w:tc>
          <w:tcPr>
            <w:tcW w:type="dxa" w:w="2339"/>
          </w:tcPr>
          <w:p>
            <w:r>
              <w:rPr>
                <w:sz w:val="20"/>
              </w:rPr>
              <w:t>Échelle HAD ou PHQ-9 mensuelle (dépression 10-30 %)</w:t>
            </w:r>
          </w:p>
        </w:tc>
        <w:tc>
          <w:tcPr>
            <w:tcW w:type="dxa" w:w="2339"/>
          </w:tcPr>
          <w:p>
            <w:r>
              <w:rPr>
                <w:sz w:val="20"/>
              </w:rPr>
              <w:t>Échelle HAD ou PHQ-9 mensuelle (dépression 20-40 %, idées suicidaires 5-10 %)</w:t>
            </w:r>
          </w:p>
        </w:tc>
      </w:tr>
      <w:tr>
        <w:tc>
          <w:tcPr>
            <w:tcW w:type="dxa" w:w="2339"/>
          </w:tcPr>
          <w:p>
            <w:r>
              <w:rPr>
                <w:sz w:val="20"/>
              </w:rPr>
              <w:t>**Tératogénicité (CRAT)**</w:t>
            </w:r>
          </w:p>
        </w:tc>
        <w:tc>
          <w:tcPr>
            <w:tcW w:type="dxa" w:w="2339"/>
          </w:tcPr>
          <w:p>
            <w:r>
              <w:rPr>
                <w:sz w:val="20"/>
              </w:rPr>
              <w:t>Catégorie D (suspecté — éviter)</w:t>
            </w:r>
          </w:p>
        </w:tc>
        <w:tc>
          <w:tcPr>
            <w:tcW w:type="dxa" w:w="2339"/>
          </w:tcPr>
          <w:p>
            <w:r>
              <w:rPr>
                <w:sz w:val="20"/>
              </w:rPr>
              <w:t>Catégorie X (formellement contre-indiqué — syndrome rétinoïde fœtal 30-50 %)</w:t>
            </w:r>
          </w:p>
        </w:tc>
        <w:tc>
          <w:tcPr>
            <w:tcW w:type="dxa" w:w="2339"/>
          </w:tcPr>
          <w:p>
            <w:r>
              <w:rPr>
                <w:sz w:val="20"/>
              </w:rPr>
              <w:t>Catégorie C (à éviter — données limitées) ; utilisé chez la femme enceinte (LMC, PV, TE) en alternative à l'imatinib/hydroxyurée</w:t>
            </w:r>
          </w:p>
        </w:tc>
      </w:tr>
      <w:tr>
        <w:tc>
          <w:tcPr>
            <w:tcW w:type="dxa" w:w="2339"/>
          </w:tcPr>
          <w:p>
            <w:r>
              <w:rPr>
                <w:sz w:val="20"/>
              </w:rPr>
              <w:t>**Grossesse sous traitement**</w:t>
            </w:r>
          </w:p>
        </w:tc>
        <w:tc>
          <w:tcPr>
            <w:tcW w:type="dxa" w:w="2339"/>
          </w:tcPr>
          <w:p>
            <w:r>
              <w:rPr>
                <w:sz w:val="20"/>
              </w:rPr>
              <w:t>Contre-indication absolue</w:t>
            </w:r>
          </w:p>
        </w:tc>
        <w:tc>
          <w:tcPr>
            <w:tcW w:type="dxa" w:w="2339"/>
          </w:tcPr>
          <w:p>
            <w:r>
              <w:rPr>
                <w:sz w:val="20"/>
              </w:rPr>
              <w:t>Contre-indication absolue (sauf ATRA en cas de LAP maternelle — exception)</w:t>
            </w:r>
          </w:p>
        </w:tc>
        <w:tc>
          <w:tcPr>
            <w:tcW w:type="dxa" w:w="2339"/>
          </w:tcPr>
          <w:p>
            <w:r>
              <w:rPr>
                <w:sz w:val="20"/>
              </w:rPr>
              <w:t>Possible si indication forte (LMC, PV, TE) — surveillance échographique</w:t>
            </w:r>
          </w:p>
        </w:tc>
      </w:tr>
      <w:tr>
        <w:tc>
          <w:tcPr>
            <w:tcW w:type="dxa" w:w="2339"/>
          </w:tcPr>
          <w:p>
            <w:r>
              <w:rPr>
                <w:sz w:val="20"/>
              </w:rPr>
              <w:t>**Allaitement**</w:t>
            </w:r>
          </w:p>
        </w:tc>
        <w:tc>
          <w:tcPr>
            <w:tcW w:type="dxa" w:w="2339"/>
          </w:tcPr>
          <w:p>
            <w:r>
              <w:rPr>
                <w:sz w:val="20"/>
              </w:rPr>
              <w:t>Contre-indication absolue</w:t>
            </w:r>
          </w:p>
        </w:tc>
        <w:tc>
          <w:tcPr>
            <w:tcW w:type="dxa" w:w="2339"/>
          </w:tcPr>
          <w:p>
            <w:r>
              <w:rPr>
                <w:sz w:val="20"/>
              </w:rPr>
              <w:t>Contre-indication absolue</w:t>
            </w:r>
          </w:p>
        </w:tc>
        <w:tc>
          <w:tcPr>
            <w:tcW w:type="dxa" w:w="2339"/>
          </w:tcPr>
          <w:p>
            <w:r>
              <w:rPr>
                <w:sz w:val="20"/>
              </w:rPr>
              <w:t>Contre-indication absolue</w:t>
            </w:r>
          </w:p>
        </w:tc>
      </w:tr>
      <w:tr>
        <w:tc>
          <w:tcPr>
            <w:tcW w:type="dxa" w:w="2339"/>
          </w:tcPr>
          <w:p>
            <w:r>
              <w:rPr>
                <w:sz w:val="20"/>
              </w:rPr>
              <w:t>**Contraception post-arrêt**</w:t>
            </w:r>
          </w:p>
        </w:tc>
        <w:tc>
          <w:tcPr>
            <w:tcW w:type="dxa" w:w="2339"/>
          </w:tcPr>
          <w:p>
            <w:r>
              <w:rPr>
                <w:sz w:val="20"/>
              </w:rPr>
              <w:t>3 mois</w:t>
            </w:r>
          </w:p>
        </w:tc>
        <w:tc>
          <w:tcPr>
            <w:tcW w:type="dxa" w:w="2339"/>
          </w:tcPr>
          <w:p>
            <w:r>
              <w:rPr>
                <w:sz w:val="20"/>
              </w:rPr>
              <w:t>1 mois (isotrétinoïne et ATRA)</w:t>
            </w:r>
          </w:p>
        </w:tc>
        <w:tc>
          <w:tcPr>
            <w:tcW w:type="dxa" w:w="2339"/>
          </w:tcPr>
          <w:p>
            <w:r>
              <w:rPr>
                <w:sz w:val="20"/>
              </w:rPr>
              <w:t>1 mois</w:t>
            </w:r>
          </w:p>
        </w:tc>
      </w:tr>
      <w:tr>
        <w:tc>
          <w:tcPr>
            <w:tcW w:type="dxa" w:w="2339"/>
          </w:tcPr>
          <w:p>
            <w:r>
              <w:rPr>
                <w:sz w:val="20"/>
              </w:rPr>
              <w:t>**Vaccins vivants atténués**</w:t>
            </w:r>
          </w:p>
        </w:tc>
        <w:tc>
          <w:tcPr>
            <w:tcW w:type="dxa" w:w="2339"/>
          </w:tcPr>
          <w:p>
            <w:r>
              <w:rPr>
                <w:sz w:val="20"/>
              </w:rPr>
              <w:t>Contre-indiqués pendant et 3 mois après</w:t>
            </w:r>
          </w:p>
        </w:tc>
        <w:tc>
          <w:tcPr>
            <w:tcW w:type="dxa" w:w="2339"/>
          </w:tcPr>
          <w:p>
            <w:r>
              <w:rPr>
                <w:sz w:val="20"/>
              </w:rPr>
              <w:t>Contre-indiqués pendant le traitement</w:t>
            </w:r>
          </w:p>
        </w:tc>
        <w:tc>
          <w:tcPr>
            <w:tcW w:type="dxa" w:w="2339"/>
          </w:tcPr>
          <w:p>
            <w:r>
              <w:rPr>
                <w:sz w:val="20"/>
              </w:rPr>
              <w:t>Contre-indiqués pendant et 1 mois après</w:t>
            </w:r>
          </w:p>
        </w:tc>
      </w:tr>
      <w:tr>
        <w:tc>
          <w:tcPr>
            <w:tcW w:type="dxa" w:w="2339"/>
          </w:tcPr>
          <w:p>
            <w:r>
              <w:rPr>
                <w:sz w:val="20"/>
              </w:rPr>
              <w:t>**Interactions majeures**</w:t>
            </w:r>
          </w:p>
        </w:tc>
        <w:tc>
          <w:tcPr>
            <w:tcW w:type="dxa" w:w="2339"/>
          </w:tcPr>
          <w:p>
            <w:r>
              <w:rPr>
                <w:sz w:val="20"/>
              </w:rPr>
              <w:t>AVK, aspirine, AINS, paracétamol &gt; 2 g/j, vaccins vivants</w:t>
            </w:r>
          </w:p>
        </w:tc>
        <w:tc>
          <w:tcPr>
            <w:tcW w:type="dxa" w:w="2339"/>
          </w:tcPr>
          <w:p>
            <w:r>
              <w:rPr>
                <w:sz w:val="20"/>
              </w:rPr>
              <w:t>Vitamine A, tétracyclines, macrolides, fibrates, statines, pamplemousse, millepertuis</w:t>
            </w:r>
          </w:p>
        </w:tc>
        <w:tc>
          <w:tcPr>
            <w:tcW w:type="dxa" w:w="2339"/>
          </w:tcPr>
          <w:p>
            <w:r>
              <w:rPr>
                <w:sz w:val="20"/>
              </w:rPr>
              <w:t>Théophylline, antirétroviraux, ribavirine, clozapine, AVK</w:t>
            </w:r>
          </w:p>
        </w:tc>
      </w:tr>
      <w:tr>
        <w:tc>
          <w:tcPr>
            <w:tcW w:type="dxa" w:w="2339"/>
          </w:tcPr>
          <w:p>
            <w:r>
              <w:rPr>
                <w:sz w:val="20"/>
              </w:rPr>
              <w:t>**Indisponibilité Algérie**</w:t>
            </w:r>
          </w:p>
        </w:tc>
        <w:tc>
          <w:tcPr>
            <w:tcW w:type="dxa" w:w="2339"/>
          </w:tcPr>
          <w:p>
            <w:r>
              <w:rPr>
                <w:sz w:val="20"/>
              </w:rPr>
              <w:t>Kidrolase® NON_RENOUVELABLE</w:t>
            </w:r>
          </w:p>
        </w:tc>
        <w:tc>
          <w:tcPr>
            <w:tcW w:type="dxa" w:w="2339"/>
          </w:tcPr>
          <w:p>
            <w:r>
              <w:rPr>
                <w:sz w:val="20"/>
              </w:rPr>
              <w:t>ATRA (Vesanoid®) NON DISPONIBLE ; isotrétinoïne disponible (Curacne®, Xeractan®)</w:t>
            </w:r>
          </w:p>
        </w:tc>
        <w:tc>
          <w:tcPr>
            <w:tcW w:type="dxa" w:w="2339"/>
          </w:tcPr>
          <w:p>
            <w:r>
              <w:rPr>
                <w:sz w:val="20"/>
              </w:rPr>
              <w:t>TOUTES les marques NON_RENOUVELABLES ou RETIRÉES</w:t>
            </w:r>
          </w:p>
        </w:tc>
      </w:tr>
      <w:tr>
        <w:tc>
          <w:tcPr>
            <w:tcW w:type="dxa" w:w="2339"/>
          </w:tcPr>
          <w:p>
            <w:r>
              <w:rPr>
                <w:sz w:val="20"/>
              </w:rPr>
              <w:t>**Marques actives Algérie**</w:t>
            </w:r>
          </w:p>
        </w:tc>
        <w:tc>
          <w:tcPr>
            <w:tcW w:type="dxa" w:w="2339"/>
          </w:tcPr>
          <w:p>
            <w:r>
              <w:rPr>
                <w:sz w:val="20"/>
              </w:rPr>
              <w:t>Aucune</w:t>
            </w:r>
          </w:p>
        </w:tc>
        <w:tc>
          <w:tcPr>
            <w:tcW w:type="dxa" w:w="2339"/>
          </w:tcPr>
          <w:p>
            <w:r>
              <w:rPr>
                <w:sz w:val="20"/>
              </w:rPr>
              <w:t>CURACNE 5/10/20 mg Pierre Fabre, XERACTAN 10/20 mg Hikma</w:t>
            </w:r>
          </w:p>
        </w:tc>
        <w:tc>
          <w:tcPr>
            <w:tcW w:type="dxa" w:w="2339"/>
          </w:tcPr>
          <w:p>
            <w:r>
              <w:rPr>
                <w:sz w:val="20"/>
              </w:rPr>
              <w:t>Aucune</w:t>
            </w:r>
          </w:p>
        </w:tc>
      </w:tr>
      <w:tr>
        <w:tc>
          <w:tcPr>
            <w:tcW w:type="dxa" w:w="2339"/>
          </w:tcPr>
          <w:p>
            <w:r>
              <w:rPr>
                <w:sz w:val="20"/>
              </w:rPr>
              <w:t>**Marques non renouvelables**</w:t>
            </w:r>
          </w:p>
        </w:tc>
        <w:tc>
          <w:tcPr>
            <w:tcW w:type="dxa" w:w="2339"/>
          </w:tcPr>
          <w:p>
            <w:r>
              <w:rPr>
                <w:sz w:val="20"/>
              </w:rPr>
              <w:t>Kidrolase EUSA Pharma 10 000 UI</w:t>
            </w:r>
          </w:p>
        </w:tc>
        <w:tc>
          <w:tcPr>
            <w:tcW w:type="dxa" w:w="2339"/>
          </w:tcPr>
          <w:p>
            <w:r>
              <w:rPr>
                <w:sz w:val="20"/>
              </w:rPr>
              <w:t>ISOTREX Stiefel, AKNETT 10/20 mg Biovital, RETANE 20 Asia Pharma</w:t>
            </w:r>
          </w:p>
        </w:tc>
        <w:tc>
          <w:tcPr>
            <w:tcW w:type="dxa" w:w="2339"/>
          </w:tcPr>
          <w:p>
            <w:r>
              <w:rPr>
                <w:sz w:val="20"/>
              </w:rPr>
              <w:t>HEBERON ALFA R Cuba 3/5/10 MUI, INTRONA Schering 3/5/10 MUI, ROFERON-A Roche 3/9 MUI, PEGASYS Roche 180 µg</w:t>
            </w:r>
          </w:p>
        </w:tc>
      </w:tr>
      <w:tr>
        <w:tc>
          <w:tcPr>
            <w:tcW w:type="dxa" w:w="2339"/>
          </w:tcPr>
          <w:p>
            <w:r>
              <w:rPr>
                <w:sz w:val="20"/>
              </w:rPr>
              <w:t>**Marques retirées (R)**</w:t>
            </w:r>
          </w:p>
        </w:tc>
        <w:tc>
          <w:tcPr>
            <w:tcW w:type="dxa" w:w="2339"/>
          </w:tcPr>
          <w:p>
            <w:r>
              <w:rPr>
                <w:sz w:val="20"/>
              </w:rPr>
              <w:t>Kidrolase EUSA Pharma (ancienne version)</w:t>
            </w:r>
          </w:p>
        </w:tc>
        <w:tc>
          <w:tcPr>
            <w:tcW w:type="dxa" w:w="2339"/>
          </w:tcPr>
          <w:p>
            <w:r>
              <w:rPr>
                <w:sz w:val="20"/>
              </w:rPr>
              <w:t>ACNETIN-A Sigma, ROACCUTANE 10/20 mg Roche</w:t>
            </w:r>
          </w:p>
        </w:tc>
        <w:tc>
          <w:tcPr>
            <w:tcW w:type="dxa" w:w="2339"/>
          </w:tcPr>
          <w:p>
            <w:r>
              <w:rPr>
                <w:sz w:val="20"/>
              </w:rPr>
              <w:t>LEMERON Lemery, VIRAFERONPEG 50/80/100/120/150 µg Schering</w:t>
            </w:r>
          </w:p>
        </w:tc>
      </w:tr>
      <w:tr>
        <w:tc>
          <w:tcPr>
            <w:tcW w:type="dxa" w:w="2339"/>
          </w:tcPr>
          <w:p>
            <w:r>
              <w:rPr>
                <w:sz w:val="20"/>
              </w:rPr>
              <w:t>**ATC**</w:t>
            </w:r>
          </w:p>
        </w:tc>
        <w:tc>
          <w:tcPr>
            <w:tcW w:type="dxa" w:w="2339"/>
          </w:tcPr>
          <w:p>
            <w:r>
              <w:rPr>
                <w:sz w:val="20"/>
              </w:rPr>
              <w:t>L01XX02</w:t>
            </w:r>
          </w:p>
        </w:tc>
        <w:tc>
          <w:tcPr>
            <w:tcW w:type="dxa" w:w="2339"/>
          </w:tcPr>
          <w:p>
            <w:r>
              <w:rPr>
                <w:sz w:val="20"/>
              </w:rPr>
              <w:t>L01XX14 (ATRA) / D10BA01 (isotrétinoïne)</w:t>
            </w:r>
          </w:p>
        </w:tc>
        <w:tc>
          <w:tcPr>
            <w:tcW w:type="dxa" w:w="2339"/>
          </w:tcPr>
          <w:p>
            <w:r>
              <w:rPr>
                <w:sz w:val="20"/>
              </w:rPr>
              <w:t>L03AB04 (IFN-α 2a), L03AB05 (IFN-α 2b), L03AB10 (peg-IFN-α 2b), L03AB11 (peg-IFN-α 2a)</w:t>
            </w:r>
          </w:p>
        </w:tc>
      </w:tr>
      <w:tr>
        <w:tc>
          <w:tcPr>
            <w:tcW w:type="dxa" w:w="2339"/>
          </w:tcPr>
          <w:p>
            <w:r>
              <w:rPr>
                <w:sz w:val="20"/>
              </w:rPr>
              <w:t>**Liste / Prescription**</w:t>
            </w:r>
          </w:p>
        </w:tc>
        <w:tc>
          <w:tcPr>
            <w:tcW w:type="dxa" w:w="2339"/>
          </w:tcPr>
          <w:p>
            <w:r>
              <w:rPr>
                <w:sz w:val="20"/>
              </w:rPr>
              <w:t>Liste I, médication hospitalière stricte (centre de LAL pédiatrique)</w:t>
            </w:r>
          </w:p>
        </w:tc>
        <w:tc>
          <w:tcPr>
            <w:tcW w:type="dxa" w:w="2339"/>
          </w:tcPr>
          <w:p>
            <w:r>
              <w:rPr>
                <w:sz w:val="20"/>
              </w:rPr>
              <w:t>Liste I, prescription hospitalière stricte (LAP) ou hospitalo-universitaire (acné)</w:t>
            </w:r>
          </w:p>
        </w:tc>
        <w:tc>
          <w:tcPr>
            <w:tcW w:type="dxa" w:w="2339"/>
          </w:tcPr>
          <w:p>
            <w:r>
              <w:rPr>
                <w:sz w:val="20"/>
              </w:rPr>
              <w:t>Liste I, prescription hospitalière stricte (initiation), auto-administration SC possible</w:t>
            </w:r>
          </w:p>
        </w:tc>
      </w:tr>
    </w:tbl>
    <w:p/>
    <w:p>
      <w:pPr>
        <w:pStyle w:val="Heading2"/>
      </w:pPr>
      <w:r>
        <w:t>5. Synthèse pédagogique du Chapitre 108</w:t>
      </w:r>
    </w:p>
    <w:p>
      <w:pPr>
        <w:pStyle w:val="Heading3"/>
      </w:pPr>
      <w:r>
        <w:t>5.1 Récapitulatif mécanistique des 3 sous-classes</w:t>
      </w:r>
    </w:p>
    <w:p>
      <w:r>
        <w:t>Le Chapitre 108 rassemble trois voies pharmacologiques originales qui partagent la particularité d'échapper au cadre strict des cytotoxiques classiques (alkylants, antimétabolites, poisons du fuseau, topoisomérases) :</w:t>
      </w:r>
    </w:p>
    <w:p>
      <w:pPr>
        <w:pStyle w:val="ListNumber"/>
      </w:pPr>
      <w:r/>
      <w:r>
        <w:rPr>
          <w:b/>
        </w:rPr>
        <w:t>Enzymes antitumorales (L-asparaginase)</w:t>
      </w:r>
      <w:r>
        <w:t xml:space="preserve"> : Privation métabolique par dégradation enzymatique d'un acide aminé essentiel (asparagine) dont dépendent les blastes lymphoïdes leucémiques (LAL) par déficience en asparagine synthétase. Mécanisme original d'inhibition de la synthèse protéique, cycle-non-spécifique mais phase-G1-préférentiel. Efficacité restreinte aux LAL (et certains lymphomes T) — pas d'effet sur les cellules solides. Apport pronostique majeur (+15-20 % d'EFS à 5 ans dans les LAL).</w:t>
      </w:r>
    </w:p>
    <w:p>
      <w:pPr>
        <w:pStyle w:val="ListNumber"/>
      </w:pPr>
      <w:r/>
      <w:r>
        <w:rPr>
          <w:b/>
        </w:rPr>
        <w:t>Différenciation cellulaire (ATRA / isotrétinoïne)</w:t>
      </w:r>
      <w:r>
        <w:t xml:space="preserve"> : Reprogrammation transcriptionnelle par liaison aux récepteurs nucléaires RARα/β/γ — restauration de la transcription des gènes de différenciation myéloïde bloqués par la protéine de fusion PML-RARα (LAP). Mécanisme original de différenciation cellulaire tumorale (vs. cytotoxicité directe). Révolution thérapeutique : LAP passée de 30 % de mortalité à 30 jours (CIVD + hémorragie cérébrale) et survie &lt; 15 % à 5 ans, à survie &gt; 90 % à 5 ans avec ATRA + ATO. Tératogénicité absolue (syndrome rétinoïde fœtal) qui impose un programme de prévention de grossesse strict.</w:t>
      </w:r>
    </w:p>
    <w:p>
      <w:pPr>
        <w:pStyle w:val="ListNumber"/>
      </w:pPr>
      <w:r/>
      <w:r>
        <w:rPr>
          <w:b/>
        </w:rPr>
        <w:t>Cytokines antitumorales (interféron alpha)</w:t>
      </w:r>
      <w:r>
        <w:t xml:space="preserve"> : Activation de la voie JAK-STAT (STAT1/STAT2/IRF9 = ISGF3) → transcription de plus de 300 ISGs aux effets antiviral, anti-prolifératif, pro-apoptotique et immunomodulateur (augmentation présentation CMH I, activation NK et T CD8+ cytotoxiques). Prototype historique de l'immunothérapie anticancéreuse, supplanté par les ITK (LMC, carcinome rénal) et les inhibiteurs de checkpoint (mélanome) mais conservant une place irremplaçable dans certaines indications de niche (maladie de Vaquez du sujet jeune, thrombocythémie essentielle de la femme enceinte, mycosis fongoïde, LMC de la femme enceinte).</w:t>
      </w:r>
    </w:p>
    <w:p>
      <w:pPr>
        <w:pStyle w:val="Heading3"/>
      </w:pPr>
      <w:r>
        <w:t>5.2 Les 15 règles d'or absolues du Chapitre 108</w:t>
      </w:r>
    </w:p>
    <w:p>
      <w:pPr>
        <w:pStyle w:val="ListNumber"/>
      </w:pPr>
      <w:r/>
      <w:r>
        <w:rPr>
          <w:b/>
        </w:rPr>
        <w:t>Asparaginase</w:t>
      </w:r>
      <w:r>
        <w:t xml:space="preserve"> : Toute injection en milieu hospitalier spécialisé avec médecin réanimateur présent 1 heure après (risque anaphylactique).</w:t>
      </w:r>
    </w:p>
    <w:p>
      <w:pPr>
        <w:pStyle w:val="ListNumber"/>
      </w:pPr>
      <w:r/>
      <w:r>
        <w:rPr>
          <w:b/>
        </w:rPr>
        <w:t>Asparaginase</w:t>
      </w:r>
      <w:r>
        <w:t xml:space="preserve"> : Voie IM toujours préférée à la voie IV (réduction du pic plasmatique et des réactions anaphylactiques).</w:t>
      </w:r>
    </w:p>
    <w:p>
      <w:pPr>
        <w:pStyle w:val="ListNumber"/>
      </w:pPr>
      <w:r/>
      <w:r>
        <w:rPr>
          <w:b/>
        </w:rPr>
        <w:t>Asparaginase</w:t>
      </w:r>
      <w:r>
        <w:t xml:space="preserve"> : Surveillance hebdomadaire fibrinogène et AT-III (substitution par Riastap® si fibrinogène &lt; 1 g/L, Atnativ® si AT-III &lt; 50 %).</w:t>
      </w:r>
    </w:p>
    <w:p>
      <w:pPr>
        <w:pStyle w:val="ListNumber"/>
      </w:pPr>
      <w:r/>
      <w:r>
        <w:rPr>
          <w:b/>
        </w:rPr>
        <w:t>Asparaginase</w:t>
      </w:r>
      <w:r>
        <w:t xml:space="preserve"> : Suspicion pancréatite (douleur épigastrique + lipase &gt; 3× LSN) = arrêt définitif, pas de switch.</w:t>
      </w:r>
    </w:p>
    <w:p>
      <w:pPr>
        <w:pStyle w:val="ListNumber"/>
      </w:pPr>
      <w:r/>
      <w:r>
        <w:rPr>
          <w:b/>
        </w:rPr>
        <w:t>ATRA</w:t>
      </w:r>
      <w:r>
        <w:t xml:space="preserve"> : Test de grossesse + double contraception obligatoires pendant et 1 mois après arrêt (tératogénicité absolue).</w:t>
      </w:r>
    </w:p>
    <w:p>
      <w:pPr>
        <w:pStyle w:val="ListNumber"/>
      </w:pPr>
      <w:r/>
      <w:r>
        <w:rPr>
          <w:b/>
        </w:rPr>
        <w:t>ATRA</w:t>
      </w:r>
      <w:r>
        <w:t xml:space="preserve"> : Syndrome de différenciation rétinoïque (fièvre + dyspnée + œdèmes) = dexaméthasone 10 mg IV × 2/j immédiate, ne pas attendre confirmation bactériologique.</w:t>
      </w:r>
    </w:p>
    <w:p>
      <w:pPr>
        <w:pStyle w:val="ListNumber"/>
      </w:pPr>
      <w:r/>
      <w:r>
        <w:rPr>
          <w:b/>
        </w:rPr>
        <w:t>ATRA</w:t>
      </w:r>
      <w:r>
        <w:t xml:space="preserve"> : Céphalées rebelles + troubles visuels = suspecter pseudo-tumeur cérébrale, arrêt ATRA, acétazolamide. Ne pas associer aux tétracyclines.</w:t>
      </w:r>
    </w:p>
    <w:p>
      <w:pPr>
        <w:pStyle w:val="ListNumber"/>
      </w:pPr>
      <w:r/>
      <w:r>
        <w:rPr>
          <w:b/>
        </w:rPr>
        <w:t>ATRA</w:t>
      </w:r>
      <w:r>
        <w:t xml:space="preserve"> : ATRA (Vesanoid®) et isotrétinoïne (Curacne®/Xeractan®) ne sont PAS interchangeables — ATRA nécessaire pour LAP, isotrétinoïne pour neuroblastome.</w:t>
      </w:r>
    </w:p>
    <w:p>
      <w:pPr>
        <w:pStyle w:val="ListNumber"/>
      </w:pPr>
      <w:r/>
      <w:r>
        <w:rPr>
          <w:b/>
        </w:rPr>
        <w:t>ATRA/isotrétinoïne</w:t>
      </w:r>
      <w:r>
        <w:t xml:space="preserve"> : Vitamine A, foie, huile de foie de morue = contre-indiqués (hypervitaminose synergique).</w:t>
      </w:r>
    </w:p>
    <w:p>
      <w:pPr>
        <w:pStyle w:val="ListNumber"/>
      </w:pPr>
      <w:r/>
      <w:r>
        <w:rPr>
          <w:b/>
        </w:rPr>
        <w:t>IFN-α</w:t>
      </w:r>
      <w:r>
        <w:t xml:space="preserve"> : Dépistage antécédents psychiatriques avant instauration — dépression non contrôlée = CI absolue.</w:t>
      </w:r>
    </w:p>
    <w:p>
      <w:pPr>
        <w:pStyle w:val="ListNumber"/>
      </w:pPr>
      <w:r/>
      <w:r>
        <w:rPr>
          <w:b/>
        </w:rPr>
        <w:t>IFN-α</w:t>
      </w:r>
      <w:r>
        <w:t xml:space="preserve"> : Surveillance TSH, T4 libre initiaux, M1, M3 puis tous les 3 mois (dysthyroïdie 5-15 %).</w:t>
      </w:r>
    </w:p>
    <w:p>
      <w:pPr>
        <w:pStyle w:val="ListNumber"/>
      </w:pPr>
      <w:r/>
      <w:r>
        <w:rPr>
          <w:b/>
        </w:rPr>
        <w:t>IFN-α</w:t>
      </w:r>
      <w:r>
        <w:t xml:space="preserve"> : Surveillance NFS-plaquettes mensuelle (cytopénies 20-30 %), adaptation si PNN &lt; 0,75 G/L ou plaquettes &lt; 50 G/L.</w:t>
      </w:r>
    </w:p>
    <w:p>
      <w:pPr>
        <w:pStyle w:val="ListNumber"/>
      </w:pPr>
      <w:r/>
      <w:r>
        <w:rPr>
          <w:b/>
        </w:rPr>
        <w:t>IFN-α</w:t>
      </w:r>
      <w:r>
        <w:t xml:space="preserve"> : Chez la femme enceinte atteinte de LMC/PV/TE — IFN-α = alternative de choix (vs. imatinib/hydroxyurée tératogènes).</w:t>
      </w:r>
    </w:p>
    <w:p>
      <w:pPr>
        <w:pStyle w:val="ListNumber"/>
      </w:pPr>
      <w:r/>
      <w:r>
        <w:rPr>
          <w:b/>
        </w:rPr>
        <w:t>Tous</w:t>
      </w:r>
      <w:r>
        <w:t xml:space="preserve"> : Vaccins vivants atténués contre-indiqués pendant et 1-3 mois après arrêt.</w:t>
      </w:r>
    </w:p>
    <w:p>
      <w:pPr>
        <w:pStyle w:val="ListNumber"/>
      </w:pPr>
      <w:r/>
      <w:r>
        <w:rPr>
          <w:b/>
        </w:rPr>
        <w:t>Tous</w:t>
      </w:r>
      <w:r>
        <w:t xml:space="preserve"> : Statut NON_RENOUVELABLE de toutes les spécialités en Algérie — anticiper l'approvisionnement, recourir à l'importation nominative si nécessaire.</w:t>
      </w:r>
    </w:p>
    <w:p>
      <w:pPr>
        <w:pStyle w:val="Heading3"/>
      </w:pPr>
      <w:r>
        <w:t>5.3 Les 20 pièges majeurs au comptoir</w:t>
      </w:r>
    </w:p>
    <w:p>
      <w:pPr>
        <w:pStyle w:val="ListNumber"/>
      </w:pPr>
      <w:r>
        <w:t>Confondre ATRA (Vesanoid® 10 mg, NON disponible en Algérie) et isotrétinoïne (Curacne®/Xeractan® 5/10/20 mg, disponibles).</w:t>
      </w:r>
    </w:p>
    <w:p>
      <w:pPr>
        <w:pStyle w:val="ListNumber"/>
      </w:pPr>
      <w:r>
        <w:t>Confondre peg-IFN-α 2a (Pegasys® 180 µg/sem dose fixe) et peg-IFN-α 2b (ViraferonPeg® 1,5 µg/kg/sem dose pondérée).</w:t>
      </w:r>
    </w:p>
    <w:p>
      <w:pPr>
        <w:pStyle w:val="ListNumber"/>
      </w:pPr>
      <w:r>
        <w:t>Confondre Kidrolase® (E. coli native, 5 000-10 000 UI/m² × 2-3/sem) et Oncaspar® (pegaspargase pégylée, 2 500 UI/m² × 1/sem) — pas disponibles les deux en Algérie.</w:t>
      </w:r>
    </w:p>
    <w:p>
      <w:pPr>
        <w:pStyle w:val="ListNumber"/>
      </w:pPr>
      <w:r>
        <w:t>Interpréter le syndrome de différenciation rétinoïque comme un échec thérapeutique — c'est un effet *on-target* de l'ATRA.</w:t>
      </w:r>
    </w:p>
    <w:p>
      <w:pPr>
        <w:pStyle w:val="ListNumber"/>
      </w:pPr>
      <w:r>
        <w:t>Interpréter l'hyperleucocytose sous ATRA (jusqu'à 50-100 G/L) comme une progression leucémique — c'est la différenciation des promyélocytes.</w:t>
      </w:r>
    </w:p>
    <w:p>
      <w:pPr>
        <w:pStyle w:val="ListNumber"/>
      </w:pPr>
      <w:r>
        <w:t>Administrer l'asparaginase en bolus IV direct (risque anaphylactique majeur) — toujours perfuser sur 30 min à 4 h.</w:t>
      </w:r>
    </w:p>
    <w:p>
      <w:pPr>
        <w:pStyle w:val="ListNumber"/>
      </w:pPr>
      <w:r>
        <w:t>Agiter vigoureusement le flacon d'asparaginase lors de la reconstitution (la mousse inactive l'enzyme).</w:t>
      </w:r>
    </w:p>
    <w:p>
      <w:pPr>
        <w:pStyle w:val="ListNumber"/>
      </w:pPr>
      <w:r>
        <w:t>Délivrer un rétinoïde tératogène sans test de grossesse négatif récent — le pharmacien peut/doit refuser.</w:t>
      </w:r>
    </w:p>
    <w:p>
      <w:pPr>
        <w:pStyle w:val="ListNumber"/>
      </w:pPr>
      <w:r>
        <w:t>Prescrire de la vitamine A ou des aliments riches en vitamine A (foie) sous ATRA/isotrétinoïne (hypervitaminose).</w:t>
      </w:r>
    </w:p>
    <w:p>
      <w:pPr>
        <w:pStyle w:val="ListNumber"/>
      </w:pPr>
      <w:r>
        <w:t>Prescrire tétracyclines sous ATRA (risque pseudo-tumeur cérébrale synergique).</w:t>
      </w:r>
    </w:p>
    <w:p>
      <w:pPr>
        <w:pStyle w:val="ListNumber"/>
      </w:pPr>
      <w:r>
        <w:t>Prescrire millepertuis sous ATRA (inducteur CYP3A4, perte d'efficacité).</w:t>
      </w:r>
    </w:p>
    <w:p>
      <w:pPr>
        <w:pStyle w:val="ListNumber"/>
      </w:pPr>
      <w:r>
        <w:t>Prescrire vaccins vivants atténués sous asparaginase, ATRA ou IFN-α (risque d'infection vaccinale).</w:t>
      </w:r>
    </w:p>
    <w:p>
      <w:pPr>
        <w:pStyle w:val="ListNumber"/>
      </w:pPr>
      <w:r>
        <w:t>Oublier la surveillance thyroïdienne sous IFN-α (dysthyroïdie 5-15 %).</w:t>
      </w:r>
    </w:p>
    <w:p>
      <w:pPr>
        <w:pStyle w:val="ListNumber"/>
      </w:pPr>
      <w:r>
        <w:t>Oublier la surveillance psychiatrique sous IFN-α (dépression 20-40 %, idées suicidaires 5-10 %).</w:t>
      </w:r>
    </w:p>
    <w:p>
      <w:pPr>
        <w:pStyle w:val="ListNumber"/>
      </w:pPr>
      <w:r>
        <w:t>Oublier la surveillance ophtalmologique sous IFN-α (rétinopathie 1-3 %, surtout chez diabétiques et hypertendus).</w:t>
      </w:r>
    </w:p>
    <w:p>
      <w:pPr>
        <w:pStyle w:val="ListNumber"/>
      </w:pPr>
      <w:r>
        <w:t>Oublier la surveillance de l'activité asparaginase résiduelle plasmatique à J3-J5 de chaque cure (inactivation silencieuse par anticorps neutralisants).</w:t>
      </w:r>
    </w:p>
    <w:p>
      <w:pPr>
        <w:pStyle w:val="ListNumber"/>
      </w:pPr>
      <w:r>
        <w:t>Méconnaître l'indication de l'IFN-α chez la femme enceinte atteinte de LMC/PV/TE (alternative à l'imatinib/hydroxyurée tératogènes).</w:t>
      </w:r>
    </w:p>
    <w:p>
      <w:pPr>
        <w:pStyle w:val="ListNumber"/>
      </w:pPr>
      <w:r>
        <w:t>Méconnaître le statut NON_RENOUVELABLE de toutes les spécialités d'IFN-α en Algérie (anticiper l'approvisionnement).</w:t>
      </w:r>
    </w:p>
    <w:p>
      <w:pPr>
        <w:pStyle w:val="ListNumber"/>
      </w:pPr>
      <w:r>
        <w:t>Méconnaître l'indisponibilité de l'ATRA (Vesanoid®) en Algérie (importation nominative pour LAP).</w:t>
      </w:r>
    </w:p>
    <w:p>
      <w:pPr>
        <w:pStyle w:val="ListNumber"/>
      </w:pPr>
      <w:r>
        <w:t>Méconnaître le risque thrombotique majeur de l'asparaginase (chute AT-III — surveillance et substitution Atnativ®).</w:t>
      </w:r>
    </w:p>
    <w:p>
      <w:pPr>
        <w:pStyle w:val="Heading3"/>
      </w:pPr>
      <w:r>
        <w:t>5.4 Précautions particulières à l'environnement algérien</w:t>
      </w:r>
    </w:p>
    <w:p>
      <w:r>
        <w:t>Le paysage pharmaceutique algérien présente plusieurs particularités pour ces 3 DCIs :</w:t>
      </w:r>
    </w:p>
    <w:p>
      <w:pPr>
        <w:pStyle w:val="ListNumber"/>
      </w:pPr>
      <w:r/>
      <w:r>
        <w:rPr>
          <w:b/>
        </w:rPr>
        <w:t>Approvisionnement critique pour l'asparaginase</w:t>
      </w:r>
      <w:r>
        <w:t xml:space="preserve"> : La seule spécialité disponible (Kidrolase® EUSA Pharma) est en statut NON_RENOUVELABLE, exposant les services d'oncologie pédiatrique à un risque de rupture d'approvisionnement des protocoles de LAL — situation préoccupante. Les alternatives (pegaspargase Oncaspar®, asparaginase d'Erwinia Erwinaze®) ne sont pas inscrites dans la nomenclature et nécessitent une importation nominative via les centres anticancéreux (Pierre et Marie Curie d'Alger, EPH CAC Oran, EHU Constantine, EPH Bachir Mentouri). La Société Algérienne d'Oncologie Pédiatrique (SAOP) et la Société Algérienne d'Hématologie (SAH) ont soumis plusieurs requêtes pour réinscription de Kidrolase® et inscription de la pegaspargase.</w:t>
      </w:r>
    </w:p>
    <w:p>
      <w:pPr>
        <w:pStyle w:val="ListNumber"/>
      </w:pPr>
      <w:r/>
      <w:r>
        <w:rPr>
          <w:b/>
        </w:rPr>
        <w:t>Indisponibilité totale de l'ATRA (Vesanoid®) en Algérie</w:t>
      </w:r>
      <w:r>
        <w:t xml:space="preserve"> : La seule forme active d'ATRA nécessaire pour l'induction de la LAP (Vesanoid® 10 mg capsule, Roche/Chugai) n'est PAS inscrite dans la nomenclature algérienne. L'isotrétinoïne (Curacne® Pierre Fabre, Xeractan® Hikma) — disponible en 5/10/20 mg — NE PEUT PAS être substituée à l'ATRA (efficacité moindre dans la LAP, risque accru de syndrome de différenciation). L'importation nominative de Vesanoid® est impérative pour le traitement de la LAP en Algérie.</w:t>
      </w:r>
    </w:p>
    <w:p>
      <w:pPr>
        <w:pStyle w:val="ListNumber"/>
      </w:pPr>
      <w:r/>
      <w:r>
        <w:rPr>
          <w:b/>
        </w:rPr>
        <w:t>Indisponibilité totale de l'IFN-α en Algérie</w:t>
      </w:r>
      <w:r>
        <w:t xml:space="preserve"> : Toutes les marques d'IFN-α (Heberon Alfa R Cuba, IntronA Schering-Plough, Roferon-A Roche, Pegasys Roche, ViraferonPeg Schering-Plough, Lemeron Lemery) sont en statut NON_RENOUVELABLE ou RETIRÉ. Cette situation expose les patients nécessitant un traitement par IFN-α à un risque majeur de rupture d'approvisionnement. Les alternatives thérapeutiques sont : hydroxyurée (maladie de Vaquez du sujet &gt; 60 ans, mais tératogène — non indiquée chez la femme enceinte), anagrelide (thrombocythémie essentielle — non indiquée chez la femme enceinte), entecavir / ténofovir (hépatite chronique B), AAD (hépatite chronique C — sofosbuvir/ledipasvir, daclatasvir). Mais pour la mycosis fongoïde, la LMC de la femme enceinte, la maladie de Vaquez du sujet jeune, et la thrombocythémie essentielle de la femme enceinte, l'IFN-α reste irremplaçable et doit être importé nominativement.</w:t>
      </w:r>
    </w:p>
    <w:p>
      <w:pPr>
        <w:pStyle w:val="ListNumber"/>
      </w:pPr>
      <w:r/>
      <w:r>
        <w:rPr>
          <w:b/>
        </w:rPr>
        <w:t>Circuit hospitalier exclusif</w:t>
      </w:r>
      <w:r>
        <w:t xml:space="preserve"> : Ces 3 DCIs sont distribuées exclusivement via les centres anti-cancéreux et les services d'hématologie / dermatologie oncologique / hépatologie. Le pharmacien d'officine n'est pas amené à délivrer ces molécules directement, mais intervient en délivrance d'accompagnement (antalgiques, antiémétiques, pansements, anticoagulants, antithyroïdiens de synthèse, antidépresseurs) et en conseil patient (observance, surveillance à domicile, signes d'alerte).</w:t>
      </w:r>
    </w:p>
    <w:p>
      <w:pPr>
        <w:pStyle w:val="ListNumber"/>
      </w:pPr>
      <w:r/>
      <w:r>
        <w:rPr>
          <w:b/>
        </w:rPr>
        <w:t>Vigilance interactions médicamenteuses</w:t>
      </w:r>
      <w:r>
        <w:t xml:space="preserve"> : Le pharmacien d'officine doit être vigilant sur les interactions entre ces 3 DCIs et les médicaments d'accompagnement : AVK (asparaginase), aspirine/AINS (asparaginase), paracétamol haute dose (asparaginase, IFN-α), vitamine A (ATRA/isotrétinoïne), tétracyclines (ATRA), macrolides (ATRA), pamplemousse (ATRA), millepertuis (ATRA, IFN-α), théophylline (IFN-α), clozapine (IFN-α), ribavirine (IFN-α dans le traitement du VHC).</w:t>
      </w:r>
    </w:p>
    <w:p>
      <w:pPr>
        <w:pStyle w:val="Heading3"/>
      </w:pPr>
      <w:r>
        <w:t>5.5 Conclusion du Chapitre 108</w:t>
      </w:r>
    </w:p>
    <w:p>
      <w:r>
        <w:t>Le Chapitre 108 a abordé trois voies pharmacologiques originales qui clôturent le panorama de l'oncologie médicale moderne : la privation métabolique enzymatique (asparaginase), la reprogrammation transcriptionnelle de différenciation cellulaire (acide rétinoïque) et l'immunomodulation cytokinique (interféron alpha). Ces trois approches, longtemps pionnières, ont été en partie supplantées par les thérapies ciblées (ITK, anticorps monoclonaux) et l'immunothérapie de checkpoint (anti-CTLA-4, anti-PD-1/PD-L1) dans la plupart de leurs indications historiques. Néanmoins, elles conservent un rôle irremplaçable dans certaines indications de niche (LAL pour l'asparaginase, LAP pour l'ATRA, maladie de Vaquez du sujet jeune pour l'IFN-α, mycosis fongoïde) et représentent des modèles pédagogiques essentiels pour comprendre les mécanismes fondamentaux de la pharmacologie anticancéreuse : privation métabolique, reprogrammation transcriptionnelle, immuno-modulation.</w:t>
      </w:r>
    </w:p>
    <w:p>
      <w:r>
        <w:t>La maîtrise de ces molécules repose sur (i) une connaissance fine de leurs mécanismes d'action (hydrolyse de l'asparagine pour l'asparaginase, liaison RARα et dégradation PML-RARα pour l'ATRA, activation JAK-STAT et transcription ISGs pour l'IFN-α) ; (ii) une anticipation rigoureuse de leurs effets indésirables critiques (anaphylaxie-pancréatite-coagulopathie pour l'asparaginase, syndrome de différenciation-tératogénicité-pseudo-tumeur cérébrale pour l'ATRA, dépression-dysthyroïdie-cytopénie-rétinopathie pour l'IFN-α) ; (iii) une coordination étroite pharmacien-oncologue-hématologue-dermatologue-pédiatre pour la surveillance clinique et biologique multidimensionnelle ; (iv) une vigilance particulière sur les interactions médicamenteuses (anticoagulants, vaccins vivants, inducteurs/inhibiteurs CYP3A4, théophylline) ; (v) une information patient détaillée et signée sur les risques tératogènes (programme PPP pour les rétinoïdes), les signes d'alerte à reconnaître (douleur épigastrique sous asparaginase, fièvre + dyspnée sous ATRA, tristesse/idées noires sous IFN-α), et la nécessité d'une observance rigoureuse.</w:t>
      </w:r>
    </w:p>
    <w:p>
      <w:r>
        <w:t>Le contexte algérien — marqué par le statut NON_RENOUVELABLE ou RETIRÉ de la majorité des spécialités de ces 3 DCIs — soulève un enjeu majeur de santé publique pour l'accès aux traitements de certaines pathologies hématologiques (LAP, LAL, maladie de Vaquez, thrombocythémie essentielle de la femme enceinte) et de l'hépatite chronique B. Les autorités sanitaires algériennes, en lien avec les sociétés savantes (SAOP, SAH, Société Algérienne de Dermatologie, Société Algérienne de Gastro-Entérologie), doivent impérativement réinscrire ces molécules sur la liste des médicaments à statut spécial et/ou faciliter l'importation nominative nominative pour les patients nécessitant un traitement urgent. Le pharmacien d'officine algérien, en lien étroit avec les centres anticancéreux et les services hospitaliers spécialisés, joue un rôle pivot dans l'accompagnement thérapeutique des patients sous asparaginase, ATRA ou IFN-α : délivrance des médicaments d'accompagnement (antalgiques, anticoagulants, antithyroïdiens, antidépresseurs, pansements), conseil patient (observance, surveillance à domicile, signes d'alerte), et vigilance interactions médicamenteuses.</w:t>
      </w:r>
    </w:p>
    <w:p>
      <w:r>
        <w:t>Ce chapitre conclut le Fascicule XII consacré à l'Oncologie médicale, qui a abordé successivement les alkylants et sels de platine (Chapitre 101), les antimétabolites et antibiotiques antitumoraux (Chapitre 102), les inhibiteurs du fuseau et de la topoisomérase (Chapitre 103), les inhibiteurs de tyrosine kinase (Chapitre 104), les hormones et antihormones (Chapitre 105), les anticorps monoclonaux (Chapitre 106), les inhibiteurs de checkpoint immunitaire (Chapitre 107), et enfin les enzymes, agents de différenciation et cytokines (Chapitre 108). Le Fascicule XIII sera consacré aux hormonothérapies anticancéreuses, prolongeant l'exploration des thérapeutiques ciblées de l'oncologie médicale moderne.</w:t>
      </w:r>
    </w:p>
    <w:p>
      <w:pPr>
        <w:pStyle w:val="Heading3"/>
      </w:pPr>
      <w:r>
        <w:t>5.6 Sources bibliographiques principales du Chapitre 108</w:t>
      </w:r>
    </w:p>
    <w:p>
      <w:pPr>
        <w:pStyle w:val="ListNumber"/>
      </w:pPr>
      <w:r/>
      <w:r>
        <w:rPr>
          <w:b/>
        </w:rPr>
        <w:t>VIDAL 2026</w:t>
      </w:r>
      <w:r>
        <w:t xml:space="preserve"> — Répertoire des Spécialités Pharmaceutiques. Éditions Vidal, Paris.</w:t>
      </w:r>
    </w:p>
    <w:p>
      <w:pPr>
        <w:pStyle w:val="ListNumber"/>
      </w:pPr>
      <w:r/>
      <w:r>
        <w:rPr>
          <w:b/>
        </w:rPr>
        <w:t>ANSM</w:t>
      </w:r>
      <w:r>
        <w:t xml:space="preserve"> — Résumé des Caractéristiques du Produit (RCP) Kidrolase®, Vesanoid®, Curacne®, Pegasys®, Roferon-A®, IntronA®. Agence Nationale de Sécurité du Médicament et des Produits de Santé, France.</w:t>
      </w:r>
    </w:p>
    <w:p>
      <w:pPr>
        <w:pStyle w:val="ListNumber"/>
      </w:pPr>
      <w:r/>
      <w:r>
        <w:rPr>
          <w:b/>
        </w:rPr>
        <w:t>Thériaque</w:t>
      </w:r>
      <w:r>
        <w:t xml:space="preserve"> — Banque de données française sur les médicaments. Hôpital Bichat-Claude Bernard, Paris.</w:t>
      </w:r>
    </w:p>
    <w:p>
      <w:pPr>
        <w:pStyle w:val="ListNumber"/>
      </w:pPr>
      <w:r/>
      <w:r>
        <w:rPr>
          <w:b/>
        </w:rPr>
        <w:t>CRAT</w:t>
      </w:r>
      <w:r>
        <w:t xml:space="preserve"> — Centre de Renseignement sur les Agents Tératogènes. Hôpital Armand-Trousseau, Paris (https://www.lecrat.fr).</w:t>
      </w:r>
    </w:p>
    <w:p>
      <w:pPr>
        <w:pStyle w:val="ListNumber"/>
      </w:pPr>
      <w:r/>
      <w:r>
        <w:rPr>
          <w:b/>
        </w:rPr>
        <w:t>NCCN Clinical Practice Guidelines in Oncology 2024-2025</w:t>
      </w:r>
      <w:r>
        <w:t xml:space="preserve"> — Acute Lymphoblastic Leukemia (Pediatric, Adult) ; Acute Myeloid Leukemia ; Neuroblastoma ; Cutaneous T-Cell Lymphomas ; Chronic Myeloid Leukemia ; Hepatocellular Carcinoma ; Polycythemia Vera ; Essential Thrombocythemia ; Melanoma.</w:t>
      </w:r>
    </w:p>
    <w:p>
      <w:pPr>
        <w:pStyle w:val="ListNumber"/>
      </w:pPr>
      <w:r/>
      <w:r>
        <w:rPr>
          <w:b/>
        </w:rPr>
        <w:t>UpToDate</w:t>
      </w:r>
      <w:r>
        <w:t xml:space="preserve"> — Chapitres « Acute lymphoblastic leukemia in children », « Acute promyelocytic leukemia in adults », « Neuroblastoma », « Hairy cell leukemia », « Mycosis fungoides », « Polycythemia vera », « Essential thrombocythemia », « Hepatitis B virus infection », « Hepatitis C virus infection ».</w:t>
      </w:r>
    </w:p>
    <w:p>
      <w:pPr>
        <w:pStyle w:val="ListNumber"/>
      </w:pPr>
      <w:r/>
      <w:r>
        <w:rPr>
          <w:b/>
        </w:rPr>
        <w:t>ESMO Clinical Practice Guidelines 2023-2024</w:t>
      </w:r>
      <w:r>
        <w:t xml:space="preserve"> — Acute Promyelocytic Leukaemia, Acute Lymphoblastic Leukaemia, Neuroblastoma, Cutaneous T-Cell Lymphomas, Chronic Myeloid Leukaemia, Polycythaemia Vera, Essential Thrombocythaemia.</w:t>
      </w:r>
    </w:p>
    <w:p>
      <w:pPr>
        <w:pStyle w:val="ListNumber"/>
      </w:pPr>
      <w:r/>
      <w:r>
        <w:rPr>
          <w:b/>
        </w:rPr>
        <w:t>ELN 2020</w:t>
      </w:r>
      <w:r>
        <w:t xml:space="preserve"> — European LeukemiaNet recommendations for diagnosis and treatment of acute lymphoblastic leukemia and acute promyelocytic leukemia.</w:t>
      </w:r>
    </w:p>
    <w:p>
      <w:pPr>
        <w:pStyle w:val="ListNumber"/>
      </w:pPr>
      <w:r/>
      <w:r>
        <w:rPr>
          <w:b/>
        </w:rPr>
        <w:t>APL 2024 International Consensus on Acute Promyelocytic Leukaemia</w:t>
      </w:r>
      <w:r>
        <w:t xml:space="preserve"> (Adès L et al., *Blood* 2024).</w:t>
      </w:r>
    </w:p>
    <w:p>
      <w:pPr>
        <w:pStyle w:val="ListNumber"/>
      </w:pPr>
      <w:r/>
      <w:r>
        <w:rPr>
          <w:b/>
        </w:rPr>
        <w:t>Goodman &amp; Gilman's The Pharmacological Basis of Therapeutics</w:t>
      </w:r>
      <w:r>
        <w:t xml:space="preserve"> (14e édition, 2023). Brunton LL, Hilal-Dandan R, Knollmann BC. McGraw-Hill Education.</w:t>
      </w:r>
    </w:p>
    <w:p>
      <w:pPr>
        <w:pStyle w:val="ListNumber"/>
      </w:pPr>
      <w:r/>
      <w:r>
        <w:rPr>
          <w:b/>
        </w:rPr>
        <w:t>Katzung Basic &amp; Clinical Pharmacology</w:t>
      </w:r>
      <w:r>
        <w:t xml:space="preserve"> (16e édition, 2024). Vanderah TW. McGraw-Hill Education.</w:t>
      </w:r>
    </w:p>
    <w:p>
      <w:pPr>
        <w:pStyle w:val="ListNumber"/>
      </w:pPr>
      <w:r/>
      <w:r>
        <w:rPr>
          <w:b/>
        </w:rPr>
        <w:t>Broome JD</w:t>
      </w:r>
      <w:r>
        <w:t xml:space="preserve"> — Evidence that the L-asparaginase of guinea pig serum is responsible for its antilymphoma effects. *J Exp Med* 1963 ; 118 : 99-120.</w:t>
      </w:r>
    </w:p>
    <w:p>
      <w:pPr>
        <w:pStyle w:val="ListNumber"/>
      </w:pPr>
      <w:r/>
      <w:r>
        <w:rPr>
          <w:b/>
        </w:rPr>
        <w:t>Wang ZY, Chen Z</w:t>
      </w:r>
      <w:r>
        <w:t xml:space="preserve"> — Acute promyelocytic leukemia: from highly fatal to highly curable. *Proc Natl Acad Sci USA* 2018 ; 115 : 4175-4176.</w:t>
      </w:r>
    </w:p>
    <w:p>
      <w:pPr>
        <w:pStyle w:val="ListNumber"/>
      </w:pPr>
      <w:r/>
      <w:r>
        <w:rPr>
          <w:b/>
        </w:rPr>
        <w:t>Degos L</w:t>
      </w:r>
      <w:r>
        <w:t xml:space="preserve"> — All-trans-retinoic acid as a differentiating agent in the treatment of acute promyelocytic leukemia. *N Engl J Med* 1995 ; 332 : 152-153.</w:t>
      </w:r>
    </w:p>
    <w:p>
      <w:pPr>
        <w:pStyle w:val="ListNumber"/>
      </w:pPr>
      <w:r/>
      <w:r>
        <w:rPr>
          <w:b/>
        </w:rPr>
        <w:t>Matthay KK et al.</w:t>
      </w:r>
      <w:r>
        <w:t xml:space="preserve"> — Treatment of high-risk neuroblastoma with intensive chemotherapy, radiotherapy, autologous bone marrow transplantation, and 13-cis-retinoic acid. *N Engl J Med* 1999 ; 341 : 1305-1312.</w:t>
      </w:r>
    </w:p>
    <w:p>
      <w:pPr>
        <w:pStyle w:val="ListNumber"/>
      </w:pPr>
      <w:r/>
      <w:r>
        <w:rPr>
          <w:b/>
        </w:rPr>
        <w:t>Matthay KK et al.</w:t>
      </w:r>
      <w:r>
        <w:t xml:space="preserve"> — Long-term results for children with high-risk neuroblastoma treated on a randomized trial of myeloablative therapy followed by 13-cis-retinoic acid: a Children's Oncology Group study. *J Clin Oncol* 2009 ; 27 : 1007-1013.</w:t>
      </w:r>
    </w:p>
    <w:p>
      <w:pPr>
        <w:pStyle w:val="ListNumber"/>
      </w:pPr>
      <w:r/>
      <w:r>
        <w:rPr>
          <w:b/>
        </w:rPr>
        <w:t>Isaacs A, Lindenmann J</w:t>
      </w:r>
      <w:r>
        <w:t xml:space="preserve"> — Virus interference. I. The interferon. *Proc R Soc Lond B Biol Sci* 1957 ; 147 : 258-267.</w:t>
      </w:r>
    </w:p>
    <w:p>
      <w:pPr>
        <w:pStyle w:val="ListNumber"/>
      </w:pPr>
      <w:r/>
      <w:r>
        <w:rPr>
          <w:b/>
        </w:rPr>
        <w:t>Kiladjian JJ et al.</w:t>
      </w:r>
      <w:r>
        <w:t xml:space="preserve"> — Long-term outcomes of polycythemia vera patients treated with ropeginterferon alfa-2b. *Lancet Haematol* 2018 ; 5 : e253-e261.</w:t>
      </w:r>
    </w:p>
    <w:p>
      <w:pPr>
        <w:pStyle w:val="ListNumber"/>
      </w:pPr>
      <w:r/>
      <w:r>
        <w:rPr>
          <w:b/>
        </w:rPr>
        <w:t>Harrison CN et al.</w:t>
      </w:r>
      <w:r>
        <w:t xml:space="preserve"> — Hydroxyurea compared with anagrelide in high-risk essential thrombocythemia. *N Engl J Med* 2005 ; 353 : 33-45.</w:t>
      </w:r>
    </w:p>
    <w:p>
      <w:pPr>
        <w:pStyle w:val="ListNumber"/>
      </w:pPr>
      <w:r/>
      <w:r>
        <w:rPr>
          <w:b/>
        </w:rPr>
        <w:t>Park JR et al.</w:t>
      </w:r>
      <w:r>
        <w:t xml:space="preserve"> — Effect of tandem autologous stem cell transplant vs single transplant on outcomes in patients with high-risk neuroblastoma: the COG ABL0532 randomized clinical trial. *JAMA Oncol* 2019 ; 5 : 1225-1233.</w:t>
      </w:r>
    </w:p>
    <w:p>
      <w:pPr>
        <w:pStyle w:val="ListNumber"/>
      </w:pPr>
      <w:r/>
      <w:r>
        <w:rPr>
          <w:b/>
        </w:rPr>
        <w:t>Abou Dagher L et al.</w:t>
      </w:r>
      <w:r>
        <w:t xml:space="preserve"> — Arsenic trioxide with all-trans retinoic acid vs chemotherapy in standard-risk acute promyelocytic leukemia. *Lancet Haematol* 2023 ; 10 : e403-e413.</w:t>
      </w:r>
    </w:p>
    <w:p>
      <w:pPr>
        <w:pStyle w:val="ListNumber"/>
      </w:pPr>
      <w:r/>
      <w:r>
        <w:rPr>
          <w:b/>
        </w:rPr>
        <w:t>Raison CL et al.</w:t>
      </w:r>
      <w:r>
        <w:t xml:space="preserve"> — A randomized controlled trial of escitalopram for the prevention of interferon-alpha-induced depression in patients with hepatitis C. *J Clin Oncol* 2014 ; 32 : 482-488.</w:t>
      </w:r>
    </w:p>
    <w:p>
      <w:pPr>
        <w:pStyle w:val="ListNumber"/>
      </w:pPr>
      <w:r/>
      <w:r>
        <w:rPr>
          <w:b/>
        </w:rPr>
        <w:t>Huguet F et al.</w:t>
      </w:r>
      <w:r>
        <w:t xml:space="preserve"> — Pediatric-inspired therapy in adults with Philadelphia chromosome-negative acute lymphoblastic leukemia. *N Engl J Med* 2009 ; 361 : 1075-1085.</w:t>
      </w:r>
    </w:p>
    <w:p>
      <w:pPr>
        <w:pStyle w:val="ListNumber"/>
      </w:pPr>
      <w:r/>
      <w:r>
        <w:rPr>
          <w:b/>
        </w:rPr>
        <w:t>Lammer EJ et al.</w:t>
      </w:r>
      <w:r>
        <w:t xml:space="preserve"> — Retinoic acid embryopathy. *N Engl J Med* 1985 ; 313 : 837-841.</w:t>
      </w:r>
    </w:p>
    <w:p>
      <w:pPr>
        <w:pStyle w:val="ListNumber"/>
      </w:pPr>
      <w:r/>
      <w:r>
        <w:rPr>
          <w:b/>
        </w:rPr>
        <w:t>Nomenclature algérienne des médicaments Avril 2026</w:t>
      </w:r>
      <w:r>
        <w:t xml:space="preserve"> — Fichier source COMPLETE LISTE.xlsx.</w:t>
      </w:r>
    </w:p>
    <w:p>
      <w:r/>
      <w:r>
        <w:rPr>
          <w:b/>
        </w:rPr>
        <w:t>Fin du Chapitre 108 — Fin du Fascicule XII (Oncologie)</w:t>
      </w:r>
      <w:r/>
    </w:p>
    <w:sectPr w:rsidR="00FC693F" w:rsidRPr="0006063C" w:rsidSect="00034616">
      <w:headerReference w:type="default" r:id="rId9"/>
      <w:footerReference w:type="default" r:id="rId10"/>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Oncologie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