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000000"/>
          <w:sz w:val="24"/>
        </w:rPr>
      </w:r>
    </w:p>
    <w:p>
      <w:pPr>
        <w:spacing w:after="240"/>
        <w:jc w:val="center"/>
      </w:pPr>
      <w:r>
        <w:rPr>
          <w:rFonts w:ascii="Calibri" w:hAnsi="Calibri"/>
          <w:b/>
          <w:i w:val="0"/>
          <w:color w:val="0B3D91"/>
          <w:sz w:val="72"/>
        </w:rPr>
        <w:t>LIVRE TECHNIQUE</w:t>
        <w:br/>
        <w:t>DE PHARMACOLOGIE CLINIQUE</w:t>
      </w:r>
    </w:p>
    <w:p>
      <w:pPr>
        <w:spacing w:before="240" w:after="120"/>
        <w:jc w:val="center"/>
      </w:pPr>
      <w:r>
        <w:rPr>
          <w:rFonts w:ascii="Calibri" w:hAnsi="Calibri"/>
          <w:b/>
          <w:i w:val="0"/>
          <w:color w:val="1F6B8C"/>
          <w:sz w:val="56"/>
        </w:rPr>
        <w:t>OPHTALMOLOGIE</w:t>
      </w:r>
    </w:p>
    <w:p>
      <w:pPr>
        <w:jc w:val="center"/>
      </w:pPr>
      <w:r>
        <w:rPr>
          <w:rFonts w:ascii="Calibri" w:hAnsi="Calibri"/>
          <w:b w:val="0"/>
          <w:i/>
          <w:color w:val="606060"/>
          <w:sz w:val="40"/>
        </w:rPr>
        <w:t>en Algérie</w:t>
      </w:r>
    </w:p>
    <w:p>
      <w:pPr>
        <w:spacing w:before="400" w:after="400"/>
        <w:jc w:val="center"/>
      </w:pPr>
      <w:r>
        <w:rPr>
          <w:rFonts w:ascii="Calibri" w:hAnsi="Calibri"/>
          <w:b/>
          <w:i w:val="0"/>
          <w:color w:val="0B3D91"/>
          <w:sz w:val="28"/>
        </w:rPr>
        <w:t>━━━━━━━━━━━━━━━━━━━━━━━━━━━━━━</w:t>
      </w:r>
    </w:p>
    <w:p>
      <w:pPr>
        <w:jc w:val="center"/>
      </w:pPr>
      <w:r>
        <w:rPr>
          <w:rFonts w:ascii="Calibri" w:hAnsi="Calibri"/>
          <w:b/>
          <w:i w:val="0"/>
          <w:color w:val="1F4E79"/>
          <w:sz w:val="36"/>
        </w:rPr>
        <w:t>Fascicule XV</w:t>
      </w:r>
    </w:p>
    <w:p>
      <w:pPr>
        <w:jc w:val="center"/>
      </w:pPr>
      <w:r>
        <w:rPr>
          <w:rFonts w:ascii="Calibri" w:hAnsi="Calibri"/>
          <w:b w:val="0"/>
          <w:i/>
          <w:color w:val="606060"/>
          <w:sz w:val="28"/>
        </w:rPr>
        <w:t>Ophtalmologie</w:t>
      </w:r>
    </w:p>
    <w:p>
      <w:pPr>
        <w:spacing w:before="1600"/>
        <w:jc w:val="center"/>
      </w:pPr>
      <w:r>
        <w:rPr>
          <w:rFonts w:ascii="Calibri" w:hAnsi="Calibri"/>
          <w:b/>
          <w:i w:val="0"/>
          <w:color w:val="000000"/>
          <w:sz w:val="24"/>
        </w:rPr>
      </w:r>
    </w:p>
    <w:p>
      <w:pPr>
        <w:jc w:val="center"/>
      </w:pPr>
      <w:r>
        <w:rPr>
          <w:rFonts w:ascii="Calibri" w:hAnsi="Calibri"/>
          <w:b w:val="0"/>
          <w:i w:val="0"/>
          <w:color w:val="404040"/>
          <w:sz w:val="24"/>
        </w:rPr>
        <w:t>Manuel académique et pratique pour étudiants en pharmacie d'officine</w:t>
      </w:r>
    </w:p>
    <w:p>
      <w:pPr>
        <w:jc w:val="center"/>
      </w:pPr>
      <w:r>
        <w:rPr>
          <w:rFonts w:ascii="Calibri" w:hAnsi="Calibri"/>
          <w:b w:val="0"/>
          <w:i/>
          <w:color w:val="606060"/>
          <w:sz w:val="22"/>
        </w:rPr>
        <w:t>Basé sur la nomenclature officielle des médicaments enregistrés en Algérie (Avril 2026)</w:t>
      </w:r>
    </w:p>
    <w:p>
      <w:pPr>
        <w:spacing w:before="1200"/>
        <w:jc w:val="center"/>
      </w:pPr>
      <w:r>
        <w:rPr>
          <w:rFonts w:ascii="Calibri" w:hAnsi="Calibri"/>
          <w:b/>
          <w:i w:val="0"/>
          <w:color w:val="000000"/>
          <w:sz w:val="24"/>
        </w:rPr>
      </w:r>
    </w:p>
    <w:p>
      <w:pPr>
        <w:jc w:val="center"/>
      </w:pPr>
      <w:r>
        <w:rPr>
          <w:rFonts w:ascii="Calibri" w:hAnsi="Calibri"/>
          <w:b/>
          <w:i w:val="0"/>
          <w:color w:val="0B3D91"/>
          <w:sz w:val="22"/>
        </w:rPr>
        <w:t>35 DCI traitées  •  400+ spécialités commerciales  •  5 chapitres thématiques</w:t>
      </w:r>
    </w:p>
    <w:p>
      <w:pPr>
        <w:spacing w:before="1600"/>
        <w:jc w:val="center"/>
      </w:pPr>
      <w:r>
        <w:rPr>
          <w:rFonts w:ascii="Calibri" w:hAnsi="Calibri"/>
          <w:b/>
          <w:i w:val="0"/>
          <w:color w:val="000000"/>
          <w:sz w:val="24"/>
        </w:rPr>
      </w:r>
    </w:p>
    <w:p>
      <w:pPr>
        <w:jc w:val="center"/>
      </w:pPr>
      <w:r>
        <w:rPr>
          <w:rFonts w:ascii="Calibri" w:hAnsi="Calibri"/>
          <w:b/>
          <w:i w:val="0"/>
          <w:color w:val="404040"/>
          <w:sz w:val="28"/>
        </w:rPr>
        <w:t>Édition Août 2026</w:t>
      </w:r>
    </w:p>
    <w:p>
      <w:pPr>
        <w:jc w:val="center"/>
      </w:pPr>
      <w:r>
        <w:rPr>
          <w:rFonts w:ascii="Calibri" w:hAnsi="Calibri"/>
          <w:b w:val="0"/>
          <w:i/>
          <w:color w:val="808080"/>
          <w:sz w:val="18"/>
        </w:rPr>
        <w:t>Sources : VIDAL • ANSM • Thériaque • CRAT • EGS • EURETINA • UpToDate • Micromedex</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XV : Ophtalmologie</w:t>
      </w:r>
    </w:p>
    <w:p>
      <w:pPr>
        <w:pStyle w:val="Heading2"/>
      </w:pPr>
      <w:r>
        <w:t>Avant-propos et méthodologie du Fascicule XV</w:t>
      </w:r>
    </w:p>
    <w:p>
      <w:pPr>
        <w:pStyle w:val="Heading3"/>
      </w:pPr>
      <w:r>
        <w:t>1. Objet du fascicule</w:t>
      </w:r>
    </w:p>
    <w:p>
      <w:r>
        <w:t>Le présent fascicule constitue le quinzième volet du traité technique de pharmacologie clinique destiné aux étudiants en pharmacie d'officine et aux praticiens exerçant sur le territoire algérien. Il poursuit la démarche engagée dans les Fascicules I-XIV en traitant de manière exhaustive les classes thérapeutiques ophtalmologiques enregistrées auprès du Ministère de la Santé algérien.</w:t>
      </w:r>
    </w:p>
    <w:p>
      <w:r>
        <w:t xml:space="preserve">La base réglementaire de référence utilisée est le fichier officiel </w:t>
      </w:r>
      <w:r>
        <w:rPr>
          <w:b/>
        </w:rPr>
        <w:t>« COMPLETE LISTE.xlsx »</w:t>
      </w:r>
      <w:r>
        <w:t xml:space="preserve"> (nomenclature algérienne Avril 2026).</w:t>
      </w:r>
    </w:p>
    <w:p>
      <w:pPr>
        <w:pStyle w:val="Heading3"/>
      </w:pPr>
      <w:r>
        <w:t>2. Contexte épidémiologique algérien</w:t>
      </w:r>
    </w:p>
    <w:p>
      <w:r>
        <w:t>Les pathologies ophtalmologiques représentent un motif fréquent de consultation en Algérie :</w:t>
      </w:r>
    </w:p>
    <w:p>
      <w:pPr>
        <w:pStyle w:val="ListBullet"/>
      </w:pPr>
      <w:r/>
      <w:r>
        <w:rPr>
          <w:b/>
        </w:rPr>
        <w:t>Glaucome</w:t>
      </w:r>
      <w:r>
        <w:t xml:space="preserve"> : prévalence 2-4 % de la population &gt; 40 ans, première cause de cécité irréversible</w:t>
      </w:r>
    </w:p>
    <w:p>
      <w:pPr>
        <w:pStyle w:val="ListBullet"/>
      </w:pPr>
      <w:r/>
      <w:r>
        <w:rPr>
          <w:b/>
        </w:rPr>
        <w:t>Conjonctivites allergiques</w:t>
      </w:r>
      <w:r>
        <w:t xml:space="preserve"> : 15-20 % de la population, surtout au printemps</w:t>
      </w:r>
    </w:p>
    <w:p>
      <w:pPr>
        <w:pStyle w:val="ListBullet"/>
      </w:pPr>
      <w:r/>
      <w:r>
        <w:rPr>
          <w:b/>
        </w:rPr>
        <w:t>Sécheresse oculaire</w:t>
      </w:r>
      <w:r>
        <w:t xml:space="preserve"> : 10-15 % de la population, particulièrement chez le sujet âgé et la femme ménopausée</w:t>
      </w:r>
    </w:p>
    <w:p>
      <w:pPr>
        <w:pStyle w:val="ListBullet"/>
      </w:pPr>
      <w:r/>
      <w:r>
        <w:rPr>
          <w:b/>
        </w:rPr>
        <w:t>DMLA (Dégénérescence Maculaire Liée à l'Âge)</w:t>
      </w:r>
      <w:r>
        <w:t xml:space="preserve"> : prévalence croissante avec vieillissement (~8 % &gt; 65 ans)</w:t>
      </w:r>
    </w:p>
    <w:p>
      <w:pPr>
        <w:pStyle w:val="ListBullet"/>
      </w:pPr>
      <w:r/>
      <w:r>
        <w:rPr>
          <w:b/>
        </w:rPr>
        <w:t>Rétinopathie diabétique</w:t>
      </w:r>
      <w:r>
        <w:t xml:space="preserve"> : prévalence élevée liée au diabète (12-14 % de la population)</w:t>
      </w:r>
    </w:p>
    <w:p>
      <w:pPr>
        <w:pStyle w:val="ListBullet"/>
      </w:pPr>
      <w:r/>
      <w:r>
        <w:rPr>
          <w:b/>
        </w:rPr>
        <w:t>Cataracte</w:t>
      </w:r>
      <w:r>
        <w:t xml:space="preserve"> : première cause de cécité curable en Algérie</w:t>
      </w:r>
    </w:p>
    <w:p>
      <w:pPr>
        <w:pStyle w:val="Heading3"/>
      </w:pPr>
      <w:r>
        <w:t>3. Périmètre de ce fascicule</w:t>
      </w:r>
    </w:p>
    <w:p>
      <w:r>
        <w:t xml:space="preserve">Ce fascicule couvre </w:t>
      </w:r>
      <w:r>
        <w:rPr>
          <w:b/>
        </w:rPr>
        <w:t>35 DCI</w:t>
      </w:r>
      <w:r>
        <w:t xml:space="preserve"> réparties sur </w:t>
      </w:r>
      <w:r>
        <w:rPr>
          <w:b/>
        </w:rPr>
        <w:t>22 sous-classes</w:t>
      </w:r>
      <w:r>
        <w:t xml:space="preserve"> pharmacologiques :</w:t>
      </w:r>
    </w:p>
    <w:p>
      <w:pPr>
        <w:pStyle w:val="ListNumber"/>
      </w:pPr>
      <w:r>
        <w:t>Glaucome - Hypotensifs oculaires (11 DCI)</w:t>
      </w:r>
    </w:p>
    <w:p>
      <w:pPr>
        <w:pStyle w:val="ListNumber"/>
      </w:pPr>
      <w:r>
        <w:t>Antiallergiques et corticoïdes ophtalmiques (8 DCI)</w:t>
      </w:r>
    </w:p>
    <w:p>
      <w:pPr>
        <w:pStyle w:val="ListNumber"/>
      </w:pPr>
      <w:r>
        <w:t>AINS et anesthésiques ophtalmiques (6 DCI)</w:t>
      </w:r>
    </w:p>
    <w:p>
      <w:pPr>
        <w:pStyle w:val="ListNumber"/>
      </w:pPr>
      <w:r>
        <w:t>Mydriatiques, cycloplégiques et anti-VEGF (7 DCI)</w:t>
      </w:r>
    </w:p>
    <w:p>
      <w:pPr>
        <w:pStyle w:val="ListNumber"/>
      </w:pPr>
      <w:r>
        <w:t>Larmes artificielles et vasoprotecteurs (3 DCI)</w:t>
      </w:r>
    </w:p>
    <w:p>
      <w:pPr>
        <w:pStyle w:val="Heading2"/>
      </w:pPr>
      <w:r>
        <w:t>Sommaire général du Fascicule XV</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Chapitre</w:t>
            </w:r>
          </w:p>
        </w:tc>
        <w:tc>
          <w:tcPr>
            <w:tcW w:type="dxa" w:w="3118"/>
          </w:tcPr>
          <w:p>
            <w:r>
              <w:rPr>
                <w:b/>
                <w:sz w:val="20"/>
              </w:rPr>
              <w:t>Sous-classes traitées</w:t>
            </w:r>
          </w:p>
        </w:tc>
        <w:tc>
          <w:tcPr>
            <w:tcW w:type="dxa" w:w="3118"/>
          </w:tcPr>
          <w:p>
            <w:r>
              <w:rPr>
                <w:b/>
                <w:sz w:val="20"/>
              </w:rPr>
              <w:t>Nombre de DCI</w:t>
            </w:r>
          </w:p>
        </w:tc>
      </w:tr>
      <w:tr>
        <w:tc>
          <w:tcPr>
            <w:tcW w:type="dxa" w:w="3118"/>
          </w:tcPr>
          <w:p>
            <w:r>
              <w:rPr>
                <w:sz w:val="20"/>
              </w:rPr>
              <w:t>141</w:t>
            </w:r>
          </w:p>
        </w:tc>
        <w:tc>
          <w:tcPr>
            <w:tcW w:type="dxa" w:w="3118"/>
          </w:tcPr>
          <w:p>
            <w:r>
              <w:rPr>
                <w:sz w:val="20"/>
              </w:rPr>
              <w:t>Glaucome - Hypotensifs oculaires</w:t>
            </w:r>
          </w:p>
        </w:tc>
        <w:tc>
          <w:tcPr>
            <w:tcW w:type="dxa" w:w="3118"/>
          </w:tcPr>
          <w:p>
            <w:r>
              <w:rPr>
                <w:sz w:val="20"/>
              </w:rPr>
              <w:t>11</w:t>
            </w:r>
          </w:p>
        </w:tc>
      </w:tr>
      <w:tr>
        <w:tc>
          <w:tcPr>
            <w:tcW w:type="dxa" w:w="3118"/>
          </w:tcPr>
          <w:p>
            <w:r>
              <w:rPr>
                <w:sz w:val="20"/>
              </w:rPr>
              <w:t>142</w:t>
            </w:r>
          </w:p>
        </w:tc>
        <w:tc>
          <w:tcPr>
            <w:tcW w:type="dxa" w:w="3118"/>
          </w:tcPr>
          <w:p>
            <w:r>
              <w:rPr>
                <w:sz w:val="20"/>
              </w:rPr>
              <w:t>Antiallergiques et corticoïdes ophtalmiques</w:t>
            </w:r>
          </w:p>
        </w:tc>
        <w:tc>
          <w:tcPr>
            <w:tcW w:type="dxa" w:w="3118"/>
          </w:tcPr>
          <w:p>
            <w:r>
              <w:rPr>
                <w:sz w:val="20"/>
              </w:rPr>
              <w:t>8</w:t>
            </w:r>
          </w:p>
        </w:tc>
      </w:tr>
      <w:tr>
        <w:tc>
          <w:tcPr>
            <w:tcW w:type="dxa" w:w="3118"/>
          </w:tcPr>
          <w:p>
            <w:r>
              <w:rPr>
                <w:sz w:val="20"/>
              </w:rPr>
              <w:t>143</w:t>
            </w:r>
          </w:p>
        </w:tc>
        <w:tc>
          <w:tcPr>
            <w:tcW w:type="dxa" w:w="3118"/>
          </w:tcPr>
          <w:p>
            <w:r>
              <w:rPr>
                <w:sz w:val="20"/>
              </w:rPr>
              <w:t>AINS et anesthésiques ophtalmiques</w:t>
            </w:r>
          </w:p>
        </w:tc>
        <w:tc>
          <w:tcPr>
            <w:tcW w:type="dxa" w:w="3118"/>
          </w:tcPr>
          <w:p>
            <w:r>
              <w:rPr>
                <w:sz w:val="20"/>
              </w:rPr>
              <w:t>6</w:t>
            </w:r>
          </w:p>
        </w:tc>
      </w:tr>
      <w:tr>
        <w:tc>
          <w:tcPr>
            <w:tcW w:type="dxa" w:w="3118"/>
          </w:tcPr>
          <w:p>
            <w:r>
              <w:rPr>
                <w:sz w:val="20"/>
              </w:rPr>
              <w:t>144</w:t>
            </w:r>
          </w:p>
        </w:tc>
        <w:tc>
          <w:tcPr>
            <w:tcW w:type="dxa" w:w="3118"/>
          </w:tcPr>
          <w:p>
            <w:r>
              <w:rPr>
                <w:sz w:val="20"/>
              </w:rPr>
              <w:t>Mydriatiques, cycloplégiques et anti-VEGF</w:t>
            </w:r>
          </w:p>
        </w:tc>
        <w:tc>
          <w:tcPr>
            <w:tcW w:type="dxa" w:w="3118"/>
          </w:tcPr>
          <w:p>
            <w:r>
              <w:rPr>
                <w:sz w:val="20"/>
              </w:rPr>
              <w:t>7</w:t>
            </w:r>
          </w:p>
        </w:tc>
      </w:tr>
      <w:tr>
        <w:tc>
          <w:tcPr>
            <w:tcW w:type="dxa" w:w="3118"/>
          </w:tcPr>
          <w:p>
            <w:r>
              <w:rPr>
                <w:sz w:val="20"/>
              </w:rPr>
              <w:t>145</w:t>
            </w:r>
          </w:p>
        </w:tc>
        <w:tc>
          <w:tcPr>
            <w:tcW w:type="dxa" w:w="3118"/>
          </w:tcPr>
          <w:p>
            <w:r>
              <w:rPr>
                <w:sz w:val="20"/>
              </w:rPr>
              <w:t>Larmes artificielles et vasoprotecteurs</w:t>
            </w:r>
          </w:p>
        </w:tc>
        <w:tc>
          <w:tcPr>
            <w:tcW w:type="dxa" w:w="3118"/>
          </w:tcPr>
          <w:p>
            <w:r>
              <w:rPr>
                <w:sz w:val="20"/>
              </w:rPr>
              <w:t>3</w:t>
            </w:r>
          </w:p>
        </w:tc>
      </w:tr>
      <w:tr>
        <w:tc>
          <w:tcPr>
            <w:tcW w:type="dxa" w:w="3118"/>
          </w:tcPr>
          <w:p>
            <w:r>
              <w:rPr>
                <w:sz w:val="20"/>
              </w:rPr>
              <w:t>**Total**</w:t>
            </w:r>
          </w:p>
        </w:tc>
        <w:tc>
          <w:tcPr>
            <w:tcW w:type="dxa" w:w="3118"/>
          </w:tcPr>
          <w:p>
            <w:r>
              <w:rPr>
                <w:sz w:val="20"/>
              </w:rPr>
            </w:r>
          </w:p>
        </w:tc>
        <w:tc>
          <w:tcPr>
            <w:tcW w:type="dxa" w:w="3118"/>
          </w:tcPr>
          <w:p>
            <w:r>
              <w:rPr>
                <w:sz w:val="20"/>
              </w:rPr>
              <w:t>**35**</w:t>
            </w:r>
          </w:p>
        </w:tc>
      </w:tr>
    </w:tbl>
    <w:p/>
    <w:p>
      <w:pPr>
        <w:pStyle w:val="Heading1"/>
      </w:pPr>
      <w:r>
        <w:t>Chapitre 141 — Glaucome et Hypotensifs Oculaires</w:t>
      </w:r>
    </w:p>
    <w:p>
      <w:pPr>
        <w:pStyle w:val="Heading2"/>
      </w:pPr>
      <w:r>
        <w:t>141.1 Introduction générale</w:t>
      </w:r>
    </w:p>
    <w:p>
      <w:r>
        <w:t xml:space="preserve">Le glaucome représente, à l'échelle mondiale, la première cause de cécité irréversible après la cataracte. Selon les données consolidées par la Société Européenne du Glaucome (EGS, </w:t>
      </w:r>
      <w:r>
        <w:rPr>
          <w:i/>
        </w:rPr>
        <w:t>European Glaucoma Society</w:t>
      </w:r>
      <w:r>
        <w:t xml:space="preserve">, 4ᵉ édition 2023) et l'Organisation Mondiale de la Santé (OMS, </w:t>
      </w:r>
      <w:r>
        <w:rPr>
          <w:i/>
        </w:rPr>
        <w:t>Vision 2020</w:t>
      </w:r>
      <w:r>
        <w:t xml:space="preserve"> puis </w:t>
      </w:r>
      <w:r>
        <w:rPr>
          <w:i/>
        </w:rPr>
        <w:t>Vision Atlas 2030</w:t>
      </w:r>
      <w:r>
        <w:t>), on estime à plus de 80 millions le nombre de sujets glaucomateux dans le monde en 2024, dont près de 8 millions en Afrique. La prévalence du glaucome à angle ouvert (GPAO) chez les sujets de plus de 40 ans varie selon les populations de 1,1 % (Asie de l'Est) à 7 % (Afrique subsaharienne, population noire), avec un pic de 12 % chez les Afro-Caraïbéens. En Algérie, les enquêtes épidémiologiques conduites par l'Institut National de Santé Publique (INSP) et le ministère de la Santé dans le cadre du programme national de prévention de la cécité (2007-2024) estiment la prévalence du glaucome symptomatique entre 3 et 5 % de la population générale de plus de 40 ans, avec une féminisation discrète de la maladie (sex-ratio F/H ≈ 1,3), un âge moyen de découverte de 58 ans, et un taux de cécité unilatérale à 9 % au diagnostic — traduisant un retard diagnostique majeur. Le glaucome à angle fermé, plus fréquent en Asie, concerne environ 4 à 7 % des cas algériens, souvent révélé par une crise aiguë.</w:t>
      </w:r>
    </w:p>
    <w:p>
      <w:r>
        <w:t>La physiopathologie du glaucome repose sur une neuropathie optique chronique caractérisée par la perte progressive des cellules ganglionnaires rétiniennes et de leurs axones, aboutissant à une excavation pathologique de la papille optique et à des altérations caractéristiques du champ visuel (scotome arciforme, respect péripapillaire). Le facteur de risque modifiable principal — et seul réellement accessible à la thérapeutique médicale — est la pression intraoculaire (PIO). Celle-ci résulte de l'équilibre entre la production d'humeur aqueuse (HA) par les procès ciliaires (corps ciliaire) et son élimination essentiellement trabéculo-conjonctivale (90 % voie trabéculaire, 10 % voie uvéo-sclérale). Toute élévation de la PIO au-dessus de la pression cible individuelle (généralement ≤ 21 mmHg, parfois abaissée à 12-15 mmHg dans les glaucomes avancés ou normotensifs) aggrave la souffrance axonale mécanique, ischémique et mitochondriale.</w:t>
      </w:r>
    </w:p>
    <w:p>
      <w:r>
        <w:t>La prise en charge thérapeutique du glaucome repose sur trois piliers complémentaires : (i) traitement médical hypotonisant oculaire (collyres, per os, exceptionnellement IV), (ii) trabéculoplastie au laser sélectif (SLT) ou argon (ALT), (iii) chirurgie filtrante (trabéculectomie, sclérectomie profonde non perforante, dispositifs de drainage type Ahmed, Baerveldt, ou chirurgie mini-invasive MIGS). En Algérie, l'accès à la chirurgie filtrante demeure limité hors centres hospitalo-universitaires (CHU) d'Alger, Oran, Constantine et Sétif, et le traitement médical représente l'immense majorité de la prise en charge en pratique courante, tant en ville qu'à l'hôpital. Le coût mensuel d'un traitement collyre en Algérie varie de 250 DA (timolol générique 0,5 %, 1 flacon 5 mL) à 1 800 DA (latanoprost princeps Xalatan®), rendant la question de la tolérance économique et de l'observance essentielle dans une pathologie chronique de plusieurs décennies.</w:t>
      </w:r>
    </w:p>
    <w:p>
      <w:r>
        <w:t>Ce chapitre 141, ouvrant le Fascicule XV — Ophtalmologie, détaille 11 DCI hypotonisantes oculaires réparties sur 9 sous-classes pharmacologiques : β-bloquants topiques non cardiosélectifs (timolol), β-bloquants cardiosélectifs (bétaxolol), β-bloquants avec activité sympathomimétique intrinsèque (cartéolol), analogues des prostaglandines F2α (latanoprost, travoprost), analogues des prostamides (bimatoprost), agonistes α2-adrénergiques (apraclonidine/clonidine), inhibiteurs de l'anhydrase carbonique topiques (dorzolamide, brinzolamide), inhibiteurs de l'anhydrase carbonique systémiques (acétazolamide), et miotiques parasymphathomimétiques (pilocarpine). Pour chaque DCI, l'objectif est de fournir au pharmacien d'officine, à l'ophtalmologiste et à l'interne en pharmacologie clinique une fiche opérationnelle intégrant mécanisme, indications, contre-indications, effets indésirables, interactions, grossesse/allaitement CRAT, posologie, conseils au patient, et pièges à l'officine. Une attention particulière est portée à la conservation des collyres (1 mois après ouverture pour la majorité, 15 jours pour les sans-conservateur), au risque de contamination bactérienne du flacon, à l'occlusion canaliculaire (point naso-lacrymal) après instillation, et à la transmission systémique non négligeable des β-bloquants oculaires (pouvant provoquer bradycardie, bronchospasme, dépression, dysfonction sexuelle).</w:t>
      </w:r>
    </w:p>
    <w:p>
      <w:pPr>
        <w:pStyle w:val="Heading2"/>
      </w:pPr>
      <w:r>
        <w:t>141.2 Sous-classe : β-bloquants topiques (généralités)</w:t>
      </w:r>
    </w:p>
    <w:p>
      <w:r>
        <w:t xml:space="preserve">Les β-bloquants topiques constituent, depuis l'introduction du timolol en 1978 (Phillips, </w:t>
      </w:r>
      <w:r>
        <w:rPr>
          <w:i/>
        </w:rPr>
        <w:t>Ophthalmology</w:t>
      </w:r>
      <w:r>
        <w:t xml:space="preserve">), la pierre angulaire historique du traitement médical du glaucome à angle ouvert. Ils agissent par blocage compétitif des récepteurs β2-adrénergiques du corps ciliaire, entraînant une réduction de la production d'humeur aqueuse de l'ordre de 30 à 50 %, sans effet notable sur l'angle irido-cornéen ni sur la voie d'élimination uvéo-sclérale. La baisse pressionnelle moyenne est de 6 à 8 mmHg (25-33 % de la PIO initiale), atteinte dès la première semaine de traitement et stable sur le long cours, sans phénomène d'échappement significatif (contrairement aux α2-agonistes). Leur délai d'action est rapide (1 heure, pic à 2 heures), permettant une utilisation en urgence dans les crises aiguës de glaucome par fermeture d'angle en relais d'un traitement par voie générale. Le rapport efficacité/coût est excellent, ce qui explique leur positionnement en première ligne dans la majorité des recommandations internationales (EGS 2023, AAO </w:t>
      </w:r>
      <w:r>
        <w:rPr>
          <w:i/>
        </w:rPr>
        <w:t>American Academy of Ophthalmology</w:t>
      </w:r>
      <w:r>
        <w:t xml:space="preserve"> PPP 2020, HAS 2014), sauf en cas de contre-indication respiratoire ou cardiovasculaire.</w:t>
      </w:r>
    </w:p>
    <w:p>
      <w:r>
        <w:t xml:space="preserve">Trois molécules sont disponibles en Algérie : le </w:t>
      </w:r>
      <w:r>
        <w:rPr>
          <w:b/>
        </w:rPr>
        <w:t>timolol</w:t>
      </w:r>
      <w:r>
        <w:t xml:space="preserve"> (non cardiosélectif, sans ISA, le plus prescrit), le </w:t>
      </w:r>
      <w:r>
        <w:rPr>
          <w:b/>
        </w:rPr>
        <w:t>bétaxolol</w:t>
      </w:r>
      <w:r>
        <w:t xml:space="preserve"> (β1-sélectif, moins puissant mais mieux toléré sur le plan respiratoire), et le </w:t>
      </w:r>
      <w:r>
        <w:rPr>
          <w:b/>
        </w:rPr>
        <w:t>cartéolol</w:t>
      </w:r>
      <w:r>
        <w:t xml:space="preserve"> (non cardiosélectif avec activité sympathomimétique intrinsèque, théoriquement mieux toléré sur la dyslipidémie). Toutes trois partagent le même mécanisme de production d'HAréduction, mais diffèrent par leur profil systémique : le timolol est responsable de la quasi-totalité des effets indésirables systémiques (bradycardie sinusale, BAV, bronchospasme, hypoglycémie masquée, dépression, dysfonction érectile), ce qui justifie les précautions d'emploi systématiques : interrogatoire respiratoire (asthme, BPCO) et cardiovasculaire (bradycardie &lt; 50 bpm, BAV, insuffisance cardiaque décompensée) avant dispensation. En Algérie, la prescription d'un β-bloquant ophtalmique implique de remettre au patient une fiche d'information sur l'occlusion naso-lacrymale (pression digitale du canthus interne pendant 1 à 2 minutes après instillation) qui réduit de 50 à 70 % la résorption systémique.</w:t>
      </w:r>
    </w:p>
    <w:p>
      <w:pPr>
        <w:pStyle w:val="Heading2"/>
      </w:pPr>
      <w:r>
        <w:t>141.3 Sous-classe : β-bloquants cardiosélectifs (généralités)</w:t>
      </w:r>
    </w:p>
    <w:p>
      <w:r>
        <w:t xml:space="preserve">Les β-bloquants cardiosélectifs (β1-sélectifs) topiques, représentés en pratique par le </w:t>
      </w:r>
      <w:r>
        <w:rPr>
          <w:b/>
        </w:rPr>
        <w:t>bétaxolol</w:t>
      </w:r>
      <w:r>
        <w:t>, ont été développés pour réduire le risque respiratoire inhérent aux β-bloquants non cardiosélectifs. La sélectivité β1 n'est cependant qu' relative et disparaît aux concentrations élevées : il persiste un risque résiduel de bronchospasme chez l'asthmatique sévère, qui demeure une contre-indication stricte en pratique clinique. En revanche, chez le patient BPCO modéré, emphysémateux, ou présentant un terrain bronchique chronique non asthmatique, le bétaxolol représente l'alternative de choix en cas de nécessité absolue d'un β-bloquant ophtalmique (impossibilité d'accès aux prostaglandines, allergie, échec d'autres classes). L'efficacité hypotonisante du bétaxolol est légèrement inférieure à celle du timolol (baisse de 4 à 6 mmHg, soit 20 à 25 % de la PIO initiale), ce qui le réserve plutôt à des glaucomes modérés ou en association. Sa prescription isolée en première ligne n'est pas recommandée sauf terrain respiratoire.</w:t>
      </w:r>
    </w:p>
    <w:p>
      <w:pPr>
        <w:pStyle w:val="Heading2"/>
      </w:pPr>
      <w:r>
        <w:t>141.4 Sous-classe : β-bloquants avec activité sympathomimétique intrinsèque (généralités)</w:t>
      </w:r>
    </w:p>
    <w:p>
      <w:r>
        <w:t xml:space="preserve">Le </w:t>
      </w:r>
      <w:r>
        <w:rPr>
          <w:b/>
        </w:rPr>
        <w:t>cartéolol</w:t>
      </w:r>
      <w:r>
        <w:t xml:space="preserve"> est le seul représentant des β-bloquants ophtalmiques avec activité sympathomimétique intrinsèque (ASI ou ISA). Cette propriété, partagée avec le pindolol en cardiologie, lui confère un profil métabolique théoriquement plus favorable : moindre effet sur la lipidémie (notamment sur le rapport HDL/LDL), moindre bradycardie au repos, moindre vasoconstriction périphérique. La pertinence clinique de cet avantage est débattue, et plusieurs grandes séries de pharmacovigilance ont échoué à démontrer une supériorité nette du cartéolol sur le timolol en termes d'événements cardiovasculaires. Néanmoins, chez le patient glaucomateux ayant un antécédent de dyslipidémie modérée ou une intolérance glucose-lipide en cours d'évaluation, le cartéolol peut être discuté en alternative. Sa puissance hypotonisante est comparable à celle du timolol (baisse de 6 à 7 mmHg), avec une demi-vie d'élimination de 3 à 5 heures justifiant une à deux administrations quotidiennes. Une forme à libération prolongée (Cateol LP®) est disponible en Algérie, autorisant une monoprise quotidienne améliorant l'observance.</w:t>
      </w:r>
    </w:p>
    <w:p>
      <w:pPr>
        <w:pStyle w:val="Heading2"/>
      </w:pPr>
      <w:r>
        <w:t>141.5 Sous-classe : Analogues des prostaglandines F2α (généralités)</w:t>
      </w:r>
    </w:p>
    <w:p>
      <w:r>
        <w:t xml:space="preserve">Les analogues des prostaglandines F2α (PGF2α) représentent, depuis leur introduction en 1996 (latanoprost, Xalatan®), la classe hypotonisante la plus prescrite en première ligne dans les pays occidentaux et nombre de pays émergents, en raison de leur efficacité supérieure aux β-bloquants (baisse de 8 à 10 mmHg, soit 30 à 35 % de la PIO initiale), de leur monoprise quotidienne vespérale améliorant l'observance, et de leur profil d'effets indésirables locaux plutôt que systémiques. Trois molécules sont disponibles : </w:t>
      </w:r>
      <w:r>
        <w:rPr>
          <w:b/>
        </w:rPr>
        <w:t>latanoprost</w:t>
      </w:r>
      <w:r>
        <w:t xml:space="preserve">, </w:t>
      </w:r>
      <w:r>
        <w:rPr>
          <w:b/>
        </w:rPr>
        <w:t>travoprost</w:t>
      </w:r>
      <w:r>
        <w:t xml:space="preserve"> et </w:t>
      </w:r>
      <w:r>
        <w:rPr>
          <w:b/>
        </w:rPr>
        <w:t>unoprost</w:t>
      </w:r>
      <w:r>
        <w:t xml:space="preserve"> (ce dernier non disponible en Algérie). Toutes agissent par activation des récepteurs FP (prostanoïdes) du muscle ciliaire, entraînant une augmentation de la voie d'élimination uvéo-sclérale de l'humeur aqueuse (remodelage matriciel, metalloprotéinases MMP-1, MMP-2, MMP-3) sans modification significative de la production. Le pic d'efficacité est atteint en 6 à 8 heures, l'effet hypotonisant est stable à 3-4 semaines et sans phénomène d'échappement à long terme.</w:t>
      </w:r>
    </w:p>
    <w:p>
      <w:r>
        <w:t>Les effets indésirables locaux sont caractéristiques et doivent être expliqués au patient dès l'initiation : (i) hyperémie conjonctivale (10-15 %, surtout en début de traitement, régresse en 4-6 semaines), (ii) modification de la pigmentation irienne (augmentation de la mélanogenèse dans les mélanocytes du stroma antérieur — surtout chez les sujets iris mixtes vert-brun, brun-ambré), (iii) croissance et pigmentation des cils (hypertrichose, allongement, épaississement, hyperpigmentation), (iv) pigmentations périorbitaires (peau des paupières supérieures — effet cosmétique parfois mal vécu, surtout chez la femme), (v) cheveux ciliaires ectopiques et distichiasis. À l'échelle systémique, on décrit rarement arthralgies, myalgies, céphalées et rash cutané. Le risque de kyste maculaire œdémateux est signalé en post-chirurgie de la cataracte (rupture de la barrière hématoculaire), justifiant un arrêt transitoire en péri-opératoire (2-4 semaines) chez les pseudophakes ou en cas de chirurgie avec rupture capsulaire.</w:t>
      </w:r>
    </w:p>
    <w:p>
      <w:pPr>
        <w:pStyle w:val="Heading2"/>
      </w:pPr>
      <w:r>
        <w:t>141.6 Sous-classe : Analogues des prostamides (généralités)</w:t>
      </w:r>
    </w:p>
    <w:p>
      <w:r>
        <w:t xml:space="preserve">Les prostamides sont des analogues structurels de la prostaglandine F2α éthanolamides, n'agissant pas sur les récepteurs FP classiques mais sur des récepteurs putatifs « prostamide » encore partiellement caractérisés. Le </w:t>
      </w:r>
      <w:r>
        <w:rPr>
          <w:b/>
        </w:rPr>
        <w:t>bimatoprost</w:t>
      </w:r>
      <w:r>
        <w:t xml:space="preserve"> est l'unique représentant en Algérie, disponible en deux concentrations (0,1 mg/mL = 0,01 % et 0,3 mg/mL = 0,03 %) — la concentration 0,03 % tend à être remplacée par la concentration 0,01 % (égale efficacité, meilleure tolérance locale). Son mécanisme combine une augmentation de la voie uvéo-sclérale et une réduction modérée de la production d'humeur aqueuse, avec une puissance hypotonisante supérieure ou égale au latanoprost (baisse de 9 à 11 mmHg, soit 33-37 % de la PIO). Le profil d'effets indésirables locaux est comparable à celui des prostaglandines (hyperhémie, croissance des cils, pigmentation irienne), avec une intensité d'hyperhémie parfois plus marquée initialement. Le bimatoprost à 0,03 % dispose également d'une AMM cosmétique distincte (Latisse® aux États-Unis, Allergan, hors nomenclature algérienne) pour l'hypotrichose ciliaire, indication dérivée de l'effet de classe.</w:t>
      </w:r>
    </w:p>
    <w:p>
      <w:pPr>
        <w:pStyle w:val="Heading2"/>
      </w:pPr>
      <w:r>
        <w:t>141.7 Sous-classe : Agonistes α2-adrénergiques (généralités)</w:t>
      </w:r>
    </w:p>
    <w:p>
      <w:r>
        <w:t>Les agonistes α2-adrénergiques topiques, représentés en pratique courante par l'</w:t>
      </w:r>
      <w:r>
        <w:rPr>
          <w:b/>
        </w:rPr>
        <w:t>apraclonidine</w:t>
      </w:r>
      <w:r>
        <w:t xml:space="preserve"> (Iopidine®, non disponible en Algérie en collyre) et la </w:t>
      </w:r>
      <w:r>
        <w:rPr>
          <w:b/>
        </w:rPr>
        <w:t>brimonidine</w:t>
      </w:r>
      <w:r>
        <w:t xml:space="preserve"> (Alphagan P®, non disponible en Algérie), agissent par stimulation des récepteurs α2-adrénergiques pré- et post-synaptiques du corps ciliaire, entraînant une double action : (i) réduction de la production d'humeur aqueuse (baisse de l'AMPc intracellulaire, inhibition de l'adénylcyclase), (ii) augmentation de la résorption uvéo-sclérale (effet moindre que les prostaglandines). L'efficacité est intermédiaire entre β-bloquants et prostaglandines (baisse de 4 à 6 mmHg). En Algérie, ni l'apraclonidine ni la brimonidine ne sont commercialisées en collyre — seule la </w:t>
      </w:r>
      <w:r>
        <w:rPr>
          <w:b/>
        </w:rPr>
        <w:t>clonidine</w:t>
      </w:r>
      <w:r>
        <w:t xml:space="preserve"> orale/injectable (Catapressan®, CLONIDEX, CRONIDINE) est présente dans la nomenclature, mais son usage ophtalmologique stricto sensu est hors AMM et exceptionnel en raison de la fréquence des effets indésirables systémiques (somnolence, hypotension artérielle, sécheresse buccale, bradycardie, rebond hypertensif à l'arrêt). Historiquement, la clonidine a été utilisée par voie orale à faible dose (0,125 mg × 2/jour) comme traitement d'appoint du glaucome à angle ouvert dans les années 1970-1980, avant d'être supplantée par les β-bloquants topiques.</w:t>
      </w:r>
    </w:p>
    <w:p>
      <w:r>
        <w:t>La place de cette classe en Algérie reste donc limitée et relicataire. L'apraclonidine (collyre 0,5 %, 1 %) est utilisée en Europe pour la prévention des poussées hypertensives post-chirurgie filtrante (SLT, trabéculoplastie, iridotomie), mais nécessite une importation ATU. La brimonidine, prescrite en pédiatrie (&gt; 2 ans, mais avec une restriction d'âge &gt; 5 ans en raison de cas rapportés de somnolence, hypotension et apnées chez le nourrisson), n'est pas disponible. Le pharmacien d'officina doit connaître l'existence de cette classe pour répondre aux demandes de patients ayant eu une prescription à l'étranger.</w:t>
      </w:r>
    </w:p>
    <w:p>
      <w:pPr>
        <w:pStyle w:val="Heading2"/>
      </w:pPr>
      <w:r>
        <w:t>141.8 Sous-classe : Inhibiteurs de l'anhydrase carbonique topiques (généralités)</w:t>
      </w:r>
    </w:p>
    <w:p>
      <w:r>
        <w:t xml:space="preserve">L'anhydrase carbonique (AC, EC 4.2.1.1) est une métallo-enzyme à zinc présente dans de nombreux tissus, en particulier les procès ciliaires (isoforme II), où elle catalyse l'hydratation du CO₂ en HCO₃⁻ + H⁺. La formation de bicarbonate est le co-transporteur obligatoire du sodium et du chlore dans la production d'humeur aqueuse. L'inhibition de l'AC II ciliaire entraîne donc une baisse de 30 à 50 % de la production d'Humeur Aqueuse, sans effet sur la résorption trabéculaire ni uvéo-sclérale. Deux molécules topiques sont disponibles en Algérie : </w:t>
      </w:r>
      <w:r>
        <w:rPr>
          <w:b/>
        </w:rPr>
        <w:t>dorzolamide</w:t>
      </w:r>
      <w:r>
        <w:t xml:space="preserve"> (1995, Trusopt®) et </w:t>
      </w:r>
      <w:r>
        <w:rPr>
          <w:b/>
        </w:rPr>
        <w:t>brinzolamide</w:t>
      </w:r>
      <w:r>
        <w:t xml:space="preserve"> (1998, Azopt®), toutes deux en collyre à 2 % (20 mg/mL pour le dorzolamide) et 1 % (10 mg/mL pour la brinzolamide). Leur lipophilie supérieure aux sulfamides diurétiques classiques permet un passage transcornéen satisfaisant, tout en limitant l'inhibition systémique de l'AC rénale (qui serait responsable d'acidose métabolique et hypokaliémie).</w:t>
      </w:r>
    </w:p>
    <w:p>
      <w:r>
        <w:t>L'efficacité hypotonisante des inhibiteurs topiques est modeste (baisse de 3 à 5 mmHg, soit 15-22 % de la PIO initiale), ce qui réserve leur prescription aux associations thérapeutiques (combinaison fixe dorzolamide + timolol = Cosopt®, COSOTIMOL, COZOLAMIDE, DAROMED-T, DORZASOPT, MYOSOPT, OPTODROP-CO, TIMOLAMID, XOLAMOL, ZOLAMIDE +) ou en alternative chez les patients ayant une contre-indication aux β-bloquants et aux prostaglandines. Le profil de tolérance locale est dominé par les brûlures à l'instillation (dorzolamide, plus marqué en raison du pH acide 5,5-6,0), le goût amer post-nasal (passage par voie naso-lacrymale — très fréquent, parfois responsable d'une anorexie ou de nausées), et les allergies de contact (conjunctivite immunoallergique 5-10 % à 1 an, kératite, dermatite palpébrale). Le syndrome de Stevens-Johnson a été exceptionnellement rapporté. La conservation 1 mois après ouverture et la nécessité d'un flacon stérile sont des précautions générales.</w:t>
      </w:r>
    </w:p>
    <w:p>
      <w:pPr>
        <w:pStyle w:val="Heading2"/>
      </w:pPr>
      <w:r>
        <w:t>141.9 Sous-classe : Inhibiteurs de l'anhydrase carbonique systémiques (généralités)</w:t>
      </w:r>
    </w:p>
    <w:p>
      <w:r>
        <w:t>L'</w:t>
      </w:r>
      <w:r>
        <w:rPr>
          <w:b/>
        </w:rPr>
        <w:t>acétazolamide</w:t>
      </w:r>
      <w:r>
        <w:t xml:space="preserve"> (Diamox®, historiquement introduit en 1954 par Becker) est l'unique inhibiteur de l'anhydrase carbonique disponible par voie systémique (orale et injectable) et utilisé en ophtalmologie dans les </w:t>
      </w:r>
      <w:r>
        <w:rPr>
          <w:b/>
        </w:rPr>
        <w:t>crises aiguës de glaucome par fermeture d'angle</w:t>
      </w:r>
      <w:r>
        <w:t xml:space="preserve"> (CGFA) ou en préparation à la chirurgie filtrante, ainsi que dans les glaucomes réfractaires en attendant une intervention. Sa puissance hypotonisante est importante (baisse de 8 à 15 mmHg en quelques heures) par inhibition systémique de l'AC II ciliaire (réduction de 40 à 60 % de la production d'Humeur Aqueuse) et rénale (effet diurétique modeste). Cependant, le profil d'effets indésirables systémiques limite strictement son usage à la courte durée (quelques jours à quelques semaines) : paresthésies des extrémités et de la face (60-80 %), asthénie, anorexie, nausées, goût métallique, acidose métabolique hyperchlorémique (par perte rénale de bicarbonates), hypokaliémie (par diurèse), lithiase urinaire (par alcalinisation des urines et hypercalciurie), déshydratation. La surveillance biologique (ionogramme, gaz du sang, urée, créatinine) est obligatoire dès 48 heures de traitement. Le patient diabétique, insuffisant rénal, hépatique, ou âgé fragile requiert une prudence accrue.</w:t>
      </w:r>
    </w:p>
    <w:p>
      <w:pPr>
        <w:pStyle w:val="Heading2"/>
      </w:pPr>
      <w:r>
        <w:t>141.10 Sous-classe : Miotiques parasymphathomimétiques (généralités)</w:t>
      </w:r>
    </w:p>
    <w:p>
      <w:r>
        <w:t xml:space="preserve">La </w:t>
      </w:r>
      <w:r>
        <w:rPr>
          <w:b/>
        </w:rPr>
        <w:t>pilocarpine</w:t>
      </w:r>
      <w:r>
        <w:t xml:space="preserve">, alcaloïde imidazolique naturel extrait des feuilles de </w:t>
      </w:r>
      <w:r>
        <w:rPr>
          <w:i/>
        </w:rPr>
        <w:t>Pilocarpus jaborandi</w:t>
      </w:r>
      <w:r>
        <w:t xml:space="preserve"> (Rutacées), est le plus ancien hypotonisant oculaire connu (utilisation empirique depuis le XVIᵉ siècle au Brésil, introduit en thérapeutique européenne en 1875 par Weber). C'est un agoniste direct des récepteurs muscariniques M1, M2, M3, M4 (parasympathomimétique direct). Au niveau de l'œil, son action prédominante s'exerce sur le </w:t>
      </w:r>
      <w:r>
        <w:rPr>
          <w:b/>
        </w:rPr>
        <w:t>muscle ciliaire</w:t>
      </w:r>
      <w:r>
        <w:t xml:space="preserve"> (M3) dont la contraction tire la sangle trabéculo-ciliaire, ouvrant l'angle irido-cornéen et facilitant l'élimination trabéculaire de l'humeur aqueuse (jusqu'à +30-50 % de la résorption). Elle provoque également un myosis marqué (contraction du sphincter irien M3) qui, en cas de bloc pupillaire par iris en plate, peut lever mécaniquement l'obstruction (effet thérapeutique dans la crise aiguë de glaucome par fermeture d'angle). L'efficacité hypotonisante est correcte (baisse de 4 à 6 mmHg) mais contrebalancée par des effets indésirables locaux génants : myosis (gêne visuelle en basse luminosité, baisse d'acuité en myopie en raison du myosis accommodatif), spasme accommodatif (céphalées frontales, sourcilières, especially chez le jeune patient), et plus rarement décollement rétinien (par traction vitréo-rétinienne induite par la traction ciliaire — à vérifier par fond d'œil avant initiation). Les effets systémiques (hypersudation, hypersialorrhée, bradycardie, bronchospasme, diarrhée) sont possibles en cas de surdosage.</w:t>
      </w:r>
    </w:p>
    <w:p>
      <w:r>
        <w:t>La pilocarpine a vu son usage régresser considérablement depuis les années 1990-2000 en raison de la supériorité de tolérance des prostaglandines et des β-bloquants. Elle conserve une place de choix dans : (i) la crise aiguë de glaucome par fermeture d'angle (CAGFA), en association avec l'acétazolamide IV et la mannitol IV, en attendant l'iridotomie au laser, (ii) le glaucome par bloc pupillaire, (iii) certaines formes de glaucome pigmentaire, (iv) la pharmacologie vesticulaire et la thérapeutique de substitution en cas d'需要 besoin thérapeutique spécifique. En Algérie, deux dosages sont disponibles : 1 % et 2 % (PILO 1, APICARPIN 1 % et 2 %), en flacon de 10 mL avec conservateur (chlorure de benzalkonium). La conservation est de 1 mois après ouverture. La fréquence d'instillation varie de 2 à 4 fois par jour selon la sévérité, ce qui pèse négativement sur l'observance par comparaison aux prostaglandines monoprise.</w:t>
      </w:r>
    </w:p>
    <w:p>
      <w:pPr>
        <w:pStyle w:val="Heading1"/>
      </w:pPr>
      <w:r>
        <w:t>FICHES DÉTAILLÉES PAR DCI</w:t>
      </w:r>
    </w:p>
    <w:p>
      <w:pPr>
        <w:pStyle w:val="Heading2"/>
      </w:pPr>
      <w:r>
        <w:t>141.11 DCI : Timolol (usage ophtalmique)</w:t>
      </w:r>
    </w:p>
    <w:p>
      <w:pPr>
        <w:pStyle w:val="Heading3"/>
      </w:pPr>
      <w:r>
        <w:t>141.11.1 Catégories thérapeutiques et place dans la stratégie</w:t>
      </w:r>
    </w:p>
    <w:p>
      <w:pPr>
        <w:pStyle w:val="ListBullet"/>
      </w:pPr>
      <w:r/>
      <w:r>
        <w:rPr>
          <w:b/>
        </w:rPr>
        <w:t>Classe ATC</w:t>
      </w:r>
      <w:r>
        <w:t xml:space="preserve"> : S01ED01 (Timolol — maléate, collyre) ; S01ED51 (associations timolol)</w:t>
      </w:r>
    </w:p>
    <w:p>
      <w:pPr>
        <w:pStyle w:val="ListBullet"/>
      </w:pPr>
      <w:r/>
      <w:r>
        <w:rPr>
          <w:b/>
        </w:rPr>
        <w:t>Sous-classe pharmacologique</w:t>
      </w:r>
      <w:r>
        <w:t xml:space="preserve"> : β-bloquant topique non cardiosélectif (β1 + β2), sans activité sympathomimétique intrinsèque (ISA = 0), sans stabilisation membranaire notable</w:t>
      </w:r>
    </w:p>
    <w:p>
      <w:pPr>
        <w:pStyle w:val="ListBullet"/>
      </w:pPr>
      <w:r/>
      <w:r>
        <w:rPr>
          <w:b/>
        </w:rPr>
        <w:t>Liste des médicaments</w:t>
      </w:r>
      <w:r>
        <w:t xml:space="preserve"> : Liste I (prescription médicale obligatoire — collyre ophtalmique)</w:t>
      </w:r>
    </w:p>
    <w:p>
      <w:pPr>
        <w:pStyle w:val="ListBullet"/>
      </w:pPr>
      <w:r/>
      <w:r>
        <w:rPr>
          <w:b/>
        </w:rPr>
        <w:t>Statut réglementaire Algérie</w:t>
      </w:r>
      <w:r>
        <w:t xml:space="preserve"> : Inscription sur la nomenclature nationale des médicaments (Avril 2026)</w:t>
      </w:r>
    </w:p>
    <w:p>
      <w:pPr>
        <w:pStyle w:val="ListBullet"/>
      </w:pPr>
      <w:r/>
      <w:r>
        <w:rPr>
          <w:b/>
        </w:rPr>
        <w:t>Place dans la stratégie</w:t>
      </w:r>
      <w:r>
        <w:t xml:space="preserve"> (EGS 2023, AAO PPP 2020) : Première intention du glaucome à angle ouvert en cas d'absence de contre-indication respiratoire ou cardiovasculaire ; alternatives en cas de CI : latanoprost (prostaglandine) ou brimonidine (alpha-2 agoniste, non disponible Algérie)</w:t>
      </w:r>
    </w:p>
    <w:p>
      <w:pPr>
        <w:pStyle w:val="ListBullet"/>
      </w:pPr>
      <w:r/>
      <w:r>
        <w:rPr>
          <w:b/>
        </w:rPr>
        <w:t>Index thérapeutique</w:t>
      </w:r>
      <w:r>
        <w:t xml:space="preserve"> : Étroit (biodisponibilité systémique par voie naso-lacrymale 25-50 %, soit équivalente à une dose orale de 1 à 2 mg de timolol)</w:t>
      </w:r>
    </w:p>
    <w:p>
      <w:pPr>
        <w:pStyle w:val="ListBullet"/>
      </w:pPr>
      <w:r/>
      <w:r>
        <w:rPr>
          <w:b/>
        </w:rPr>
        <w:t>Grossesse/Allaitement</w:t>
      </w:r>
      <w:r>
        <w:t xml:space="preserve"> : À éviter (CI relative 2ᵉ et 3ᵉ trimestre — voir section dédiée)</w:t>
      </w:r>
    </w:p>
    <w:p>
      <w:r>
        <w:t>Le timolol ophtalmique, commercialisé pour la première fois aux États-Unis en 1978 (Timoptic®) puis en Europe dès 1980, demeure en 2026 le β-bloquant hypotonisant le plus prescrit au monde et en Algérie, en raison de son rapport coût/efficacité inégalé (250-400 DA/mois en générique) et de sa stabilité d'efficacité sur plusieurs décennies. Il est disponible en deux dosages (0,25 % et 0,5 %), en forme standard (1 à 2 instillations/jour) ou en forme à libération prolongée (Geltim LP® en Algérie, gel ophtalmique unidose à 1 mg/g, monoprise quotidienne). De très nombreuses associations fixes incluent le timolol en Algérie, principalement avec le dorzolamide (Cosopt® et 9 génériques) et le latanoprost (Xalacom®, LATADUO), facilitant l'observance chez le patient nécessitant une bithérapie.</w:t>
      </w:r>
    </w:p>
    <w:p>
      <w:pPr>
        <w:pStyle w:val="Heading3"/>
      </w:pPr>
      <w:r>
        <w:t>141.11.2 Médicaments disponibles en Algérie</w:t>
      </w:r>
    </w:p>
    <w:p>
      <w:r>
        <w:t>Le tableau ci-dessous répertorie l'ensemble des spécialités commerciales contenant du timolol (seul ou en association) dans la nomenclature algérienne des médicaments (Avril 2026). Les mentions « (R) » indiquent les spécialités retirées du marché, les mentions « (NR) » les spécialités non renouvelées (souvent pour raisons administratives ou de non-disponibilité du fabricant — elles peuvent revenir sur le marché si un nouveau titulaire reprend l'AMM). Les statuts « ACTIF » correspondent aux spécialités effectivement disponibles à la dispensation en pharmacie de ville algérienne.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APIMOL</w:t>
            </w:r>
          </w:p>
        </w:tc>
        <w:tc>
          <w:tcPr>
            <w:tcW w:type="dxa" w:w="1559"/>
          </w:tcPr>
          <w:p>
            <w:r>
              <w:rPr>
                <w:sz w:val="20"/>
              </w:rPr>
              <w:t>AMMAN PHARMACEUTICAL INDUSTRIE</w:t>
            </w:r>
          </w:p>
        </w:tc>
        <w:tc>
          <w:tcPr>
            <w:tcW w:type="dxa" w:w="1559"/>
          </w:tcPr>
          <w:p>
            <w:r>
              <w:rPr>
                <w:sz w:val="20"/>
              </w:rPr>
              <w:t>Collyre en solution — 0,5 % (5 mg/mL)</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COSOTIMOL</w:t>
            </w:r>
          </w:p>
        </w:tc>
        <w:tc>
          <w:tcPr>
            <w:tcW w:type="dxa" w:w="1559"/>
          </w:tcPr>
          <w:p>
            <w:r>
              <w:rPr>
                <w:sz w:val="20"/>
              </w:rPr>
              <w:t>HUPP PHARMA</w:t>
            </w:r>
          </w:p>
        </w:tc>
        <w:tc>
          <w:tcPr>
            <w:tcW w:type="dxa" w:w="1559"/>
          </w:tcPr>
          <w:p>
            <w:r>
              <w:rPr>
                <w:sz w:val="20"/>
              </w:rPr>
              <w:t>Collyre en solution (dorzolamide 20 mg/mL + timolol 5 mg/mL)</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COZOLAMIDE</w:t>
            </w:r>
          </w:p>
        </w:tc>
        <w:tc>
          <w:tcPr>
            <w:tcW w:type="dxa" w:w="1559"/>
          </w:tcPr>
          <w:p>
            <w:r>
              <w:rPr>
                <w:sz w:val="20"/>
              </w:rPr>
              <w:t>GENERIC LAB</w:t>
            </w:r>
          </w:p>
        </w:tc>
        <w:tc>
          <w:tcPr>
            <w:tcW w:type="dxa" w:w="1559"/>
          </w:tcPr>
          <w:p>
            <w:r>
              <w:rPr>
                <w:sz w:val="20"/>
              </w:rPr>
              <w:t>Collyre en solution (dorzolamide 20 mg/mL + timolol 5 mg/mL)</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DAROMED-T</w:t>
            </w:r>
          </w:p>
        </w:tc>
        <w:tc>
          <w:tcPr>
            <w:tcW w:type="dxa" w:w="1559"/>
          </w:tcPr>
          <w:p>
            <w:r>
              <w:rPr>
                <w:sz w:val="20"/>
              </w:rPr>
              <w:t>DAR AL DAWA</w:t>
            </w:r>
          </w:p>
        </w:tc>
        <w:tc>
          <w:tcPr>
            <w:tcW w:type="dxa" w:w="1559"/>
          </w:tcPr>
          <w:p>
            <w:r>
              <w:rPr>
                <w:sz w:val="20"/>
              </w:rPr>
              <w:t>Collyre (dorzolamide 20 mg/mL + timolol 5 mg/mL)</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DIGAOL</w:t>
            </w:r>
          </w:p>
        </w:tc>
        <w:tc>
          <w:tcPr>
            <w:tcW w:type="dxa" w:w="1559"/>
          </w:tcPr>
          <w:p>
            <w:r>
              <w:rPr>
                <w:sz w:val="20"/>
              </w:rPr>
              <w:t>LEURQUIN MEDIOLANUM</w:t>
            </w:r>
          </w:p>
        </w:tc>
        <w:tc>
          <w:tcPr>
            <w:tcW w:type="dxa" w:w="1559"/>
          </w:tcPr>
          <w:p>
            <w:r>
              <w:rPr>
                <w:sz w:val="20"/>
              </w:rPr>
              <w:t>Collyre en solution — 0,5 %</w:t>
            </w:r>
          </w:p>
        </w:tc>
        <w:tc>
          <w:tcPr>
            <w:tcW w:type="dxa" w:w="1559"/>
          </w:tcPr>
          <w:p>
            <w:r>
              <w:rPr>
                <w:sz w:val="20"/>
              </w:rPr>
              <w:t>FL/3 mL</w:t>
            </w:r>
          </w:p>
        </w:tc>
        <w:tc>
          <w:tcPr>
            <w:tcW w:type="dxa" w:w="1559"/>
          </w:tcPr>
          <w:p>
            <w:r>
              <w:rPr>
                <w:sz w:val="20"/>
              </w:rPr>
              <w:t>LISTE I</w:t>
            </w:r>
          </w:p>
        </w:tc>
        <w:tc>
          <w:tcPr>
            <w:tcW w:type="dxa" w:w="1559"/>
          </w:tcPr>
          <w:p>
            <w:r>
              <w:rPr>
                <w:sz w:val="20"/>
              </w:rPr>
              <w:t>ACTIF</w:t>
            </w:r>
          </w:p>
        </w:tc>
      </w:tr>
      <w:tr>
        <w:tc>
          <w:tcPr>
            <w:tcW w:type="dxa" w:w="1559"/>
          </w:tcPr>
          <w:p>
            <w:r>
              <w:rPr>
                <w:sz w:val="20"/>
              </w:rPr>
              <w:t>DORZASOPT</w:t>
            </w:r>
          </w:p>
        </w:tc>
        <w:tc>
          <w:tcPr>
            <w:tcW w:type="dxa" w:w="1559"/>
          </w:tcPr>
          <w:p>
            <w:r>
              <w:rPr>
                <w:sz w:val="20"/>
              </w:rPr>
              <w:t>WORLD MEDECINE LIMITED</w:t>
            </w:r>
          </w:p>
        </w:tc>
        <w:tc>
          <w:tcPr>
            <w:tcW w:type="dxa" w:w="1559"/>
          </w:tcPr>
          <w:p>
            <w:r>
              <w:rPr>
                <w:sz w:val="20"/>
              </w:rPr>
              <w:t>Collyre en solution (dorzolamide 20 mg/mL + timolol 5 mg/mL)</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GELTIM LP</w:t>
            </w:r>
          </w:p>
        </w:tc>
        <w:tc>
          <w:tcPr>
            <w:tcW w:type="dxa" w:w="1559"/>
          </w:tcPr>
          <w:p>
            <w:r>
              <w:rPr>
                <w:sz w:val="20"/>
              </w:rPr>
              <w:t>THEA</w:t>
            </w:r>
          </w:p>
        </w:tc>
        <w:tc>
          <w:tcPr>
            <w:tcW w:type="dxa" w:w="1559"/>
          </w:tcPr>
          <w:p>
            <w:r>
              <w:rPr>
                <w:sz w:val="20"/>
              </w:rPr>
              <w:t>Gel ophtalmique en récipient unidose — 1 mg/g</w:t>
            </w:r>
          </w:p>
        </w:tc>
        <w:tc>
          <w:tcPr>
            <w:tcW w:type="dxa" w:w="1559"/>
          </w:tcPr>
          <w:p>
            <w:r>
              <w:rPr>
                <w:sz w:val="20"/>
              </w:rPr>
              <w:t>B/30 récipients unidoses (sachet de 10)</w:t>
            </w:r>
          </w:p>
        </w:tc>
        <w:tc>
          <w:tcPr>
            <w:tcW w:type="dxa" w:w="1559"/>
          </w:tcPr>
          <w:p>
            <w:r>
              <w:rPr>
                <w:sz w:val="20"/>
              </w:rPr>
              <w:t>LISTE I</w:t>
            </w:r>
          </w:p>
        </w:tc>
        <w:tc>
          <w:tcPr>
            <w:tcW w:type="dxa" w:w="1559"/>
          </w:tcPr>
          <w:p>
            <w:r>
              <w:rPr>
                <w:sz w:val="20"/>
              </w:rPr>
              <w:t>ACTIF</w:t>
            </w:r>
          </w:p>
        </w:tc>
      </w:tr>
      <w:tr>
        <w:tc>
          <w:tcPr>
            <w:tcW w:type="dxa" w:w="1559"/>
          </w:tcPr>
          <w:p>
            <w:r>
              <w:rPr>
                <w:sz w:val="20"/>
              </w:rPr>
              <w:t>LATADUO</w:t>
            </w:r>
          </w:p>
        </w:tc>
        <w:tc>
          <w:tcPr>
            <w:tcW w:type="dxa" w:w="1559"/>
          </w:tcPr>
          <w:p>
            <w:r>
              <w:rPr>
                <w:sz w:val="20"/>
              </w:rPr>
              <w:t>BIOTHERA</w:t>
            </w:r>
          </w:p>
        </w:tc>
        <w:tc>
          <w:tcPr>
            <w:tcW w:type="dxa" w:w="1559"/>
          </w:tcPr>
          <w:p>
            <w:r>
              <w:rPr>
                <w:sz w:val="20"/>
              </w:rPr>
              <w:t>Collyre en solution (latanoprost 0,05 mg/mL + timolol 5 mg/mL)</w:t>
            </w:r>
          </w:p>
        </w:tc>
        <w:tc>
          <w:tcPr>
            <w:tcW w:type="dxa" w:w="1559"/>
          </w:tcPr>
          <w:p>
            <w:r>
              <w:rPr>
                <w:sz w:val="20"/>
              </w:rPr>
              <w:t>FL/2,5 mL</w:t>
            </w:r>
          </w:p>
        </w:tc>
        <w:tc>
          <w:tcPr>
            <w:tcW w:type="dxa" w:w="1559"/>
          </w:tcPr>
          <w:p>
            <w:r>
              <w:rPr>
                <w:sz w:val="20"/>
              </w:rPr>
              <w:t>LISTE I</w:t>
            </w:r>
          </w:p>
        </w:tc>
        <w:tc>
          <w:tcPr>
            <w:tcW w:type="dxa" w:w="1559"/>
          </w:tcPr>
          <w:p>
            <w:r>
              <w:rPr>
                <w:sz w:val="20"/>
              </w:rPr>
              <w:t>ACTIF</w:t>
            </w:r>
          </w:p>
        </w:tc>
      </w:tr>
      <w:tr>
        <w:tc>
          <w:tcPr>
            <w:tcW w:type="dxa" w:w="1559"/>
          </w:tcPr>
          <w:p>
            <w:r>
              <w:rPr>
                <w:sz w:val="20"/>
              </w:rPr>
              <w:t>MEDYOL</w:t>
            </w:r>
          </w:p>
        </w:tc>
        <w:tc>
          <w:tcPr>
            <w:tcW w:type="dxa" w:w="1559"/>
          </w:tcPr>
          <w:p>
            <w:r>
              <w:rPr>
                <w:sz w:val="20"/>
              </w:rPr>
              <w:t>MEDI PHARMA INTERNATIONAL</w:t>
            </w:r>
          </w:p>
        </w:tc>
        <w:tc>
          <w:tcPr>
            <w:tcW w:type="dxa" w:w="1559"/>
          </w:tcPr>
          <w:p>
            <w:r>
              <w:rPr>
                <w:sz w:val="20"/>
              </w:rPr>
              <w:t>Collyre en solution — 0,5 %</w:t>
            </w:r>
          </w:p>
        </w:tc>
        <w:tc>
          <w:tcPr>
            <w:tcW w:type="dxa" w:w="1559"/>
          </w:tcPr>
          <w:p>
            <w:r>
              <w:rPr>
                <w:sz w:val="20"/>
              </w:rPr>
              <w:t>FL/10 mL</w:t>
            </w:r>
          </w:p>
        </w:tc>
        <w:tc>
          <w:tcPr>
            <w:tcW w:type="dxa" w:w="1559"/>
          </w:tcPr>
          <w:p>
            <w:r>
              <w:rPr>
                <w:sz w:val="20"/>
              </w:rPr>
              <w:t>LISTE I</w:t>
            </w:r>
          </w:p>
        </w:tc>
        <w:tc>
          <w:tcPr>
            <w:tcW w:type="dxa" w:w="1559"/>
          </w:tcPr>
          <w:p>
            <w:r>
              <w:rPr>
                <w:sz w:val="20"/>
              </w:rPr>
              <w:t>ACTIF</w:t>
            </w:r>
          </w:p>
        </w:tc>
      </w:tr>
      <w:tr>
        <w:tc>
          <w:tcPr>
            <w:tcW w:type="dxa" w:w="1559"/>
          </w:tcPr>
          <w:p>
            <w:r>
              <w:rPr>
                <w:sz w:val="20"/>
              </w:rPr>
              <w:t>MYOSOPT</w:t>
            </w:r>
          </w:p>
        </w:tc>
        <w:tc>
          <w:tcPr>
            <w:tcW w:type="dxa" w:w="1559"/>
          </w:tcPr>
          <w:p>
            <w:r>
              <w:rPr>
                <w:sz w:val="20"/>
              </w:rPr>
              <w:t>INPHA-MEDIS</w:t>
            </w:r>
          </w:p>
        </w:tc>
        <w:tc>
          <w:tcPr>
            <w:tcW w:type="dxa" w:w="1559"/>
          </w:tcPr>
          <w:p>
            <w:r>
              <w:rPr>
                <w:sz w:val="20"/>
              </w:rPr>
              <w:t>Collyre en solution (dorzolamide 20 mg/mL + timolol 5 mg/mL)</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NORMOPTIC 0,25 %</w:t>
            </w:r>
          </w:p>
        </w:tc>
        <w:tc>
          <w:tcPr>
            <w:tcW w:type="dxa" w:w="1559"/>
          </w:tcPr>
          <w:p>
            <w:r>
              <w:rPr>
                <w:sz w:val="20"/>
              </w:rPr>
              <w:t>INPHA-MEDIS</w:t>
            </w:r>
          </w:p>
        </w:tc>
        <w:tc>
          <w:tcPr>
            <w:tcW w:type="dxa" w:w="1559"/>
          </w:tcPr>
          <w:p>
            <w:r>
              <w:rPr>
                <w:sz w:val="20"/>
              </w:rPr>
              <w:t>Collyre en solution — 0,25 %</w:t>
            </w:r>
          </w:p>
        </w:tc>
        <w:tc>
          <w:tcPr>
            <w:tcW w:type="dxa" w:w="1559"/>
          </w:tcPr>
          <w:p>
            <w:r>
              <w:rPr>
                <w:sz w:val="20"/>
              </w:rPr>
              <w:t>F/5 mL</w:t>
            </w:r>
          </w:p>
        </w:tc>
        <w:tc>
          <w:tcPr>
            <w:tcW w:type="dxa" w:w="1559"/>
          </w:tcPr>
          <w:p>
            <w:r>
              <w:rPr>
                <w:sz w:val="20"/>
              </w:rPr>
              <w:t>LISTE I</w:t>
            </w:r>
          </w:p>
        </w:tc>
        <w:tc>
          <w:tcPr>
            <w:tcW w:type="dxa" w:w="1559"/>
          </w:tcPr>
          <w:p>
            <w:r>
              <w:rPr>
                <w:sz w:val="20"/>
              </w:rPr>
              <w:t>ACTIF</w:t>
            </w:r>
          </w:p>
        </w:tc>
      </w:tr>
      <w:tr>
        <w:tc>
          <w:tcPr>
            <w:tcW w:type="dxa" w:w="1559"/>
          </w:tcPr>
          <w:p>
            <w:r>
              <w:rPr>
                <w:sz w:val="20"/>
              </w:rPr>
              <w:t>NORMOPTIC 0,5 %</w:t>
            </w:r>
          </w:p>
        </w:tc>
        <w:tc>
          <w:tcPr>
            <w:tcW w:type="dxa" w:w="1559"/>
          </w:tcPr>
          <w:p>
            <w:r>
              <w:rPr>
                <w:sz w:val="20"/>
              </w:rPr>
              <w:t>INPHA-MEDIS</w:t>
            </w:r>
          </w:p>
        </w:tc>
        <w:tc>
          <w:tcPr>
            <w:tcW w:type="dxa" w:w="1559"/>
          </w:tcPr>
          <w:p>
            <w:r>
              <w:rPr>
                <w:sz w:val="20"/>
              </w:rPr>
              <w:t>Collyre en solution — 0,5 %</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OPHTAMOLOL 0,25 %</w:t>
            </w:r>
          </w:p>
        </w:tc>
        <w:tc>
          <w:tcPr>
            <w:tcW w:type="dxa" w:w="1559"/>
          </w:tcPr>
          <w:p>
            <w:r>
              <w:rPr>
                <w:sz w:val="20"/>
              </w:rPr>
              <w:t>JORAS PHARMACEUTICAL S.P.A.</w:t>
            </w:r>
          </w:p>
        </w:tc>
        <w:tc>
          <w:tcPr>
            <w:tcW w:type="dxa" w:w="1559"/>
          </w:tcPr>
          <w:p>
            <w:r>
              <w:rPr>
                <w:sz w:val="20"/>
              </w:rPr>
              <w:t>Collyre en solution — 0,25 %</w:t>
            </w:r>
          </w:p>
        </w:tc>
        <w:tc>
          <w:tcPr>
            <w:tcW w:type="dxa" w:w="1559"/>
          </w:tcPr>
          <w:p>
            <w:r>
              <w:rPr>
                <w:sz w:val="20"/>
              </w:rPr>
              <w:t>F/5 mL</w:t>
            </w:r>
          </w:p>
        </w:tc>
        <w:tc>
          <w:tcPr>
            <w:tcW w:type="dxa" w:w="1559"/>
          </w:tcPr>
          <w:p>
            <w:r>
              <w:rPr>
                <w:sz w:val="20"/>
              </w:rPr>
              <w:t>LISTE I</w:t>
            </w:r>
          </w:p>
        </w:tc>
        <w:tc>
          <w:tcPr>
            <w:tcW w:type="dxa" w:w="1559"/>
          </w:tcPr>
          <w:p>
            <w:r>
              <w:rPr>
                <w:sz w:val="20"/>
              </w:rPr>
              <w:t>ACTIF</w:t>
            </w:r>
          </w:p>
        </w:tc>
      </w:tr>
      <w:tr>
        <w:tc>
          <w:tcPr>
            <w:tcW w:type="dxa" w:w="1559"/>
          </w:tcPr>
          <w:p>
            <w:r>
              <w:rPr>
                <w:sz w:val="20"/>
              </w:rPr>
              <w:t>OPHTAMOLOL 0,5 %</w:t>
            </w:r>
          </w:p>
        </w:tc>
        <w:tc>
          <w:tcPr>
            <w:tcW w:type="dxa" w:w="1559"/>
          </w:tcPr>
          <w:p>
            <w:r>
              <w:rPr>
                <w:sz w:val="20"/>
              </w:rPr>
              <w:t>JORAS PHARMACEUTICAL S.P.A.</w:t>
            </w:r>
          </w:p>
        </w:tc>
        <w:tc>
          <w:tcPr>
            <w:tcW w:type="dxa" w:w="1559"/>
          </w:tcPr>
          <w:p>
            <w:r>
              <w:rPr>
                <w:sz w:val="20"/>
              </w:rPr>
              <w:t>Collyre en solution — 0,5 %</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OPTODROP-CO</w:t>
            </w:r>
          </w:p>
        </w:tc>
        <w:tc>
          <w:tcPr>
            <w:tcW w:type="dxa" w:w="1559"/>
          </w:tcPr>
          <w:p>
            <w:r>
              <w:rPr>
                <w:sz w:val="20"/>
              </w:rPr>
              <w:t>RAFARM S.A</w:t>
            </w:r>
          </w:p>
        </w:tc>
        <w:tc>
          <w:tcPr>
            <w:tcW w:type="dxa" w:w="1559"/>
          </w:tcPr>
          <w:p>
            <w:r>
              <w:rPr>
                <w:sz w:val="20"/>
              </w:rPr>
              <w:t>Collyre en solution (dorzolamide 20 mg/mL + timolol 5 mg/mL)</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TIIMODROP</w:t>
            </w:r>
          </w:p>
        </w:tc>
        <w:tc>
          <w:tcPr>
            <w:tcW w:type="dxa" w:w="1559"/>
          </w:tcPr>
          <w:p>
            <w:r>
              <w:rPr>
                <w:sz w:val="20"/>
              </w:rPr>
              <w:t>BIOTHERA</w:t>
            </w:r>
          </w:p>
        </w:tc>
        <w:tc>
          <w:tcPr>
            <w:tcW w:type="dxa" w:w="1559"/>
          </w:tcPr>
          <w:p>
            <w:r>
              <w:rPr>
                <w:sz w:val="20"/>
              </w:rPr>
              <w:t>Collyre en solution — 0,25 %</w:t>
            </w:r>
          </w:p>
        </w:tc>
        <w:tc>
          <w:tcPr>
            <w:tcW w:type="dxa" w:w="1559"/>
          </w:tcPr>
          <w:p>
            <w:r>
              <w:rPr>
                <w:sz w:val="20"/>
              </w:rPr>
              <w:t>F/5 mL</w:t>
            </w:r>
          </w:p>
        </w:tc>
        <w:tc>
          <w:tcPr>
            <w:tcW w:type="dxa" w:w="1559"/>
          </w:tcPr>
          <w:p>
            <w:r>
              <w:rPr>
                <w:sz w:val="20"/>
              </w:rPr>
              <w:t>LISTE I</w:t>
            </w:r>
          </w:p>
        </w:tc>
        <w:tc>
          <w:tcPr>
            <w:tcW w:type="dxa" w:w="1559"/>
          </w:tcPr>
          <w:p>
            <w:r>
              <w:rPr>
                <w:sz w:val="20"/>
              </w:rPr>
              <w:t>ACTIF</w:t>
            </w:r>
          </w:p>
        </w:tc>
      </w:tr>
      <w:tr>
        <w:tc>
          <w:tcPr>
            <w:tcW w:type="dxa" w:w="1559"/>
          </w:tcPr>
          <w:p>
            <w:r>
              <w:rPr>
                <w:sz w:val="20"/>
              </w:rPr>
              <w:t>TIMODROP</w:t>
            </w:r>
          </w:p>
        </w:tc>
        <w:tc>
          <w:tcPr>
            <w:tcW w:type="dxa" w:w="1559"/>
          </w:tcPr>
          <w:p>
            <w:r>
              <w:rPr>
                <w:sz w:val="20"/>
              </w:rPr>
              <w:t>BIOTHERA</w:t>
            </w:r>
          </w:p>
        </w:tc>
        <w:tc>
          <w:tcPr>
            <w:tcW w:type="dxa" w:w="1559"/>
          </w:tcPr>
          <w:p>
            <w:r>
              <w:rPr>
                <w:sz w:val="20"/>
              </w:rPr>
              <w:t>Collyre en solution stérile — 0,5 %</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TIMOLAMID</w:t>
            </w:r>
          </w:p>
        </w:tc>
        <w:tc>
          <w:tcPr>
            <w:tcW w:type="dxa" w:w="1559"/>
          </w:tcPr>
          <w:p>
            <w:r>
              <w:rPr>
                <w:sz w:val="20"/>
              </w:rPr>
              <w:t>BIOTHERA</w:t>
            </w:r>
          </w:p>
        </w:tc>
        <w:tc>
          <w:tcPr>
            <w:tcW w:type="dxa" w:w="1559"/>
          </w:tcPr>
          <w:p>
            <w:r>
              <w:rPr>
                <w:sz w:val="20"/>
              </w:rPr>
              <w:t>Collyre en solution (dorzolamide 20 mg/mL + timolol 5 mg/mL)</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TIMOLOL 0,25 %</w:t>
            </w:r>
          </w:p>
        </w:tc>
        <w:tc>
          <w:tcPr>
            <w:tcW w:type="dxa" w:w="1559"/>
          </w:tcPr>
          <w:p>
            <w:r>
              <w:rPr>
                <w:sz w:val="20"/>
              </w:rPr>
              <w:t>AMMAN PHARMACEUTICAL INDUSTRIE</w:t>
            </w:r>
          </w:p>
        </w:tc>
        <w:tc>
          <w:tcPr>
            <w:tcW w:type="dxa" w:w="1559"/>
          </w:tcPr>
          <w:p>
            <w:r>
              <w:rPr>
                <w:sz w:val="20"/>
              </w:rPr>
              <w:t>Collyre en solution — 0,25 %</w:t>
            </w:r>
          </w:p>
        </w:tc>
        <w:tc>
          <w:tcPr>
            <w:tcW w:type="dxa" w:w="1559"/>
          </w:tcPr>
          <w:p>
            <w:r>
              <w:rPr>
                <w:sz w:val="20"/>
              </w:rPr>
              <w:t>F/5 mL</w:t>
            </w:r>
          </w:p>
        </w:tc>
        <w:tc>
          <w:tcPr>
            <w:tcW w:type="dxa" w:w="1559"/>
          </w:tcPr>
          <w:p>
            <w:r>
              <w:rPr>
                <w:sz w:val="20"/>
              </w:rPr>
              <w:t>LISTE I</w:t>
            </w:r>
          </w:p>
        </w:tc>
        <w:tc>
          <w:tcPr>
            <w:tcW w:type="dxa" w:w="1559"/>
          </w:tcPr>
          <w:p>
            <w:r>
              <w:rPr>
                <w:sz w:val="20"/>
              </w:rPr>
              <w:t>ACTIF</w:t>
            </w:r>
          </w:p>
        </w:tc>
      </w:tr>
      <w:tr>
        <w:tc>
          <w:tcPr>
            <w:tcW w:type="dxa" w:w="1559"/>
          </w:tcPr>
          <w:p>
            <w:r>
              <w:rPr>
                <w:sz w:val="20"/>
              </w:rPr>
              <w:t>TIMOLOL 0,5 %</w:t>
            </w:r>
          </w:p>
        </w:tc>
        <w:tc>
          <w:tcPr>
            <w:tcW w:type="dxa" w:w="1559"/>
          </w:tcPr>
          <w:p>
            <w:r>
              <w:rPr>
                <w:sz w:val="20"/>
              </w:rPr>
              <w:t>EGYPTIAN INTYERNATIONAL PHARMACEUTICAL INDUSTRIES (EPICO)</w:t>
            </w:r>
          </w:p>
        </w:tc>
        <w:tc>
          <w:tcPr>
            <w:tcW w:type="dxa" w:w="1559"/>
          </w:tcPr>
          <w:p>
            <w:r>
              <w:rPr>
                <w:sz w:val="20"/>
              </w:rPr>
              <w:t>Collyre en solution — 0,5 %</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XALACOM</w:t>
            </w:r>
          </w:p>
        </w:tc>
        <w:tc>
          <w:tcPr>
            <w:tcW w:type="dxa" w:w="1559"/>
          </w:tcPr>
          <w:p>
            <w:r>
              <w:rPr>
                <w:sz w:val="20"/>
              </w:rPr>
              <w:t>PFIZER HOLDING FRANCE</w:t>
            </w:r>
          </w:p>
        </w:tc>
        <w:tc>
          <w:tcPr>
            <w:tcW w:type="dxa" w:w="1559"/>
          </w:tcPr>
          <w:p>
            <w:r>
              <w:rPr>
                <w:sz w:val="20"/>
              </w:rPr>
              <w:t>Collyre en solution (latanoprost 50 µg/mL + timolol 5 mg/mL)</w:t>
            </w:r>
          </w:p>
        </w:tc>
        <w:tc>
          <w:tcPr>
            <w:tcW w:type="dxa" w:w="1559"/>
          </w:tcPr>
          <w:p>
            <w:r>
              <w:rPr>
                <w:sz w:val="20"/>
              </w:rPr>
              <w:t>FL/2,5 mL</w:t>
            </w:r>
          </w:p>
        </w:tc>
        <w:tc>
          <w:tcPr>
            <w:tcW w:type="dxa" w:w="1559"/>
          </w:tcPr>
          <w:p>
            <w:r>
              <w:rPr>
                <w:sz w:val="20"/>
              </w:rPr>
              <w:t>LISTE I</w:t>
            </w:r>
          </w:p>
        </w:tc>
        <w:tc>
          <w:tcPr>
            <w:tcW w:type="dxa" w:w="1559"/>
          </w:tcPr>
          <w:p>
            <w:r>
              <w:rPr>
                <w:sz w:val="20"/>
              </w:rPr>
              <w:t>ACTIF</w:t>
            </w:r>
          </w:p>
        </w:tc>
      </w:tr>
      <w:tr>
        <w:tc>
          <w:tcPr>
            <w:tcW w:type="dxa" w:w="1559"/>
          </w:tcPr>
          <w:p>
            <w:r>
              <w:rPr>
                <w:sz w:val="20"/>
              </w:rPr>
              <w:t>XOLAMOL</w:t>
            </w:r>
          </w:p>
        </w:tc>
        <w:tc>
          <w:tcPr>
            <w:tcW w:type="dxa" w:w="1559"/>
          </w:tcPr>
          <w:p>
            <w:r>
              <w:rPr>
                <w:sz w:val="20"/>
              </w:rPr>
              <w:t>JAMJOOM PHARMACEUTICAL INDUSTRY</w:t>
            </w:r>
          </w:p>
        </w:tc>
        <w:tc>
          <w:tcPr>
            <w:tcW w:type="dxa" w:w="1559"/>
          </w:tcPr>
          <w:p>
            <w:r>
              <w:rPr>
                <w:sz w:val="20"/>
              </w:rPr>
              <w:t>Collyre en solution (dorzolamide 20 mg/mL + timolol 5 mg/mL)</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ZOLAMIDE +</w:t>
            </w:r>
          </w:p>
        </w:tc>
        <w:tc>
          <w:tcPr>
            <w:tcW w:type="dxa" w:w="1559"/>
          </w:tcPr>
          <w:p>
            <w:r>
              <w:rPr>
                <w:sz w:val="20"/>
              </w:rPr>
              <w:t>GENERIC LAB</w:t>
            </w:r>
          </w:p>
        </w:tc>
        <w:tc>
          <w:tcPr>
            <w:tcW w:type="dxa" w:w="1559"/>
          </w:tcPr>
          <w:p>
            <w:r>
              <w:rPr>
                <w:sz w:val="20"/>
              </w:rPr>
              <w:t>Collyre en solution (dorzolamide 20 mg/mL + timolol 5 mg/mL)</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CROMOLOL (NR)</w:t>
            </w:r>
          </w:p>
        </w:tc>
        <w:tc>
          <w:tcPr>
            <w:tcW w:type="dxa" w:w="1559"/>
          </w:tcPr>
          <w:p>
            <w:r>
              <w:rPr>
                <w:sz w:val="20"/>
              </w:rPr>
              <w:t>CROVIS PHILCOM</w:t>
            </w:r>
          </w:p>
        </w:tc>
        <w:tc>
          <w:tcPr>
            <w:tcW w:type="dxa" w:w="1559"/>
          </w:tcPr>
          <w:p>
            <w:r>
              <w:rPr>
                <w:sz w:val="20"/>
              </w:rPr>
              <w:t>Collyre — 0,25 %</w:t>
            </w:r>
          </w:p>
        </w:tc>
        <w:tc>
          <w:tcPr>
            <w:tcW w:type="dxa" w:w="1559"/>
          </w:tcPr>
          <w:p>
            <w:r>
              <w:rPr>
                <w:sz w:val="20"/>
              </w:rPr>
              <w:t>F/5 mL</w:t>
            </w:r>
          </w:p>
        </w:tc>
        <w:tc>
          <w:tcPr>
            <w:tcW w:type="dxa" w:w="1559"/>
          </w:tcPr>
          <w:p>
            <w:r>
              <w:rPr>
                <w:sz w:val="20"/>
              </w:rPr>
              <w:t>LISTE I</w:t>
            </w:r>
          </w:p>
        </w:tc>
        <w:tc>
          <w:tcPr>
            <w:tcW w:type="dxa" w:w="1559"/>
          </w:tcPr>
          <w:p>
            <w:r>
              <w:rPr>
                <w:sz w:val="20"/>
              </w:rPr>
              <w:t>NON_RENOUVELABLE</w:t>
            </w:r>
          </w:p>
        </w:tc>
      </w:tr>
      <w:tr>
        <w:tc>
          <w:tcPr>
            <w:tcW w:type="dxa" w:w="1559"/>
          </w:tcPr>
          <w:p>
            <w:r>
              <w:rPr>
                <w:sz w:val="20"/>
              </w:rPr>
              <w:t>TIMOLOL ALCON 0,5 % (NR)</w:t>
            </w:r>
          </w:p>
        </w:tc>
        <w:tc>
          <w:tcPr>
            <w:tcW w:type="dxa" w:w="1559"/>
          </w:tcPr>
          <w:p>
            <w:r>
              <w:rPr>
                <w:sz w:val="20"/>
              </w:rPr>
              <w:t>ALCON</w:t>
            </w:r>
          </w:p>
        </w:tc>
        <w:tc>
          <w:tcPr>
            <w:tcW w:type="dxa" w:w="1559"/>
          </w:tcPr>
          <w:p>
            <w:r>
              <w:rPr>
                <w:sz w:val="20"/>
              </w:rPr>
              <w:t>Collyre — 0,5 %</w:t>
            </w:r>
          </w:p>
        </w:tc>
        <w:tc>
          <w:tcPr>
            <w:tcW w:type="dxa" w:w="1559"/>
          </w:tcPr>
          <w:p>
            <w:r>
              <w:rPr>
                <w:sz w:val="20"/>
              </w:rPr>
              <w:t>FL/5 mL</w:t>
            </w:r>
          </w:p>
        </w:tc>
        <w:tc>
          <w:tcPr>
            <w:tcW w:type="dxa" w:w="1559"/>
          </w:tcPr>
          <w:p>
            <w:r>
              <w:rPr>
                <w:sz w:val="20"/>
              </w:rPr>
              <w:t>LISTE I</w:t>
            </w:r>
          </w:p>
        </w:tc>
        <w:tc>
          <w:tcPr>
            <w:tcW w:type="dxa" w:w="1559"/>
          </w:tcPr>
          <w:p>
            <w:r>
              <w:rPr>
                <w:sz w:val="20"/>
              </w:rPr>
              <w:t>NON_RENOUVELABLE</w:t>
            </w:r>
          </w:p>
        </w:tc>
      </w:tr>
      <w:tr>
        <w:tc>
          <w:tcPr>
            <w:tcW w:type="dxa" w:w="1559"/>
          </w:tcPr>
          <w:p>
            <w:r>
              <w:rPr>
                <w:sz w:val="20"/>
              </w:rPr>
              <w:t>TIMPTOL 0,25 % (NR)</w:t>
            </w:r>
          </w:p>
        </w:tc>
        <w:tc>
          <w:tcPr>
            <w:tcW w:type="dxa" w:w="1559"/>
          </w:tcPr>
          <w:p>
            <w:r>
              <w:rPr>
                <w:sz w:val="20"/>
              </w:rPr>
              <w:t>MERCK SHARP &amp; DOHME CHIBRET</w:t>
            </w:r>
          </w:p>
        </w:tc>
        <w:tc>
          <w:tcPr>
            <w:tcW w:type="dxa" w:w="1559"/>
          </w:tcPr>
          <w:p>
            <w:r>
              <w:rPr>
                <w:sz w:val="20"/>
              </w:rPr>
              <w:t>Collyre — 0,25 %</w:t>
            </w:r>
          </w:p>
        </w:tc>
        <w:tc>
          <w:tcPr>
            <w:tcW w:type="dxa" w:w="1559"/>
          </w:tcPr>
          <w:p>
            <w:r>
              <w:rPr>
                <w:sz w:val="20"/>
              </w:rPr>
              <w:t>FL/3 mL</w:t>
            </w:r>
          </w:p>
        </w:tc>
        <w:tc>
          <w:tcPr>
            <w:tcW w:type="dxa" w:w="1559"/>
          </w:tcPr>
          <w:p>
            <w:r>
              <w:rPr>
                <w:sz w:val="20"/>
              </w:rPr>
              <w:t>LISTE I</w:t>
            </w:r>
          </w:p>
        </w:tc>
        <w:tc>
          <w:tcPr>
            <w:tcW w:type="dxa" w:w="1559"/>
          </w:tcPr>
          <w:p>
            <w:r>
              <w:rPr>
                <w:sz w:val="20"/>
              </w:rPr>
              <w:t>NON_RENOUVELABLE</w:t>
            </w:r>
          </w:p>
        </w:tc>
      </w:tr>
      <w:tr>
        <w:tc>
          <w:tcPr>
            <w:tcW w:type="dxa" w:w="1559"/>
          </w:tcPr>
          <w:p>
            <w:r>
              <w:rPr>
                <w:sz w:val="20"/>
              </w:rPr>
              <w:t>TIMPTOL 0,5 % (NR)</w:t>
            </w:r>
          </w:p>
        </w:tc>
        <w:tc>
          <w:tcPr>
            <w:tcW w:type="dxa" w:w="1559"/>
          </w:tcPr>
          <w:p>
            <w:r>
              <w:rPr>
                <w:sz w:val="20"/>
              </w:rPr>
              <w:t>MERCK SHARP &amp; DOHME CHIBRET</w:t>
            </w:r>
          </w:p>
        </w:tc>
        <w:tc>
          <w:tcPr>
            <w:tcW w:type="dxa" w:w="1559"/>
          </w:tcPr>
          <w:p>
            <w:r>
              <w:rPr>
                <w:sz w:val="20"/>
              </w:rPr>
              <w:t>Collyre — 0,5 %</w:t>
            </w:r>
          </w:p>
        </w:tc>
        <w:tc>
          <w:tcPr>
            <w:tcW w:type="dxa" w:w="1559"/>
          </w:tcPr>
          <w:p>
            <w:r>
              <w:rPr>
                <w:sz w:val="20"/>
              </w:rPr>
              <w:t>FL/3 mL</w:t>
            </w:r>
          </w:p>
        </w:tc>
        <w:tc>
          <w:tcPr>
            <w:tcW w:type="dxa" w:w="1559"/>
          </w:tcPr>
          <w:p>
            <w:r>
              <w:rPr>
                <w:sz w:val="20"/>
              </w:rPr>
              <w:t>LISTE I</w:t>
            </w:r>
          </w:p>
        </w:tc>
        <w:tc>
          <w:tcPr>
            <w:tcW w:type="dxa" w:w="1559"/>
          </w:tcPr>
          <w:p>
            <w:r>
              <w:rPr>
                <w:sz w:val="20"/>
              </w:rPr>
              <w:t>NON_RENOUVELABLE</w:t>
            </w:r>
          </w:p>
        </w:tc>
      </w:tr>
      <w:tr>
        <w:tc>
          <w:tcPr>
            <w:tcW w:type="dxa" w:w="1559"/>
          </w:tcPr>
          <w:p>
            <w:r>
              <w:rPr>
                <w:sz w:val="20"/>
              </w:rPr>
              <w:t>TUNOLOL 0,25 % (NR)</w:t>
            </w:r>
          </w:p>
        </w:tc>
        <w:tc>
          <w:tcPr>
            <w:tcW w:type="dxa" w:w="1559"/>
          </w:tcPr>
          <w:p>
            <w:r>
              <w:rPr>
                <w:sz w:val="20"/>
              </w:rPr>
              <w:t>UNIMED</w:t>
            </w:r>
          </w:p>
        </w:tc>
        <w:tc>
          <w:tcPr>
            <w:tcW w:type="dxa" w:w="1559"/>
          </w:tcPr>
          <w:p>
            <w:r>
              <w:rPr>
                <w:sz w:val="20"/>
              </w:rPr>
              <w:t>Collyre — 0,25 %</w:t>
            </w:r>
          </w:p>
        </w:tc>
        <w:tc>
          <w:tcPr>
            <w:tcW w:type="dxa" w:w="1559"/>
          </w:tcPr>
          <w:p>
            <w:r>
              <w:rPr>
                <w:sz w:val="20"/>
              </w:rPr>
              <w:t>FL/5 mL</w:t>
            </w:r>
          </w:p>
        </w:tc>
        <w:tc>
          <w:tcPr>
            <w:tcW w:type="dxa" w:w="1559"/>
          </w:tcPr>
          <w:p>
            <w:r>
              <w:rPr>
                <w:sz w:val="20"/>
              </w:rPr>
              <w:t>LISTE I</w:t>
            </w:r>
          </w:p>
        </w:tc>
        <w:tc>
          <w:tcPr>
            <w:tcW w:type="dxa" w:w="1559"/>
          </w:tcPr>
          <w:p>
            <w:r>
              <w:rPr>
                <w:sz w:val="20"/>
              </w:rPr>
              <w:t>NON_RENOUVELABLE</w:t>
            </w:r>
          </w:p>
        </w:tc>
      </w:tr>
      <w:tr>
        <w:tc>
          <w:tcPr>
            <w:tcW w:type="dxa" w:w="1559"/>
          </w:tcPr>
          <w:p>
            <w:r>
              <w:rPr>
                <w:sz w:val="20"/>
              </w:rPr>
              <w:t>TUNOLOL 0,5 % (NR)</w:t>
            </w:r>
          </w:p>
        </w:tc>
        <w:tc>
          <w:tcPr>
            <w:tcW w:type="dxa" w:w="1559"/>
          </w:tcPr>
          <w:p>
            <w:r>
              <w:rPr>
                <w:sz w:val="20"/>
              </w:rPr>
              <w:t>UNIMED</w:t>
            </w:r>
          </w:p>
        </w:tc>
        <w:tc>
          <w:tcPr>
            <w:tcW w:type="dxa" w:w="1559"/>
          </w:tcPr>
          <w:p>
            <w:r>
              <w:rPr>
                <w:sz w:val="20"/>
              </w:rPr>
              <w:t>Collyre — 0,5 %</w:t>
            </w:r>
          </w:p>
        </w:tc>
        <w:tc>
          <w:tcPr>
            <w:tcW w:type="dxa" w:w="1559"/>
          </w:tcPr>
          <w:p>
            <w:r>
              <w:rPr>
                <w:sz w:val="20"/>
              </w:rPr>
              <w:t>FL/5 mL</w:t>
            </w:r>
          </w:p>
        </w:tc>
        <w:tc>
          <w:tcPr>
            <w:tcW w:type="dxa" w:w="1559"/>
          </w:tcPr>
          <w:p>
            <w:r>
              <w:rPr>
                <w:sz w:val="20"/>
              </w:rPr>
              <w:t>LISTE I</w:t>
            </w:r>
          </w:p>
        </w:tc>
        <w:tc>
          <w:tcPr>
            <w:tcW w:type="dxa" w:w="1559"/>
          </w:tcPr>
          <w:p>
            <w:r>
              <w:rPr>
                <w:sz w:val="20"/>
              </w:rPr>
              <w:t>NON_RENOUVELABLE</w:t>
            </w:r>
          </w:p>
        </w:tc>
      </w:tr>
      <w:tr>
        <w:tc>
          <w:tcPr>
            <w:tcW w:type="dxa" w:w="1559"/>
          </w:tcPr>
          <w:p>
            <w:r>
              <w:rPr>
                <w:sz w:val="20"/>
              </w:rPr>
              <w:t>COSOPT (R)</w:t>
            </w:r>
          </w:p>
        </w:tc>
        <w:tc>
          <w:tcPr>
            <w:tcW w:type="dxa" w:w="1559"/>
          </w:tcPr>
          <w:p>
            <w:r>
              <w:rPr>
                <w:sz w:val="20"/>
              </w:rPr>
              <w:t>MUNDI PHARMA PTY LTD</w:t>
            </w:r>
          </w:p>
        </w:tc>
        <w:tc>
          <w:tcPr>
            <w:tcW w:type="dxa" w:w="1559"/>
          </w:tcPr>
          <w:p>
            <w:r>
              <w:rPr>
                <w:sz w:val="20"/>
              </w:rPr>
              <w:t>Collyre solution (dorzolamide 20 mg/mL + timolol 5 mg/mL)</w:t>
            </w:r>
          </w:p>
        </w:tc>
        <w:tc>
          <w:tcPr>
            <w:tcW w:type="dxa" w:w="1559"/>
          </w:tcPr>
          <w:p>
            <w:r>
              <w:rPr>
                <w:sz w:val="20"/>
              </w:rPr>
              <w:t>FL/5 mL</w:t>
            </w:r>
          </w:p>
        </w:tc>
        <w:tc>
          <w:tcPr>
            <w:tcW w:type="dxa" w:w="1559"/>
          </w:tcPr>
          <w:p>
            <w:r>
              <w:rPr>
                <w:sz w:val="20"/>
              </w:rPr>
              <w:t>LISTE I</w:t>
            </w:r>
          </w:p>
        </w:tc>
        <w:tc>
          <w:tcPr>
            <w:tcW w:type="dxa" w:w="1559"/>
          </w:tcPr>
          <w:p>
            <w:r>
              <w:rPr>
                <w:sz w:val="20"/>
              </w:rPr>
              <w:t>RETRAIT</w:t>
            </w:r>
          </w:p>
        </w:tc>
      </w:tr>
      <w:tr>
        <w:tc>
          <w:tcPr>
            <w:tcW w:type="dxa" w:w="1559"/>
          </w:tcPr>
          <w:p>
            <w:r>
              <w:rPr>
                <w:sz w:val="20"/>
              </w:rPr>
              <w:t>CUSIMOLOL 0,25 % (R)</w:t>
            </w:r>
          </w:p>
        </w:tc>
        <w:tc>
          <w:tcPr>
            <w:tcW w:type="dxa" w:w="1559"/>
          </w:tcPr>
          <w:p>
            <w:r>
              <w:rPr>
                <w:sz w:val="20"/>
              </w:rPr>
              <w:t>CUSI</w:t>
            </w:r>
          </w:p>
        </w:tc>
        <w:tc>
          <w:tcPr>
            <w:tcW w:type="dxa" w:w="1559"/>
          </w:tcPr>
          <w:p>
            <w:r>
              <w:rPr>
                <w:sz w:val="20"/>
              </w:rPr>
              <w:t>Collyre — 0,25 %</w:t>
            </w:r>
          </w:p>
        </w:tc>
        <w:tc>
          <w:tcPr>
            <w:tcW w:type="dxa" w:w="1559"/>
          </w:tcPr>
          <w:p>
            <w:r>
              <w:rPr>
                <w:sz w:val="20"/>
              </w:rPr>
              <w:t>FL/5 mL</w:t>
            </w:r>
          </w:p>
        </w:tc>
        <w:tc>
          <w:tcPr>
            <w:tcW w:type="dxa" w:w="1559"/>
          </w:tcPr>
          <w:p>
            <w:r>
              <w:rPr>
                <w:sz w:val="20"/>
              </w:rPr>
              <w:t>Liste I</w:t>
            </w:r>
          </w:p>
        </w:tc>
        <w:tc>
          <w:tcPr>
            <w:tcW w:type="dxa" w:w="1559"/>
          </w:tcPr>
          <w:p>
            <w:r>
              <w:rPr>
                <w:sz w:val="20"/>
              </w:rPr>
              <w:t>RETRAIT</w:t>
            </w:r>
          </w:p>
        </w:tc>
      </w:tr>
      <w:tr>
        <w:tc>
          <w:tcPr>
            <w:tcW w:type="dxa" w:w="1559"/>
          </w:tcPr>
          <w:p>
            <w:r>
              <w:rPr>
                <w:sz w:val="20"/>
              </w:rPr>
              <w:t>CUSIMOLOL 0,5 % (R)</w:t>
            </w:r>
          </w:p>
        </w:tc>
        <w:tc>
          <w:tcPr>
            <w:tcW w:type="dxa" w:w="1559"/>
          </w:tcPr>
          <w:p>
            <w:r>
              <w:rPr>
                <w:sz w:val="20"/>
              </w:rPr>
              <w:t>CUSI</w:t>
            </w:r>
          </w:p>
        </w:tc>
        <w:tc>
          <w:tcPr>
            <w:tcW w:type="dxa" w:w="1559"/>
          </w:tcPr>
          <w:p>
            <w:r>
              <w:rPr>
                <w:sz w:val="20"/>
              </w:rPr>
              <w:t>Collyre — 0,5 %</w:t>
            </w:r>
          </w:p>
        </w:tc>
        <w:tc>
          <w:tcPr>
            <w:tcW w:type="dxa" w:w="1559"/>
          </w:tcPr>
          <w:p>
            <w:r>
              <w:rPr>
                <w:sz w:val="20"/>
              </w:rPr>
              <w:t>FL/5 mL</w:t>
            </w:r>
          </w:p>
        </w:tc>
        <w:tc>
          <w:tcPr>
            <w:tcW w:type="dxa" w:w="1559"/>
          </w:tcPr>
          <w:p>
            <w:r>
              <w:rPr>
                <w:sz w:val="20"/>
              </w:rPr>
              <w:t>Liste I</w:t>
            </w:r>
          </w:p>
        </w:tc>
        <w:tc>
          <w:tcPr>
            <w:tcW w:type="dxa" w:w="1559"/>
          </w:tcPr>
          <w:p>
            <w:r>
              <w:rPr>
                <w:sz w:val="20"/>
              </w:rPr>
              <w:t>RETRAIT</w:t>
            </w:r>
          </w:p>
        </w:tc>
      </w:tr>
      <w:tr>
        <w:tc>
          <w:tcPr>
            <w:tcW w:type="dxa" w:w="1559"/>
          </w:tcPr>
          <w:p>
            <w:r>
              <w:rPr>
                <w:sz w:val="20"/>
              </w:rPr>
              <w:t>NYOLOL (R)</w:t>
            </w:r>
          </w:p>
        </w:tc>
        <w:tc>
          <w:tcPr>
            <w:tcW w:type="dxa" w:w="1559"/>
          </w:tcPr>
          <w:p>
            <w:r>
              <w:rPr>
                <w:sz w:val="20"/>
              </w:rPr>
              <w:t>NOVARTIS PHARMA S.A.</w:t>
            </w:r>
          </w:p>
        </w:tc>
        <w:tc>
          <w:tcPr>
            <w:tcW w:type="dxa" w:w="1559"/>
          </w:tcPr>
          <w:p>
            <w:r>
              <w:rPr>
                <w:sz w:val="20"/>
              </w:rPr>
              <w:t>Collyre — 0,5 %</w:t>
            </w:r>
          </w:p>
        </w:tc>
        <w:tc>
          <w:tcPr>
            <w:tcW w:type="dxa" w:w="1559"/>
          </w:tcPr>
          <w:p>
            <w:r>
              <w:rPr>
                <w:sz w:val="20"/>
              </w:rPr>
              <w:t>FL/3 mL</w:t>
            </w:r>
          </w:p>
        </w:tc>
        <w:tc>
          <w:tcPr>
            <w:tcW w:type="dxa" w:w="1559"/>
          </w:tcPr>
          <w:p>
            <w:r>
              <w:rPr>
                <w:sz w:val="20"/>
              </w:rPr>
              <w:t>Liste I</w:t>
            </w:r>
          </w:p>
        </w:tc>
        <w:tc>
          <w:tcPr>
            <w:tcW w:type="dxa" w:w="1559"/>
          </w:tcPr>
          <w:p>
            <w:r>
              <w:rPr>
                <w:sz w:val="20"/>
              </w:rPr>
              <w:t>RETRAIT</w:t>
            </w:r>
          </w:p>
        </w:tc>
      </w:tr>
      <w:tr>
        <w:tc>
          <w:tcPr>
            <w:tcW w:type="dxa" w:w="1559"/>
          </w:tcPr>
          <w:p>
            <w:r>
              <w:rPr>
                <w:sz w:val="20"/>
              </w:rPr>
              <w:t>TIMOLOL Chauvin 0,5 % (R)</w:t>
            </w:r>
          </w:p>
        </w:tc>
        <w:tc>
          <w:tcPr>
            <w:tcW w:type="dxa" w:w="1559"/>
          </w:tcPr>
          <w:p>
            <w:r>
              <w:rPr>
                <w:sz w:val="20"/>
              </w:rPr>
              <w:t>CHAUVIN</w:t>
            </w:r>
          </w:p>
        </w:tc>
        <w:tc>
          <w:tcPr>
            <w:tcW w:type="dxa" w:w="1559"/>
          </w:tcPr>
          <w:p>
            <w:r>
              <w:rPr>
                <w:sz w:val="20"/>
              </w:rPr>
              <w:t>Collyre — 0,5 %</w:t>
            </w:r>
          </w:p>
        </w:tc>
        <w:tc>
          <w:tcPr>
            <w:tcW w:type="dxa" w:w="1559"/>
          </w:tcPr>
          <w:p>
            <w:r>
              <w:rPr>
                <w:sz w:val="20"/>
              </w:rPr>
              <w:t>FL/3 mL</w:t>
            </w:r>
          </w:p>
        </w:tc>
        <w:tc>
          <w:tcPr>
            <w:tcW w:type="dxa" w:w="1559"/>
          </w:tcPr>
          <w:p>
            <w:r>
              <w:rPr>
                <w:sz w:val="20"/>
              </w:rPr>
              <w:t>Liste I</w:t>
            </w:r>
          </w:p>
        </w:tc>
        <w:tc>
          <w:tcPr>
            <w:tcW w:type="dxa" w:w="1559"/>
          </w:tcPr>
          <w:p>
            <w:r>
              <w:rPr>
                <w:sz w:val="20"/>
              </w:rPr>
              <w:t>RETRAIT</w:t>
            </w:r>
          </w:p>
        </w:tc>
      </w:tr>
      <w:tr>
        <w:tc>
          <w:tcPr>
            <w:tcW w:type="dxa" w:w="1559"/>
          </w:tcPr>
          <w:p>
            <w:r>
              <w:rPr>
                <w:sz w:val="20"/>
              </w:rPr>
              <w:t>TIMOLOL Alcon 0,25 % (R)</w:t>
            </w:r>
          </w:p>
        </w:tc>
        <w:tc>
          <w:tcPr>
            <w:tcW w:type="dxa" w:w="1559"/>
          </w:tcPr>
          <w:p>
            <w:r>
              <w:rPr>
                <w:sz w:val="20"/>
              </w:rPr>
              <w:t>ALCON</w:t>
            </w:r>
          </w:p>
        </w:tc>
        <w:tc>
          <w:tcPr>
            <w:tcW w:type="dxa" w:w="1559"/>
          </w:tcPr>
          <w:p>
            <w:r>
              <w:rPr>
                <w:sz w:val="20"/>
              </w:rPr>
              <w:t>Collyre — 0,25 %</w:t>
            </w:r>
          </w:p>
        </w:tc>
        <w:tc>
          <w:tcPr>
            <w:tcW w:type="dxa" w:w="1559"/>
          </w:tcPr>
          <w:p>
            <w:r>
              <w:rPr>
                <w:sz w:val="20"/>
              </w:rPr>
              <w:t>FL/5 mL</w:t>
            </w:r>
          </w:p>
        </w:tc>
        <w:tc>
          <w:tcPr>
            <w:tcW w:type="dxa" w:w="1559"/>
          </w:tcPr>
          <w:p>
            <w:r>
              <w:rPr>
                <w:sz w:val="20"/>
              </w:rPr>
              <w:t>Liste I</w:t>
            </w:r>
          </w:p>
        </w:tc>
        <w:tc>
          <w:tcPr>
            <w:tcW w:type="dxa" w:w="1559"/>
          </w:tcPr>
          <w:p>
            <w:r>
              <w:rPr>
                <w:sz w:val="20"/>
              </w:rPr>
              <w:t>RETRAIT</w:t>
            </w:r>
          </w:p>
        </w:tc>
      </w:tr>
    </w:tbl>
    <w:p/>
    <w:p>
      <w:pPr>
        <w:pStyle w:val="Heading3"/>
      </w:pPr>
      <w:r>
        <w:t>141.11.3 Mécanisme d'action détaillé</w:t>
      </w:r>
    </w:p>
    <w:p>
      <w:r>
        <w:t>Le maléate de timolol est un β-bloquant non cardiosélectif dépourvu d'activité sympathomimétique intrinsèque (ISA = 0) et de pouvoir stabilisant de membrane. Au niveau du corps ciliaire, il bloque les récepteurs β2-adrénergiques situés à la surface des cellules épithéliales non pigmentaires (processus ciliaires), dont la stimulation par l'adrénaline endogène augmente la production d'humeur aqueuse via la voie AMPc → PKA → canaux Cl⁻/HCO₃⁻. Le blocage β2 induit une chute de l'AMPc intracellulaire, une diminution de l'activité des canaux ioniques épithéliaux et une réduction de 30 à 50 % du débit de production d'humeur aqueuse. Il n'affecte pas l'angle irido-cornéen ni la voie uvéo-sclérale.</w:t>
      </w:r>
    </w:p>
    <w:p>
      <w:r>
        <w:t>L'effet hypotonisant se manifeste dès la première instillation (baisse détectable dès 30 minutes, pic à 2 heures, plateau à 1 semaine). L'amplitude de la baisse pressionnelle est de 6 à 8 mmHg en moyenne (25-33 % de la PIO initiale), sans phénomène d'échappement significatif à long terme (contrairement à la clonidine ou à l'apraclonidine). La demie-vie d'élimination locale est de 3 à 4 heures, justifiant une à deux administrations quotidiennes. Une forme à libération prolongée (Geltim LP®, gel ophtalmique unidose) autorise une monoprise quotidienne matinale, avec une efficacité équivalente à la forme standard à 2 instillations/jour et une meilleure observance.</w:t>
      </w:r>
    </w:p>
    <w:p>
      <w:r>
        <w:t>Au niveau systémique, la résorption naso-lacrymale (estimée à 25 à 50 % de la dose instillée après passage par le canal naso-lacrymal et la muqueuse nasale, sans effet de premier passage hépatique significatif) conduit à une concentration plasmatique de l'ordre de 1 à 2 ng/mL après 1 goutte de 0,5 %, soit l'équivalent d'une dose orale de 1 à 2 mg de timolol. Cette exposition systémique, bien que faible en valeur absolue, est responsable d'effets pharmacodynamiques mesurables : baisse de la fréquence cardiaque de 3 à 7 bpm, allongement de l'espace PR, possible bronchoconstriction chez le sujet prédisposé (mécanisme β2 pulmonaire). Chez le sujet âgé fragile, le diabétique déséquilibré, le patient en insuffisance cardiaque, ces effets peuvent être cliniquement significatifs et justifier le retrait du timolol.</w:t>
      </w:r>
    </w:p>
    <w:p>
      <w:pPr>
        <w:pStyle w:val="Heading3"/>
      </w:pPr>
      <w:r>
        <w:t>141.11.4 Profil pharmacologique : indications, contre-indications, effets indésirables</w:t>
      </w:r>
    </w:p>
    <w:p>
      <w:pPr>
        <w:pStyle w:val="Heading4"/>
      </w:pPr>
      <w:r>
        <w:t>Indications</w:t>
      </w:r>
    </w:p>
    <w:p>
      <w:pPr>
        <w:pStyle w:val="ListBullet"/>
      </w:pPr>
      <w:r/>
      <w:r>
        <w:rPr>
          <w:b/>
        </w:rPr>
        <w:t>Glaucome à angle ouvert (GPAO)</w:t>
      </w:r>
      <w:r>
        <w:t xml:space="preserve"> : hypertonie intraoculaire, glaucome chronique simple, glaucome à pression normale (efficacité discrète mais démontrée)</w:t>
      </w:r>
    </w:p>
    <w:p>
      <w:pPr>
        <w:pStyle w:val="ListBullet"/>
      </w:pPr>
      <w:r/>
      <w:r>
        <w:rPr>
          <w:b/>
        </w:rPr>
        <w:t>Glaucome à angle fermé</w:t>
      </w:r>
      <w:r>
        <w:t xml:space="preserve"> : traitement adjuvant en phase chronique (en attendant chirurgie filtrante ou iridotomie au laser), et en relais d'un traitement d'attaque par acétazolamide en phase aiguë</w:t>
      </w:r>
    </w:p>
    <w:p>
      <w:pPr>
        <w:pStyle w:val="ListBullet"/>
      </w:pPr>
      <w:r/>
      <w:r>
        <w:rPr>
          <w:b/>
        </w:rPr>
        <w:t>Glaucome secondaire</w:t>
      </w:r>
      <w:r>
        <w:t xml:space="preserve"> : post-traumatique, post-inflammatoire (uvéite), post-chirurgie intraoculaire</w:t>
      </w:r>
    </w:p>
    <w:p>
      <w:pPr>
        <w:pStyle w:val="ListBullet"/>
      </w:pPr>
      <w:r/>
      <w:r>
        <w:rPr>
          <w:b/>
        </w:rPr>
        <w:t>Hypertonie oculaire isolée</w:t>
      </w:r>
      <w:r>
        <w:t xml:space="preserve"> : PIO &gt; 21 mmHg sans neuropathie glaucomateuse, en cas de facteurs de risque (corsairee familial, âge, myopie forte)</w:t>
      </w:r>
    </w:p>
    <w:p>
      <w:pPr>
        <w:pStyle w:val="ListBullet"/>
      </w:pPr>
      <w:r/>
      <w:r>
        <w:rPr>
          <w:b/>
        </w:rPr>
        <w:t>Prévention des poussées hypertensives post-opératoires</w:t>
      </w:r>
      <w:r>
        <w:t xml:space="preserve"> (post-SLT, post-iridotomie, post-chirurgie de la cataracte)</w:t>
      </w:r>
    </w:p>
    <w:p>
      <w:pPr>
        <w:pStyle w:val="Heading4"/>
      </w:pPr>
      <w:r>
        <w:t>Contre-indications</w:t>
      </w:r>
    </w:p>
    <w:p>
      <w:pPr>
        <w:pStyle w:val="ListBullet"/>
      </w:pPr>
      <w:r/>
      <w:r>
        <w:rPr>
          <w:b/>
        </w:rPr>
        <w:t>Contre-indications absolues</w:t>
      </w:r>
      <w:r>
        <w:t xml:space="preserve"> :</w:t>
      </w:r>
    </w:p>
    <w:p>
      <w:pPr>
        <w:pStyle w:val="ListBullet"/>
      </w:pPr>
      <w:r>
        <w:t>Asthme bronchique connu ou antécédent d'asthme (bronchospasme sévère, mortel rapporté)</w:t>
      </w:r>
    </w:p>
    <w:p>
      <w:pPr>
        <w:pStyle w:val="ListBullet"/>
      </w:pPr>
      <w:r>
        <w:t>Bronchopneumopathie chronique obstructive (BPCO) sévère avec composante obstructive réversible</w:t>
      </w:r>
    </w:p>
    <w:p>
      <w:pPr>
        <w:pStyle w:val="ListBullet"/>
      </w:pPr>
      <w:r>
        <w:t>Bradycardie sinusale symptomatique (&lt; 50 bpm)</w:t>
      </w:r>
    </w:p>
    <w:p>
      <w:pPr>
        <w:pStyle w:val="ListBullet"/>
      </w:pPr>
      <w:r>
        <w:t>Bloc auriculo-ventriculaire du 2ᵉ ou 3ᵉ degré non appareillé</w:t>
      </w:r>
    </w:p>
    <w:p>
      <w:pPr>
        <w:pStyle w:val="ListBullet"/>
      </w:pPr>
      <w:r>
        <w:t>Insuffisance cardiaque décompensée ou non contrôlée</w:t>
      </w:r>
    </w:p>
    <w:p>
      <w:pPr>
        <w:pStyle w:val="ListBullet"/>
      </w:pPr>
      <w:r>
        <w:t>Choc cardiogénique</w:t>
      </w:r>
    </w:p>
    <w:p>
      <w:pPr>
        <w:pStyle w:val="ListBullet"/>
      </w:pPr>
      <w:r>
        <w:t>Maladie du sinus nodal (dysfonction sinusale symptomatique)</w:t>
      </w:r>
    </w:p>
    <w:p>
      <w:pPr>
        <w:pStyle w:val="ListBullet"/>
      </w:pPr>
      <w:r>
        <w:t>Hypersensibilité à la substance active ou à l'un des excipients (chlorure de benzalkonium — conserveur)</w:t>
      </w:r>
    </w:p>
    <w:p>
      <w:pPr>
        <w:pStyle w:val="ListBullet"/>
      </w:pPr>
      <w:r>
        <w:t>Enfant &lt; 12 ans (sauf exception pour hypertonie oculaire juvénile en milieu spécialisé)</w:t>
      </w:r>
    </w:p>
    <w:p>
      <w:pPr>
        <w:pStyle w:val="ListBullet"/>
      </w:pPr>
      <w:r/>
      <w:r>
        <w:rPr>
          <w:b/>
        </w:rPr>
        <w:t>Contre-indications relatives / Précautions d'emploi</w:t>
      </w:r>
      <w:r>
        <w:t xml:space="preserve"> :</w:t>
      </w:r>
    </w:p>
    <w:p>
      <w:pPr>
        <w:pStyle w:val="ListBullet"/>
      </w:pPr>
      <w:r>
        <w:t>Diabète déséquilibré (masquage des signes adrénergiques de l'hypoglycémie — tremblements, palpitations, anxiété — seule la sudation reste perceptible ; survenue possible d'hypoglycémies sévères asymptomatiques)</w:t>
      </w:r>
    </w:p>
    <w:p>
      <w:pPr>
        <w:pStyle w:val="ListBullet"/>
      </w:pPr>
      <w:r>
        <w:t>Hyperthyroïdie non traitée (masquage des signes cardiovasculaires de thyrotoxicose — tachycardie)</w:t>
      </w:r>
    </w:p>
    <w:p>
      <w:pPr>
        <w:pStyle w:val="ListBullet"/>
      </w:pPr>
      <w:r>
        <w:t>Myasthénie (potentialisation des curares ? — en pratique exceptionnel)</w:t>
      </w:r>
    </w:p>
    <w:p>
      <w:pPr>
        <w:pStyle w:val="ListBullet"/>
      </w:pPr>
      <w:r>
        <w:t>Psoriasis sévère (aggravation possible — signal pharmacovigilance)</w:t>
      </w:r>
    </w:p>
    <w:p>
      <w:pPr>
        <w:pStyle w:val="ListBullet"/>
      </w:pPr>
      <w:r>
        <w:t>Sujet âgé fragile (polymédication, insuffisance rénale, hypovolémie)</w:t>
      </w:r>
    </w:p>
    <w:p>
      <w:pPr>
        <w:pStyle w:val="ListBullet"/>
      </w:pPr>
      <w:r>
        <w:t>Pathologie psychiatrique : antécédent dépressif (le timolol ophtalmique traverse la barrière hémato-encéphalique à des concentrations suffisantes pour aggraver une dépression, signal émergent)</w:t>
      </w:r>
    </w:p>
    <w:p>
      <w:pPr>
        <w:pStyle w:val="ListBullet"/>
      </w:pPr>
      <w:r>
        <w:t>Insuffisance hépatique sévère (baisse métabolisation hépatique du timolol absorbé)</w:t>
      </w:r>
    </w:p>
    <w:p>
      <w:pPr>
        <w:pStyle w:val="Heading4"/>
      </w:pPr>
      <w:r>
        <w:t>Effets indésirables</w:t>
      </w:r>
    </w:p>
    <w:p>
      <w:r/>
      <w:r>
        <w:rPr>
          <w:b/>
        </w:rPr>
        <w:t>Locaux ophtalmiques</w:t>
      </w:r>
      <w:r>
        <w:t xml:space="preserve"> :</w:t>
      </w:r>
    </w:p>
    <w:p>
      <w:pPr>
        <w:pStyle w:val="ListBullet"/>
      </w:pPr>
      <w:r>
        <w:t>Brûlure oculaire à l'instillation (10-15 %)</w:t>
      </w:r>
    </w:p>
    <w:p>
      <w:pPr>
        <w:pStyle w:val="ListBullet"/>
      </w:pPr>
      <w:r>
        <w:t>Sécheresse oculaire (5-10 %, aggravation d'un syndrome sec préexistant)</w:t>
      </w:r>
    </w:p>
    <w:p>
      <w:pPr>
        <w:pStyle w:val="ListBullet"/>
      </w:pPr>
      <w:r>
        <w:t>Conjonctivite allergique tardive (5 % à 1 an)</w:t>
      </w:r>
    </w:p>
    <w:p>
      <w:pPr>
        <w:pStyle w:val="ListBullet"/>
      </w:pPr>
      <w:r>
        <w:t>Kératite ponctuée superficielle (3-5 %, aggravation par le chlorure de benzalkonium)</w:t>
      </w:r>
    </w:p>
    <w:p>
      <w:pPr>
        <w:pStyle w:val="ListBullet"/>
      </w:pPr>
      <w:r>
        <w:t>Blépharite, dermatite de contact palpébrale (2-3 %)</w:t>
      </w:r>
    </w:p>
    <w:p>
      <w:pPr>
        <w:pStyle w:val="ListBullet"/>
      </w:pPr>
      <w:r>
        <w:t>Anesthésie cornéenne (effet stabilisant de membrane — à connaître pour la surveillance post-chirurgicale)</w:t>
      </w:r>
    </w:p>
    <w:p>
      <w:pPr>
        <w:pStyle w:val="ListBullet"/>
      </w:pPr>
      <w:r>
        <w:t>Décollement choroïdien (rare, sur oculoplastie post-opératoire)</w:t>
      </w:r>
    </w:p>
    <w:p>
      <w:r/>
      <w:r>
        <w:rPr>
          <w:b/>
        </w:rPr>
        <w:t>Systémiques</w:t>
      </w:r>
      <w:r>
        <w:t xml:space="preserve"> (par absorption naso-lacrymale) :</w:t>
      </w:r>
    </w:p>
    <w:p>
      <w:pPr>
        <w:pStyle w:val="ListBullet"/>
      </w:pPr>
      <w:r>
        <w:t>Cardiovasculaires : bradycardie sinusale, hypotension artérielle, allongement PR, bloc auriculo-ventriculaire (BAV), décès rapporté chez l'asthmatique</w:t>
      </w:r>
    </w:p>
    <w:p>
      <w:pPr>
        <w:pStyle w:val="ListBullet"/>
      </w:pPr>
      <w:r>
        <w:t>Respiratoires : bronchospasme (par blocage β2 pulmonaire), dyspnée d'effort</w:t>
      </w:r>
    </w:p>
    <w:p>
      <w:pPr>
        <w:pStyle w:val="ListBullet"/>
      </w:pPr>
      <w:r>
        <w:t>Métaboliques : masquage des signes adrénergiques de l'hypoglycémie chez le diabétique insulino-traité</w:t>
      </w:r>
    </w:p>
    <w:p>
      <w:pPr>
        <w:pStyle w:val="ListBullet"/>
      </w:pPr>
      <w:r>
        <w:t>Neurologiques et psychiatriques : céphalées, asthénie, somnolence, vertiges, insomnie, cauchemars, dépression (signal important, particulièrement chez le sujet âgé), baisse de libido, dysfonction érectile</w:t>
      </w:r>
    </w:p>
    <w:p>
      <w:pPr>
        <w:pStyle w:val="ListBullet"/>
      </w:pPr>
      <w:r>
        <w:t>Digestifs : nausées, diarrhée</w:t>
      </w:r>
    </w:p>
    <w:p>
      <w:pPr>
        <w:pStyle w:val="ListBullet"/>
      </w:pPr>
      <w:r>
        <w:t>Dermatologiques : rash cutané, alopécie, psoriasis déclenché ou aggravé</w:t>
      </w:r>
    </w:p>
    <w:p>
      <w:pPr>
        <w:pStyle w:val="ListBullet"/>
      </w:pPr>
      <w:r>
        <w:t>Hypersensibilité : urticaire, anaphylaxie (exceptionnel)</w:t>
      </w:r>
    </w:p>
    <w:p>
      <w:pPr>
        <w:pStyle w:val="Heading3"/>
      </w:pPr>
      <w:r>
        <w:t>141.11.5 Prévention et gestion des effets indésirables</w:t>
      </w:r>
    </w:p>
    <w:p>
      <w:r>
        <w:t xml:space="preserve">La prévention des effets indésirables du timolol repose sur trois piliers : (i) </w:t>
      </w:r>
      <w:r>
        <w:rPr>
          <w:b/>
        </w:rPr>
        <w:t>interrogatoire systématique</w:t>
      </w:r>
      <w:r>
        <w:t xml:space="preserve"> avant dispensation à la recherche d'un asthme, BPCO, bradycardie, BAV, insuffisance cardiaque, dépression, diabète insulino-traité ; (ii) </w:t>
      </w:r>
      <w:r>
        <w:rPr>
          <w:b/>
        </w:rPr>
        <w:t>occlusion naso-lacrymale</w:t>
      </w:r>
      <w:r>
        <w:t xml:space="preserve"> (pression digitale douce du canthus interne pendant 1 à 2 minutes après instillation, paupières fermées), réduisant de 50 à 70 % la résorption systémique et donc les effets systémiques ; (iii) </w:t>
      </w:r>
      <w:r>
        <w:rPr>
          <w:b/>
        </w:rPr>
        <w:t>respect du dosage et de la fréquence</w:t>
      </w:r>
      <w:r>
        <w:t xml:space="preserve"> : ne pas dépasser 1 goutte de 0,5 % par œil, 2 fois par jour (matin et soir) ; préférer la forme 0,25 % chez le sujet âgé fragile ou l'insuffisant hépatique.</w:t>
      </w:r>
    </w:p>
    <w:p>
      <w:r>
        <w:t>La surveillance d'efficacité comporte le tonus oculaire (aplanation de Goldmann, POE — pneumotonométrie ou iCare), le champ visuel (périmétrie standard automatisée blanc-blanc SITA-Standard, ou FDT, ou périmétrie bleu-jaune), la papille (OCT — Optical Coherence Tomography — couches des fibres optiques), et l'acuité visuelle corrigée. La surveillance de tolérance comporte : fréquence cardiaque (avant prescription et à 1 semaine), auscultation pulmonaire (avant prescription chez le sujet à risque), interrogation sur troubles de l'humeur et dysfonction sexuelle.</w:t>
      </w:r>
    </w:p>
    <w:p>
      <w:r>
        <w:t>En cas d'effet indésirable systémique (bradycardie, bronchospasme, dépression), l'arrêt du timolol s'impose et un relais par une autre classe (prostaglandine en l'absence de CI, dorzolamide, ou bétaxolol si la CI respiratoire n'est pas absolue) doit être discuté. Les prostaglandines sont l'alternative de choix en cas de CI respiratoire. En cas d'effet indésirable local (sécheresse, allergie de contact, kératite), la substitution vers une forme sans conservateur (GELTIM LP® unidose, ou dorzolamide sans conservateur) est recommandée.</w:t>
      </w:r>
    </w:p>
    <w:p>
      <w:pPr>
        <w:pStyle w:val="Heading3"/>
      </w:pPr>
      <w:r>
        <w:t>141.11.6 Interactions médicamenteuses</w:t>
      </w:r>
    </w:p>
    <w:p>
      <w:r>
        <w:t>Le timolol ophtalmique, malgré sa voie d'administration locale, peut interagir significativement avec de nombreux médicaments systémiques par le biais de la résorption naso-lacrymale. Les principales interactions à connaître sont :</w:t>
      </w:r>
    </w:p>
    <w:p>
      <w:pPr>
        <w:pStyle w:val="ListBullet"/>
      </w:pPr>
      <w:r/>
      <w:r>
        <w:rPr>
          <w:b/>
        </w:rPr>
        <w:t>Associations contre-indiquées ou déconseillées</w:t>
      </w:r>
      <w:r>
        <w:t xml:space="preserve"> :</w:t>
      </w:r>
    </w:p>
    <w:p>
      <w:pPr>
        <w:pStyle w:val="ListBullet"/>
      </w:pPr>
      <w:r>
        <w:t>β-bloquants systémiques ( propranolol, bisoprolol, métoprolol, aténolol, etc.) : addition des effets bradycardisants et hypotenseurs — surveillance étroite, ajustement posologique</w:t>
      </w:r>
    </w:p>
    <w:p>
      <w:pPr>
        <w:pStyle w:val="ListBullet"/>
      </w:pPr>
      <w:r>
        <w:t>Inhibiteurs calciques bradycardisants (vérapamil, diltiazem) : risque de BAV, bradycardie sévère, asystolie</w:t>
      </w:r>
    </w:p>
    <w:p>
      <w:pPr>
        <w:pStyle w:val="ListBullet"/>
      </w:pPr>
      <w:r>
        <w:t>Amiodarone : risque de bradycardie sinusale et de BAV</w:t>
      </w:r>
    </w:p>
    <w:p>
      <w:pPr>
        <w:pStyle w:val="ListBullet"/>
      </w:pPr>
      <w:r>
        <w:t>Digitaliques (digoxine) : bradycardie additive, allongement PR, trouble de conduction</w:t>
      </w:r>
    </w:p>
    <w:p>
      <w:pPr>
        <w:pStyle w:val="ListBullet"/>
      </w:pPr>
      <w:r>
        <w:t>Anti-arythmiques de classe I (quinidine, disopyramide, mexilétine) : troubles du rythme ventriculaire</w:t>
      </w:r>
    </w:p>
    <w:p>
      <w:pPr>
        <w:pStyle w:val="ListBullet"/>
      </w:pPr>
      <w:r>
        <w:t>Insuline et antidiabétiques oraux (sulfamides, glinides) : masquage des signes adrénergiques de l'hypoglycémie</w:t>
      </w:r>
    </w:p>
    <w:p>
      <w:pPr>
        <w:pStyle w:val="ListBullet"/>
      </w:pPr>
      <w:r>
        <w:t>Anesthésiques volatils halogénés : potentialisation de l'hypotension peranesthésique</w:t>
      </w:r>
    </w:p>
    <w:p>
      <w:pPr>
        <w:pStyle w:val="ListBullet"/>
      </w:pPr>
      <w:r/>
      <w:r>
        <w:rPr>
          <w:b/>
        </w:rPr>
        <w:t>Associations nécessitant des précautions d'emploi</w:t>
      </w:r>
      <w:r>
        <w:t xml:space="preserve"> :</w:t>
      </w:r>
    </w:p>
    <w:p>
      <w:pPr>
        <w:pStyle w:val="ListBullet"/>
      </w:pPr>
      <w:r>
        <w:t>Antihypertenseurs (IEC, ARA2, diurétiques) : majoration de l'effet hypotenseur</w:t>
      </w:r>
    </w:p>
    <w:p>
      <w:pPr>
        <w:pStyle w:val="ListBullet"/>
      </w:pPr>
      <w:r>
        <w:t>Antidépresseurs imipraminiques, IRS, IMAO : majoration du risque de bradycardie et de dépression additive</w:t>
      </w:r>
    </w:p>
    <w:p>
      <w:pPr>
        <w:pStyle w:val="ListBullet"/>
      </w:pPr>
      <w:r>
        <w:t>Phénytoïne, carbamazépine : potentialisation de la bradycardie</w:t>
      </w:r>
    </w:p>
    <w:p>
      <w:pPr>
        <w:pStyle w:val="ListBullet"/>
      </w:pPr>
      <w:r>
        <w:t>AINS (fortes doses, traitement prolongé) : antagonisme de l'effet hypotenseur</w:t>
      </w:r>
    </w:p>
    <w:p>
      <w:pPr>
        <w:pStyle w:val="ListBullet"/>
      </w:pPr>
      <w:r>
        <w:t>Médicaments hyperkaliémiants (IEC, ARA2, diurétiques épargneurs de potassium, héparine) : majoration du risque d'hyperkaliémie</w:t>
      </w:r>
    </w:p>
    <w:p>
      <w:pPr>
        <w:pStyle w:val="ListBullet"/>
      </w:pPr>
      <w:r>
        <w:t>Méfloquine, luméfantrine : bradycardie additive</w:t>
      </w:r>
    </w:p>
    <w:p>
      <w:pPr>
        <w:pStyle w:val="ListBullet"/>
      </w:pPr>
      <w:r>
        <w:t>Baclofène : majoration de l'hypotension</w:t>
      </w:r>
    </w:p>
    <w:p>
      <w:pPr>
        <w:pStyle w:val="ListBullet"/>
      </w:pPr>
      <w:r>
        <w:t>Alphaguans (clonidine, alpha-méthyldopa) : à l'arrêt, rebond hypertensif majoré</w:t>
      </w:r>
    </w:p>
    <w:p>
      <w:pPr>
        <w:pStyle w:val="ListBullet"/>
      </w:pPr>
      <w:r/>
      <w:r>
        <w:rPr>
          <w:b/>
        </w:rPr>
        <w:t>Interactions pharmacocinétiques</w:t>
      </w:r>
      <w:r>
        <w:t xml:space="preserve"> :</w:t>
      </w:r>
    </w:p>
    <w:p>
      <w:pPr>
        <w:pStyle w:val="ListBullet"/>
      </w:pPr>
      <w:r>
        <w:t>Inhibiteurs du CYP2D6 (paroxétine, fluoxétine, cinacalcet, duloxétine, bupropion) : augmentation des concentrations plasmatiques du timolol absorbé systémiquement — surveillance clinique</w:t>
      </w:r>
    </w:p>
    <w:p>
      <w:pPr>
        <w:pStyle w:val="ListBullet"/>
      </w:pPr>
      <w:r>
        <w:t>Inducteurs enzymatiques (rifampicine, phénobarbital, carbamazépine) : pas d'effet notable (le timolol est peu métabolisé par CYP2D6 in vivo)</w:t>
      </w:r>
    </w:p>
    <w:p>
      <w:pPr>
        <w:pStyle w:val="Heading3"/>
      </w:pPr>
      <w:r>
        <w:t>141.11.7 Grossesse et allaitement (CRAT)</w:t>
      </w:r>
    </w:p>
    <w:p>
      <w:r>
        <w:t>Les données du CRAT (Centre de Renseignement sur les Agents Tératogènes, Hôpital Armand-Trousseau, Paris) sur le timolol ophtamique sont les suivantes :</w:t>
      </w:r>
    </w:p>
    <w:p>
      <w:pPr>
        <w:pStyle w:val="ListBullet"/>
      </w:pPr>
      <w:r/>
      <w:r>
        <w:rPr>
          <w:b/>
        </w:rPr>
        <w:t>Grossesse</w:t>
      </w:r>
      <w:r>
        <w:t xml:space="preserve"> :</w:t>
      </w:r>
    </w:p>
    <w:p>
      <w:pPr>
        <w:pStyle w:val="ListBullet"/>
      </w:pPr>
      <w:r>
        <w:t>Le timolol traverse le placenta (rapport cordon/maternel ≈ 0,5-1,0)</w:t>
      </w:r>
    </w:p>
    <w:p>
      <w:pPr>
        <w:pStyle w:val="ListBullet"/>
      </w:pPr>
      <w:r>
        <w:t>Données animales : tératogénicité absente aux doses thérapeutiques, mais doses supra-thérapeorétiques chez l'animal ont entraîné des effets fœtaux (retard de croissance)</w:t>
      </w:r>
    </w:p>
    <w:p>
      <w:pPr>
        <w:pStyle w:val="ListBullet"/>
      </w:pPr>
      <w:r>
        <w:t>Données humaines : pas d'augmentation du risque de malformations majeures (étude FINNPEG, Lopez et al. 2017 ; décollée de cohortes pharmacoépidémiologiques portant sur des centaines de patientes exposées au 1er trimestre)</w:t>
      </w:r>
    </w:p>
    <w:p>
      <w:pPr>
        <w:pStyle w:val="ListBullet"/>
      </w:pPr>
      <w:r/>
      <w:r>
        <w:rPr>
          <w:b/>
        </w:rPr>
        <w:t>Cependant, utilisation déconseillée au 2ᵉ et 3ᵉ trimestre</w:t>
      </w:r>
      <w:r>
        <w:t xml:space="preserve"> : bradycardie fœtale (cas rapportés &lt; 100 bpm nécessitant monitoring), hypoglycémie néonatale (le timolol passe dans le lait maternel et peut s'accumuler chez le nouveau-né prématuré), hypotension néonatale, détresse respiratoire néonatale (en cas de mise en route proche du terme)</w:t>
      </w:r>
    </w:p>
    <w:p>
      <w:pPr>
        <w:pStyle w:val="ListBullet"/>
      </w:pPr>
      <w:r>
        <w:t>En cas de nécessité absolue (glaucome menaçant la vision, absence d'alternative thérapeutique), préférer le timolol 0,25 % à posologie minimale efficace, surveillance du rythme cardiaque fœtal aux 2ᵉ et 3ᵉ trimestres, et arrêt 48-72 heures avant l'accouchement pour prévenir la bradycardie néonatale</w:t>
      </w:r>
    </w:p>
    <w:p>
      <w:pPr>
        <w:pStyle w:val="ListBullet"/>
      </w:pPr>
      <w:r>
        <w:t>En pratique, en cas de projet de grossesse chez une patiente glaucomateuse, il est recommandé de remplacer le timolol par du latanoprost (prostaglandine, mais CI relative au 1er trimestre en raison du risque théorique d'effet utérotonique — discuter cas par cas) ou de la brimonidine (meilleur profil, mais non disponible Algérie)</w:t>
      </w:r>
    </w:p>
    <w:p>
      <w:pPr>
        <w:pStyle w:val="ListBullet"/>
      </w:pPr>
      <w:r/>
      <w:r>
        <w:rPr>
          <w:b/>
        </w:rPr>
        <w:t>Allaitement</w:t>
      </w:r>
      <w:r>
        <w:t xml:space="preserve"> :</w:t>
      </w:r>
    </w:p>
    <w:p>
      <w:pPr>
        <w:pStyle w:val="ListBullet"/>
      </w:pPr>
      <w:r>
        <w:t>Le timolol passe dans le lait maternel (rapport lait/plasma ≈ 4-6, en raison de la lipophilie)</w:t>
      </w:r>
    </w:p>
    <w:p>
      <w:pPr>
        <w:pStyle w:val="ListBullet"/>
      </w:pPr>
      <w:r>
        <w:t>Demi-vie d'élimination chez le nouveau-né allaité : 18 à 24 heures (immaturité hépatique)</w:t>
      </w:r>
    </w:p>
    <w:p>
      <w:pPr>
        <w:pStyle w:val="ListBullet"/>
      </w:pPr>
      <w:r>
        <w:t>En cas de poursuite du timolol pendant l'allaitement, surveiller la fréquence cardiaque du nourrisson (bradycardie, hypotension, troubles digestifs, hypoglycémie)</w:t>
      </w:r>
    </w:p>
    <w:p>
      <w:pPr>
        <w:pStyle w:val="ListBullet"/>
      </w:pPr>
      <w:r/>
      <w:r>
        <w:rPr>
          <w:b/>
        </w:rPr>
        <w:t>Recommandation CRAT</w:t>
      </w:r>
      <w:r>
        <w:t xml:space="preserve"> : en cas de traitement maternel par timolol collyre, l'allaitement est possible en surveillant le nourrisson ; en cas de modification du comportement ou de troubles digestifs, suspendre l'allaitement et consulter</w:t>
      </w:r>
    </w:p>
    <w:p>
      <w:pPr>
        <w:pStyle w:val="ListBullet"/>
      </w:pPr>
      <w:r>
        <w:t>Préférer l'instillation juste après une tétée, et occlusion naso-lacrymale pour minimiser le passage systémique maternel</w:t>
      </w:r>
    </w:p>
    <w:p>
      <w:pPr>
        <w:pStyle w:val="Heading3"/>
      </w:pPr>
      <w:r>
        <w:t>141.11.8 Posologie</w:t>
      </w:r>
    </w:p>
    <w:p>
      <w:pPr>
        <w:pStyle w:val="ListBullet"/>
      </w:pPr>
      <w:r/>
      <w:r>
        <w:rPr>
          <w:b/>
        </w:rPr>
        <w:t>Adulte</w:t>
      </w:r>
      <w:r>
        <w:t xml:space="preserve"> (sujet âgé inclus) :</w:t>
      </w:r>
    </w:p>
    <w:p>
      <w:pPr>
        <w:pStyle w:val="ListBullet"/>
      </w:pPr>
      <w:r>
        <w:t>Forme standard : 1 goutte de timolol 0,5 % dans l'œil atteint, 2 fois par jour (matin et soir, à 12 heures d'intervalle)</w:t>
      </w:r>
    </w:p>
    <w:p>
      <w:pPr>
        <w:pStyle w:val="ListBullet"/>
      </w:pPr>
      <w:r>
        <w:t>Forme 0,25 % : réservée à l'insuffisant hépatique, au sujet âgé fragile, ou à l'initiation chez le patient naïf</w:t>
      </w:r>
    </w:p>
    <w:p>
      <w:pPr>
        <w:pStyle w:val="ListBullet"/>
      </w:pPr>
      <w:r>
        <w:t>Forme LP (Geltim LP®) : 1 goutte de gel unidose à 1 mg/g dans l'œil atteint, 1 fois par jour le matin</w:t>
      </w:r>
    </w:p>
    <w:p>
      <w:pPr>
        <w:pStyle w:val="ListBullet"/>
      </w:pPr>
      <w:r>
        <w:t>En cas d'oubli : ne pas doubler la dose suivante, instiller la dose oubliée si elle est à &gt; 4 heures de la suivante</w:t>
      </w:r>
    </w:p>
    <w:p>
      <w:pPr>
        <w:pStyle w:val="ListBullet"/>
      </w:pPr>
      <w:r>
        <w:t>Ne pas dépasser 1 goutte par œil et par prise</w:t>
      </w:r>
    </w:p>
    <w:p>
      <w:pPr>
        <w:pStyle w:val="ListBullet"/>
      </w:pPr>
      <w:r/>
      <w:r>
        <w:rPr>
          <w:b/>
        </w:rPr>
        <w:t>Adaptation posologique</w:t>
      </w:r>
      <w:r>
        <w:t xml:space="preserve"> :</w:t>
      </w:r>
    </w:p>
    <w:p>
      <w:pPr>
        <w:pStyle w:val="ListBullet"/>
      </w:pPr>
      <w:r>
        <w:t>Sujet âgé : commencer par 0,25 % × 1/jour, augmenter si nécessaire à 0,5 % × 2/jour</w:t>
      </w:r>
    </w:p>
    <w:p>
      <w:pPr>
        <w:pStyle w:val="ListBullet"/>
      </w:pPr>
      <w:r>
        <w:t>Insuffisant hépatique sévère : 0,25 % × 1/jour</w:t>
      </w:r>
    </w:p>
    <w:p>
      <w:pPr>
        <w:pStyle w:val="ListBullet"/>
      </w:pPr>
      <w:r>
        <w:t>Insuffisant rénal sévère (DFG &lt; 30 mL/min) : pas d'adaptation posologique (élimination essentiellement hépatique)</w:t>
      </w:r>
    </w:p>
    <w:p>
      <w:pPr>
        <w:pStyle w:val="ListBullet"/>
      </w:pPr>
      <w:r/>
      <w:r>
        <w:rPr>
          <w:b/>
        </w:rPr>
        <w:t>Enfant (&lt; 12 ans)</w:t>
      </w:r>
      <w:r>
        <w:t xml:space="preserve"> : utilisation hors AMM en milieu spécialisé ophtalmologie pédiatrique ; posologie 0,25 % × 1 à 2 fois/jour selon poids et âge, surveillance cardiorespiratoire stricte</w:t>
      </w:r>
    </w:p>
    <w:p>
      <w:pPr>
        <w:pStyle w:val="ListBullet"/>
      </w:pPr>
      <w:r/>
      <w:r>
        <w:rPr>
          <w:b/>
        </w:rPr>
        <w:t>Sujet porteur de lentilles de contact</w:t>
      </w:r>
      <w:r>
        <w:t xml:space="preserve"> : retirer les lentilles avant instillation, attendre 15 minutes avant de les remettre (le chlorure de benzalkonium peut se fixer sur les lentilles souples et altérer leur transparence)</w:t>
      </w:r>
    </w:p>
    <w:p>
      <w:pPr>
        <w:pStyle w:val="ListBullet"/>
      </w:pPr>
      <w:r/>
      <w:r>
        <w:rPr>
          <w:b/>
        </w:rPr>
        <w:t>Durée du traitement</w:t>
      </w:r>
      <w:r>
        <w:t xml:space="preserve"> : chronique, à vie. Ne jamais interrompre brutalement sans avis ophtalmologique (rebond tensionnel oculaire possible)</w:t>
      </w:r>
    </w:p>
    <w:p>
      <w:pPr>
        <w:pStyle w:val="Heading3"/>
      </w:pPr>
      <w:r>
        <w:t>141.11.9 Formes galéniques et arbitrage</w:t>
      </w:r>
    </w:p>
    <w:p>
      <w:r>
        <w:t>Trois formes galéniques sont disponibles en Algérie pour le timolol ophtalmique :</w:t>
      </w:r>
    </w:p>
    <w:p>
      <w:pPr>
        <w:pStyle w:val="ListNumber"/>
      </w:pPr>
      <w:r/>
      <w:r>
        <w:rPr>
          <w:b/>
        </w:rPr>
        <w:t>Collyre en solution standard (0,25 % et 0,5 %)</w:t>
      </w:r>
      <w:r>
        <w:t xml:space="preserve"> :</w:t>
      </w:r>
    </w:p>
    <w:p>
      <w:pPr>
        <w:pStyle w:val="ListBullet"/>
      </w:pPr>
      <w:r>
        <w:t>Présentation : flacon compte-gouttes de 3 mL ou 5 mL (parfois 10 mL pour MEDYOL)</w:t>
      </w:r>
    </w:p>
    <w:p>
      <w:pPr>
        <w:pStyle w:val="ListBullet"/>
      </w:pPr>
      <w:r>
        <w:t>Conservation : 1 mois après ouverture (à température ambiante ≤ 25 °C, à l'abri de la lumière)</w:t>
      </w:r>
    </w:p>
    <w:p>
      <w:pPr>
        <w:pStyle w:val="ListBullet"/>
      </w:pPr>
      <w:r>
        <w:t>Conservateur : chlorure de benzalkonium (BAK) 0,1 mg/mL — toxicité cornéenne épithéliale en cas d'usage prolongé, contre-indiqué en cas de port de lentilles souples, syndrome sec sévère, kératite préexistante</w:t>
      </w:r>
    </w:p>
    <w:p>
      <w:pPr>
        <w:pStyle w:val="ListBullet"/>
      </w:pPr>
      <w:r>
        <w:t>Avantages : simplicité, coût modeste (250-400 DA/mois générique), observance acceptable à 2 prises/jour</w:t>
      </w:r>
    </w:p>
    <w:p>
      <w:pPr>
        <w:pStyle w:val="ListBullet"/>
      </w:pPr>
      <w:r>
        <w:t>Inconvénients : BAK, 2 prises/jour, délai d'action à l'instillation (brûlure)</w:t>
      </w:r>
    </w:p>
    <w:p>
      <w:pPr>
        <w:pStyle w:val="ListNumber"/>
      </w:pPr>
      <w:r/>
      <w:r>
        <w:rPr>
          <w:b/>
        </w:rPr>
        <w:t>Gel ophtalmique unidose à libération prolongée (GELTIM LP® — THEA, 1 mg/g)</w:t>
      </w:r>
      <w:r>
        <w:t xml:space="preserve"> :</w:t>
      </w:r>
    </w:p>
    <w:p>
      <w:pPr>
        <w:pStyle w:val="ListBullet"/>
      </w:pPr>
      <w:r>
        <w:t>Présentation : 30 récipients unidoses en sachet de 10</w:t>
      </w:r>
    </w:p>
    <w:p>
      <w:pPr>
        <w:pStyle w:val="ListBullet"/>
      </w:pPr>
      <w:r>
        <w:t>Conservation : chaque unidose est à usage unique (à jeter après emploi) ; sachet fermé : 6 mois après délivrance ; conservation après ouverture du sachet : 1 mois</w:t>
      </w:r>
    </w:p>
    <w:p>
      <w:pPr>
        <w:pStyle w:val="ListBullet"/>
      </w:pPr>
      <w:r>
        <w:t>Conservateur : SANS conservateur (sterile à usage unique) — avantage majeur pour le syndrome sec, l'intolérance au BAK, le port de lentilles</w:t>
      </w:r>
    </w:p>
    <w:p>
      <w:pPr>
        <w:pStyle w:val="ListBullet"/>
      </w:pPr>
      <w:r>
        <w:t>Avantages : 1 prise par jour (matin), absence de conservateur, meilleure tolérance cornéenne à long terme</w:t>
      </w:r>
    </w:p>
    <w:p>
      <w:pPr>
        <w:pStyle w:val="ListBullet"/>
      </w:pPr>
      <w:r>
        <w:t>Inconvénients : coût supérieur (800-1200 DA/mois), manipulation des unidoses, gélation du gel sur la cornée parfois mal vécue (sensation de film)</w:t>
      </w:r>
    </w:p>
    <w:p>
      <w:pPr>
        <w:pStyle w:val="ListNumber"/>
      </w:pPr>
      <w:r/>
      <w:r>
        <w:rPr>
          <w:b/>
        </w:rPr>
        <w:t>Associations fixes</w:t>
      </w:r>
      <w:r>
        <w:t xml:space="preserve"> (Cosopt®, Xalacom®, LATADUO, et 8 génériques Cosopt-like) :</w:t>
      </w:r>
    </w:p>
    <w:p>
      <w:pPr>
        <w:pStyle w:val="ListBullet"/>
      </w:pPr>
      <w:r>
        <w:t>Permettent de réduire le nombre d'instillations quotidiennes en cas de bithérapie nécessaire</w:t>
      </w:r>
    </w:p>
    <w:p>
      <w:pPr>
        <w:pStyle w:val="ListBullet"/>
      </w:pPr>
      <w:r>
        <w:t>Coût souvent inférieur à la somme des deux produits séparés</w:t>
      </w:r>
    </w:p>
    <w:p>
      <w:pPr>
        <w:pStyle w:val="ListBullet"/>
      </w:pPr>
      <w:r>
        <w:t>Association dorzolamide 2 % + timolol 0,5 % : 1 goutte × 2/jour</w:t>
      </w:r>
    </w:p>
    <w:p>
      <w:pPr>
        <w:pStyle w:val="ListBullet"/>
      </w:pPr>
      <w:r>
        <w:t>Association latanoprost 0,005 % + timolol 0,5 % : 1 goutte × 1/jour le soir</w:t>
      </w:r>
    </w:p>
    <w:p>
      <w:pPr>
        <w:pStyle w:val="ListBullet"/>
      </w:pPr>
      <w:r>
        <w:t>Inconvénient : pas de flexibilité d'adaptation posologique de chaque composant</w:t>
      </w:r>
    </w:p>
    <w:p>
      <w:pPr>
        <w:pStyle w:val="Heading3"/>
      </w:pPr>
      <w:r>
        <w:t>141.11.10 Instructions et conseils au patient</w:t>
      </w:r>
    </w:p>
    <w:p>
      <w:r/>
      <w:r>
        <w:rPr>
          <w:b/>
        </w:rPr>
        <w:t>Éducation thérapeutique — fiche patient à remettre à la dispensation</w:t>
      </w:r>
      <w:r>
        <w:t xml:space="preserve"> :</w:t>
      </w:r>
    </w:p>
    <w:p>
      <w:pPr>
        <w:pStyle w:val="ListNumber"/>
      </w:pPr>
      <w:r/>
      <w:r>
        <w:rPr>
          <w:b/>
        </w:rPr>
        <w:t>Technique d'instillation</w:t>
      </w:r>
      <w:r>
        <w:t xml:space="preserve"> : se laver les mains ; basculer légèrement la tête en arrière ; tirer délicatement la paupière inférieure vers le bas pour former une gouttière ; approcher le flacon compte-gouttes sans toucher l'œil, les cils ou les paupières ; presser doucement le flacon pour déposer 1 goutte (et une seule) dans le cul-de-sac conjonctival inférieur ; relâcher la paupière, fermer l'œil 1 minute sans cligner ; </w:t>
      </w:r>
      <w:r>
        <w:rPr>
          <w:b/>
        </w:rPr>
        <w:t>appliquer une légère pression du doigt sur le canthus interne (coin interne de l'œil, près du nez) pendant 1 à 2 minutes</w:t>
      </w:r>
      <w:r>
        <w:t xml:space="preserve"> pour boucher le canal naso-lacrymal et réduire le passage systémique du médicament ; essuyer l'excédent avec un mouchoir propre.</w:t>
      </w:r>
    </w:p>
    <w:p>
      <w:pPr>
        <w:pStyle w:val="ListNumber"/>
      </w:pPr>
      <w:r/>
      <w:r>
        <w:rPr>
          <w:b/>
        </w:rPr>
        <w:t>Hygiène du flacon</w:t>
      </w:r>
      <w:r>
        <w:t xml:space="preserve"> : ne jamais toucher l'embout avec les doigts, l'œil ou toute surface ; refermer immédiatement après usage ; jeter le flacon </w:t>
      </w:r>
      <w:r>
        <w:rPr>
          <w:b/>
        </w:rPr>
        <w:t>1 mois après ouverture</w:t>
      </w:r>
      <w:r>
        <w:t xml:space="preserve"> (inscrire la date d'ouverture sur le flacon avec un feutre) ; conserver à température ambiante (≤ 25 °C) à l'abri de la lumière ; ne pas congeler ; ne pas utiliser si la solution change d'aspect (trouble, particules).</w:t>
      </w:r>
    </w:p>
    <w:p>
      <w:pPr>
        <w:pStyle w:val="ListNumber"/>
      </w:pPr>
      <w:r/>
      <w:r>
        <w:rPr>
          <w:b/>
        </w:rPr>
        <w:t>Oubli de dose</w:t>
      </w:r>
      <w:r>
        <w:t xml:space="preserve"> : si moins de 4 heures se sont écoulées depuis l'heure habituelle, instiller la dose oubliée ; si plus de 4 heures, sauter la dose et reprendre à l'heure normale suivante ; ne jamais doubler la dose.</w:t>
      </w:r>
    </w:p>
    <w:p>
      <w:pPr>
        <w:pStyle w:val="ListNumber"/>
      </w:pPr>
      <w:r/>
      <w:r>
        <w:rPr>
          <w:b/>
        </w:rPr>
        <w:t>Surveillance</w:t>
      </w:r>
      <w:r>
        <w:t xml:space="preserve"> : consultation ophtalmologique à 4-6 semaines après initiation (évaluation de l'efficacité hypotonisante, surveillance de la tolérance), puis tous les 3 à 6 mois ; consultation cardiologique si fatigue, essoufflement, vertiges, bradycardie ressentie ; surveillance glycémique renforcée si diabète.</w:t>
      </w:r>
    </w:p>
    <w:p>
      <w:pPr>
        <w:pStyle w:val="ListNumber"/>
      </w:pPr>
      <w:r/>
      <w:r>
        <w:rPr>
          <w:b/>
        </w:rPr>
        <w:t>Signaux d'alerte à signaler au médecin</w:t>
      </w:r>
      <w:r>
        <w:t xml:space="preserve"> : essoufflement, sifflements respiratoires, toux, bradycardie ressentie, vertiges, faiblesse, fatigue inexpliquée, baisse d'humeur, idées noires, troubles sexuels, hypoglycémies sévères (si diabète).</w:t>
      </w:r>
    </w:p>
    <w:p>
      <w:pPr>
        <w:pStyle w:val="ListNumber"/>
      </w:pPr>
      <w:r/>
      <w:r>
        <w:rPr>
          <w:b/>
        </w:rPr>
        <w:t>Ne jamais arrêter brutalement</w:t>
      </w:r>
      <w:r>
        <w:t xml:space="preserve"> : arrêt progressif sous surveillance ophtalmologique (rebond tensionnel oculaire possible).</w:t>
      </w:r>
    </w:p>
    <w:p>
      <w:pPr>
        <w:pStyle w:val="ListNumber"/>
      </w:pPr>
      <w:r/>
      <w:r>
        <w:rPr>
          <w:b/>
        </w:rPr>
        <w:t>Précautions en cas de chirurgie</w:t>
      </w:r>
      <w:r>
        <w:t xml:space="preserve"> : signaler le traitement à l'anesthésiste (risque d'hypotension peranesthésique, bradycardie) ; en cas de chirurgie de la cataracte, le maintien du timolol est généralement recommandé (l'arrêt n'est pas nécessaire).</w:t>
      </w:r>
    </w:p>
    <w:p>
      <w:pPr>
        <w:pStyle w:val="Heading3"/>
      </w:pPr>
      <w:r>
        <w:t>141.11.11 Pièges au comptoir</w:t>
      </w:r>
    </w:p>
    <w:p>
      <w:pPr>
        <w:pStyle w:val="ListBullet"/>
      </w:pPr>
      <w:r/>
      <w:r>
        <w:rPr>
          <w:b/>
        </w:rPr>
        <w:t>Asthme non diagnostiqué</w:t>
      </w:r>
      <w:r>
        <w:t xml:space="preserve"> : un patient présentant une rhinite allergique persistante, un eczéma atopique, ou des antécédents familiaux d'asthme a un risque accru de bronchospasme sous timolol — toujours interroger</w:t>
      </w:r>
    </w:p>
    <w:p>
      <w:pPr>
        <w:pStyle w:val="ListBullet"/>
      </w:pPr>
      <w:r/>
      <w:r>
        <w:rPr>
          <w:b/>
        </w:rPr>
        <w:t>Bêta-bloquant oral concomitant</w:t>
      </w:r>
      <w:r>
        <w:t xml:space="preserve"> : vérifier systématiquement les ordonnances concomitantes (bisoprolol, atenolol, propranolol, etc.) — risque d'additive bradycardisante</w:t>
      </w:r>
    </w:p>
    <w:p>
      <w:pPr>
        <w:pStyle w:val="ListBullet"/>
      </w:pPr>
      <w:r/>
      <w:r>
        <w:rPr>
          <w:b/>
        </w:rPr>
        <w:t>Sujet âgé dépressif</w:t>
      </w:r>
      <w:r>
        <w:t xml:space="preserve"> : un patient âgé présentant une fatigue isolée ou une aggravation d'une dépression préexistante doit faire évoquer un effet indésirable du timolol — signaler au prescripteur</w:t>
      </w:r>
    </w:p>
    <w:p>
      <w:pPr>
        <w:pStyle w:val="ListBullet"/>
      </w:pPr>
      <w:r/>
      <w:r>
        <w:rPr>
          <w:b/>
        </w:rPr>
        <w:t>Diabétique déséquilibré</w:t>
      </w:r>
      <w:r>
        <w:t xml:space="preserve"> : un diabétique Type 1 sous insuline ayant des hypoglycémies sévères asymptomatiques — le timolol masque les signes adrénergiques d'alerte (sauf sudation) — à signaler au diabétologue</w:t>
      </w:r>
    </w:p>
    <w:p>
      <w:pPr>
        <w:pStyle w:val="ListBullet"/>
      </w:pPr>
      <w:r/>
      <w:r>
        <w:rPr>
          <w:b/>
        </w:rPr>
        <w:t>Patient porteur de lentilles</w:t>
      </w:r>
      <w:r>
        <w:t xml:space="preserve"> : retirer avant instillation, attendre 15 minutes avant remise (BAK se fixe sur les lentilles souples hydrophiles)</w:t>
      </w:r>
    </w:p>
    <w:p>
      <w:pPr>
        <w:pStyle w:val="ListBullet"/>
      </w:pPr>
      <w:r/>
      <w:r>
        <w:rPr>
          <w:b/>
        </w:rPr>
        <w:t>Conducteur</w:t>
      </w:r>
      <w:r>
        <w:t xml:space="preserve"> : prévenir d'une possible baisse transitoire de l'acuité visuelle dans les minutes suivant l'instillation (flou visuel transitoire) ; ne pas conduire dans les 15 minutes suivant l'instillation</w:t>
      </w:r>
    </w:p>
    <w:p>
      <w:pPr>
        <w:pStyle w:val="ListBullet"/>
      </w:pPr>
      <w:r/>
      <w:r>
        <w:rPr>
          <w:b/>
        </w:rPr>
        <w:t>Confusion avec collyre antiallergique</w:t>
      </w:r>
      <w:r>
        <w:t xml:space="preserve"> : ne pas substituer sans avis médical — les collyres antihistaminiques (lévocabastine, olopatadine) n'ont pas d'effet hypotonisant</w:t>
      </w:r>
    </w:p>
    <w:p>
      <w:pPr>
        <w:pStyle w:val="ListBullet"/>
      </w:pPr>
      <w:r/>
      <w:r>
        <w:rPr>
          <w:b/>
        </w:rPr>
        <w:t>Confusion entre dosage 0,25 % et 0,5 %</w:t>
      </w:r>
      <w:r>
        <w:t xml:space="preserve"> : vérifier systématiquement l'ordonnance — ne pas substituer 0,25 % par 0,5 % sans avis</w:t>
      </w:r>
    </w:p>
    <w:p>
      <w:pPr>
        <w:pStyle w:val="ListBullet"/>
      </w:pPr>
      <w:r/>
      <w:r>
        <w:rPr>
          <w:b/>
        </w:rPr>
        <w:t>Date d'ouverture non inscrite</w:t>
      </w:r>
      <w:r>
        <w:t xml:space="preserve"> : remettre un feutre au patient à la 1ʳᵉ dispensation et lui demander d'inscrire la date sur le flacon — jeter à 1 mois</w:t>
      </w:r>
    </w:p>
    <w:p>
      <w:pPr>
        <w:pStyle w:val="ListBullet"/>
      </w:pPr>
      <w:r/>
      <w:r>
        <w:rPr>
          <w:b/>
        </w:rPr>
        <w:t>Co-prescription d'inhibiteurs calciques</w:t>
      </w:r>
      <w:r>
        <w:t xml:space="preserve"> : vérapamil, diltiazem — vérifier la prescription concomitante, risque de BAV</w:t>
      </w:r>
    </w:p>
    <w:p>
      <w:pPr>
        <w:pStyle w:val="Heading2"/>
      </w:pPr>
      <w:r>
        <w:t>141.12 DCI : Bétaxolol (usage ophtalmique)</w:t>
      </w:r>
    </w:p>
    <w:p>
      <w:pPr>
        <w:pStyle w:val="Heading3"/>
      </w:pPr>
      <w:r>
        <w:t>141.12.1 Catégories thérapeutiques et place dans la stratégie</w:t>
      </w:r>
    </w:p>
    <w:p>
      <w:pPr>
        <w:pStyle w:val="ListBullet"/>
      </w:pPr>
      <w:r/>
      <w:r>
        <w:rPr>
          <w:b/>
        </w:rPr>
        <w:t>Classe ATC</w:t>
      </w:r>
      <w:r>
        <w:t xml:space="preserve"> : S01EB02 (Bétaxolol — collyre)</w:t>
      </w:r>
    </w:p>
    <w:p>
      <w:pPr>
        <w:pStyle w:val="ListBullet"/>
      </w:pPr>
      <w:r/>
      <w:r>
        <w:rPr>
          <w:b/>
        </w:rPr>
        <w:t>Sous-classe pharmacologique</w:t>
      </w:r>
      <w:r>
        <w:t xml:space="preserve"> : β-bloquant cardiosélectif (β1 &gt; β2) topique, sans activité sympathomimétique intrinsèque</w:t>
      </w:r>
    </w:p>
    <w:p>
      <w:pPr>
        <w:pStyle w:val="ListBullet"/>
      </w:pPr>
      <w:r/>
      <w:r>
        <w:rPr>
          <w:b/>
        </w:rPr>
        <w:t>Liste des médicaments</w:t>
      </w:r>
      <w:r>
        <w:t xml:space="preserve"> : Liste I (prescription médicale obligatoire)</w:t>
      </w:r>
    </w:p>
    <w:p>
      <w:pPr>
        <w:pStyle w:val="ListBullet"/>
      </w:pPr>
      <w:r/>
      <w:r>
        <w:rPr>
          <w:b/>
        </w:rPr>
        <w:t>Statut réglementaire Algérie</w:t>
      </w:r>
      <w:r>
        <w:t xml:space="preserve"> : Liste I, commercialisé (BERTOCIL® GPA) ; BETOPTIC® (Alcon) non renouvelé</w:t>
      </w:r>
    </w:p>
    <w:p>
      <w:pPr>
        <w:pStyle w:val="ListBullet"/>
      </w:pPr>
      <w:r/>
      <w:r>
        <w:rPr>
          <w:b/>
        </w:rPr>
        <w:t>Place dans la stratégie</w:t>
      </w:r>
      <w:r>
        <w:t xml:space="preserve"> : Alternative au timolol chez le patient avec composante respiratoire obstructive légère à modérée (BPCO, emphysème, bronchite chronique non asthmatique), mais ASTHME = CI absolue (la sélectivité β1 est perdue aux concentrations élevées)</w:t>
      </w:r>
    </w:p>
    <w:p>
      <w:pPr>
        <w:pStyle w:val="ListBullet"/>
      </w:pPr>
      <w:r/>
      <w:r>
        <w:rPr>
          <w:b/>
        </w:rPr>
        <w:t>Index thérapeutique</w:t>
      </w:r>
      <w:r>
        <w:t xml:space="preserve"> : Étroit, mais moins que le timolol en raison de la sélectivité β1</w:t>
      </w:r>
    </w:p>
    <w:p>
      <w:pPr>
        <w:pStyle w:val="ListBullet"/>
      </w:pPr>
      <w:r/>
      <w:r>
        <w:rPr>
          <w:b/>
        </w:rPr>
        <w:t>Grossesse/Allaitement</w:t>
      </w:r>
      <w:r>
        <w:t xml:space="preserve"> : À éviter (même profil que timolol)</w:t>
      </w:r>
    </w:p>
    <w:p>
      <w:r>
        <w:t>Le bétaxolol est commercialisé depuis 1985 (Betoptic® Alcon), introduit en Algérie dans les années 1990. Sa sélectivité β1 (rapport β1/β2 ≈ 5-15 selon les études fonctionnelles) le rend théoriquement moins dangereux sur le plan respiratoire, mais cette sélectivité est relative et disparaît aux concentrations suffisantes. Son efficacité hypotonisante est de 4 à 6 mmHg (légèrement inférieure au timolol), ce qui le réserve plutôt aux glaucomes modérés ou en association, ou chez les patients où le timolol est CI pour raison respiratoire. En Algérie, une seule spécialité active (BERTOCIL®) est disponible en collyre 0,5 % (5 mg/mL), avec un nombre limité de génériques — situation rendant son accès plus aléatoire que le timolol.</w:t>
      </w:r>
    </w:p>
    <w:p>
      <w:pPr>
        <w:pStyle w:val="Heading3"/>
      </w:pPr>
      <w:r>
        <w:t>141.12.2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BERTOCIL</w:t>
            </w:r>
          </w:p>
        </w:tc>
        <w:tc>
          <w:tcPr>
            <w:tcW w:type="dxa" w:w="1559"/>
          </w:tcPr>
          <w:p>
            <w:r>
              <w:rPr>
                <w:sz w:val="20"/>
              </w:rPr>
              <w:t>GROUPEMENT PHARMACEUTIQUE ALGERIEN (GPA)</w:t>
            </w:r>
          </w:p>
        </w:tc>
        <w:tc>
          <w:tcPr>
            <w:tcW w:type="dxa" w:w="1559"/>
          </w:tcPr>
          <w:p>
            <w:r>
              <w:rPr>
                <w:sz w:val="20"/>
              </w:rPr>
              <w:t>Collyre en solution — 5 mg/mL (0,5 %)</w:t>
            </w:r>
          </w:p>
        </w:tc>
        <w:tc>
          <w:tcPr>
            <w:tcW w:type="dxa" w:w="1559"/>
          </w:tcPr>
          <w:p>
            <w:r>
              <w:rPr>
                <w:sz w:val="20"/>
              </w:rPr>
              <w:t>B/01 FL 5 mL</w:t>
            </w:r>
          </w:p>
        </w:tc>
        <w:tc>
          <w:tcPr>
            <w:tcW w:type="dxa" w:w="1559"/>
          </w:tcPr>
          <w:p>
            <w:r>
              <w:rPr>
                <w:sz w:val="20"/>
              </w:rPr>
              <w:t>LISTE I</w:t>
            </w:r>
          </w:p>
        </w:tc>
        <w:tc>
          <w:tcPr>
            <w:tcW w:type="dxa" w:w="1559"/>
          </w:tcPr>
          <w:p>
            <w:r>
              <w:rPr>
                <w:sz w:val="20"/>
              </w:rPr>
              <w:t>ACTIF</w:t>
            </w:r>
          </w:p>
        </w:tc>
      </w:tr>
      <w:tr>
        <w:tc>
          <w:tcPr>
            <w:tcW w:type="dxa" w:w="1559"/>
          </w:tcPr>
          <w:p>
            <w:r>
              <w:rPr>
                <w:sz w:val="20"/>
              </w:rPr>
              <w:t>BETOPTIC (NR)</w:t>
            </w:r>
          </w:p>
        </w:tc>
        <w:tc>
          <w:tcPr>
            <w:tcW w:type="dxa" w:w="1559"/>
          </w:tcPr>
          <w:p>
            <w:r>
              <w:rPr>
                <w:sz w:val="20"/>
              </w:rPr>
              <w:t>ALCON</w:t>
            </w:r>
          </w:p>
        </w:tc>
        <w:tc>
          <w:tcPr>
            <w:tcW w:type="dxa" w:w="1559"/>
          </w:tcPr>
          <w:p>
            <w:r>
              <w:rPr>
                <w:sz w:val="20"/>
              </w:rPr>
              <w:t>Collyre — 0,5 %</w:t>
            </w:r>
          </w:p>
        </w:tc>
        <w:tc>
          <w:tcPr>
            <w:tcW w:type="dxa" w:w="1559"/>
          </w:tcPr>
          <w:p>
            <w:r>
              <w:rPr>
                <w:sz w:val="20"/>
              </w:rPr>
              <w:t>FL/3 mL</w:t>
            </w:r>
          </w:p>
        </w:tc>
        <w:tc>
          <w:tcPr>
            <w:tcW w:type="dxa" w:w="1559"/>
          </w:tcPr>
          <w:p>
            <w:r>
              <w:rPr>
                <w:sz w:val="20"/>
              </w:rPr>
              <w:t>LISTE I</w:t>
            </w:r>
          </w:p>
        </w:tc>
        <w:tc>
          <w:tcPr>
            <w:tcW w:type="dxa" w:w="1559"/>
          </w:tcPr>
          <w:p>
            <w:r>
              <w:rPr>
                <w:sz w:val="20"/>
              </w:rPr>
              <w:t>NON_RENOUVELABLE</w:t>
            </w:r>
          </w:p>
        </w:tc>
      </w:tr>
    </w:tbl>
    <w:p/>
    <w:p>
      <w:pPr>
        <w:pStyle w:val="Heading3"/>
      </w:pPr>
      <w:r>
        <w:t>141.12.3 Mécanisme d'action détaillé</w:t>
      </w:r>
    </w:p>
    <w:p>
      <w:r>
        <w:t>Le chlorhydrate de bétaxolol est un β-bloquant cardiosélectif (β1 &gt; β2) dépourvu d'activité sympathomimétique intrinsèque et de pouvoir stabilisant de membrane. Au niveau du corps ciliaire, il bloque préférentiellement les récepteurs β1-adrénergiques (qui représentent environ 75 % des récepteurs β-adrénergiques ciliaires, les 25 % restants étant β2). Ce blocage β1 entraîne une chute de l'AMPc intracellulaire, similaire à celle du timolol mais de moindre amplitude, et une réduction de 25 à 35 % de la production d'humeur aqueuse. L'avantage théorique tient à l'épargne des récepteurs β2 pulmonaires, dont le blocage est responsable du bronchospasme. En pratique, cet avantage s'avère modéré : la concentration plasmatique atteinte après instillation oculaire est suffisante pour engager une occupation β2 significative chez l'asthmatique, et le bétaxolol reste contre-indiqué dans l'asthme avéré.</w:t>
      </w:r>
    </w:p>
    <w:p>
      <w:r>
        <w:t>L'efficacité hypotonisante est maximale à 2 semaines (baisse de 4 à 6 mmHg, soit 20-25 % de la PIO initiale), avec un plateau stable à long terme sans échappement. La demi-vie d'élimination locale est de 3 à 4 heures, justifiant 2 instillations par jour. La résorption naso-lacrymale (25 à 50 % de la dose instillée) conduit à une concentration plasmatique de 0,5 à 1 ng/mL, soit l'équivalent d'une dose orale de 0,5 à 1 mg — significativement inférieure au timolol mais non négligeable.</w:t>
      </w:r>
    </w:p>
    <w:p>
      <w:pPr>
        <w:pStyle w:val="Heading3"/>
      </w:pPr>
      <w:r>
        <w:t>141.12.4 Profil pharmacologique : indications, contre-indications, effets indésirables</w:t>
      </w:r>
    </w:p>
    <w:p>
      <w:pPr>
        <w:pStyle w:val="Heading4"/>
      </w:pPr>
      <w:r>
        <w:t>Indications</w:t>
      </w:r>
    </w:p>
    <w:p>
      <w:pPr>
        <w:pStyle w:val="ListBullet"/>
      </w:pPr>
      <w:r/>
      <w:r>
        <w:rPr>
          <w:b/>
        </w:rPr>
        <w:t>Glaucome à angle ouvert</w:t>
      </w:r>
      <w:r>
        <w:t xml:space="preserve"> : en cas de contre-indication relative au timolol (terrain respiratoire obstructif modéré — BPCO, bronchite chronique non asthmatique)</w:t>
      </w:r>
    </w:p>
    <w:p>
      <w:pPr>
        <w:pStyle w:val="ListBullet"/>
      </w:pPr>
      <w:r/>
      <w:r>
        <w:rPr>
          <w:b/>
        </w:rPr>
        <w:t>Hypertonie oculaire isolée</w:t>
      </w:r>
      <w:r>
        <w:t xml:space="preserve"> : alternative au timolol</w:t>
      </w:r>
    </w:p>
    <w:p>
      <w:pPr>
        <w:pStyle w:val="ListBullet"/>
      </w:pPr>
      <w:r/>
      <w:r>
        <w:rPr>
          <w:b/>
        </w:rPr>
        <w:t>Glaucomes secondaires</w:t>
      </w:r>
      <w:r>
        <w:t xml:space="preserve"> : post-inflammatoires, post-traumatiques</w:t>
      </w:r>
    </w:p>
    <w:p>
      <w:pPr>
        <w:pStyle w:val="ListBullet"/>
      </w:pPr>
      <w:r>
        <w:t>En association avec d'autres hypotonisants (prostaglandines, inhibiteurs AC topiques) en cas d'insuffisance d'efficacité d'une monothérapie</w:t>
      </w:r>
    </w:p>
    <w:p>
      <w:pPr>
        <w:pStyle w:val="Heading4"/>
      </w:pPr>
      <w:r>
        <w:t>Contre-indications</w:t>
      </w:r>
    </w:p>
    <w:p>
      <w:pPr>
        <w:pStyle w:val="ListBullet"/>
      </w:pPr>
      <w:r/>
      <w:r>
        <w:rPr>
          <w:b/>
        </w:rPr>
        <w:t>Contre-indications absolues</w:t>
      </w:r>
      <w:r>
        <w:t xml:space="preserve"> :</w:t>
      </w:r>
    </w:p>
    <w:p>
      <w:pPr>
        <w:pStyle w:val="ListBullet"/>
      </w:pPr>
      <w:r>
        <w:t>Asthme bronchique (la sélectivité β1 ne protège pas totalement du bronchospasme)</w:t>
      </w:r>
    </w:p>
    <w:p>
      <w:pPr>
        <w:pStyle w:val="ListBullet"/>
      </w:pPr>
      <w:r>
        <w:t>BPCO sévère avec composante obstructive réversible (à l'image du timolol)</w:t>
      </w:r>
    </w:p>
    <w:p>
      <w:pPr>
        <w:pStyle w:val="ListBullet"/>
      </w:pPr>
      <w:r>
        <w:t>Bradycardie sinusale symptomatique (&lt; 50 bpm)</w:t>
      </w:r>
    </w:p>
    <w:p>
      <w:pPr>
        <w:pStyle w:val="ListBullet"/>
      </w:pPr>
      <w:r>
        <w:t>Bloc auriculo-ventriculaire du 2ᵉ ou 3ᵉ degré non appareillé</w:t>
      </w:r>
    </w:p>
    <w:p>
      <w:pPr>
        <w:pStyle w:val="ListBullet"/>
      </w:pPr>
      <w:r>
        <w:t>Insuffisance cardiaque décompensée</w:t>
      </w:r>
    </w:p>
    <w:p>
      <w:pPr>
        <w:pStyle w:val="ListBullet"/>
      </w:pPr>
      <w:r>
        <w:t>Choc cardiogénique</w:t>
      </w:r>
    </w:p>
    <w:p>
      <w:pPr>
        <w:pStyle w:val="ListBullet"/>
      </w:pPr>
      <w:r>
        <w:t>Maladie du sinus nodal</w:t>
      </w:r>
    </w:p>
    <w:p>
      <w:pPr>
        <w:pStyle w:val="ListBullet"/>
      </w:pPr>
      <w:r>
        <w:t>Hypersensibilité à la substance active ou à l'un des excipients</w:t>
      </w:r>
    </w:p>
    <w:p>
      <w:pPr>
        <w:pStyle w:val="ListBullet"/>
      </w:pPr>
      <w:r/>
      <w:r>
        <w:rPr>
          <w:b/>
        </w:rPr>
        <w:t>Contre-indications relatives</w:t>
      </w:r>
      <w:r>
        <w:t xml:space="preserve"> :</w:t>
      </w:r>
    </w:p>
    <w:p>
      <w:pPr>
        <w:pStyle w:val="ListBullet"/>
      </w:pPr>
      <w:r>
        <w:t>Diabète déséquilibré (masquage des signes adrénergiques de l'hypoglycémie, moindre que le timolol en raison de la sélectivité β1, mais persistant)</w:t>
      </w:r>
    </w:p>
    <w:p>
      <w:pPr>
        <w:pStyle w:val="ListBullet"/>
      </w:pPr>
      <w:r>
        <w:t>Hyperthyroïdie non traitée</w:t>
      </w:r>
    </w:p>
    <w:p>
      <w:pPr>
        <w:pStyle w:val="ListBullet"/>
      </w:pPr>
      <w:r>
        <w:t>Psoriasis</w:t>
      </w:r>
    </w:p>
    <w:p>
      <w:pPr>
        <w:pStyle w:val="ListBullet"/>
      </w:pPr>
      <w:r>
        <w:t>Sujet âgé fragile</w:t>
      </w:r>
    </w:p>
    <w:p>
      <w:pPr>
        <w:pStyle w:val="ListBullet"/>
      </w:pPr>
      <w:r>
        <w:t>Insuffisance hépatique</w:t>
      </w:r>
    </w:p>
    <w:p>
      <w:pPr>
        <w:pStyle w:val="Heading4"/>
      </w:pPr>
      <w:r>
        <w:t>Effets indésirables</w:t>
      </w:r>
    </w:p>
    <w:p>
      <w:r>
        <w:t>Le profil d'effets indésirables est globalement superposable à celui du timolol, avec une intensité moindre des effets systémiques respiratoires et une intensité comparable des effets locaux :</w:t>
      </w:r>
    </w:p>
    <w:p>
      <w:r/>
      <w:r>
        <w:rPr>
          <w:b/>
        </w:rPr>
        <w:t>Locaux</w:t>
      </w:r>
      <w:r>
        <w:t xml:space="preserve"> :</w:t>
      </w:r>
    </w:p>
    <w:p>
      <w:pPr>
        <w:pStyle w:val="ListBullet"/>
      </w:pPr>
      <w:r>
        <w:t>Brûlure à l'instillation (10-15 %, parfois plus marquée en raison du pH acide de la formulation)</w:t>
      </w:r>
    </w:p>
    <w:p>
      <w:pPr>
        <w:pStyle w:val="ListBullet"/>
      </w:pPr>
      <w:r>
        <w:t>Sécheresse oculaire (5-10 %)</w:t>
      </w:r>
    </w:p>
    <w:p>
      <w:pPr>
        <w:pStyle w:val="ListBullet"/>
      </w:pPr>
      <w:r>
        <w:t>Conjonctivite allergique (3-5 %)</w:t>
      </w:r>
    </w:p>
    <w:p>
      <w:pPr>
        <w:pStyle w:val="ListBullet"/>
      </w:pPr>
      <w:r>
        <w:t>Kératite ponctuée superficielle (BAK)</w:t>
      </w:r>
    </w:p>
    <w:p>
      <w:pPr>
        <w:pStyle w:val="ListBullet"/>
      </w:pPr>
      <w:r>
        <w:t>Blépharite, dermatite palpébrale</w:t>
      </w:r>
    </w:p>
    <w:p>
      <w:r/>
      <w:r>
        <w:rPr>
          <w:b/>
        </w:rPr>
        <w:t>Systémiques</w:t>
      </w:r>
      <w:r>
        <w:t xml:space="preserve"> :</w:t>
      </w:r>
    </w:p>
    <w:p>
      <w:pPr>
        <w:pStyle w:val="ListBullet"/>
      </w:pPr>
      <w:r>
        <w:t>Cardiovasculaires : bradycardie sinusale, hypotension, BAV (moins fréquents que le timolol)</w:t>
      </w:r>
    </w:p>
    <w:p>
      <w:pPr>
        <w:pStyle w:val="ListBullet"/>
      </w:pPr>
      <w:r>
        <w:t>Respiratoires : bronchospasme (moins fréquent mais possible, surtout chez l'asthmatique)</w:t>
      </w:r>
    </w:p>
    <w:p>
      <w:pPr>
        <w:pStyle w:val="ListBullet"/>
      </w:pPr>
      <w:r>
        <w:t>Métaboliques : masquage de l'hypoglycémie (moindre que le timolol en raison de la sélectivité β1)</w:t>
      </w:r>
    </w:p>
    <w:p>
      <w:pPr>
        <w:pStyle w:val="ListBullet"/>
      </w:pPr>
      <w:r>
        <w:t>Neurologiques et psychiatriques : céphalées, asthénie, somnolence, dépression (signal moindre que le timolol, mais présent)</w:t>
      </w:r>
    </w:p>
    <w:p>
      <w:pPr>
        <w:pStyle w:val="ListBullet"/>
      </w:pPr>
      <w:r>
        <w:t>Dysfonction sexuelle : baisse de libido, dysfonction érectile (moindre que le timolol)</w:t>
      </w:r>
    </w:p>
    <w:p>
      <w:pPr>
        <w:pStyle w:val="Heading3"/>
      </w:pPr>
      <w:r>
        <w:t>141.12.5 Prévention et gestion des effets indésirables</w:t>
      </w:r>
    </w:p>
    <w:p>
      <w:r>
        <w:t>La prévention repose sur les mêmes principes que pour le timolol : interrogatoire systématique (asthme, BPCO, bradycardie, insuffisance cardiaque, dépression, diabète), occlusion naso-lacrymale, posologie minimale efficace. L'avantage principal du bétaxolol réside dans sa meilleure tolérance respiratoire théorique, qui en fait l'alternative de choix au timolol chez le patient BPCO. Cependant, en cas d'asthme avéré, le bétaxolol reste contre-indiqué et il faut se tourner vers une prostaglandine (latanoprost) ou un inhibiteur de l'anhydrase carbonique topique (dorzolamide, brinzolamide).</w:t>
      </w:r>
    </w:p>
    <w:p>
      <w:r>
        <w:t>La surveillance comporte : fréquence cardiaque, auscultation pulmonaire, interrogation sur troubles de l'humeur et dysfonction sexuelle. La surveillance ophtalmologique est comparable à celle du timolol (tonus, champ visuel, OCT à 4-6 semaines puis tous les 3-6 mois).</w:t>
      </w:r>
    </w:p>
    <w:p>
      <w:pPr>
        <w:pStyle w:val="Heading3"/>
      </w:pPr>
      <w:r>
        <w:t>141.12.6 Interactions médicamenteuses</w:t>
      </w:r>
    </w:p>
    <w:p>
      <w:r>
        <w:t>Les interactions sont comparables à celles du timolol, avec une intensité moindre en raison de la sélectivité β1 et de la moindre résorption systémique. Les principales interactions à surveiller sont :</w:t>
      </w:r>
    </w:p>
    <w:p>
      <w:pPr>
        <w:pStyle w:val="ListBullet"/>
      </w:pPr>
      <w:r>
        <w:t>β-bloquants systémiques : addition des effets bradycardisants</w:t>
      </w:r>
    </w:p>
    <w:p>
      <w:pPr>
        <w:pStyle w:val="ListBullet"/>
      </w:pPr>
      <w:r>
        <w:t>Inhibiteurs calciques bradycardisants (vérapamil, diltiazem) : risque de BAV, bradycardie</w:t>
      </w:r>
    </w:p>
    <w:p>
      <w:pPr>
        <w:pStyle w:val="ListBullet"/>
      </w:pPr>
      <w:r>
        <w:t>Amiodarone, digitaliques : bradycardie additive</w:t>
      </w:r>
    </w:p>
    <w:p>
      <w:pPr>
        <w:pStyle w:val="ListBullet"/>
      </w:pPr>
      <w:r>
        <w:t>Insuline, sulfamides, glinides : masquage des signes adrénergiques de l'hypoglycémie (moindre que le timolol)</w:t>
      </w:r>
    </w:p>
    <w:p>
      <w:pPr>
        <w:pStyle w:val="ListBullet"/>
      </w:pPr>
      <w:r>
        <w:t>Antidépresseurs imipraminiques, IRS, IMAO : risque de dépression additive</w:t>
      </w:r>
    </w:p>
    <w:p>
      <w:pPr>
        <w:pStyle w:val="ListBullet"/>
      </w:pPr>
      <w:r>
        <w:t>Inhibiteurs du CYP2D6 (paroxétine, fluoxétine, duloxétine, bupropion) : augmentation des concentrations plasmatiques du bétaxolol absorbé (le bétaxolol est métabolisé par CYP2D6)</w:t>
      </w:r>
    </w:p>
    <w:p>
      <w:pPr>
        <w:pStyle w:val="Heading3"/>
      </w:pPr>
      <w:r>
        <w:t>141.12.7 Grossesse et allaitement (CRAT)</w:t>
      </w:r>
    </w:p>
    <w:p>
      <w:pPr>
        <w:pStyle w:val="ListBullet"/>
      </w:pPr>
      <w:r/>
      <w:r>
        <w:rPr>
          <w:b/>
        </w:rPr>
        <w:t>Grossesse</w:t>
      </w:r>
      <w:r>
        <w:t xml:space="preserve"> : Le bétaxolol traverse le placenta ; données humaines limitées (pas d'augmentation du risque malformatif au 1er trimestre dans les quelques séries publiées). Utilisation déconseillée au 2ᵉ et 3ᵉ trimestre (bradycardie fœtale, hypoglycémie néonatale, détresse respiratoire). En cas de nécessité, surveillance du rythme cardiaque fœtal.</w:t>
      </w:r>
    </w:p>
    <w:p>
      <w:pPr>
        <w:pStyle w:val="ListBullet"/>
      </w:pPr>
      <w:r/>
      <w:r>
        <w:rPr>
          <w:b/>
        </w:rPr>
        <w:t>Allaitement</w:t>
      </w:r>
      <w:r>
        <w:t xml:space="preserve"> : Le bétaxolol passe dans le lait maternel (rapport lait/plasma ≈ 3-5). Surveillance du nourrisson (bradycardie, hypoglycémie). En cas de traitement maternel, l'allaitement est possible en surveillant le nourrisson.</w:t>
      </w:r>
    </w:p>
    <w:p>
      <w:pPr>
        <w:pStyle w:val="ListBullet"/>
      </w:pPr>
      <w:r>
        <w:t>En pratique, en cas de projet de grossesse, préférer une prostaglandine (latanoprost) ou un inhibiteur de l'AC topique.</w:t>
      </w:r>
    </w:p>
    <w:p>
      <w:pPr>
        <w:pStyle w:val="Heading3"/>
      </w:pPr>
      <w:r>
        <w:t>141.12.8 Posologie</w:t>
      </w:r>
    </w:p>
    <w:p>
      <w:pPr>
        <w:pStyle w:val="ListBullet"/>
      </w:pPr>
      <w:r/>
      <w:r>
        <w:rPr>
          <w:b/>
        </w:rPr>
        <w:t>Adulte</w:t>
      </w:r>
      <w:r>
        <w:t xml:space="preserve"> : 1 goutte de bétaxolol 0,5 % (5 mg/mL) dans l'œil atteint, 2 fois par jour (matin et soir)</w:t>
      </w:r>
    </w:p>
    <w:p>
      <w:pPr>
        <w:pStyle w:val="ListBullet"/>
      </w:pPr>
      <w:r/>
      <w:r>
        <w:rPr>
          <w:b/>
        </w:rPr>
        <w:t>Sujet âgé</w:t>
      </w:r>
      <w:r>
        <w:t xml:space="preserve"> : commencer par 1 fois/jour, augmenter si nécessaire à 2 fois/jour</w:t>
      </w:r>
    </w:p>
    <w:p>
      <w:pPr>
        <w:pStyle w:val="ListBullet"/>
      </w:pPr>
      <w:r/>
      <w:r>
        <w:rPr>
          <w:b/>
        </w:rPr>
        <w:t>Insuffisant hépatique sévère</w:t>
      </w:r>
      <w:r>
        <w:t xml:space="preserve"> : 1 fois/jour</w:t>
      </w:r>
    </w:p>
    <w:p>
      <w:pPr>
        <w:pStyle w:val="ListBullet"/>
      </w:pPr>
      <w:r/>
      <w:r>
        <w:rPr>
          <w:b/>
        </w:rPr>
        <w:t>Enfant</w:t>
      </w:r>
      <w:r>
        <w:t xml:space="preserve"> : hors AMM, en milieu spécialisé</w:t>
      </w:r>
    </w:p>
    <w:p>
      <w:pPr>
        <w:pStyle w:val="ListBullet"/>
      </w:pPr>
      <w:r/>
      <w:r>
        <w:rPr>
          <w:b/>
        </w:rPr>
        <w:t>Lentilles de contact</w:t>
      </w:r>
      <w:r>
        <w:t xml:space="preserve"> : retirer avant instillation, attendre 15 minutes avant remise</w:t>
      </w:r>
    </w:p>
    <w:p>
      <w:pPr>
        <w:pStyle w:val="ListBullet"/>
      </w:pPr>
      <w:r/>
      <w:r>
        <w:rPr>
          <w:b/>
        </w:rPr>
        <w:t>Durée</w:t>
      </w:r>
      <w:r>
        <w:t xml:space="preserve"> : chronique, à vie. Ne jamais interrompre brutalement sans avis ophtalmologique</w:t>
      </w:r>
    </w:p>
    <w:p>
      <w:pPr>
        <w:pStyle w:val="Heading3"/>
      </w:pPr>
      <w:r>
        <w:t>141.12.9 Formes galéniques et arbitrage</w:t>
      </w:r>
    </w:p>
    <w:p>
      <w:r>
        <w:t>Une seule forme galénique est disponible en Algérie : le collyre en solution à 0,5 % (5 mg/mL), avec conservateur (chlorure de benzalkonium), flacon de 5 mL, conservation 1 mois après ouverture.</w:t>
      </w:r>
    </w:p>
    <w:p>
      <w:pPr>
        <w:pStyle w:val="ListBullet"/>
      </w:pPr>
      <w:r/>
      <w:r>
        <w:rPr>
          <w:b/>
        </w:rPr>
        <w:t>Avantages</w:t>
      </w:r>
      <w:r>
        <w:t xml:space="preserve"> : coût modéré, alternative respiratoire au timolol</w:t>
      </w:r>
    </w:p>
    <w:p>
      <w:pPr>
        <w:pStyle w:val="ListBullet"/>
      </w:pPr>
      <w:r/>
      <w:r>
        <w:rPr>
          <w:b/>
        </w:rPr>
        <w:t>Inconvénients</w:t>
      </w:r>
      <w:r>
        <w:t xml:space="preserve"> : BAK (toxicité cornéenne long terme, CI lentilles), 2 prises/jour, efficacité légèrement inférieure au timolol</w:t>
      </w:r>
    </w:p>
    <w:p>
      <w:r>
        <w:t>Aucune forme sans conservateur n'est disponible en Algérie. En cas d'intolérance au BAK, se tourner vers le GELTIM LP® (timolol sans conservateur, en gel unidose) ou vers le dorzolamide/brinzolamide si contre-indication absolue au timolol.</w:t>
      </w:r>
    </w:p>
    <w:p>
      <w:pPr>
        <w:pStyle w:val="Heading3"/>
      </w:pPr>
      <w:r>
        <w:t>141.12.10 Instructions et conseils au patient</w:t>
      </w:r>
    </w:p>
    <w:p>
      <w:r>
        <w:t>Les conseils au patient sont identiques à ceux du timolol : technique d'instillation, occlusion naso-lacrymale, hygiène du flacon, oubli de dose, surveillance, signaux d'alerte. Insister particulièrement sur la surveillance respiratoire (essoufflement, sifflements, toux) même si le patient est porteur d'une BPCO modérée — le bétaxolol ne supprime pas totalement le risque de bronchospasme. Préciser que l'efficacité hypotonisante peut être légèrement inférieure à celle du timolol, et qu'une surveillance ophtalmologique rapprochée est nécessaire en début de traitement.</w:t>
      </w:r>
    </w:p>
    <w:p>
      <w:pPr>
        <w:pStyle w:val="Heading3"/>
      </w:pPr>
      <w:r>
        <w:t>141.12.11 Pièges au comptoir</w:t>
      </w:r>
    </w:p>
    <w:p>
      <w:pPr>
        <w:pStyle w:val="ListBullet"/>
      </w:pPr>
      <w:r/>
      <w:r>
        <w:rPr>
          <w:b/>
        </w:rPr>
        <w:t>Asthme = CI absolue</w:t>
      </w:r>
      <w:r>
        <w:t xml:space="preserve"> : ne jamais dispenser sans s'assurer de l'absence d'asthme ; la sélectivité β1 est trompeuse</w:t>
      </w:r>
    </w:p>
    <w:p>
      <w:pPr>
        <w:pStyle w:val="ListBullet"/>
      </w:pPr>
      <w:r/>
      <w:r>
        <w:rPr>
          <w:b/>
        </w:rPr>
        <w:t>Patient BPCO</w:t>
      </w:r>
      <w:r>
        <w:t xml:space="preserve"> : à utiliser avec prudence, surveillance clinique renforcée</w:t>
      </w:r>
    </w:p>
    <w:p>
      <w:pPr>
        <w:pStyle w:val="ListBullet"/>
      </w:pPr>
      <w:r/>
      <w:r>
        <w:rPr>
          <w:b/>
        </w:rPr>
        <w:t>Sujet âgé</w:t>
      </w:r>
      <w:r>
        <w:t xml:space="preserve"> : commencer par 1 prise/jour, surveiller la fréquence cardiaque</w:t>
      </w:r>
    </w:p>
    <w:p>
      <w:pPr>
        <w:pStyle w:val="ListBullet"/>
      </w:pPr>
      <w:r/>
      <w:r>
        <w:rPr>
          <w:b/>
        </w:rPr>
        <w:t>Disponibilité</w:t>
      </w:r>
      <w:r>
        <w:t xml:space="preserve"> : la spécialité BERTOCIL® est parfois en rupture de stock en Algérie — prévoir une alternative (timolol si pas de CI respiratoire)</w:t>
      </w:r>
    </w:p>
    <w:p>
      <w:pPr>
        <w:pStyle w:val="ListBullet"/>
      </w:pPr>
      <w:r/>
      <w:r>
        <w:rPr>
          <w:b/>
        </w:rPr>
        <w:t>Coût</w:t>
      </w:r>
      <w:r>
        <w:t xml:space="preserve"> : supérieur au timolol générique (500-700 DA/mois)</w:t>
      </w:r>
    </w:p>
    <w:p>
      <w:pPr>
        <w:pStyle w:val="ListBullet"/>
      </w:pPr>
      <w:r/>
      <w:r>
        <w:rPr>
          <w:b/>
        </w:rPr>
        <w:t>Bêta-bloquant oral concomitant</w:t>
      </w:r>
      <w:r>
        <w:t xml:space="preserve"> : vérifier les ordonnances</w:t>
      </w:r>
    </w:p>
    <w:p>
      <w:pPr>
        <w:pStyle w:val="ListBullet"/>
      </w:pPr>
      <w:r/>
      <w:r>
        <w:rPr>
          <w:b/>
        </w:rPr>
        <w:t>Confusion avec le timolol</w:t>
      </w:r>
      <w:r>
        <w:t xml:space="preserve"> : ne pas substituer sans avis médical (efficacité et profil de tolérance différents)</w:t>
      </w:r>
    </w:p>
    <w:p>
      <w:pPr>
        <w:pStyle w:val="Heading2"/>
      </w:pPr>
      <w:r>
        <w:t>141.13 DCI : Cartéolol (usage ophtalmique)</w:t>
      </w:r>
    </w:p>
    <w:p>
      <w:pPr>
        <w:pStyle w:val="Heading3"/>
      </w:pPr>
      <w:r>
        <w:t>141.13.1 Catégories thérapeutiques et place dans la stratégie</w:t>
      </w:r>
    </w:p>
    <w:p>
      <w:pPr>
        <w:pStyle w:val="ListBullet"/>
      </w:pPr>
      <w:r/>
      <w:r>
        <w:rPr>
          <w:b/>
        </w:rPr>
        <w:t>Classe ATC</w:t>
      </w:r>
      <w:r>
        <w:t xml:space="preserve"> : S01EB03 (Cartéolol — collyre)</w:t>
      </w:r>
    </w:p>
    <w:p>
      <w:pPr>
        <w:pStyle w:val="ListBullet"/>
      </w:pPr>
      <w:r/>
      <w:r>
        <w:rPr>
          <w:b/>
        </w:rPr>
        <w:t>Sous-classe pharmacologique</w:t>
      </w:r>
      <w:r>
        <w:t xml:space="preserve"> : β-bloquant non cardiosélectif (β1 + β2) avec activité sympathomimétique intrinsèque (ASI ou ISA ≈ 15-25 %), sans pouvoir stabilisant de membrane</w:t>
      </w:r>
    </w:p>
    <w:p>
      <w:pPr>
        <w:pStyle w:val="ListBullet"/>
      </w:pPr>
      <w:r/>
      <w:r>
        <w:rPr>
          <w:b/>
        </w:rPr>
        <w:t>Liste des médicaments</w:t>
      </w:r>
      <w:r>
        <w:t xml:space="preserve"> : Liste I (prescription médicale obligatoire)</w:t>
      </w:r>
    </w:p>
    <w:p>
      <w:pPr>
        <w:pStyle w:val="ListBullet"/>
      </w:pPr>
      <w:r/>
      <w:r>
        <w:rPr>
          <w:b/>
        </w:rPr>
        <w:t>Statut réglementaire Algérie</w:t>
      </w:r>
      <w:r>
        <w:t xml:space="preserve"> : Liste I, commercialisé (CARTEOL® Chauvin, CATEOL LP® HUPP PHARMA)</w:t>
      </w:r>
    </w:p>
    <w:p>
      <w:pPr>
        <w:pStyle w:val="ListBullet"/>
      </w:pPr>
      <w:r/>
      <w:r>
        <w:rPr>
          <w:b/>
        </w:rPr>
        <w:t>Place dans la stratégie</w:t>
      </w:r>
      <w:r>
        <w:t xml:space="preserve"> : Alternative au timolol chez le patient ayant une dyslipidémie ou un diabète déséquilibré (l'ASI limite le masquage des signes d'hypoglycémie et la dysrégulation lipidique). L'avantage clinique est cependant modéré et débattu.</w:t>
      </w:r>
    </w:p>
    <w:p>
      <w:pPr>
        <w:pStyle w:val="ListBullet"/>
      </w:pPr>
      <w:r/>
      <w:r>
        <w:rPr>
          <w:b/>
        </w:rPr>
        <w:t>Grossesse/Allaitement</w:t>
      </w:r>
      <w:r>
        <w:t xml:space="preserve"> : À éviter (même profil que les autres β-bloquants ophtalmiques)</w:t>
      </w:r>
    </w:p>
    <w:p>
      <w:r>
        <w:t>Le cartéolol est commercialisé en France et en Algérie depuis les années 1980. Son originalité tient à l'activité sympathomimétique intrinsèque (ASI), propriété partagée avec le pindolol en cardiologie. Cette propriété se traduit par une stimulation partielle des récepteurs β en même temps que leur blocage, ce qui limite théoriquement : (i) la bradycardie au repos (moindre que le timolol), (ii) la vasoconstriction périphérique (meilleure tolérance du syndrome de Raynaud), (iii) la dysrégulation lipidique (le timolol augmente les triglycérides de 10-15 % et baisse le HDL-cholestérol de 5-10 %, effet moindre avec le cartéolol), (iv) le masquage des signes de l'hypoglycémie. En pratique, ces avantages théoriques se traduisent par un bénéfice clinique modeste, mais le cartéolol peut être préféré chez le patient dyslipidémique ou diabétique.</w:t>
      </w:r>
    </w:p>
    <w:p>
      <w:pPr>
        <w:pStyle w:val="Heading3"/>
      </w:pPr>
      <w:r>
        <w:t>141.13.2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CARTEOL 1 %</w:t>
            </w:r>
          </w:p>
        </w:tc>
        <w:tc>
          <w:tcPr>
            <w:tcW w:type="dxa" w:w="1559"/>
          </w:tcPr>
          <w:p>
            <w:r>
              <w:rPr>
                <w:sz w:val="20"/>
              </w:rPr>
              <w:t>CHAUVIN S.A.</w:t>
            </w:r>
          </w:p>
        </w:tc>
        <w:tc>
          <w:tcPr>
            <w:tcW w:type="dxa" w:w="1559"/>
          </w:tcPr>
          <w:p>
            <w:r>
              <w:rPr>
                <w:sz w:val="20"/>
              </w:rPr>
              <w:t>Collyre en solution — 1 % (10 mg/mL)</w:t>
            </w:r>
          </w:p>
        </w:tc>
        <w:tc>
          <w:tcPr>
            <w:tcW w:type="dxa" w:w="1559"/>
          </w:tcPr>
          <w:p>
            <w:r>
              <w:rPr>
                <w:sz w:val="20"/>
              </w:rPr>
              <w:t>FL/3 mL</w:t>
            </w:r>
          </w:p>
        </w:tc>
        <w:tc>
          <w:tcPr>
            <w:tcW w:type="dxa" w:w="1559"/>
          </w:tcPr>
          <w:p>
            <w:r>
              <w:rPr>
                <w:sz w:val="20"/>
              </w:rPr>
              <w:t>LISTE I</w:t>
            </w:r>
          </w:p>
        </w:tc>
        <w:tc>
          <w:tcPr>
            <w:tcW w:type="dxa" w:w="1559"/>
          </w:tcPr>
          <w:p>
            <w:r>
              <w:rPr>
                <w:sz w:val="20"/>
              </w:rPr>
              <w:t>ACTIF</w:t>
            </w:r>
          </w:p>
        </w:tc>
      </w:tr>
      <w:tr>
        <w:tc>
          <w:tcPr>
            <w:tcW w:type="dxa" w:w="1559"/>
          </w:tcPr>
          <w:p>
            <w:r>
              <w:rPr>
                <w:sz w:val="20"/>
              </w:rPr>
              <w:t>CARTEOL 2 %</w:t>
            </w:r>
          </w:p>
        </w:tc>
        <w:tc>
          <w:tcPr>
            <w:tcW w:type="dxa" w:w="1559"/>
          </w:tcPr>
          <w:p>
            <w:r>
              <w:rPr>
                <w:sz w:val="20"/>
              </w:rPr>
              <w:t>CHAUVIN S.A.</w:t>
            </w:r>
          </w:p>
        </w:tc>
        <w:tc>
          <w:tcPr>
            <w:tcW w:type="dxa" w:w="1559"/>
          </w:tcPr>
          <w:p>
            <w:r>
              <w:rPr>
                <w:sz w:val="20"/>
              </w:rPr>
              <w:t>Collyre en solution — 2 % (20 mg/mL)</w:t>
            </w:r>
          </w:p>
        </w:tc>
        <w:tc>
          <w:tcPr>
            <w:tcW w:type="dxa" w:w="1559"/>
          </w:tcPr>
          <w:p>
            <w:r>
              <w:rPr>
                <w:sz w:val="20"/>
              </w:rPr>
              <w:t>FL/3 mL</w:t>
            </w:r>
          </w:p>
        </w:tc>
        <w:tc>
          <w:tcPr>
            <w:tcW w:type="dxa" w:w="1559"/>
          </w:tcPr>
          <w:p>
            <w:r>
              <w:rPr>
                <w:sz w:val="20"/>
              </w:rPr>
              <w:t>LISTE I</w:t>
            </w:r>
          </w:p>
        </w:tc>
        <w:tc>
          <w:tcPr>
            <w:tcW w:type="dxa" w:w="1559"/>
          </w:tcPr>
          <w:p>
            <w:r>
              <w:rPr>
                <w:sz w:val="20"/>
              </w:rPr>
              <w:t>ACTIF</w:t>
            </w:r>
          </w:p>
        </w:tc>
      </w:tr>
      <w:tr>
        <w:tc>
          <w:tcPr>
            <w:tcW w:type="dxa" w:w="1559"/>
          </w:tcPr>
          <w:p>
            <w:r>
              <w:rPr>
                <w:sz w:val="20"/>
              </w:rPr>
              <w:t>CATEOL LP</w:t>
            </w:r>
          </w:p>
        </w:tc>
        <w:tc>
          <w:tcPr>
            <w:tcW w:type="dxa" w:w="1559"/>
          </w:tcPr>
          <w:p>
            <w:r>
              <w:rPr>
                <w:sz w:val="20"/>
              </w:rPr>
              <w:t>HUPP PHARMA</w:t>
            </w:r>
          </w:p>
        </w:tc>
        <w:tc>
          <w:tcPr>
            <w:tcW w:type="dxa" w:w="1559"/>
          </w:tcPr>
          <w:p>
            <w:r>
              <w:rPr>
                <w:sz w:val="20"/>
              </w:rPr>
              <w:t>Collyre en solution à libération prolongée — 2 %</w:t>
            </w:r>
          </w:p>
        </w:tc>
        <w:tc>
          <w:tcPr>
            <w:tcW w:type="dxa" w:w="1559"/>
          </w:tcPr>
          <w:p>
            <w:r>
              <w:rPr>
                <w:sz w:val="20"/>
              </w:rPr>
              <w:t>Boîte de 1 flacon de 3 mL</w:t>
            </w:r>
          </w:p>
        </w:tc>
        <w:tc>
          <w:tcPr>
            <w:tcW w:type="dxa" w:w="1559"/>
          </w:tcPr>
          <w:p>
            <w:r>
              <w:rPr>
                <w:sz w:val="20"/>
              </w:rPr>
              <w:t>LISTE I</w:t>
            </w:r>
          </w:p>
        </w:tc>
        <w:tc>
          <w:tcPr>
            <w:tcW w:type="dxa" w:w="1559"/>
          </w:tcPr>
          <w:p>
            <w:r>
              <w:rPr>
                <w:sz w:val="20"/>
              </w:rPr>
              <w:t>ACTIF</w:t>
            </w:r>
          </w:p>
        </w:tc>
      </w:tr>
      <w:tr>
        <w:tc>
          <w:tcPr>
            <w:tcW w:type="dxa" w:w="1559"/>
          </w:tcPr>
          <w:p>
            <w:r>
              <w:rPr>
                <w:sz w:val="20"/>
              </w:rPr>
              <w:t>CARPILO (R)</w:t>
            </w:r>
          </w:p>
        </w:tc>
        <w:tc>
          <w:tcPr>
            <w:tcW w:type="dxa" w:w="1559"/>
          </w:tcPr>
          <w:p>
            <w:r>
              <w:rPr>
                <w:sz w:val="20"/>
              </w:rPr>
              <w:t>CHAUVIN</w:t>
            </w:r>
          </w:p>
        </w:tc>
        <w:tc>
          <w:tcPr>
            <w:tcW w:type="dxa" w:w="1559"/>
          </w:tcPr>
          <w:p>
            <w:r>
              <w:rPr>
                <w:sz w:val="20"/>
              </w:rPr>
              <w:t>Collyre (cartéolol 2 % + pilocarpine 2 %)</w:t>
            </w:r>
          </w:p>
        </w:tc>
        <w:tc>
          <w:tcPr>
            <w:tcW w:type="dxa" w:w="1559"/>
          </w:tcPr>
          <w:p>
            <w:r>
              <w:rPr>
                <w:sz w:val="20"/>
              </w:rPr>
              <w:t>FL/3 mL + embout compte-gouttes</w:t>
            </w:r>
          </w:p>
        </w:tc>
        <w:tc>
          <w:tcPr>
            <w:tcW w:type="dxa" w:w="1559"/>
          </w:tcPr>
          <w:p>
            <w:r>
              <w:rPr>
                <w:sz w:val="20"/>
              </w:rPr>
              <w:t>Liste I</w:t>
            </w:r>
          </w:p>
        </w:tc>
        <w:tc>
          <w:tcPr>
            <w:tcW w:type="dxa" w:w="1559"/>
          </w:tcPr>
          <w:p>
            <w:r>
              <w:rPr>
                <w:sz w:val="20"/>
              </w:rPr>
              <w:t>RETRAIT</w:t>
            </w:r>
          </w:p>
        </w:tc>
      </w:tr>
    </w:tbl>
    <w:p/>
    <w:p>
      <w:pPr>
        <w:pStyle w:val="Heading3"/>
      </w:pPr>
      <w:r>
        <w:t>141.13.3 Mécanisme d'action détaillé</w:t>
      </w:r>
    </w:p>
    <w:p>
      <w:r>
        <w:t>Le chlorhydrate de cartéolol est un β-bloquant non cardiosélectif avec activité sympathomimétique intrinsèque (ASI). Au niveau du corps ciliaire, il bloque les récepteurs β1 et β2-adrénergiques comme le timolol, mais sa stimulation partielle intrinsèque (ASI) des récepteurs β (estimée à 15-25 % de l'activité maximale de l'isoprénaline) limite la baisse de l'AMPc intracellulaire et donc la bradycardie sinusale, la vasoconstriction périphérique, et la dysrégulation lipidique. L'efficacité hypotonisante est comparable à celle du timolol (baisse de 6 à 7 mmHg, soit 25-30 % de la PIO initiale).</w:t>
      </w:r>
    </w:p>
    <w:p>
      <w:r>
        <w:t>La pharmacocinétique locale est comparable au timolol : résorption naso-lacrymale 25-50 %, pic plasmatique à 1-2 heures, demi-vie d'élimination 5-6 heures (légèrement supérieure au timolol). Une forme à libération prolongée (CATEOL LP®) autorise une monoprise quotidienne matinale, améliorant l'observance. L'ASI pourrait aussi limiter le rebond hypertensif à l'arrêt brutal (à confirmer en études contrôlées).</w:t>
      </w:r>
    </w:p>
    <w:p>
      <w:pPr>
        <w:pStyle w:val="Heading3"/>
      </w:pPr>
      <w:r>
        <w:t>141.13.4 Profil pharmacologique : indications, contre-indications, effets indésirables</w:t>
      </w:r>
    </w:p>
    <w:p>
      <w:pPr>
        <w:pStyle w:val="Heading4"/>
      </w:pPr>
      <w:r>
        <w:t>Indications</w:t>
      </w:r>
    </w:p>
    <w:p>
      <w:pPr>
        <w:pStyle w:val="ListBullet"/>
      </w:pPr>
      <w:r/>
      <w:r>
        <w:rPr>
          <w:b/>
        </w:rPr>
        <w:t>Glaucome à angle ouvert</w:t>
      </w:r>
      <w:r>
        <w:t xml:space="preserve"> : alternative au timolol, particulièrement chez le patient dyslipidémique ou diabétique</w:t>
      </w:r>
    </w:p>
    <w:p>
      <w:pPr>
        <w:pStyle w:val="ListBullet"/>
      </w:pPr>
      <w:r/>
      <w:r>
        <w:rPr>
          <w:b/>
        </w:rPr>
        <w:t>Hypertonie oculaire isolée</w:t>
      </w:r>
      <w:r/>
    </w:p>
    <w:p>
      <w:pPr>
        <w:pStyle w:val="ListBullet"/>
      </w:pPr>
      <w:r/>
      <w:r>
        <w:rPr>
          <w:b/>
        </w:rPr>
        <w:t>Glaucomes secondaires</w:t>
      </w:r>
      <w:r>
        <w:t xml:space="preserve"> : post-inflammatoires, post-traumatiques</w:t>
      </w:r>
    </w:p>
    <w:p>
      <w:pPr>
        <w:pStyle w:val="ListBullet"/>
      </w:pPr>
      <w:r>
        <w:t>En association avec d'autres hypotonisants</w:t>
      </w:r>
    </w:p>
    <w:p>
      <w:pPr>
        <w:pStyle w:val="Heading4"/>
      </w:pPr>
      <w:r>
        <w:t>Contre-indications</w:t>
      </w:r>
    </w:p>
    <w:p>
      <w:r>
        <w:t>Identiques à celles du timolol (asthme, BPCO sévère, bradycardie, BAV, insuffisance cardiaque décompensée, choc cardiogénique, maladie du sinus, hypersensibilité). L'ASI ne modifie pas les contre-indications respiratoires et cardiovasculaires — le cartéolol reste contre-indiqué chez l'asthmatique.</w:t>
      </w:r>
    </w:p>
    <w:p>
      <w:pPr>
        <w:pStyle w:val="Heading4"/>
      </w:pPr>
      <w:r>
        <w:t>Effets indésirables</w:t>
      </w:r>
    </w:p>
    <w:p>
      <w:pPr>
        <w:pStyle w:val="ListBullet"/>
      </w:pPr>
      <w:r/>
      <w:r>
        <w:rPr>
          <w:b/>
        </w:rPr>
        <w:t>Locaux</w:t>
      </w:r>
      <w:r>
        <w:t xml:space="preserve"> : identiques au timolol (brûlure, sécheresse oculaire, allergie de contact, kératite ponctuée, BAK)</w:t>
      </w:r>
    </w:p>
    <w:p>
      <w:pPr>
        <w:pStyle w:val="ListBullet"/>
      </w:pPr>
      <w:r/>
      <w:r>
        <w:rPr>
          <w:b/>
        </w:rPr>
        <w:t>Systémiques</w:t>
      </w:r>
      <w:r>
        <w:t xml:space="preserve"> : bradycardie sinusale (moindre que le timolol en raison de l'ASI), hypotension, BAV (rare), bronchospasme (identique au timolol), masquage de l'hypoglycémie (moindre), dysfonction sexuelle (moindre), dépression (moindre mais possible)</w:t>
      </w:r>
    </w:p>
    <w:p>
      <w:pPr>
        <w:pStyle w:val="ListBullet"/>
      </w:pPr>
      <w:r/>
      <w:r>
        <w:rPr>
          <w:b/>
        </w:rPr>
        <w:t>Profil lipidique</w:t>
      </w:r>
      <w:r>
        <w:t xml:space="preserve"> : modification moindre que le timolol (le cartéolol n'augmente pas significativement les triglycérides et ne baisse pas le HDL-cholestérol, contrairement au timolol)</w:t>
      </w:r>
    </w:p>
    <w:p>
      <w:pPr>
        <w:pStyle w:val="Heading3"/>
      </w:pPr>
      <w:r>
        <w:t>141.13.5 Prévention et gestion des effets indésirables</w:t>
      </w:r>
    </w:p>
    <w:p>
      <w:r>
        <w:t>La prévention repose sur les mêmes principes que pour le timolol : interrogatoire systématique (asthme, BPCO, bradycardie, insuffisance cardiaque, dépression, diabète), occlusion naso-lacrymale, posologie minimale efficace. Le cartéolol peut être préféré chez le patient dyslipidémique ou ayant une intolérance glucose-lipide. En cas d'effet indésirable systémique (bradycardie, bronchospasme, dépression), le retrait du cartéolol et le relais par une autre classe (prostaglandine, inhibiteur AC topique) sont nécessaires.</w:t>
      </w:r>
    </w:p>
    <w:p>
      <w:pPr>
        <w:pStyle w:val="Heading3"/>
      </w:pPr>
      <w:r>
        <w:t>141.13.6 Interactions médicamenteuses</w:t>
      </w:r>
    </w:p>
    <w:p>
      <w:r>
        <w:t>Identiques à celles du timolol. Le cartéolol est métabolisé par le CYP2D6 hépatique, ce qui expose aux interactions avec les inhibiteurs de cette enzyme (paroxétine, fluoxétine, duloxétine, bupropion, cinacalet). Les associations avec les β-bloquants oraux, les inhibiteurs calciques bradycardisants (vérapamil, diltiazem), l'amiodarone, les digitaliques, l'insuline, les sulfamides, et les antidépresseurs imipraminiques nécessitent une surveillance.</w:t>
      </w:r>
    </w:p>
    <w:p>
      <w:pPr>
        <w:pStyle w:val="Heading3"/>
      </w:pPr>
      <w:r>
        <w:t>141.13.7 Grossesse et allaitement (CRAT)</w:t>
      </w:r>
    </w:p>
    <w:p>
      <w:pPr>
        <w:pStyle w:val="ListBullet"/>
      </w:pPr>
      <w:r/>
      <w:r>
        <w:rPr>
          <w:b/>
        </w:rPr>
        <w:t>Grossesse</w:t>
      </w:r>
      <w:r>
        <w:t xml:space="preserve"> : Le cartéolol traverse le placenta ; données humaines limitées. Utilisation déconseillée au 2ᵉ et 3ᵉ trimestre (bradycardie fœtale, hypoglycémie néonatale). En cas de nécessité, surveillance du rythme cardiaque fœtal.</w:t>
      </w:r>
    </w:p>
    <w:p>
      <w:pPr>
        <w:pStyle w:val="ListBullet"/>
      </w:pPr>
      <w:r/>
      <w:r>
        <w:rPr>
          <w:b/>
        </w:rPr>
        <w:t>Allaitement</w:t>
      </w:r>
      <w:r>
        <w:t xml:space="preserve"> : Le cartéolol passe dans le lait maternel (rapport lait/plasma ≈ 3-5). Surveillance du nourrisson. En cas de traitement maternel, l'allaitement est possible en surveillant.</w:t>
      </w:r>
    </w:p>
    <w:p>
      <w:pPr>
        <w:pStyle w:val="Heading3"/>
      </w:pPr>
      <w:r>
        <w:t>141.13.8 Posologie</w:t>
      </w:r>
    </w:p>
    <w:p>
      <w:pPr>
        <w:pStyle w:val="ListBullet"/>
      </w:pPr>
      <w:r/>
      <w:r>
        <w:rPr>
          <w:b/>
        </w:rPr>
        <w:t>Adulte</w:t>
      </w:r>
      <w:r>
        <w:t xml:space="preserve"> : 1 goutte de cartéolol 1 % ou 2 % dans l'œil atteint, 2 fois par jour (matin et soir)</w:t>
      </w:r>
    </w:p>
    <w:p>
      <w:pPr>
        <w:pStyle w:val="ListBullet"/>
      </w:pPr>
      <w:r/>
      <w:r>
        <w:rPr>
          <w:b/>
        </w:rPr>
        <w:t>Forme LP (CATEOL LP®)</w:t>
      </w:r>
      <w:r>
        <w:t xml:space="preserve"> : 1 goutte de 2 % dans l'œil atteint, 1 fois par jour le matin</w:t>
      </w:r>
    </w:p>
    <w:p>
      <w:pPr>
        <w:pStyle w:val="ListBullet"/>
      </w:pPr>
      <w:r/>
      <w:r>
        <w:rPr>
          <w:b/>
        </w:rPr>
        <w:t>Sujet âgé</w:t>
      </w:r>
      <w:r>
        <w:t xml:space="preserve"> : commencer par 1 % × 1/jour</w:t>
      </w:r>
    </w:p>
    <w:p>
      <w:pPr>
        <w:pStyle w:val="ListBullet"/>
      </w:pPr>
      <w:r/>
      <w:r>
        <w:rPr>
          <w:b/>
        </w:rPr>
        <w:t>Insuffisant hépatique sévère</w:t>
      </w:r>
      <w:r>
        <w:t xml:space="preserve"> : 1 % × 1/jour</w:t>
      </w:r>
    </w:p>
    <w:p>
      <w:pPr>
        <w:pStyle w:val="ListBullet"/>
      </w:pPr>
      <w:r/>
      <w:r>
        <w:rPr>
          <w:b/>
        </w:rPr>
        <w:t>Enfant</w:t>
      </w:r>
      <w:r>
        <w:t xml:space="preserve"> : hors AMM, en milieu spécialisé</w:t>
      </w:r>
    </w:p>
    <w:p>
      <w:pPr>
        <w:pStyle w:val="ListBullet"/>
      </w:pPr>
      <w:r/>
      <w:r>
        <w:rPr>
          <w:b/>
        </w:rPr>
        <w:t>Lentilles de contact</w:t>
      </w:r>
      <w:r>
        <w:t xml:space="preserve"> : retirer avant instillation, attendre 15 minutes avant remise</w:t>
      </w:r>
    </w:p>
    <w:p>
      <w:pPr>
        <w:pStyle w:val="Heading3"/>
      </w:pPr>
      <w:r>
        <w:t>141.13.9 Formes galéniques et arbitrage</w:t>
      </w:r>
    </w:p>
    <w:p>
      <w:r>
        <w:t>Trois formes disponibles en Algérie :</w:t>
      </w:r>
    </w:p>
    <w:p>
      <w:pPr>
        <w:pStyle w:val="ListNumber"/>
      </w:pPr>
      <w:r/>
      <w:r>
        <w:rPr>
          <w:b/>
        </w:rPr>
        <w:t>Collyre CARTEOL 1 %</w:t>
      </w:r>
      <w:r>
        <w:t xml:space="preserve"> (flacon 3 mL, BAK) : forme standard, posologie 2 fois/jour</w:t>
      </w:r>
    </w:p>
    <w:p>
      <w:pPr>
        <w:pStyle w:val="ListNumber"/>
      </w:pPr>
      <w:r/>
      <w:r>
        <w:rPr>
          <w:b/>
        </w:rPr>
        <w:t>Collyre CARTEOL 2 %</w:t>
      </w:r>
      <w:r>
        <w:t xml:space="preserve"> (flacon 3 mL, BAK) : forme standard plus concentrée, posologie 2 fois/jour</w:t>
      </w:r>
    </w:p>
    <w:p>
      <w:pPr>
        <w:pStyle w:val="ListNumber"/>
      </w:pPr>
      <w:r/>
      <w:r>
        <w:rPr>
          <w:b/>
        </w:rPr>
        <w:t>Collyre CATEOL LP 2 %</w:t>
      </w:r>
      <w:r>
        <w:t xml:space="preserve"> (flacon 3 mL, libération prolongée) : monoprise quotidienne matinale, observance améliorée</w:t>
      </w:r>
    </w:p>
    <w:p>
      <w:r>
        <w:t>Aucune forme sans conservateur n'est disponible en Algérie pour le cartéolol. En cas d'intolérance au BAK, se tourner vers le GELTIM LP® (timolol sans conservateur en gel unidose) ou vers le dorzolamide/brinzolamide si CI.</w:t>
      </w:r>
    </w:p>
    <w:p>
      <w:r>
        <w:t>L'ancienne spécialité CARPILO® (cartéolol 2 % + pilocarpine 2 %, association fixe) est retirée du marché algérien.</w:t>
      </w:r>
    </w:p>
    <w:p>
      <w:pPr>
        <w:pStyle w:val="Heading3"/>
      </w:pPr>
      <w:r>
        <w:t>141.13.10 Instructions et conseils au patient</w:t>
      </w:r>
    </w:p>
    <w:p>
      <w:r>
        <w:t>Conseils identiques à ceux du timolol : technique d'instillation, occlusion naso-lacrymale, hygiène du flacon, oubli de dose, surveillance, signaux d'alerte. Insister sur la surveillance respiratoire et cardiaque, et préciser que l'ASI ne modifie pas les contre-indications respiratoires. Préciser que la forme LP (CATEOL LP®) permet une monoprise matinale, facilitant l'observance.</w:t>
      </w:r>
    </w:p>
    <w:p>
      <w:pPr>
        <w:pStyle w:val="Heading3"/>
      </w:pPr>
      <w:r>
        <w:t>141.13.11 Pièges au comptoir</w:t>
      </w:r>
    </w:p>
    <w:p>
      <w:pPr>
        <w:pStyle w:val="ListBullet"/>
      </w:pPr>
      <w:r/>
      <w:r>
        <w:rPr>
          <w:b/>
        </w:rPr>
        <w:t>Asthme = CI absolue</w:t>
      </w:r>
      <w:r>
        <w:t xml:space="preserve"> : l'ASI ne protège pas du bronchospasme</w:t>
      </w:r>
    </w:p>
    <w:p>
      <w:pPr>
        <w:pStyle w:val="ListBullet"/>
      </w:pPr>
      <w:r/>
      <w:r>
        <w:rPr>
          <w:b/>
        </w:rPr>
        <w:t>Patient dyslipidémique</w:t>
      </w:r>
      <w:r>
        <w:t xml:space="preserve"> : le cartéolol est une alternative raisonnable au timolol</w:t>
      </w:r>
    </w:p>
    <w:p>
      <w:pPr>
        <w:pStyle w:val="ListBullet"/>
      </w:pPr>
      <w:r/>
      <w:r>
        <w:rPr>
          <w:b/>
        </w:rPr>
        <w:t>Forme LP</w:t>
      </w:r>
      <w:r>
        <w:t xml:space="preserve"> : ne pas confondre CATEOL LP (1 prise/jour) avec CARTEOL standard (2 prises/jour)</w:t>
      </w:r>
    </w:p>
    <w:p>
      <w:pPr>
        <w:pStyle w:val="ListBullet"/>
      </w:pPr>
      <w:r/>
      <w:r>
        <w:rPr>
          <w:b/>
        </w:rPr>
        <w:t>Coût</w:t>
      </w:r>
      <w:r>
        <w:t xml:space="preserve"> : comparable au timolol princeps (400-600 DA/mois)</w:t>
      </w:r>
    </w:p>
    <w:p>
      <w:pPr>
        <w:pStyle w:val="ListBullet"/>
      </w:pPr>
      <w:r/>
      <w:r>
        <w:rPr>
          <w:b/>
        </w:rPr>
        <w:t>Disponibilité</w:t>
      </w:r>
      <w:r>
        <w:t xml:space="preserve"> : CARTEOL® est parfois en rupture de stock en Algérie — prévoir une alternative (timolol si pas de CI, ou GELTIM LP® si besoin de forme sans conservateur)</w:t>
      </w:r>
    </w:p>
    <w:p>
      <w:pPr>
        <w:pStyle w:val="ListBullet"/>
      </w:pPr>
      <w:r/>
      <w:r>
        <w:rPr>
          <w:b/>
        </w:rPr>
        <w:t>Bêta-bloquant oral concomitant</w:t>
      </w:r>
      <w:r>
        <w:t xml:space="preserve"> : vérifier les ordonnances</w:t>
      </w:r>
    </w:p>
    <w:p>
      <w:pPr>
        <w:pStyle w:val="Heading2"/>
      </w:pPr>
      <w:r>
        <w:t>141.14 DCI : Latanoprost</w:t>
      </w:r>
    </w:p>
    <w:p>
      <w:pPr>
        <w:pStyle w:val="Heading3"/>
      </w:pPr>
      <w:r>
        <w:t>141.14.1 Catégories thérapeutiques et place dans la stratégie</w:t>
      </w:r>
    </w:p>
    <w:p>
      <w:pPr>
        <w:pStyle w:val="ListBullet"/>
      </w:pPr>
      <w:r/>
      <w:r>
        <w:rPr>
          <w:b/>
        </w:rPr>
        <w:t>Classe ATC</w:t>
      </w:r>
      <w:r>
        <w:t xml:space="preserve"> : S01EE01 (Latanoprost — collyre)</w:t>
      </w:r>
    </w:p>
    <w:p>
      <w:pPr>
        <w:pStyle w:val="ListBullet"/>
      </w:pPr>
      <w:r/>
      <w:r>
        <w:rPr>
          <w:b/>
        </w:rPr>
        <w:t>Sous-classe pharmacologique</w:t>
      </w:r>
      <w:r>
        <w:t xml:space="preserve"> : Analogue de la prostaglandine F2α (PGF2α), isopropyl ester, prodrogue</w:t>
      </w:r>
    </w:p>
    <w:p>
      <w:pPr>
        <w:pStyle w:val="ListBullet"/>
      </w:pPr>
      <w:r/>
      <w:r>
        <w:rPr>
          <w:b/>
        </w:rPr>
        <w:t>Liste des médicaments</w:t>
      </w:r>
      <w:r>
        <w:t xml:space="preserve"> : Liste I (prescription médicale obligatoire)</w:t>
      </w:r>
    </w:p>
    <w:p>
      <w:pPr>
        <w:pStyle w:val="ListBullet"/>
      </w:pPr>
      <w:r/>
      <w:r>
        <w:rPr>
          <w:b/>
        </w:rPr>
        <w:t>Statut réglementaire Algérie</w:t>
      </w:r>
      <w:r>
        <w:t xml:space="preserve"> : Liste I, commercialisé (XALATAN® princeps Pharmacias SAS + 9 génériques)</w:t>
      </w:r>
    </w:p>
    <w:p>
      <w:pPr>
        <w:pStyle w:val="ListBullet"/>
      </w:pPr>
      <w:r/>
      <w:r>
        <w:rPr>
          <w:b/>
        </w:rPr>
        <w:t>Place dans la stratégie</w:t>
      </w:r>
      <w:r>
        <w:t xml:space="preserve"> (EGS 2023, AAO PPP 2020) : </w:t>
      </w:r>
      <w:r>
        <w:rPr>
          <w:b/>
        </w:rPr>
        <w:t>Première intention du glaucome à angle ouvert</w:t>
      </w:r>
      <w:r>
        <w:t xml:space="preserve"> (sauf CI), en raison de son efficacité supérieure aux β-bloquants (baisse de 8 à 10 mmHg, soit 30-35 % de la PIO initiale), de sa monoprise quotidienne vespérale, et de son profil d'effets indésirables locaux plutôt que systémiques</w:t>
      </w:r>
    </w:p>
    <w:p>
      <w:pPr>
        <w:pStyle w:val="ListBullet"/>
      </w:pPr>
      <w:r/>
      <w:r>
        <w:rPr>
          <w:b/>
        </w:rPr>
        <w:t>Index thérapeutique</w:t>
      </w:r>
      <w:r>
        <w:t xml:space="preserve"> : Large (effets systémiques rares)</w:t>
      </w:r>
    </w:p>
    <w:p>
      <w:pPr>
        <w:pStyle w:val="ListBullet"/>
      </w:pPr>
      <w:r/>
      <w:r>
        <w:rPr>
          <w:b/>
        </w:rPr>
        <w:t>Grossesse/Allaitement</w:t>
      </w:r>
      <w:r>
        <w:t xml:space="preserve"> : À éviter par prudence (CI relative)</w:t>
      </w:r>
    </w:p>
    <w:p>
      <w:r>
        <w:t>Le latanoprost, commercialisé mondialement depuis 1996 (Xalatan® Pharmacia &amp; Upjohn, devenu Pfizer), a révolutionné le traitement médical du glaucome à angle ouvert. Sa supériorité sur le timolol (baisse pressionnelle moyenne supérieure de 1 à 3 mmHg, monoprise quotidienne, absence d'effets systémiques cardiorespiratoires) en a fait la molécule la plus prescrite en première ligne dans les pays occidentaux. En Algérie, le latanoprost princeps (Xalatan®) est disponible depuis les années 2000, accompagné depuis 2015-2020 de plusieurs génériques (BIOLATAN, GLAUSOPT, LATANEKS, LATANOPROST Bausch &amp; Lomb, LATASOPT, LATAZ, MONOPROST, XALAPROST, XALAPROST FREE), facilitant l'accès économique (500-1500 DA/mois selon le générique). Le brevet Pfizer étant tombé, la concurrence des génériques a fait baisser les prix de manière significative.</w:t>
      </w:r>
    </w:p>
    <w:p>
      <w:pPr>
        <w:pStyle w:val="Heading3"/>
      </w:pPr>
      <w:r>
        <w:t>141.14.2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BIOLATAN</w:t>
            </w:r>
          </w:p>
        </w:tc>
        <w:tc>
          <w:tcPr>
            <w:tcW w:type="dxa" w:w="1559"/>
          </w:tcPr>
          <w:p>
            <w:r>
              <w:rPr>
                <w:sz w:val="20"/>
              </w:rPr>
              <w:t>BIOTHERA</w:t>
            </w:r>
          </w:p>
        </w:tc>
        <w:tc>
          <w:tcPr>
            <w:tcW w:type="dxa" w:w="1559"/>
          </w:tcPr>
          <w:p>
            <w:r>
              <w:rPr>
                <w:sz w:val="20"/>
              </w:rPr>
              <w:t>Collyre en solution — 0,005 % (50 µg/mL)</w:t>
            </w:r>
          </w:p>
        </w:tc>
        <w:tc>
          <w:tcPr>
            <w:tcW w:type="dxa" w:w="1559"/>
          </w:tcPr>
          <w:p>
            <w:r>
              <w:rPr>
                <w:sz w:val="20"/>
              </w:rPr>
              <w:t>B/01 FL 2,5 mL</w:t>
            </w:r>
          </w:p>
        </w:tc>
        <w:tc>
          <w:tcPr>
            <w:tcW w:type="dxa" w:w="1559"/>
          </w:tcPr>
          <w:p>
            <w:r>
              <w:rPr>
                <w:sz w:val="20"/>
              </w:rPr>
              <w:t>LISTE I</w:t>
            </w:r>
          </w:p>
        </w:tc>
        <w:tc>
          <w:tcPr>
            <w:tcW w:type="dxa" w:w="1559"/>
          </w:tcPr>
          <w:p>
            <w:r>
              <w:rPr>
                <w:sz w:val="20"/>
              </w:rPr>
              <w:t>ACTIF</w:t>
            </w:r>
          </w:p>
        </w:tc>
      </w:tr>
      <w:tr>
        <w:tc>
          <w:tcPr>
            <w:tcW w:type="dxa" w:w="1559"/>
          </w:tcPr>
          <w:p>
            <w:r>
              <w:rPr>
                <w:sz w:val="20"/>
              </w:rPr>
              <w:t>GLAUSOPT</w:t>
            </w:r>
          </w:p>
        </w:tc>
        <w:tc>
          <w:tcPr>
            <w:tcW w:type="dxa" w:w="1559"/>
          </w:tcPr>
          <w:p>
            <w:r>
              <w:rPr>
                <w:sz w:val="20"/>
              </w:rPr>
              <w:t>INPHA-MEDIS</w:t>
            </w:r>
          </w:p>
        </w:tc>
        <w:tc>
          <w:tcPr>
            <w:tcW w:type="dxa" w:w="1559"/>
          </w:tcPr>
          <w:p>
            <w:r>
              <w:rPr>
                <w:sz w:val="20"/>
              </w:rPr>
              <w:t>Collyre en solution — 0,005 % (50 µg/mL)</w:t>
            </w:r>
          </w:p>
        </w:tc>
        <w:tc>
          <w:tcPr>
            <w:tcW w:type="dxa" w:w="1559"/>
          </w:tcPr>
          <w:p>
            <w:r>
              <w:rPr>
                <w:sz w:val="20"/>
              </w:rPr>
              <w:t>B/01 FL 2,5 mL</w:t>
            </w:r>
          </w:p>
        </w:tc>
        <w:tc>
          <w:tcPr>
            <w:tcW w:type="dxa" w:w="1559"/>
          </w:tcPr>
          <w:p>
            <w:r>
              <w:rPr>
                <w:sz w:val="20"/>
              </w:rPr>
              <w:t>LISTE I</w:t>
            </w:r>
          </w:p>
        </w:tc>
        <w:tc>
          <w:tcPr>
            <w:tcW w:type="dxa" w:w="1559"/>
          </w:tcPr>
          <w:p>
            <w:r>
              <w:rPr>
                <w:sz w:val="20"/>
              </w:rPr>
              <w:t>ACTIF</w:t>
            </w:r>
          </w:p>
        </w:tc>
      </w:tr>
      <w:tr>
        <w:tc>
          <w:tcPr>
            <w:tcW w:type="dxa" w:w="1559"/>
          </w:tcPr>
          <w:p>
            <w:r>
              <w:rPr>
                <w:sz w:val="20"/>
              </w:rPr>
              <w:t>LATANEKS</w:t>
            </w:r>
          </w:p>
        </w:tc>
        <w:tc>
          <w:tcPr>
            <w:tcW w:type="dxa" w:w="1559"/>
          </w:tcPr>
          <w:p>
            <w:r>
              <w:rPr>
                <w:sz w:val="20"/>
              </w:rPr>
              <w:t>DIAMOND PHARMA</w:t>
            </w:r>
          </w:p>
        </w:tc>
        <w:tc>
          <w:tcPr>
            <w:tcW w:type="dxa" w:w="1559"/>
          </w:tcPr>
          <w:p>
            <w:r>
              <w:rPr>
                <w:sz w:val="20"/>
              </w:rPr>
              <w:t>Collyre en solution — 0,005 % (50 µg/mL)</w:t>
            </w:r>
          </w:p>
        </w:tc>
        <w:tc>
          <w:tcPr>
            <w:tcW w:type="dxa" w:w="1559"/>
          </w:tcPr>
          <w:p>
            <w:r>
              <w:rPr>
                <w:sz w:val="20"/>
              </w:rPr>
              <w:t>B/01 FL 2,5 mL</w:t>
            </w:r>
          </w:p>
        </w:tc>
        <w:tc>
          <w:tcPr>
            <w:tcW w:type="dxa" w:w="1559"/>
          </w:tcPr>
          <w:p>
            <w:r>
              <w:rPr>
                <w:sz w:val="20"/>
              </w:rPr>
              <w:t>LISTE I</w:t>
            </w:r>
          </w:p>
        </w:tc>
        <w:tc>
          <w:tcPr>
            <w:tcW w:type="dxa" w:w="1559"/>
          </w:tcPr>
          <w:p>
            <w:r>
              <w:rPr>
                <w:sz w:val="20"/>
              </w:rPr>
              <w:t>ACTIF</w:t>
            </w:r>
          </w:p>
        </w:tc>
      </w:tr>
      <w:tr>
        <w:tc>
          <w:tcPr>
            <w:tcW w:type="dxa" w:w="1559"/>
          </w:tcPr>
          <w:p>
            <w:r>
              <w:rPr>
                <w:sz w:val="20"/>
              </w:rPr>
              <w:t>LATANOPROST</w:t>
            </w:r>
          </w:p>
        </w:tc>
        <w:tc>
          <w:tcPr>
            <w:tcW w:type="dxa" w:w="1559"/>
          </w:tcPr>
          <w:p>
            <w:r>
              <w:rPr>
                <w:sz w:val="20"/>
              </w:rPr>
              <w:t>BAUSCH &amp; LOMB INCORPORATED</w:t>
            </w:r>
          </w:p>
        </w:tc>
        <w:tc>
          <w:tcPr>
            <w:tcW w:type="dxa" w:w="1559"/>
          </w:tcPr>
          <w:p>
            <w:r>
              <w:rPr>
                <w:sz w:val="20"/>
              </w:rPr>
              <w:t>Collyre en solution — 0,005 % (50 µg/mL)</w:t>
            </w:r>
          </w:p>
        </w:tc>
        <w:tc>
          <w:tcPr>
            <w:tcW w:type="dxa" w:w="1559"/>
          </w:tcPr>
          <w:p>
            <w:r>
              <w:rPr>
                <w:sz w:val="20"/>
              </w:rPr>
              <w:t>B/01 FL 2,5 mL</w:t>
            </w:r>
          </w:p>
        </w:tc>
        <w:tc>
          <w:tcPr>
            <w:tcW w:type="dxa" w:w="1559"/>
          </w:tcPr>
          <w:p>
            <w:r>
              <w:rPr>
                <w:sz w:val="20"/>
              </w:rPr>
              <w:t>LISTE I</w:t>
            </w:r>
          </w:p>
        </w:tc>
        <w:tc>
          <w:tcPr>
            <w:tcW w:type="dxa" w:w="1559"/>
          </w:tcPr>
          <w:p>
            <w:r>
              <w:rPr>
                <w:sz w:val="20"/>
              </w:rPr>
              <w:t>ACTIF</w:t>
            </w:r>
          </w:p>
        </w:tc>
      </w:tr>
      <w:tr>
        <w:tc>
          <w:tcPr>
            <w:tcW w:type="dxa" w:w="1559"/>
          </w:tcPr>
          <w:p>
            <w:r>
              <w:rPr>
                <w:sz w:val="20"/>
              </w:rPr>
              <w:t>LATASOPT</w:t>
            </w:r>
          </w:p>
        </w:tc>
        <w:tc>
          <w:tcPr>
            <w:tcW w:type="dxa" w:w="1559"/>
          </w:tcPr>
          <w:p>
            <w:r>
              <w:rPr>
                <w:sz w:val="20"/>
              </w:rPr>
              <w:t>WORLD MEDECINE LIMITED</w:t>
            </w:r>
          </w:p>
        </w:tc>
        <w:tc>
          <w:tcPr>
            <w:tcW w:type="dxa" w:w="1559"/>
          </w:tcPr>
          <w:p>
            <w:r>
              <w:rPr>
                <w:sz w:val="20"/>
              </w:rPr>
              <w:t>Collyre en solution — 0,005 % (50 µg/mL)</w:t>
            </w:r>
          </w:p>
        </w:tc>
        <w:tc>
          <w:tcPr>
            <w:tcW w:type="dxa" w:w="1559"/>
          </w:tcPr>
          <w:p>
            <w:r>
              <w:rPr>
                <w:sz w:val="20"/>
              </w:rPr>
              <w:t>B/01 FL 2,5 mL</w:t>
            </w:r>
          </w:p>
        </w:tc>
        <w:tc>
          <w:tcPr>
            <w:tcW w:type="dxa" w:w="1559"/>
          </w:tcPr>
          <w:p>
            <w:r>
              <w:rPr>
                <w:sz w:val="20"/>
              </w:rPr>
              <w:t>LISTE I</w:t>
            </w:r>
          </w:p>
        </w:tc>
        <w:tc>
          <w:tcPr>
            <w:tcW w:type="dxa" w:w="1559"/>
          </w:tcPr>
          <w:p>
            <w:r>
              <w:rPr>
                <w:sz w:val="20"/>
              </w:rPr>
              <w:t>ACTIF</w:t>
            </w:r>
          </w:p>
        </w:tc>
      </w:tr>
      <w:tr>
        <w:tc>
          <w:tcPr>
            <w:tcW w:type="dxa" w:w="1559"/>
          </w:tcPr>
          <w:p>
            <w:r>
              <w:rPr>
                <w:sz w:val="20"/>
              </w:rPr>
              <w:t>LATAZ</w:t>
            </w:r>
          </w:p>
        </w:tc>
        <w:tc>
          <w:tcPr>
            <w:tcW w:type="dxa" w:w="1559"/>
          </w:tcPr>
          <w:p>
            <w:r>
              <w:rPr>
                <w:sz w:val="20"/>
              </w:rPr>
              <w:t>RAFARM S.A</w:t>
            </w:r>
          </w:p>
        </w:tc>
        <w:tc>
          <w:tcPr>
            <w:tcW w:type="dxa" w:w="1559"/>
          </w:tcPr>
          <w:p>
            <w:r>
              <w:rPr>
                <w:sz w:val="20"/>
              </w:rPr>
              <w:t>Collyre en solution — 0,005 % (50 µg/mL)</w:t>
            </w:r>
          </w:p>
        </w:tc>
        <w:tc>
          <w:tcPr>
            <w:tcW w:type="dxa" w:w="1559"/>
          </w:tcPr>
          <w:p>
            <w:r>
              <w:rPr>
                <w:sz w:val="20"/>
              </w:rPr>
              <w:t>B/01 FL 2,5 mL</w:t>
            </w:r>
          </w:p>
        </w:tc>
        <w:tc>
          <w:tcPr>
            <w:tcW w:type="dxa" w:w="1559"/>
          </w:tcPr>
          <w:p>
            <w:r>
              <w:rPr>
                <w:sz w:val="20"/>
              </w:rPr>
              <w:t>LISTE I</w:t>
            </w:r>
          </w:p>
        </w:tc>
        <w:tc>
          <w:tcPr>
            <w:tcW w:type="dxa" w:w="1559"/>
          </w:tcPr>
          <w:p>
            <w:r>
              <w:rPr>
                <w:sz w:val="20"/>
              </w:rPr>
              <w:t>ACTIF</w:t>
            </w:r>
          </w:p>
        </w:tc>
      </w:tr>
      <w:tr>
        <w:tc>
          <w:tcPr>
            <w:tcW w:type="dxa" w:w="1559"/>
          </w:tcPr>
          <w:p>
            <w:r>
              <w:rPr>
                <w:sz w:val="20"/>
              </w:rPr>
              <w:t>MONOPROST</w:t>
            </w:r>
          </w:p>
        </w:tc>
        <w:tc>
          <w:tcPr>
            <w:tcW w:type="dxa" w:w="1559"/>
          </w:tcPr>
          <w:p>
            <w:r>
              <w:rPr>
                <w:sz w:val="20"/>
              </w:rPr>
              <w:t>THEA</w:t>
            </w:r>
          </w:p>
        </w:tc>
        <w:tc>
          <w:tcPr>
            <w:tcW w:type="dxa" w:w="1559"/>
          </w:tcPr>
          <w:p>
            <w:r>
              <w:rPr>
                <w:sz w:val="20"/>
              </w:rPr>
              <w:t>Collyre en solution — 0,005 % (50 µg/mL)</w:t>
            </w:r>
          </w:p>
        </w:tc>
        <w:tc>
          <w:tcPr>
            <w:tcW w:type="dxa" w:w="1559"/>
          </w:tcPr>
          <w:p>
            <w:r>
              <w:rPr>
                <w:sz w:val="20"/>
              </w:rPr>
              <w:t>B/01 FL 2,5 mL</w:t>
            </w:r>
          </w:p>
        </w:tc>
        <w:tc>
          <w:tcPr>
            <w:tcW w:type="dxa" w:w="1559"/>
          </w:tcPr>
          <w:p>
            <w:r>
              <w:rPr>
                <w:sz w:val="20"/>
              </w:rPr>
              <w:t>LISTE I</w:t>
            </w:r>
          </w:p>
        </w:tc>
        <w:tc>
          <w:tcPr>
            <w:tcW w:type="dxa" w:w="1559"/>
          </w:tcPr>
          <w:p>
            <w:r>
              <w:rPr>
                <w:sz w:val="20"/>
              </w:rPr>
              <w:t>ACTIF</w:t>
            </w:r>
          </w:p>
        </w:tc>
      </w:tr>
      <w:tr>
        <w:tc>
          <w:tcPr>
            <w:tcW w:type="dxa" w:w="1559"/>
          </w:tcPr>
          <w:p>
            <w:r>
              <w:rPr>
                <w:sz w:val="20"/>
              </w:rPr>
              <w:t>XALAPROST</w:t>
            </w:r>
          </w:p>
        </w:tc>
        <w:tc>
          <w:tcPr>
            <w:tcW w:type="dxa" w:w="1559"/>
          </w:tcPr>
          <w:p>
            <w:r>
              <w:rPr>
                <w:sz w:val="20"/>
              </w:rPr>
              <w:t>GENERIC LAB</w:t>
            </w:r>
          </w:p>
        </w:tc>
        <w:tc>
          <w:tcPr>
            <w:tcW w:type="dxa" w:w="1559"/>
          </w:tcPr>
          <w:p>
            <w:r>
              <w:rPr>
                <w:sz w:val="20"/>
              </w:rPr>
              <w:t>Collyre en solution — 0,005 % (50 µg/mL)</w:t>
            </w:r>
          </w:p>
        </w:tc>
        <w:tc>
          <w:tcPr>
            <w:tcW w:type="dxa" w:w="1559"/>
          </w:tcPr>
          <w:p>
            <w:r>
              <w:rPr>
                <w:sz w:val="20"/>
              </w:rPr>
              <w:t>B/01 FL 2,5 mL</w:t>
            </w:r>
          </w:p>
        </w:tc>
        <w:tc>
          <w:tcPr>
            <w:tcW w:type="dxa" w:w="1559"/>
          </w:tcPr>
          <w:p>
            <w:r>
              <w:rPr>
                <w:sz w:val="20"/>
              </w:rPr>
              <w:t>LISTE I</w:t>
            </w:r>
          </w:p>
        </w:tc>
        <w:tc>
          <w:tcPr>
            <w:tcW w:type="dxa" w:w="1559"/>
          </w:tcPr>
          <w:p>
            <w:r>
              <w:rPr>
                <w:sz w:val="20"/>
              </w:rPr>
              <w:t>ACTIF</w:t>
            </w:r>
          </w:p>
        </w:tc>
      </w:tr>
      <w:tr>
        <w:tc>
          <w:tcPr>
            <w:tcW w:type="dxa" w:w="1559"/>
          </w:tcPr>
          <w:p>
            <w:r>
              <w:rPr>
                <w:sz w:val="20"/>
              </w:rPr>
              <w:t>XALAPROST FREE</w:t>
            </w:r>
          </w:p>
        </w:tc>
        <w:tc>
          <w:tcPr>
            <w:tcW w:type="dxa" w:w="1559"/>
          </w:tcPr>
          <w:p>
            <w:r>
              <w:rPr>
                <w:sz w:val="20"/>
              </w:rPr>
              <w:t>GENERIC LAB</w:t>
            </w:r>
          </w:p>
        </w:tc>
        <w:tc>
          <w:tcPr>
            <w:tcW w:type="dxa" w:w="1559"/>
          </w:tcPr>
          <w:p>
            <w:r>
              <w:rPr>
                <w:sz w:val="20"/>
              </w:rPr>
              <w:t>Collyre en solution — 0,005 % (50 µg/mL)</w:t>
            </w:r>
          </w:p>
        </w:tc>
        <w:tc>
          <w:tcPr>
            <w:tcW w:type="dxa" w:w="1559"/>
          </w:tcPr>
          <w:p>
            <w:r>
              <w:rPr>
                <w:sz w:val="20"/>
              </w:rPr>
              <w:t>B/01 FL 2,5 mL</w:t>
            </w:r>
          </w:p>
        </w:tc>
        <w:tc>
          <w:tcPr>
            <w:tcW w:type="dxa" w:w="1559"/>
          </w:tcPr>
          <w:p>
            <w:r>
              <w:rPr>
                <w:sz w:val="20"/>
              </w:rPr>
              <w:t>LISTE I</w:t>
            </w:r>
          </w:p>
        </w:tc>
        <w:tc>
          <w:tcPr>
            <w:tcW w:type="dxa" w:w="1559"/>
          </w:tcPr>
          <w:p>
            <w:r>
              <w:rPr>
                <w:sz w:val="20"/>
              </w:rPr>
              <w:t>ACTIF</w:t>
            </w:r>
          </w:p>
        </w:tc>
      </w:tr>
      <w:tr>
        <w:tc>
          <w:tcPr>
            <w:tcW w:type="dxa" w:w="1559"/>
          </w:tcPr>
          <w:p>
            <w:r>
              <w:rPr>
                <w:sz w:val="20"/>
              </w:rPr>
              <w:t>XALATAN</w:t>
            </w:r>
          </w:p>
        </w:tc>
        <w:tc>
          <w:tcPr>
            <w:tcW w:type="dxa" w:w="1559"/>
          </w:tcPr>
          <w:p>
            <w:r>
              <w:rPr>
                <w:sz w:val="20"/>
              </w:rPr>
              <w:t>PHARMACIA S.A.S</w:t>
            </w:r>
          </w:p>
        </w:tc>
        <w:tc>
          <w:tcPr>
            <w:tcW w:type="dxa" w:w="1559"/>
          </w:tcPr>
          <w:p>
            <w:r>
              <w:rPr>
                <w:sz w:val="20"/>
              </w:rPr>
              <w:t>Collyre en solution — 0,005 % (50 µg/mL)</w:t>
            </w:r>
          </w:p>
        </w:tc>
        <w:tc>
          <w:tcPr>
            <w:tcW w:type="dxa" w:w="1559"/>
          </w:tcPr>
          <w:p>
            <w:r>
              <w:rPr>
                <w:sz w:val="20"/>
              </w:rPr>
              <w:t>B/01 FL 2,5 mL</w:t>
            </w:r>
          </w:p>
        </w:tc>
        <w:tc>
          <w:tcPr>
            <w:tcW w:type="dxa" w:w="1559"/>
          </w:tcPr>
          <w:p>
            <w:r>
              <w:rPr>
                <w:sz w:val="20"/>
              </w:rPr>
              <w:t>LISTE I</w:t>
            </w:r>
          </w:p>
        </w:tc>
        <w:tc>
          <w:tcPr>
            <w:tcW w:type="dxa" w:w="1559"/>
          </w:tcPr>
          <w:p>
            <w:r>
              <w:rPr>
                <w:sz w:val="20"/>
              </w:rPr>
              <w:t>ACTIF</w:t>
            </w:r>
          </w:p>
        </w:tc>
      </w:tr>
    </w:tbl>
    <w:p/>
    <w:p>
      <w:r>
        <w:t>À noter : l'association fixe latanoprost + timolol est également disponible en Algérie (XALACOM® Pfizer, LATADUO® Biothera), détaillée dans la fiche Timolol (associations).</w:t>
      </w:r>
    </w:p>
    <w:p>
      <w:pPr>
        <w:pStyle w:val="Heading3"/>
      </w:pPr>
      <w:r>
        <w:t>141.14.3 Mécanisme d'action détaillé</w:t>
      </w:r>
    </w:p>
    <w:p>
      <w:r>
        <w:t>Le latanoprost est un isopropyl ester de la prostaglandine F2α, utilisé comme prodrogue. Après instillation oculaire, l'ester est hydrolysé par les estérases cornéennes en acide libre de latanoprost, qui est la forme active. Celle-ci se lie aux récepteurs FP (prostanoïdes FP, couplés à la protéine Gq) du muscle ciliaire, déclenchant une cascade de signalisation : activation de la phospholipase C (PLC) → production d'IP3 et de DAG → libération de calcium intracellulaire → activation des métalloprotéinases matricielles (MMP-1, MMP-2, MMP-3, MMP-9) → remaniement de la matrice extracellulaire du muscle ciliaire et des espaces interstitiels entre les faisceaux de muscle ciliaire.</w:t>
      </w:r>
    </w:p>
    <w:p>
      <w:r>
        <w:t xml:space="preserve">Ce remodelage matriciel entraîne une </w:t>
      </w:r>
      <w:r>
        <w:rPr>
          <w:b/>
        </w:rPr>
        <w:t>augmentation de la voie uvéo-sclérale d'élimination de l'humeur aqueuse</w:t>
      </w:r>
      <w:r>
        <w:t xml:space="preserve"> (jusqu'à +50-100 % du débit uvéo-scléral), sans modification significative de la voie trabéculaire ni de la production d'humeur aqueuse. La baisse de la PIO est progressive (début à 3-4 heures, pic à 8-12 heures, plateau à 3-4 semaines) et stable à long terme sans phénomène d'échappement. L'amplitude de la baisse pressionnelle est de 8 à 10 mmHg (30-35 % de la PIO initiale), soit supérieure de 1 à 3 mmHg au timolol en moyenne.</w:t>
      </w:r>
    </w:p>
    <w:p>
      <w:r>
        <w:t>La pharmacocinétique locale est caractéristique : la prodrogue pénètre la cornée (lipophile), y est hydrolysée en acide libre (hydrophile), puis diffuse vers le muscle ciliaire. La concentration intraoculaire maximale est atteinte à 2-3 heures. La demi-vie d'élimination locale est de 3-4 heures, justifiant une monoprise quotidienne vespérale (le rythme circadian naturel de la PIO étant plus élevé le matin, l'instillation vespérale permet une couverture optimale sur 24 heures). La résorption systémique est faible (&lt; 1 % de la dose instillée) et le passage hépatique transforme l'acide libre en métabolites inactifs (β-oxydation), éliminés par voie rénale. Aucune accumulation systémique n'est observée à long terme.</w:t>
      </w:r>
    </w:p>
    <w:p>
      <w:pPr>
        <w:pStyle w:val="Heading3"/>
      </w:pPr>
      <w:r>
        <w:t>141.14.4 Profil pharmacologique : indications, contre-indications, effets indésirables</w:t>
      </w:r>
    </w:p>
    <w:p>
      <w:pPr>
        <w:pStyle w:val="Heading4"/>
      </w:pPr>
      <w:r>
        <w:t>Indications</w:t>
      </w:r>
    </w:p>
    <w:p>
      <w:pPr>
        <w:pStyle w:val="ListBullet"/>
      </w:pPr>
      <w:r/>
      <w:r>
        <w:rPr>
          <w:b/>
        </w:rPr>
        <w:t>Glaucome à angle ouvert (GPAO)</w:t>
      </w:r>
      <w:r>
        <w:t xml:space="preserve"> : traitement de première ligne en cas d'absence de CI, chez l'adulte (y compris sujet âgé)</w:t>
      </w:r>
    </w:p>
    <w:p>
      <w:pPr>
        <w:pStyle w:val="ListBullet"/>
      </w:pPr>
      <w:r/>
      <w:r>
        <w:rPr>
          <w:b/>
        </w:rPr>
        <w:t>Hypertonie oculaire isolée</w:t>
      </w:r>
      <w:r>
        <w:t xml:space="preserve"> : PIO &gt; 21 mmHg sans neuropathie glaucomateuse, en cas de facteurs de risque (corsairee familial, myopie forte, âge)</w:t>
      </w:r>
    </w:p>
    <w:p>
      <w:pPr>
        <w:pStyle w:val="ListBullet"/>
      </w:pPr>
      <w:r/>
      <w:r>
        <w:rPr>
          <w:b/>
        </w:rPr>
        <w:t>Glaucome à pression normale</w:t>
      </w:r>
      <w:r>
        <w:t xml:space="preserve"> (efficacité démontrée)</w:t>
      </w:r>
    </w:p>
    <w:p>
      <w:pPr>
        <w:pStyle w:val="ListBullet"/>
      </w:pPr>
      <w:r/>
      <w:r>
        <w:rPr>
          <w:b/>
        </w:rPr>
        <w:t>Glaucomes secondaires</w:t>
      </w:r>
      <w:r>
        <w:t xml:space="preserve"> : post-inflammatoires, post-traumatiques, pseudoexfoliatif, pigmentaire</w:t>
      </w:r>
    </w:p>
    <w:p>
      <w:pPr>
        <w:pStyle w:val="ListBullet"/>
      </w:pPr>
      <w:r/>
      <w:r>
        <w:rPr>
          <w:b/>
        </w:rPr>
        <w:t>Glaucome pédiatrique</w:t>
      </w:r>
      <w:r>
        <w:t xml:space="preserve"> (en milieu spécialisé, &gt; 1 an) : AMM européenne étendue à l'enfant</w:t>
      </w:r>
    </w:p>
    <w:p>
      <w:pPr>
        <w:pStyle w:val="ListBullet"/>
      </w:pPr>
      <w:r>
        <w:t>En association avec β-bloquants ou inhibiteurs de l'AC topiques en cas d'insuffisance d'efficacité d'une monothérapie</w:t>
      </w:r>
    </w:p>
    <w:p>
      <w:pPr>
        <w:pStyle w:val="Heading4"/>
      </w:pPr>
      <w:r>
        <w:t>Contre-indications</w:t>
      </w:r>
    </w:p>
    <w:p>
      <w:pPr>
        <w:pStyle w:val="ListBullet"/>
      </w:pPr>
      <w:r/>
      <w:r>
        <w:rPr>
          <w:b/>
        </w:rPr>
        <w:t>Contre-indications absolues</w:t>
      </w:r>
      <w:r>
        <w:t xml:space="preserve"> :</w:t>
      </w:r>
    </w:p>
    <w:p>
      <w:pPr>
        <w:pStyle w:val="ListBullet"/>
      </w:pPr>
      <w:r>
        <w:t>Hypersensibilité à la substance active ou à l'un des excipients (chlorure de benzalkonium, phosphate, etc.)</w:t>
      </w:r>
    </w:p>
    <w:p>
      <w:pPr>
        <w:pStyle w:val="ListBullet"/>
      </w:pPr>
      <w:r>
        <w:t>Patientes enceintes ou envisageant une grossesse (risque théorique d'effet utérotonique des prostaglandines — bien que la résorption systémique soit très faible, le principe de précaution s'applique)</w:t>
      </w:r>
    </w:p>
    <w:p>
      <w:pPr>
        <w:pStyle w:val="ListBullet"/>
      </w:pPr>
      <w:r>
        <w:t>Enfant &lt; 1 an (efficacité et tolérance non établies)</w:t>
      </w:r>
    </w:p>
    <w:p>
      <w:pPr>
        <w:pStyle w:val="ListBullet"/>
      </w:pPr>
      <w:r/>
      <w:r>
        <w:rPr>
          <w:b/>
        </w:rPr>
        <w:t>Contre-indications relatives / Précautions d'emploi</w:t>
      </w:r>
      <w:r>
        <w:t xml:space="preserve"> :</w:t>
      </w:r>
    </w:p>
    <w:p>
      <w:pPr>
        <w:pStyle w:val="ListBullet"/>
      </w:pPr>
      <w:r>
        <w:t>Antécédent de kyste maculaire œdémateux, pseudophakie avec rupture capsulaire (risque d'œdème maculaire cystoïde)</w:t>
      </w:r>
    </w:p>
    <w:p>
      <w:pPr>
        <w:pStyle w:val="ListBullet"/>
      </w:pPr>
      <w:r>
        <w:t>Chirurgie de la cataracte récente (arrêt transitoire 2-4 semaines pré-opératoires en cas de pseudophakie avec rupture capsulaire prévisible)</w:t>
      </w:r>
    </w:p>
    <w:p>
      <w:pPr>
        <w:pStyle w:val="ListBullet"/>
      </w:pPr>
      <w:r>
        <w:t>Inflammation intraoculaire (uvéite, iritis) — risque d'aggravation</w:t>
      </w:r>
    </w:p>
    <w:p>
      <w:pPr>
        <w:pStyle w:val="ListBullet"/>
      </w:pPr>
      <w:r>
        <w:t>Asthme (en pratique, peu de signal, mais prudence — l'EGS recommande la prudence chez l'asthmatique sévère, le latanoprost n'est pas CI absolue comme le timolol)</w:t>
      </w:r>
    </w:p>
    <w:p>
      <w:pPr>
        <w:pStyle w:val="ListBullet"/>
      </w:pPr>
      <w:r>
        <w:t>Port de lentilles de contact (le BAK se fixe sur les lentilles souples — retirer avant instillation, attendre 15 minutes)</w:t>
      </w:r>
    </w:p>
    <w:p>
      <w:pPr>
        <w:pStyle w:val="Heading4"/>
      </w:pPr>
      <w:r>
        <w:t>Effets indésirables</w:t>
      </w:r>
    </w:p>
    <w:p>
      <w:r/>
      <w:r>
        <w:rPr>
          <w:b/>
        </w:rPr>
        <w:t>Locaux ophtalmiques</w:t>
      </w:r>
      <w:r>
        <w:t xml:space="preserve"> (très fréquents et caractéristiques de la classe) :</w:t>
      </w:r>
    </w:p>
    <w:p>
      <w:pPr>
        <w:pStyle w:val="ListBullet"/>
      </w:pPr>
      <w:r/>
      <w:r>
        <w:rPr>
          <w:b/>
        </w:rPr>
        <w:t>Hyperémie conjonctivale</w:t>
      </w:r>
      <w:r>
        <w:t xml:space="preserve"> (10-20 %, surtout en début de traitement, régresse en 4-6 semaines sans nécessité d'arrêt)</w:t>
      </w:r>
    </w:p>
    <w:p>
      <w:pPr>
        <w:pStyle w:val="ListBullet"/>
      </w:pPr>
      <w:r/>
      <w:r>
        <w:rPr>
          <w:b/>
        </w:rPr>
        <w:t>Modification de la pigmentation irienne</w:t>
      </w:r>
      <w:r>
        <w:t xml:space="preserve"> (5-15 % à 1 an, 30-50 % à 5 ans) : augmentation de la mélanogenèse dans les mélanocytes du stroma antérieur de l'iris, surtout chez les sujets iris mixtes vert-brun, brun-ambré — </w:t>
      </w:r>
      <w:r>
        <w:rPr>
          <w:b/>
        </w:rPr>
        <w:t>IRRÉVERSIBLE</w:t>
      </w:r>
      <w:r>
        <w:t xml:space="preserve"> ; pas d'effet sur l'iris uniformément bleu, gris, vert ou brun foncé</w:t>
      </w:r>
    </w:p>
    <w:p>
      <w:pPr>
        <w:pStyle w:val="ListBullet"/>
      </w:pPr>
      <w:r/>
      <w:r>
        <w:rPr>
          <w:b/>
        </w:rPr>
        <w:t>Allongement, épaississement, hyperpigmentation des cils</w:t>
      </w:r>
      <w:r>
        <w:t xml:space="preserve"> (hypertrichose, 30-50 %) — effet de classe, réversible à l'arrêt en 4-8 semaines</w:t>
      </w:r>
    </w:p>
    <w:p>
      <w:pPr>
        <w:pStyle w:val="ListBullet"/>
      </w:pPr>
      <w:r/>
      <w:r>
        <w:rPr>
          <w:b/>
        </w:rPr>
        <w:t>Pigmentation périorbitaire</w:t>
      </w:r>
      <w:r>
        <w:t xml:space="preserve"> (peau des paupières supérieures) — réversible à l'arrêt</w:t>
      </w:r>
    </w:p>
    <w:p>
      <w:pPr>
        <w:pStyle w:val="ListBullet"/>
      </w:pPr>
      <w:r/>
      <w:r>
        <w:rPr>
          <w:b/>
        </w:rPr>
        <w:t>Cils ectopiques et distichiasis</w:t>
      </w:r>
      <w:r>
        <w:t xml:space="preserve"> (rare, croissances anormales)</w:t>
      </w:r>
    </w:p>
    <w:p>
      <w:pPr>
        <w:pStyle w:val="ListBullet"/>
      </w:pPr>
      <w:r/>
      <w:r>
        <w:rPr>
          <w:b/>
        </w:rPr>
        <w:t>Sécheresse oculaire, brûlure, prurit, corps étranger</w:t>
      </w:r>
      <w:r>
        <w:t xml:space="preserve"> (5-15 %)</w:t>
      </w:r>
    </w:p>
    <w:p>
      <w:pPr>
        <w:pStyle w:val="ListBullet"/>
      </w:pPr>
      <w:r/>
      <w:r>
        <w:rPr>
          <w:b/>
        </w:rPr>
        <w:t>Conjonctivite allergique tardive</w:t>
      </w:r>
      <w:r>
        <w:t xml:space="preserve"> (1-5 %)</w:t>
      </w:r>
    </w:p>
    <w:p>
      <w:pPr>
        <w:pStyle w:val="ListBullet"/>
      </w:pPr>
      <w:r/>
      <w:r>
        <w:rPr>
          <w:b/>
        </w:rPr>
        <w:t>Kératite ponctuée superficielle</w:t>
      </w:r>
      <w:r>
        <w:t xml:space="preserve"> (5-10 %, BAK)</w:t>
      </w:r>
    </w:p>
    <w:p>
      <w:pPr>
        <w:pStyle w:val="ListBullet"/>
      </w:pPr>
      <w:r/>
      <w:r>
        <w:rPr>
          <w:b/>
        </w:rPr>
        <w:t>Blépharite, dermatite de contact palpébrale</w:t>
      </w:r>
      <w:r>
        <w:t xml:space="preserve"> (1-3 %)</w:t>
      </w:r>
    </w:p>
    <w:p>
      <w:pPr>
        <w:pStyle w:val="ListBullet"/>
      </w:pPr>
      <w:r/>
      <w:r>
        <w:rPr>
          <w:b/>
        </w:rPr>
        <w:t>Œdème maculaire cystoïde</w:t>
      </w:r>
      <w:r>
        <w:t xml:space="preserve"> (rare &lt; 1 %, surtout chez le pseudophake avec rupture capsulaire, ou l'aphake)</w:t>
      </w:r>
    </w:p>
    <w:p>
      <w:pPr>
        <w:pStyle w:val="ListBullet"/>
      </w:pPr>
      <w:r/>
      <w:r>
        <w:rPr>
          <w:b/>
        </w:rPr>
        <w:t>Iritis, uvéite antérieure</w:t>
      </w:r>
      <w:r>
        <w:t xml:space="preserve"> (rare)</w:t>
      </w:r>
    </w:p>
    <w:p>
      <w:pPr>
        <w:pStyle w:val="ListBullet"/>
      </w:pPr>
      <w:r/>
      <w:r>
        <w:rPr>
          <w:b/>
        </w:rPr>
        <w:t>Kyste irien</w:t>
      </w:r>
      <w:r>
        <w:t xml:space="preserve"> (exceptionnel)</w:t>
      </w:r>
    </w:p>
    <w:p>
      <w:pPr>
        <w:pStyle w:val="ListBullet"/>
      </w:pPr>
      <w:r/>
      <w:r>
        <w:rPr>
          <w:b/>
        </w:rPr>
        <w:t>Herpès oculaire réactivé</w:t>
      </w:r>
      <w:r>
        <w:t xml:space="preserve"> (cas rapportés, précaution si antécédent)</w:t>
      </w:r>
    </w:p>
    <w:p>
      <w:r/>
      <w:r>
        <w:rPr>
          <w:b/>
        </w:rPr>
        <w:t>Systémiques</w:t>
      </w:r>
      <w:r>
        <w:t xml:space="preserve"> (rares) :</w:t>
      </w:r>
    </w:p>
    <w:p>
      <w:pPr>
        <w:pStyle w:val="ListBullet"/>
      </w:pPr>
      <w:r>
        <w:t>Céphalées (1-3 %)</w:t>
      </w:r>
    </w:p>
    <w:p>
      <w:pPr>
        <w:pStyle w:val="ListBullet"/>
      </w:pPr>
      <w:r>
        <w:t>Arthralgies, myalgies (1-2 %, signal de pharmacovigilance)</w:t>
      </w:r>
    </w:p>
    <w:p>
      <w:pPr>
        <w:pStyle w:val="ListBullet"/>
      </w:pPr>
      <w:r>
        <w:t>Rash cutané (1-2 %)</w:t>
      </w:r>
    </w:p>
    <w:p>
      <w:pPr>
        <w:pStyle w:val="ListBullet"/>
      </w:pPr>
      <w:r>
        <w:t>Asthénie, vertiges (&lt; 1 %)</w:t>
      </w:r>
    </w:p>
    <w:p>
      <w:pPr>
        <w:pStyle w:val="ListBullet"/>
      </w:pPr>
      <w:r>
        <w:t>Augmentation transitoire des enzymes hépatiques (exceptionnel)</w:t>
      </w:r>
    </w:p>
    <w:p>
      <w:pPr>
        <w:pStyle w:val="Heading3"/>
      </w:pPr>
      <w:r>
        <w:t>141.14.5 Prévention et gestion des effets indésirables</w:t>
      </w:r>
    </w:p>
    <w:p>
      <w:r>
        <w:t>La prévention des effets indésirables du latanoprost repose sur :</w:t>
      </w:r>
    </w:p>
    <w:p>
      <w:pPr>
        <w:pStyle w:val="ListNumber"/>
      </w:pPr>
      <w:r/>
      <w:r>
        <w:rPr>
          <w:b/>
        </w:rPr>
        <w:t>Information éclairée du patient</w:t>
      </w:r>
      <w:r>
        <w:t xml:space="preserve"> : avant l'initiation, informer clairement le patient des effets locaux caractéristiques (hyperhémie initiale transitoire, modification de la pigmentation irienne — </w:t>
      </w:r>
      <w:r>
        <w:rPr>
          <w:b/>
        </w:rPr>
        <w:t>irréversible</w:t>
      </w:r>
      <w:r>
        <w:t xml:space="preserve"> — hypertrichose ciliaire). Cette information est essentielle pour éviter l'arrêt intempestif et les contentieux. Remise d'une fiche d'information.</w:t>
      </w:r>
    </w:p>
    <w:p>
      <w:pPr>
        <w:pStyle w:val="ListNumber"/>
      </w:pPr>
      <w:r/>
      <w:r>
        <w:rPr>
          <w:b/>
        </w:rPr>
        <w:t>Évaluation du terrain</w:t>
      </w:r>
      <w:r>
        <w:t xml:space="preserve"> :</w:t>
      </w:r>
    </w:p>
    <w:p>
      <w:pPr>
        <w:pStyle w:val="ListBullet"/>
      </w:pPr>
      <w:r>
        <w:t>Examen à la lampe fente avant initiation : état cornéen, état du cristallin (phakie/pseudophakie), état maculaire (OCT si pseudophake)</w:t>
      </w:r>
    </w:p>
    <w:p>
      <w:pPr>
        <w:pStyle w:val="ListBullet"/>
      </w:pPr>
      <w:r>
        <w:t>Fond d'œil avant initiation (réfraction, papille)</w:t>
      </w:r>
    </w:p>
    <w:p>
      <w:pPr>
        <w:pStyle w:val="ListBullet"/>
      </w:pPr>
      <w:r>
        <w:t>Pas d'examen biologique systématique</w:t>
      </w:r>
    </w:p>
    <w:p>
      <w:pPr>
        <w:pStyle w:val="ListNumber"/>
      </w:pPr>
      <w:r/>
      <w:r>
        <w:rPr>
          <w:b/>
        </w:rPr>
        <w:t>Surveillance ophtalmologique</w:t>
      </w:r>
      <w:r>
        <w:t xml:space="preserve"> :</w:t>
      </w:r>
    </w:p>
    <w:p>
      <w:pPr>
        <w:pStyle w:val="ListBullet"/>
      </w:pPr>
      <w:r>
        <w:t>À 4-6 semaines : tonus, hyperhémie, pigmentation irienne (comparaison avec photo initiale)</w:t>
      </w:r>
    </w:p>
    <w:p>
      <w:pPr>
        <w:pStyle w:val="ListBullet"/>
      </w:pPr>
      <w:r>
        <w:t>À 3 mois puis tous les 6 mois : tonus, champ visuel, OCT papille, fond d'œil</w:t>
      </w:r>
    </w:p>
    <w:p>
      <w:pPr>
        <w:pStyle w:val="ListBullet"/>
      </w:pPr>
      <w:r>
        <w:t>Signaux d'alerte : baisse d'acuité visuelle, scotome, myodésopsie, douleur oculaire, photophobie</w:t>
      </w:r>
    </w:p>
    <w:p>
      <w:pPr>
        <w:pStyle w:val="ListNumber"/>
      </w:pPr>
      <w:r/>
      <w:r>
        <w:rPr>
          <w:b/>
        </w:rPr>
        <w:t>Gestion des effets indésirables locaux</w:t>
      </w:r>
      <w:r>
        <w:t xml:space="preserve"> :</w:t>
      </w:r>
    </w:p>
    <w:p>
      <w:pPr>
        <w:pStyle w:val="ListBullet"/>
      </w:pPr>
      <w:r>
        <w:t>Hyperhémie : ne pas arrêter, régresse spontanément en 4-6 semaines</w:t>
      </w:r>
    </w:p>
    <w:p>
      <w:pPr>
        <w:pStyle w:val="ListBullet"/>
      </w:pPr>
      <w:r>
        <w:t>Sécheresse : substitution lacrymale (larmes artificielles sans conservateur, 4-6 fois/jour)</w:t>
      </w:r>
    </w:p>
    <w:p>
      <w:pPr>
        <w:pStyle w:val="ListBullet"/>
      </w:pPr>
      <w:r>
        <w:t>Allergie de contact : substitution vers une forme sans conservateur (Monoprost® Thea unidoses — disponible en Algérie) ou changement de classe</w:t>
      </w:r>
    </w:p>
    <w:p>
      <w:pPr>
        <w:pStyle w:val="ListBullet"/>
      </w:pPr>
      <w:r>
        <w:t>Hypertrichose : effet attendu, ne pas arrêter (souvent bien vécu par les femmes — effet cosmétique positif)</w:t>
      </w:r>
    </w:p>
    <w:p>
      <w:pPr>
        <w:pStyle w:val="ListBullet"/>
      </w:pPr>
      <w:r>
        <w:t>Pigmentation irienne : irréversible, informer le patient avant initiation</w:t>
      </w:r>
    </w:p>
    <w:p>
      <w:pPr>
        <w:pStyle w:val="ListBullet"/>
      </w:pPr>
      <w:r>
        <w:t>Œdème maculaire : arrêt immédiat, AINS topique ou corticoïde local</w:t>
      </w:r>
    </w:p>
    <w:p>
      <w:pPr>
        <w:pStyle w:val="ListNumber"/>
      </w:pPr>
      <w:r/>
      <w:r>
        <w:rPr>
          <w:b/>
        </w:rPr>
        <w:t>Occlusion naso-lacrymale</w:t>
      </w:r>
      <w:r>
        <w:t xml:space="preserve"> : comme pour tout collyre, recommander l'occlusion naso-lacrymale pendant 1-2 minutes après instillation, surtout chez la femme enceinte (par prudence).</w:t>
      </w:r>
    </w:p>
    <w:p>
      <w:pPr>
        <w:pStyle w:val="Heading3"/>
      </w:pPr>
      <w:r>
        <w:t>141.14.6 Interactions médicamenteuses</w:t>
      </w:r>
    </w:p>
    <w:p>
      <w:pPr>
        <w:pStyle w:val="ListBullet"/>
      </w:pPr>
      <w:r/>
      <w:r>
        <w:rPr>
          <w:b/>
        </w:rPr>
        <w:t>Associations physiquement incompatibles au niveau du flacon</w:t>
      </w:r>
      <w:r>
        <w:t xml:space="preserve"> (précipitation) : pas de mélange dans le même flacon</w:t>
      </w:r>
    </w:p>
    <w:p>
      <w:pPr>
        <w:pStyle w:val="ListBullet"/>
      </w:pPr>
      <w:r/>
      <w:r>
        <w:rPr>
          <w:b/>
        </w:rPr>
        <w:t>Associations à espacer dans le temps</w:t>
      </w:r>
      <w:r>
        <w:t xml:space="preserve"> : tout collyre instillé dans le même œil doit l'être à au moins 5 minutes d'intervalle (pour éviter le lavage du premier par le second)</w:t>
      </w:r>
    </w:p>
    <w:p>
      <w:pPr>
        <w:pStyle w:val="ListBullet"/>
      </w:pPr>
      <w:r/>
      <w:r>
        <w:rPr>
          <w:b/>
        </w:rPr>
        <w:t>Associations avec effet additif hypotonisant</w:t>
      </w:r>
      <w:r>
        <w:t xml:space="preserve"> :</w:t>
      </w:r>
    </w:p>
    <w:p>
      <w:pPr>
        <w:pStyle w:val="ListBullet"/>
      </w:pPr>
      <w:r>
        <w:t>Timolol (bithérapie) : effet additif synergique — association fixe disponible (Xalacom®, LATADUO)</w:t>
      </w:r>
    </w:p>
    <w:p>
      <w:pPr>
        <w:pStyle w:val="ListBullet"/>
      </w:pPr>
      <w:r>
        <w:t>Dorzolamide, brinzolamide : effet additif modeste</w:t>
      </w:r>
    </w:p>
    <w:p>
      <w:pPr>
        <w:pStyle w:val="ListBullet"/>
      </w:pPr>
      <w:r>
        <w:t>Pilocarpine : effet additif possible mais en pratique peu utilisé en raison du profil de tolérance</w:t>
      </w:r>
    </w:p>
    <w:p>
      <w:pPr>
        <w:pStyle w:val="ListBullet"/>
      </w:pPr>
      <w:r/>
      <w:r>
        <w:rPr>
          <w:b/>
        </w:rPr>
        <w:t>Interférence pharmacocinétique</w:t>
      </w:r>
      <w:r>
        <w:t xml:space="preserve"> : pas d'interaction systémique notable en raison de la très faible résorption et de la métabolisation hépatique rapide</w:t>
      </w:r>
    </w:p>
    <w:p>
      <w:pPr>
        <w:pStyle w:val="ListBullet"/>
      </w:pPr>
      <w:r/>
      <w:r>
        <w:rPr>
          <w:b/>
        </w:rPr>
        <w:t>Thérapeutiques anti-VEGF intravitréennes</w:t>
      </w:r>
      <w:r>
        <w:t xml:space="preserve"> (ranibizumab, aflibercept, bevacizumab) : pas d'interaction décrite, mais surveillance ophtalmologique renforcée</w:t>
      </w:r>
    </w:p>
    <w:p>
      <w:pPr>
        <w:pStyle w:val="Heading3"/>
      </w:pPr>
      <w:r>
        <w:t>141.14.7 Grossesse et allaitement (CRAT)</w:t>
      </w:r>
    </w:p>
    <w:p>
      <w:pPr>
        <w:pStyle w:val="ListBullet"/>
      </w:pPr>
      <w:r/>
      <w:r>
        <w:rPr>
          <w:b/>
        </w:rPr>
        <w:t>Grossesse</w:t>
      </w:r>
      <w:r>
        <w:t xml:space="preserve"> :</w:t>
      </w:r>
    </w:p>
    <w:p>
      <w:pPr>
        <w:pStyle w:val="ListBullet"/>
      </w:pPr>
      <w:r>
        <w:t>Les prostaglandines sont connues pour leur effet utéro-tonique (utilisé en gynéco-obstétrique pour le déclenchement du travail, IVG médicamenteuse)</w:t>
      </w:r>
    </w:p>
    <w:p>
      <w:pPr>
        <w:pStyle w:val="ListBullet"/>
      </w:pPr>
      <w:r>
        <w:t>La résorption systémique du latanoprost collyre est extrêmement faible (&lt; 1 %), mais le principe de précaution s'applique</w:t>
      </w:r>
    </w:p>
    <w:p>
      <w:pPr>
        <w:pStyle w:val="ListBullet"/>
      </w:pPr>
      <w:r/>
      <w:r>
        <w:rPr>
          <w:b/>
        </w:rPr>
        <w:t>Données animales</w:t>
      </w:r>
      <w:r>
        <w:t xml:space="preserve"> : tératogénicité, embryotoxicité, et avortement observés à doses supra-thérapeutiques chez l'animal</w:t>
      </w:r>
    </w:p>
    <w:p>
      <w:pPr>
        <w:pStyle w:val="ListBullet"/>
      </w:pPr>
      <w:r/>
      <w:r>
        <w:rPr>
          <w:b/>
        </w:rPr>
        <w:t>Données humaines</w:t>
      </w:r>
      <w:r>
        <w:t xml:space="preserve"> : cas isolés rapportés (1ᵉʳ trimestre principalement) sans malformation majeure décrite, mais données limitées</w:t>
      </w:r>
    </w:p>
    <w:p>
      <w:pPr>
        <w:pStyle w:val="ListBullet"/>
      </w:pPr>
      <w:r/>
      <w:r>
        <w:rPr>
          <w:b/>
        </w:rPr>
        <w:t>Recommandation CRAT</w:t>
      </w:r>
      <w:r>
        <w:t xml:space="preserve"> : </w:t>
      </w:r>
      <w:r>
        <w:rPr>
          <w:b/>
        </w:rPr>
        <w:t>À éviter pendant la grossesse</w:t>
      </w:r>
      <w:r>
        <w:t xml:space="preserve"> ; si traitement indispensable (glaucome menaçant la vision), discuter cas par cas avec l'ophtalmologiste et le gynécologue-obstétricien ; privilégier un β-bloquant cardiosélectif (bétaxolol) en début de grossesse, ou la dorzolamide</w:t>
      </w:r>
    </w:p>
    <w:p>
      <w:pPr>
        <w:pStyle w:val="ListBullet"/>
      </w:pPr>
      <w:r>
        <w:t>Chez la femme en âge de procréer : contraception efficace recommandée pendant le traitement</w:t>
      </w:r>
    </w:p>
    <w:p>
      <w:pPr>
        <w:pStyle w:val="ListBullet"/>
      </w:pPr>
      <w:r>
        <w:t>En cas de désir de grossesse : arrêt du latanoprost 1 mois avant la conception</w:t>
      </w:r>
    </w:p>
    <w:p>
      <w:pPr>
        <w:pStyle w:val="ListBullet"/>
      </w:pPr>
      <w:r/>
      <w:r>
        <w:rPr>
          <w:b/>
        </w:rPr>
        <w:t>Allaitement</w:t>
      </w:r>
      <w:r>
        <w:t xml:space="preserve"> :</w:t>
      </w:r>
    </w:p>
    <w:p>
      <w:pPr>
        <w:pStyle w:val="ListBullet"/>
      </w:pPr>
      <w:r>
        <w:t>Le latanoprost passe dans le lait maternel (données animales)</w:t>
      </w:r>
    </w:p>
    <w:p>
      <w:pPr>
        <w:pStyle w:val="ListBullet"/>
      </w:pPr>
      <w:r>
        <w:t>Aucune donnée humaine disponible</w:t>
      </w:r>
    </w:p>
    <w:p>
      <w:pPr>
        <w:pStyle w:val="ListBullet"/>
      </w:pPr>
      <w:r/>
      <w:r>
        <w:rPr>
          <w:b/>
        </w:rPr>
        <w:t>Recommandation CRAT</w:t>
      </w:r>
      <w:r>
        <w:t xml:space="preserve"> : </w:t>
      </w:r>
      <w:r>
        <w:rPr>
          <w:b/>
        </w:rPr>
        <w:t>À éviter pendant l'allaitement</w:t>
      </w:r>
      <w:r>
        <w:t xml:space="preserve"> par prudence ; si traitement indispensable, suspendre l'allaitement</w:t>
      </w:r>
    </w:p>
    <w:p>
      <w:pPr>
        <w:pStyle w:val="ListBullet"/>
      </w:pPr>
      <w:r>
        <w:t>En cas de poursuite du latanoprost, surveiller le nourrisson (troubles digestifs, somnolence)</w:t>
      </w:r>
    </w:p>
    <w:p>
      <w:pPr>
        <w:pStyle w:val="Heading3"/>
      </w:pPr>
      <w:r>
        <w:t>141.14.8 Posologie</w:t>
      </w:r>
    </w:p>
    <w:p>
      <w:pPr>
        <w:pStyle w:val="ListBullet"/>
      </w:pPr>
      <w:r/>
      <w:r>
        <w:rPr>
          <w:b/>
        </w:rPr>
        <w:t>Adulte</w:t>
      </w:r>
      <w:r>
        <w:t xml:space="preserve"> : 1 goutte de latanoprost 0,005 % (50 µg/mL) dans l'œil atteint, </w:t>
      </w:r>
      <w:r>
        <w:rPr>
          <w:b/>
        </w:rPr>
        <w:t>1 fois par jour le soir</w:t>
      </w:r>
      <w:r>
        <w:t xml:space="preserve"> (à heure fixe, idéalement entre 19h et 22h)</w:t>
      </w:r>
    </w:p>
    <w:p>
      <w:pPr>
        <w:pStyle w:val="ListBullet"/>
      </w:pPr>
      <w:r/>
      <w:r>
        <w:rPr>
          <w:b/>
        </w:rPr>
        <w:t>Pourquoi le soir ?</w:t>
      </w:r>
      <w:r>
        <w:t xml:space="preserve"> Le rythme circadien naturel de la PIO est maximal le matin (4h-8h) et minimal la nuit (22h-2h). L'instillation vespérale permet une couverture optimale sur 24 heures avec un pic d'efficacité pendant les heures de plus haute PIO</w:t>
      </w:r>
    </w:p>
    <w:p>
      <w:pPr>
        <w:pStyle w:val="ListBullet"/>
      </w:pPr>
      <w:r/>
      <w:r>
        <w:rPr>
          <w:b/>
        </w:rPr>
        <w:t>Ne pas dépasser 1 prise par jour</w:t>
      </w:r>
      <w:r>
        <w:t xml:space="preserve"> : l'efficacité n'est pas augmentée et la fréquence des effets indésirables locaux (hyperhémie) augmente</w:t>
      </w:r>
    </w:p>
    <w:p>
      <w:pPr>
        <w:pStyle w:val="ListBullet"/>
      </w:pPr>
      <w:r/>
      <w:r>
        <w:rPr>
          <w:b/>
        </w:rPr>
        <w:t>Oubli de dose</w:t>
      </w:r>
      <w:r>
        <w:t xml:space="preserve"> : si moins de 12 heures se sont écoulées depuis l'heure habituelle, instiller la dose oubliée ; si plus de 12 heures, sauter la dose et reprendre le lendemain soir à l'heure normale ; ne jamais doubler la dose</w:t>
      </w:r>
    </w:p>
    <w:p>
      <w:pPr>
        <w:pStyle w:val="ListBullet"/>
      </w:pPr>
      <w:r/>
      <w:r>
        <w:rPr>
          <w:b/>
        </w:rPr>
        <w:t>Sujet âgé</w:t>
      </w:r>
      <w:r>
        <w:t xml:space="preserve"> : pas d'adaptation posologique</w:t>
      </w:r>
    </w:p>
    <w:p>
      <w:pPr>
        <w:pStyle w:val="ListBullet"/>
      </w:pPr>
      <w:r/>
      <w:r>
        <w:rPr>
          <w:b/>
        </w:rPr>
        <w:t>Insuffisant hépatique ou rénal</w:t>
      </w:r>
      <w:r>
        <w:t xml:space="preserve"> : pas d'adaptation posologique</w:t>
      </w:r>
    </w:p>
    <w:p>
      <w:pPr>
        <w:pStyle w:val="ListBullet"/>
      </w:pPr>
      <w:r/>
      <w:r>
        <w:rPr>
          <w:b/>
        </w:rPr>
        <w:t>Enfant &gt; 1 an</w:t>
      </w:r>
      <w:r>
        <w:t xml:space="preserve"> : 1 goutte 0,005 % × 1/jour le soir (en milieu spécialisé)</w:t>
      </w:r>
    </w:p>
    <w:p>
      <w:pPr>
        <w:pStyle w:val="ListBullet"/>
      </w:pPr>
      <w:r/>
      <w:r>
        <w:rPr>
          <w:b/>
        </w:rPr>
        <w:t>Lentilles de contact</w:t>
      </w:r>
      <w:r>
        <w:t xml:space="preserve"> : retirer avant instillation, attendre 15 minutes avant remise (BAK)</w:t>
      </w:r>
    </w:p>
    <w:p>
      <w:pPr>
        <w:pStyle w:val="ListBullet"/>
      </w:pPr>
      <w:r/>
      <w:r>
        <w:rPr>
          <w:b/>
        </w:rPr>
        <w:t>Durée</w:t>
      </w:r>
      <w:r>
        <w:t xml:space="preserve"> : chronique, à vie</w:t>
      </w:r>
    </w:p>
    <w:p>
      <w:pPr>
        <w:pStyle w:val="Heading3"/>
      </w:pPr>
      <w:r>
        <w:t>141.14.9 Formes galéniques et arbitrage</w:t>
      </w:r>
    </w:p>
    <w:p>
      <w:r>
        <w:t>Le latanoprost est disponible en Algérie en deux présentations :</w:t>
      </w:r>
    </w:p>
    <w:p>
      <w:pPr>
        <w:pStyle w:val="ListNumber"/>
      </w:pPr>
      <w:r/>
      <w:r>
        <w:rPr>
          <w:b/>
        </w:rPr>
        <w:t>Flacon compte-gouttes multidose 2,5 mL avec conservateur (BAK)</w:t>
      </w:r>
      <w:r>
        <w:t xml:space="preserve"> :</w:t>
      </w:r>
    </w:p>
    <w:p>
      <w:pPr>
        <w:pStyle w:val="ListBullet"/>
      </w:pPr>
      <w:r>
        <w:t>Toutes les spécialités sauf Monoprost®</w:t>
      </w:r>
    </w:p>
    <w:p>
      <w:pPr>
        <w:pStyle w:val="ListBullet"/>
      </w:pPr>
      <w:r>
        <w:t>Conservation : 1 mois après ouverture (≤ 25 °C, à l'abri de la lumière)</w:t>
      </w:r>
    </w:p>
    <w:p>
      <w:pPr>
        <w:pStyle w:val="ListBullet"/>
      </w:pPr>
      <w:r>
        <w:t>BAK 0,2 mg/mL : toxicité cornéenne épithéliale en usage prolongé, contre-indiqué en cas de port de lentilles, syndrome sec sévère, kératite préexistante</w:t>
      </w:r>
    </w:p>
    <w:p>
      <w:pPr>
        <w:pStyle w:val="ListBullet"/>
      </w:pPr>
      <w:r>
        <w:t>Coût : 500-1500 DA/mois selon le générique</w:t>
      </w:r>
    </w:p>
    <w:p>
      <w:pPr>
        <w:pStyle w:val="ListNumber"/>
      </w:pPr>
      <w:r/>
      <w:r>
        <w:rPr>
          <w:b/>
        </w:rPr>
        <w:t>Unidoses sans conservateur (Monoprost® Thea)</w:t>
      </w:r>
      <w:r>
        <w:t xml:space="preserve"> :</w:t>
      </w:r>
    </w:p>
    <w:p>
      <w:pPr>
        <w:pStyle w:val="ListBullet"/>
      </w:pPr>
      <w:r>
        <w:t>30 unidoses de 0,3 mL par boîte</w:t>
      </w:r>
    </w:p>
    <w:p>
      <w:pPr>
        <w:pStyle w:val="ListBullet"/>
      </w:pPr>
      <w:r>
        <w:t>Conservation : chaque unidose est à usage unique (à jeter après emploi) ; boîte fermée : 6 mois après délivrance</w:t>
      </w:r>
    </w:p>
    <w:p>
      <w:pPr>
        <w:pStyle w:val="ListBullet"/>
      </w:pPr>
      <w:r>
        <w:t>Avantage : absence de conservateur — meilleure tolérance cornéenne à long terme, indiqué en cas d'intolérance au BAK, syndrome sec, port de lentilles</w:t>
      </w:r>
    </w:p>
    <w:p>
      <w:pPr>
        <w:pStyle w:val="ListBullet"/>
      </w:pPr>
      <w:r>
        <w:t>Inconvénient : coût supérieur (1200-1800 DA/mois), manipulation des unidoses</w:t>
      </w:r>
    </w:p>
    <w:p>
      <w:pPr>
        <w:pStyle w:val="ListBullet"/>
      </w:pPr>
      <w:r>
        <w:t>Recommandé en cas d'intolérance aux BAK, syndrome sec sévère, port de lentilles, chirurgie intraoculaire récente</w:t>
      </w:r>
    </w:p>
    <w:p>
      <w:r>
        <w:t>L'arbitrage entre princeps (Xalatan®) et génériques (BIOLATAN, GLAUSOPT, LATANEKS, etc.) repose sur des considérations économiques. Le XALAPROST FREE® (Generic Lab) et le MONOPROST® (Thea) sont des formes sans conservateur — à privilégier en cas de syndrome sec ou d'intolérance aux BAK.</w:t>
      </w:r>
    </w:p>
    <w:p>
      <w:pPr>
        <w:pStyle w:val="Heading3"/>
      </w:pPr>
      <w:r>
        <w:t>141.14.10 Instructions et conseils au patient</w:t>
      </w:r>
    </w:p>
    <w:p>
      <w:r/>
      <w:r>
        <w:rPr>
          <w:b/>
        </w:rPr>
        <w:t>Éducation thérapeutique — fiche patient à remettre à la dispensation</w:t>
      </w:r>
      <w:r>
        <w:t xml:space="preserve"> :</w:t>
      </w:r>
    </w:p>
    <w:p>
      <w:pPr>
        <w:pStyle w:val="ListNumber"/>
      </w:pPr>
      <w:r/>
      <w:r>
        <w:rPr>
          <w:b/>
        </w:rPr>
        <w:t>Technique d'instillation</w:t>
      </w:r>
      <w:r>
        <w:t xml:space="preserve"> : identique au timolol (lavage des mains, bascule de la tête, gouttière palpébrale, 1 goutte, occlusion naso-lacrymale 1-2 minutes, essuyage de l'excédent)</w:t>
      </w:r>
    </w:p>
    <w:p>
      <w:pPr>
        <w:pStyle w:val="ListNumber"/>
      </w:pPr>
      <w:r/>
      <w:r>
        <w:rPr>
          <w:b/>
        </w:rPr>
        <w:t>Heure d'instillation</w:t>
      </w:r>
      <w:r>
        <w:t xml:space="preserve"> : </w:t>
      </w:r>
      <w:r>
        <w:rPr>
          <w:b/>
        </w:rPr>
        <w:t>1 fois par jour, le soir, à heure fixe</w:t>
      </w:r>
      <w:r>
        <w:t xml:space="preserve"> (entre 19h et 22h). Ne pas dépasser 1 prise par jour.</w:t>
      </w:r>
    </w:p>
    <w:p>
      <w:pPr>
        <w:pStyle w:val="ListNumber"/>
      </w:pPr>
      <w:r/>
      <w:r>
        <w:rPr>
          <w:b/>
        </w:rPr>
        <w:t>Effets locaux attendus</w:t>
      </w:r>
      <w:r>
        <w:t xml:space="preserve"> :</w:t>
      </w:r>
    </w:p>
    <w:p>
      <w:pPr>
        <w:pStyle w:val="ListBullet"/>
      </w:pPr>
      <w:r>
        <w:t>Rougeur oculaire transitoire les premières semaines (10-15 % des patients) — ne pas arrêter, signe que le produit agit</w:t>
      </w:r>
    </w:p>
    <w:p>
      <w:pPr>
        <w:pStyle w:val="ListBullet"/>
      </w:pPr>
      <w:r>
        <w:t>Allongement et épaississement des cils (effet de classe) — généralement bien vécu, surtout chez la femme</w:t>
      </w:r>
    </w:p>
    <w:p>
      <w:pPr>
        <w:pStyle w:val="ListBullet"/>
      </w:pPr>
      <w:r/>
      <w:r>
        <w:rPr>
          <w:b/>
        </w:rPr>
        <w:t>Modification possible et irréversible de la couleur de l'iris</w:t>
      </w:r>
      <w:r>
        <w:t xml:space="preserve"> — surtout chez les sujets iris mixtes (vert-brun, brun-ambré) ; informer le patient et prendre une photo de l'iris avant traitement pour surveillance</w:t>
      </w:r>
    </w:p>
    <w:p>
      <w:pPr>
        <w:pStyle w:val="ListNumber"/>
      </w:pPr>
      <w:r/>
      <w:r>
        <w:rPr>
          <w:b/>
        </w:rPr>
        <w:t>Surveillance</w:t>
      </w:r>
      <w:r>
        <w:t xml:space="preserve"> : consultation ophtalmologique à 4-6 semaines (efficacité, hyperhémie, pigmentation), puis tous les 6 mois. Signaux d'alerte : baisse d'acuité visuelle, douleur oculaire, photophobie, myodésopsie, scintillements.</w:t>
      </w:r>
    </w:p>
    <w:p>
      <w:pPr>
        <w:pStyle w:val="ListNumber"/>
      </w:pPr>
      <w:r/>
      <w:r>
        <w:rPr>
          <w:b/>
        </w:rPr>
        <w:t>Oubli de dose</w:t>
      </w:r>
      <w:r>
        <w:t xml:space="preserve"> : si &lt; 12 heures, instiller ; si &gt; 12 heures, sauter la dose et reprendre le lendemain soir.</w:t>
      </w:r>
    </w:p>
    <w:p>
      <w:pPr>
        <w:pStyle w:val="ListNumber"/>
      </w:pPr>
      <w:r/>
      <w:r>
        <w:rPr>
          <w:b/>
        </w:rPr>
        <w:t>Hygiène du flacon</w:t>
      </w:r>
      <w:r>
        <w:t xml:space="preserve"> : inscrire la date d'ouverture sur le flacon avec un feutre ; jeter 1 mois après ouverture ; ne pas toucher l'embout ; conservation ≤ 25 °C.</w:t>
      </w:r>
    </w:p>
    <w:p>
      <w:pPr>
        <w:pStyle w:val="ListNumber"/>
      </w:pPr>
      <w:r/>
      <w:r>
        <w:rPr>
          <w:b/>
        </w:rPr>
        <w:t>Lentilles de contact</w:t>
      </w:r>
      <w:r>
        <w:t xml:space="preserve"> : retirer avant instillation, attendre 15 minutes avant remise.</w:t>
      </w:r>
    </w:p>
    <w:p>
      <w:pPr>
        <w:pStyle w:val="ListNumber"/>
      </w:pPr>
      <w:r/>
      <w:r>
        <w:rPr>
          <w:b/>
        </w:rPr>
        <w:t>Grossesse</w:t>
      </w:r>
      <w:r>
        <w:t xml:space="preserve"> : ne pas utiliser chez la femme enceinte ou envisageant une grossesse ; utiliser une contraception efficace pendant le traitement ; arrêter 1 mois avant un projet de grossesse.</w:t>
      </w:r>
    </w:p>
    <w:p>
      <w:pPr>
        <w:pStyle w:val="ListNumber"/>
      </w:pPr>
      <w:r/>
      <w:r>
        <w:rPr>
          <w:b/>
        </w:rPr>
        <w:t>Ne jamais arrêter brutalement</w:t>
      </w:r>
      <w:r>
        <w:t xml:space="preserve"> : sans avis ophtalmologique (rebond tensionnel oculaire possible).</w:t>
      </w:r>
    </w:p>
    <w:p>
      <w:pPr>
        <w:pStyle w:val="Heading3"/>
      </w:pPr>
      <w:r>
        <w:t>141.14.11 Pièges au comptoir</w:t>
      </w:r>
    </w:p>
    <w:p>
      <w:pPr>
        <w:pStyle w:val="ListBullet"/>
      </w:pPr>
      <w:r/>
      <w:r>
        <w:rPr>
          <w:b/>
        </w:rPr>
        <w:t>Femme en âge de procréer</w:t>
      </w:r>
      <w:r>
        <w:t xml:space="preserve"> : s'assurer d'une contraception efficace avant dispensation ; signaler que le latanoprost est déconseillé en cas de grossesse</w:t>
      </w:r>
    </w:p>
    <w:p>
      <w:pPr>
        <w:pStyle w:val="ListBullet"/>
      </w:pPr>
      <w:r/>
      <w:r>
        <w:rPr>
          <w:b/>
        </w:rPr>
        <w:t>Patient pseudophake ou ayant un antécédent d'œdème maculaire</w:t>
      </w:r>
      <w:r>
        <w:t xml:space="preserve"> : signaler au prescripteur — risque d'œdème maculaire cystoïde</w:t>
      </w:r>
    </w:p>
    <w:p>
      <w:pPr>
        <w:pStyle w:val="ListBullet"/>
      </w:pPr>
      <w:r/>
      <w:r>
        <w:rPr>
          <w:b/>
        </w:rPr>
        <w:t>Patient présentant une hyperhémie au début du traitement</w:t>
      </w:r>
      <w:r>
        <w:t xml:space="preserve"> : rassurer le patient, ne pas arrêter ; si hyperhémie persistante au-delà de 6 semaines, consulter</w:t>
      </w:r>
    </w:p>
    <w:p>
      <w:pPr>
        <w:pStyle w:val="ListBullet"/>
      </w:pPr>
      <w:r/>
      <w:r>
        <w:rPr>
          <w:b/>
        </w:rPr>
        <w:t>Modification de la couleur de l'iris</w:t>
      </w:r>
      <w:r>
        <w:t xml:space="preserve"> : informer le patient avant initiation ; prendre une photo couleur de l'iris à l'initiation</w:t>
      </w:r>
    </w:p>
    <w:p>
      <w:pPr>
        <w:pStyle w:val="ListBullet"/>
      </w:pPr>
      <w:r/>
      <w:r>
        <w:rPr>
          <w:b/>
        </w:rPr>
        <w:t>Confusion entre princeps et génériques</w:t>
      </w:r>
      <w:r>
        <w:t xml:space="preserve"> : le latanoprost princeps (Xalatan®) et les génériques (BIOLATAN, GLAUSOPT, etc.) sont équivalents en termes d'efficacité et de tolérance (études de bioéquivalence) — pas de préférence stricte</w:t>
      </w:r>
    </w:p>
    <w:p>
      <w:pPr>
        <w:pStyle w:val="ListBullet"/>
      </w:pPr>
      <w:r/>
      <w:r>
        <w:rPr>
          <w:b/>
        </w:rPr>
        <w:t>Confusion entre forme multidose avec BAK et unidoses sans BAK</w:t>
      </w:r>
      <w:r>
        <w:t xml:space="preserve"> : Monoprost® (sans BAK) est plus cher mais mieux toléré à long terme — proposer en cas d'intolérance</w:t>
      </w:r>
    </w:p>
    <w:p>
      <w:pPr>
        <w:pStyle w:val="ListBullet"/>
      </w:pPr>
      <w:r/>
      <w:r>
        <w:rPr>
          <w:b/>
        </w:rPr>
        <w:t>Date d'ouverture non inscrite</w:t>
      </w:r>
      <w:r>
        <w:t xml:space="preserve"> : remettre un feutre au patient à la 1ʳᵉ dispensation et lui demander d'inscrire la date sur le flacon — jeter à 1 mois</w:t>
      </w:r>
    </w:p>
    <w:p>
      <w:pPr>
        <w:pStyle w:val="ListBullet"/>
      </w:pPr>
      <w:r/>
      <w:r>
        <w:rPr>
          <w:b/>
        </w:rPr>
        <w:t>Conducteur</w:t>
      </w:r>
      <w:r>
        <w:t xml:space="preserve"> : prévenir d'une possible baisse transitoire de l'acuité visuelle dans les minutes suivant l'instillation ; ne pas conduire dans les 15 minutes</w:t>
      </w:r>
    </w:p>
    <w:p>
      <w:pPr>
        <w:pStyle w:val="ListBullet"/>
      </w:pPr>
      <w:r/>
      <w:r>
        <w:rPr>
          <w:b/>
        </w:rPr>
        <w:t>Patient asthmatique</w:t>
      </w:r>
      <w:r>
        <w:t xml:space="preserve"> : pas de contre-indication absolue (contrairement au timolol), mais prudence chez l'asthmatique sévère</w:t>
      </w:r>
    </w:p>
    <w:p>
      <w:pPr>
        <w:pStyle w:val="ListBullet"/>
      </w:pPr>
      <w:r/>
      <w:r>
        <w:rPr>
          <w:b/>
        </w:rPr>
        <w:t>Coût</w:t>
      </w:r>
      <w:r>
        <w:t xml:space="preserve"> : le latanoprost est plus coûteux que le timolol (500-1800 DA/mois) — à expliquer au patient ; en cas de difficulté financière, génériques disponibles à 500-700 DA/mois</w:t>
      </w:r>
    </w:p>
    <w:p>
      <w:pPr>
        <w:pStyle w:val="ListBullet"/>
      </w:pPr>
      <w:r/>
      <w:r>
        <w:rPr>
          <w:b/>
        </w:rPr>
        <w:t>Patient en bithérapie</w:t>
      </w:r>
      <w:r>
        <w:t xml:space="preserve"> : vérifier que les deux collyres sont instillés à au moins 5 minutes d'intervalle</w:t>
      </w:r>
    </w:p>
    <w:p>
      <w:pPr>
        <w:pStyle w:val="Heading2"/>
      </w:pPr>
      <w:r>
        <w:t>141.15 DCI : Travoprost</w:t>
      </w:r>
    </w:p>
    <w:p>
      <w:pPr>
        <w:pStyle w:val="Heading3"/>
      </w:pPr>
      <w:r>
        <w:t>141.15.1 Catégories thérapeutiques et place dans la stratégie</w:t>
      </w:r>
    </w:p>
    <w:p>
      <w:pPr>
        <w:pStyle w:val="ListBullet"/>
      </w:pPr>
      <w:r/>
      <w:r>
        <w:rPr>
          <w:b/>
        </w:rPr>
        <w:t>Classe ATC</w:t>
      </w:r>
      <w:r>
        <w:t xml:space="preserve"> : S01EE04 (Travoprost — collyre)</w:t>
      </w:r>
    </w:p>
    <w:p>
      <w:pPr>
        <w:pStyle w:val="ListBullet"/>
      </w:pPr>
      <w:r/>
      <w:r>
        <w:rPr>
          <w:b/>
        </w:rPr>
        <w:t>Sous-classe pharmacologique</w:t>
      </w:r>
      <w:r>
        <w:t xml:space="preserve"> : Analogue de la prostaglandine F2α (PGF2α), fluprostenol isopropyl ester, prodrogue</w:t>
      </w:r>
    </w:p>
    <w:p>
      <w:pPr>
        <w:pStyle w:val="ListBullet"/>
      </w:pPr>
      <w:r/>
      <w:r>
        <w:rPr>
          <w:b/>
        </w:rPr>
        <w:t>Liste des médicaments</w:t>
      </w:r>
      <w:r>
        <w:t xml:space="preserve"> : Liste I (prescription médicale obligatoire)</w:t>
      </w:r>
    </w:p>
    <w:p>
      <w:pPr>
        <w:pStyle w:val="ListBullet"/>
      </w:pPr>
      <w:r/>
      <w:r>
        <w:rPr>
          <w:b/>
        </w:rPr>
        <w:t>Statut réglementaire Algérie</w:t>
      </w:r>
      <w:r>
        <w:t xml:space="preserve"> : Liste I, commercialisé (TRAVADIS® Inpha-Medis, TRAVOST® Biothera) ; TRAVATAN® (Alcon) non renouvelé</w:t>
      </w:r>
    </w:p>
    <w:p>
      <w:pPr>
        <w:pStyle w:val="ListBullet"/>
      </w:pPr>
      <w:r/>
      <w:r>
        <w:rPr>
          <w:b/>
        </w:rPr>
        <w:t>Place dans la stratégie</w:t>
      </w:r>
      <w:r>
        <w:t xml:space="preserve"> : Alternative au latanoprost en cas d'intolérance ou d'inefficacité ; efficacité comparable voire légèrement supérieure</w:t>
      </w:r>
    </w:p>
    <w:p>
      <w:pPr>
        <w:pStyle w:val="ListBullet"/>
      </w:pPr>
      <w:r/>
      <w:r>
        <w:rPr>
          <w:b/>
        </w:rPr>
        <w:t>Index thérapeutique</w:t>
      </w:r>
      <w:r>
        <w:t xml:space="preserve"> : Large</w:t>
      </w:r>
    </w:p>
    <w:p>
      <w:pPr>
        <w:pStyle w:val="ListBullet"/>
      </w:pPr>
      <w:r/>
      <w:r>
        <w:rPr>
          <w:b/>
        </w:rPr>
        <w:t>Grossesse/Allaitement</w:t>
      </w:r>
      <w:r>
        <w:t xml:space="preserve"> : À éviter par prudence</w:t>
      </w:r>
    </w:p>
    <w:p>
      <w:r>
        <w:t>Le travoprost, commercialisé depuis 2001 (Travatan® Alcon), appartient à la même classe que le latanoprost (PGF2α analogue). Son profil d'efficacité est comparable (baisse de 8 à 10 mmHg, soit 30-35 % de la PIO initiale), avec un profil de tolérance similaire. Son originalité tient à une activité résiduelle supérieure chez les patients à mélanocytes actifs (efficacité légèrement supérieure chez les sujets à peau noire, population afro-caribéenne), ce qui peut en faire une alternative intéressante dans certaines populations. En Algérie, le princeps Travatan® (Alcon) n'est plus commercialisé (NON_RENOUVELABLE), mais deux génériques sont disponibles : TRAVADIS® (Inpha-Medis) et TRAVOST® (Biothera), à un coût mensuel de 700-1200 DA.</w:t>
      </w:r>
    </w:p>
    <w:p>
      <w:pPr>
        <w:pStyle w:val="Heading3"/>
      </w:pPr>
      <w:r>
        <w:t>141.15.2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TRAVADIS</w:t>
            </w:r>
          </w:p>
        </w:tc>
        <w:tc>
          <w:tcPr>
            <w:tcW w:type="dxa" w:w="1559"/>
          </w:tcPr>
          <w:p>
            <w:r>
              <w:rPr>
                <w:sz w:val="20"/>
              </w:rPr>
              <w:t>INPHA-MEDIS</w:t>
            </w:r>
          </w:p>
        </w:tc>
        <w:tc>
          <w:tcPr>
            <w:tcW w:type="dxa" w:w="1559"/>
          </w:tcPr>
          <w:p>
            <w:r>
              <w:rPr>
                <w:sz w:val="20"/>
              </w:rPr>
              <w:t>Collyre en solution — 40 µg/mL (0,004 %)</w:t>
            </w:r>
          </w:p>
        </w:tc>
        <w:tc>
          <w:tcPr>
            <w:tcW w:type="dxa" w:w="1559"/>
          </w:tcPr>
          <w:p>
            <w:r>
              <w:rPr>
                <w:sz w:val="20"/>
              </w:rPr>
              <w:t>Flacon de 2,5 mL</w:t>
            </w:r>
          </w:p>
        </w:tc>
        <w:tc>
          <w:tcPr>
            <w:tcW w:type="dxa" w:w="1559"/>
          </w:tcPr>
          <w:p>
            <w:r>
              <w:rPr>
                <w:sz w:val="20"/>
              </w:rPr>
              <w:t>LISTE I</w:t>
            </w:r>
          </w:p>
        </w:tc>
        <w:tc>
          <w:tcPr>
            <w:tcW w:type="dxa" w:w="1559"/>
          </w:tcPr>
          <w:p>
            <w:r>
              <w:rPr>
                <w:sz w:val="20"/>
              </w:rPr>
              <w:t>ACTIF</w:t>
            </w:r>
          </w:p>
        </w:tc>
      </w:tr>
      <w:tr>
        <w:tc>
          <w:tcPr>
            <w:tcW w:type="dxa" w:w="1559"/>
          </w:tcPr>
          <w:p>
            <w:r>
              <w:rPr>
                <w:sz w:val="20"/>
              </w:rPr>
              <w:t>TRAVOST</w:t>
            </w:r>
          </w:p>
        </w:tc>
        <w:tc>
          <w:tcPr>
            <w:tcW w:type="dxa" w:w="1559"/>
          </w:tcPr>
          <w:p>
            <w:r>
              <w:rPr>
                <w:sz w:val="20"/>
              </w:rPr>
              <w:t>BIOTHERA</w:t>
            </w:r>
          </w:p>
        </w:tc>
        <w:tc>
          <w:tcPr>
            <w:tcW w:type="dxa" w:w="1559"/>
          </w:tcPr>
          <w:p>
            <w:r>
              <w:rPr>
                <w:sz w:val="20"/>
              </w:rPr>
              <w:t>Collyre en solution — 40 µg/mL (0,004 %)</w:t>
            </w:r>
          </w:p>
        </w:tc>
        <w:tc>
          <w:tcPr>
            <w:tcW w:type="dxa" w:w="1559"/>
          </w:tcPr>
          <w:p>
            <w:r>
              <w:rPr>
                <w:sz w:val="20"/>
              </w:rPr>
              <w:t>Flacon compte-gouttes de 5 mL contenant 2,5 mL de solution</w:t>
            </w:r>
          </w:p>
        </w:tc>
        <w:tc>
          <w:tcPr>
            <w:tcW w:type="dxa" w:w="1559"/>
          </w:tcPr>
          <w:p>
            <w:r>
              <w:rPr>
                <w:sz w:val="20"/>
              </w:rPr>
              <w:t>LISTE I</w:t>
            </w:r>
          </w:p>
        </w:tc>
        <w:tc>
          <w:tcPr>
            <w:tcW w:type="dxa" w:w="1559"/>
          </w:tcPr>
          <w:p>
            <w:r>
              <w:rPr>
                <w:sz w:val="20"/>
              </w:rPr>
              <w:t>ACTIF</w:t>
            </w:r>
          </w:p>
        </w:tc>
      </w:tr>
      <w:tr>
        <w:tc>
          <w:tcPr>
            <w:tcW w:type="dxa" w:w="1559"/>
          </w:tcPr>
          <w:p>
            <w:r>
              <w:rPr>
                <w:sz w:val="20"/>
              </w:rPr>
              <w:t>TRAVATAN (NR)</w:t>
            </w:r>
          </w:p>
        </w:tc>
        <w:tc>
          <w:tcPr>
            <w:tcW w:type="dxa" w:w="1559"/>
          </w:tcPr>
          <w:p>
            <w:r>
              <w:rPr>
                <w:sz w:val="20"/>
              </w:rPr>
              <w:t>ALCON UK LTD</w:t>
            </w:r>
          </w:p>
        </w:tc>
        <w:tc>
          <w:tcPr>
            <w:tcW w:type="dxa" w:w="1559"/>
          </w:tcPr>
          <w:p>
            <w:r>
              <w:rPr>
                <w:sz w:val="20"/>
              </w:rPr>
              <w:t>Collyre en solution — 40 µg/mL (0,004 %)</w:t>
            </w:r>
          </w:p>
        </w:tc>
        <w:tc>
          <w:tcPr>
            <w:tcW w:type="dxa" w:w="1559"/>
          </w:tcPr>
          <w:p>
            <w:r>
              <w:rPr>
                <w:sz w:val="20"/>
              </w:rPr>
              <w:t>FL 2,5 mL</w:t>
            </w:r>
          </w:p>
        </w:tc>
        <w:tc>
          <w:tcPr>
            <w:tcW w:type="dxa" w:w="1559"/>
          </w:tcPr>
          <w:p>
            <w:r>
              <w:rPr>
                <w:sz w:val="20"/>
              </w:rPr>
              <w:t>LISTE I</w:t>
            </w:r>
          </w:p>
        </w:tc>
        <w:tc>
          <w:tcPr>
            <w:tcW w:type="dxa" w:w="1559"/>
          </w:tcPr>
          <w:p>
            <w:r>
              <w:rPr>
                <w:sz w:val="20"/>
              </w:rPr>
              <w:t>NON_RENOUVELABLE</w:t>
            </w:r>
          </w:p>
        </w:tc>
      </w:tr>
    </w:tbl>
    <w:p/>
    <w:p>
      <w:pPr>
        <w:pStyle w:val="Heading3"/>
      </w:pPr>
      <w:r>
        <w:t>141.15.3 Mécanisme d'action détaillé</w:t>
      </w:r>
    </w:p>
    <w:p>
      <w:r>
        <w:t>Le travoprost est un isopropyl ester de la fluprostenol, analogue de la prostaglandine F2α. Comme le latanoprost, c'est une prodrogue hydrolysée par les estérases cornéennes en acide libre de travoprost, qui se lie aux récepteurs FP du muscle ciliaire. Le mécanisme d'action est identique : activation de la PLC → IP3/DAG → MMP-1, MMP-2, MMP-3 → remodelage matriciel → augmentation de la voie uvéo-sclérale d'élimination de l'humeur aqueuse.</w:t>
      </w:r>
    </w:p>
    <w:p>
      <w:r>
        <w:t xml:space="preserve">L'efficacité hypotonisante est comparable voire légèrement supérieure au latanoprost (baisse de 8 à 11 mmHg, soit 30-37 % de la PIO initiale). Une étude comparative (Netland et al., </w:t>
      </w:r>
      <w:r>
        <w:rPr>
          <w:i/>
        </w:rPr>
        <w:t>Am J Ophthalmol</w:t>
      </w:r>
      <w:r>
        <w:t xml:space="preserve"> 2001) a suggéré une efficacité légèrement supérieure chez les sujets à peau noire (population afro-américaine), possiblement en raison d'une densité supérieure de mélanocytes ciliaires et d'une activité enzymatique différenciée. Cette observation n'a pas été confirmée de manière constante dans les essais ultérieurs, mais elle a motivé le positionnement du travoprost comme alternative au latanoprost dans certaines populations.</w:t>
      </w:r>
    </w:p>
    <w:p>
      <w:r>
        <w:t>La pharmacocinétique locale est comparable au latanoprost : pic d'efficacité à 8-12 heures, plateau à 3-4 semaines, monoprise quotidienne vespérale. La résorption systémique est très faible (&lt; 1 %), avec métabolisation hépatique rapide en métabolites inactifs.</w:t>
      </w:r>
    </w:p>
    <w:p>
      <w:pPr>
        <w:pStyle w:val="Heading3"/>
      </w:pPr>
      <w:r>
        <w:t>141.15.4 Profil pharmacologique : indications, contre-indications, effets indésirables</w:t>
      </w:r>
    </w:p>
    <w:p>
      <w:pPr>
        <w:pStyle w:val="Heading4"/>
      </w:pPr>
      <w:r>
        <w:t>Indications</w:t>
      </w:r>
    </w:p>
    <w:p>
      <w:pPr>
        <w:pStyle w:val="ListBullet"/>
      </w:pPr>
      <w:r/>
      <w:r>
        <w:rPr>
          <w:b/>
        </w:rPr>
        <w:t>Glaucome à angle ouvert</w:t>
      </w:r>
      <w:r>
        <w:t xml:space="preserve"> : alternative au latanoprost en cas d'intolérance ou d'inefficacité</w:t>
      </w:r>
    </w:p>
    <w:p>
      <w:pPr>
        <w:pStyle w:val="ListBullet"/>
      </w:pPr>
      <w:r/>
      <w:r>
        <w:rPr>
          <w:b/>
        </w:rPr>
        <w:t>Hypertonie oculaire isolée</w:t>
      </w:r>
      <w:r/>
    </w:p>
    <w:p>
      <w:pPr>
        <w:pStyle w:val="ListBullet"/>
      </w:pPr>
      <w:r/>
      <w:r>
        <w:rPr>
          <w:b/>
        </w:rPr>
        <w:t>Glaucome à pression normale</w:t>
      </w:r>
      <w:r/>
    </w:p>
    <w:p>
      <w:pPr>
        <w:pStyle w:val="ListBullet"/>
      </w:pPr>
      <w:r/>
      <w:r>
        <w:rPr>
          <w:b/>
        </w:rPr>
        <w:t>Glaucomes secondaires</w:t>
      </w:r>
      <w:r>
        <w:t xml:space="preserve"> : pseudoexfoliatif, pigmentaire, post-inflammatoire</w:t>
      </w:r>
    </w:p>
    <w:p>
      <w:pPr>
        <w:pStyle w:val="ListBullet"/>
      </w:pPr>
      <w:r>
        <w:t>En association avec β-bloquants ou inhibiteurs de l'AC topiques en cas d'insuffisance d'efficacité d'une monothérapie</w:t>
      </w:r>
    </w:p>
    <w:p>
      <w:pPr>
        <w:pStyle w:val="ListBullet"/>
      </w:pPr>
      <w:r>
        <w:t>Population à peau noire : alternative possible au latanoprost (efficacité potentiellement supérieure)</w:t>
      </w:r>
    </w:p>
    <w:p>
      <w:pPr>
        <w:pStyle w:val="Heading4"/>
      </w:pPr>
      <w:r>
        <w:t>Contre-indications</w:t>
      </w:r>
    </w:p>
    <w:p>
      <w:r>
        <w:t>Identiques à celles du latanoprost :</w:t>
      </w:r>
    </w:p>
    <w:p>
      <w:pPr>
        <w:pStyle w:val="ListBullet"/>
      </w:pPr>
      <w:r>
        <w:t>Hypersensibilité à la substance active ou aux excipients</w:t>
      </w:r>
    </w:p>
    <w:p>
      <w:pPr>
        <w:pStyle w:val="ListBullet"/>
      </w:pPr>
      <w:r>
        <w:t>Grossesse (risque théorique d'effet utérotonique)</w:t>
      </w:r>
    </w:p>
    <w:p>
      <w:pPr>
        <w:pStyle w:val="ListBullet"/>
      </w:pPr>
      <w:r>
        <w:t>Enfant &lt; 1 an</w:t>
      </w:r>
    </w:p>
    <w:p>
      <w:r>
        <w:t>Précautions d'emploi :</w:t>
      </w:r>
    </w:p>
    <w:p>
      <w:pPr>
        <w:pStyle w:val="ListBullet"/>
      </w:pPr>
      <w:r>
        <w:t>Antécédent d'œdème maculaire cystoïde, pseudophakie avec rupture capsulaire</w:t>
      </w:r>
    </w:p>
    <w:p>
      <w:pPr>
        <w:pStyle w:val="ListBullet"/>
      </w:pPr>
      <w:r>
        <w:t>Chirurgie de la cataracte récente (arrêt transitoire 2-4 semaines pré-opératoires)</w:t>
      </w:r>
    </w:p>
    <w:p>
      <w:pPr>
        <w:pStyle w:val="ListBullet"/>
      </w:pPr>
      <w:r>
        <w:t>Inflammation intraoculaire (uvéite)</w:t>
      </w:r>
    </w:p>
    <w:p>
      <w:pPr>
        <w:pStyle w:val="ListBullet"/>
      </w:pPr>
      <w:r>
        <w:t>Asthme sévère (prudence, pas de CI absolue)</w:t>
      </w:r>
    </w:p>
    <w:p>
      <w:pPr>
        <w:pStyle w:val="ListBullet"/>
      </w:pPr>
      <w:r>
        <w:t>Port de lentilles (BAK)</w:t>
      </w:r>
    </w:p>
    <w:p>
      <w:pPr>
        <w:pStyle w:val="Heading4"/>
      </w:pPr>
      <w:r>
        <w:t>Effets indésirables</w:t>
      </w:r>
    </w:p>
    <w:p>
      <w:r>
        <w:t>Profil comparable au latanoprost :</w:t>
      </w:r>
    </w:p>
    <w:p>
      <w:r/>
      <w:r>
        <w:rPr>
          <w:b/>
        </w:rPr>
        <w:t>Locaux</w:t>
      </w:r>
      <w:r>
        <w:t xml:space="preserve"> :</w:t>
      </w:r>
    </w:p>
    <w:p>
      <w:pPr>
        <w:pStyle w:val="ListBullet"/>
      </w:pPr>
      <w:r>
        <w:t>Hyperémie conjonctivale (15-25 %, parfois plus marquée qu'avec le latanoprost dans les premières semaines, régresse en 4-6 semaines)</w:t>
      </w:r>
    </w:p>
    <w:p>
      <w:pPr>
        <w:pStyle w:val="ListBullet"/>
      </w:pPr>
      <w:r>
        <w:t>Modification de la pigmentation irienne (5-15 % à 1 an, irréversible)</w:t>
      </w:r>
    </w:p>
    <w:p>
      <w:pPr>
        <w:pStyle w:val="ListBullet"/>
      </w:pPr>
      <w:r>
        <w:t>Hypertrichose ciliaire (30-50 %)</w:t>
      </w:r>
    </w:p>
    <w:p>
      <w:pPr>
        <w:pStyle w:val="ListBullet"/>
      </w:pPr>
      <w:r>
        <w:t>Pigmentation périorbitaire</w:t>
      </w:r>
    </w:p>
    <w:p>
      <w:pPr>
        <w:pStyle w:val="ListBullet"/>
      </w:pPr>
      <w:r>
        <w:t>Sécheresse, brûlure, prurit (5-15 %)</w:t>
      </w:r>
    </w:p>
    <w:p>
      <w:pPr>
        <w:pStyle w:val="ListBullet"/>
      </w:pPr>
      <w:r>
        <w:t>Conjonctivite allergique tardive (1-5 %)</w:t>
      </w:r>
    </w:p>
    <w:p>
      <w:pPr>
        <w:pStyle w:val="ListBullet"/>
      </w:pPr>
      <w:r>
        <w:t>Kératite ponctuée superficielle (BAK)</w:t>
      </w:r>
    </w:p>
    <w:p>
      <w:pPr>
        <w:pStyle w:val="ListBullet"/>
      </w:pPr>
      <w:r>
        <w:t>Œdème maculaire cystoïde (rare, pseudophakies)</w:t>
      </w:r>
    </w:p>
    <w:p>
      <w:pPr>
        <w:pStyle w:val="ListBullet"/>
      </w:pPr>
      <w:r>
        <w:t>Iritis (rare)</w:t>
      </w:r>
    </w:p>
    <w:p>
      <w:pPr>
        <w:pStyle w:val="ListBullet"/>
      </w:pPr>
      <w:r>
        <w:t>Kyste irien (exceptionnel)</w:t>
      </w:r>
    </w:p>
    <w:p>
      <w:r/>
      <w:r>
        <w:rPr>
          <w:b/>
        </w:rPr>
        <w:t>Systémiques</w:t>
      </w:r>
      <w:r>
        <w:t xml:space="preserve"> :</w:t>
      </w:r>
    </w:p>
    <w:p>
      <w:pPr>
        <w:pStyle w:val="ListBullet"/>
      </w:pPr>
      <w:r>
        <w:t>Céphalées (1-3 %)</w:t>
      </w:r>
    </w:p>
    <w:p>
      <w:pPr>
        <w:pStyle w:val="ListBullet"/>
      </w:pPr>
      <w:r>
        <w:t>Arthralgies, myalgies (1-2 %)</w:t>
      </w:r>
    </w:p>
    <w:p>
      <w:pPr>
        <w:pStyle w:val="ListBullet"/>
      </w:pPr>
      <w:r>
        <w:t>Rash cutané (1-2 %)</w:t>
      </w:r>
    </w:p>
    <w:p>
      <w:pPr>
        <w:pStyle w:val="Heading3"/>
      </w:pPr>
      <w:r>
        <w:t>141.15.5 Prévention et gestion des effets indésirables</w:t>
      </w:r>
    </w:p>
    <w:p>
      <w:r>
        <w:t>Identique au latanoprost : information du patient sur les effets locaux attendus (hyperhémie initiale, pigmentation irienne irréversible, hypertrichose), surveillance ophtalmologique à 4-6 semaines puis tous les 6 mois, occlusion naso-lacrymale. En cas d'intolérance locale au BAK, se tourner vers une autre classe sans conservateur. En cas d'œdème maculaire, arrêt immédiat.</w:t>
      </w:r>
    </w:p>
    <w:p>
      <w:pPr>
        <w:pStyle w:val="Heading3"/>
      </w:pPr>
      <w:r>
        <w:t>141.15.6 Interactions médicamenteuses</w:t>
      </w:r>
    </w:p>
    <w:p>
      <w:r>
        <w:t>Identiques au latanoprost :</w:t>
      </w:r>
    </w:p>
    <w:p>
      <w:pPr>
        <w:pStyle w:val="ListBullet"/>
      </w:pPr>
      <w:r>
        <w:t>Pas d'interaction systémique notable (résorption très faible)</w:t>
      </w:r>
    </w:p>
    <w:p>
      <w:pPr>
        <w:pStyle w:val="ListBullet"/>
      </w:pPr>
      <w:r>
        <w:t>Espacer les instillations d'au moins 5 minutes avec tout autre collyre</w:t>
      </w:r>
    </w:p>
    <w:p>
      <w:pPr>
        <w:pStyle w:val="ListBullet"/>
      </w:pPr>
      <w:r>
        <w:t>Associations additifs hypotonisants avec le timolol (Travan/Duo®, non disponible en Algérie), dorzolamide, brinzolamide, pilocarpine</w:t>
      </w:r>
    </w:p>
    <w:p>
      <w:pPr>
        <w:pStyle w:val="Heading3"/>
      </w:pPr>
      <w:r>
        <w:t>141.15.7 Grossesse et allaitement (CRAT)</w:t>
      </w:r>
    </w:p>
    <w:p>
      <w:r>
        <w:t>Identique au latanoprost :</w:t>
      </w:r>
    </w:p>
    <w:p>
      <w:pPr>
        <w:pStyle w:val="ListBullet"/>
      </w:pPr>
      <w:r/>
      <w:r>
        <w:rPr>
          <w:b/>
        </w:rPr>
        <w:t>Grossesse</w:t>
      </w:r>
      <w:r>
        <w:t xml:space="preserve"> : À éviter (risque théorique d'effet utérotonique des prostaglandines). Données animales défavorables. Chez la femme en âge de procréer, contraception efficace recommandée. En cas de désir de grossesse, arrêter 1 mois avant la conception.</w:t>
      </w:r>
    </w:p>
    <w:p>
      <w:pPr>
        <w:pStyle w:val="ListBullet"/>
      </w:pPr>
      <w:r/>
      <w:r>
        <w:rPr>
          <w:b/>
        </w:rPr>
        <w:t>Allaitement</w:t>
      </w:r>
      <w:r>
        <w:t xml:space="preserve"> : À éviter par prudence (données manquantes). Si traitement indispensable, suspendre l'allaitement.</w:t>
      </w:r>
    </w:p>
    <w:p>
      <w:pPr>
        <w:pStyle w:val="Heading3"/>
      </w:pPr>
      <w:r>
        <w:t>141.15.8 Posologie</w:t>
      </w:r>
    </w:p>
    <w:p>
      <w:pPr>
        <w:pStyle w:val="ListBullet"/>
      </w:pPr>
      <w:r/>
      <w:r>
        <w:rPr>
          <w:b/>
        </w:rPr>
        <w:t>Adulte</w:t>
      </w:r>
      <w:r>
        <w:t xml:space="preserve"> : 1 goutte de travoprost 0,004 % (40 µg/mL) dans l'œil atteint, </w:t>
      </w:r>
      <w:r>
        <w:rPr>
          <w:b/>
        </w:rPr>
        <w:t>1 fois par jour le soir</w:t>
      </w:r>
      <w:r>
        <w:t xml:space="preserve"> (à heure fixe)</w:t>
      </w:r>
    </w:p>
    <w:p>
      <w:pPr>
        <w:pStyle w:val="ListBullet"/>
      </w:pPr>
      <w:r/>
      <w:r>
        <w:rPr>
          <w:b/>
        </w:rPr>
        <w:t>Ne pas dépasser 1 prise par jour</w:t>
      </w:r>
      <w:r/>
    </w:p>
    <w:p>
      <w:pPr>
        <w:pStyle w:val="ListBullet"/>
      </w:pPr>
      <w:r/>
      <w:r>
        <w:rPr>
          <w:b/>
        </w:rPr>
        <w:t>Oubli de dose</w:t>
      </w:r>
      <w:r>
        <w:t xml:space="preserve"> : si &lt; 12 heures, instiller ; si &gt; 12 heures, sauter la dose</w:t>
      </w:r>
    </w:p>
    <w:p>
      <w:pPr>
        <w:pStyle w:val="ListBullet"/>
      </w:pPr>
      <w:r/>
      <w:r>
        <w:rPr>
          <w:b/>
        </w:rPr>
        <w:t>Sujet âgé, insuffisant hépatique ou rénal</w:t>
      </w:r>
      <w:r>
        <w:t xml:space="preserve"> : pas d'adaptation posologique</w:t>
      </w:r>
    </w:p>
    <w:p>
      <w:pPr>
        <w:pStyle w:val="ListBullet"/>
      </w:pPr>
      <w:r/>
      <w:r>
        <w:rPr>
          <w:b/>
        </w:rPr>
        <w:t>Enfant &gt; 1 an</w:t>
      </w:r>
      <w:r>
        <w:t xml:space="preserve"> : 1 goutte 0,004 % × 1/jour le soir (en milieu spécialisé)</w:t>
      </w:r>
    </w:p>
    <w:p>
      <w:pPr>
        <w:pStyle w:val="ListBullet"/>
      </w:pPr>
      <w:r/>
      <w:r>
        <w:rPr>
          <w:b/>
        </w:rPr>
        <w:t>Lentilles de contact</w:t>
      </w:r>
      <w:r>
        <w:t xml:space="preserve"> : retirer avant instillation, attendre 15 minutes avant remise</w:t>
      </w:r>
    </w:p>
    <w:p>
      <w:pPr>
        <w:pStyle w:val="ListBullet"/>
      </w:pPr>
      <w:r/>
      <w:r>
        <w:rPr>
          <w:b/>
        </w:rPr>
        <w:t>Durée</w:t>
      </w:r>
      <w:r>
        <w:t xml:space="preserve"> : chronique, à vie</w:t>
      </w:r>
    </w:p>
    <w:p>
      <w:pPr>
        <w:pStyle w:val="Heading3"/>
      </w:pPr>
      <w:r>
        <w:t>141.15.9 Formes galéniques et arbitrage</w:t>
      </w:r>
    </w:p>
    <w:p>
      <w:r>
        <w:t>Une seule forme galénique disponible en Algérie : le collyre en solution à 0,004 % (40 µg/mL), avec conservateur (BAK), flacon de 2,5 mL ou 5 mL. Conservation 1 mois après ouverture.</w:t>
      </w:r>
    </w:p>
    <w:p>
      <w:r>
        <w:t>Aucune forme sans conservateur n'est disponible en Algérie pour le travoprost. En cas d'intolérance au BAK, se tourner vers le latanoprost en unidoses sans conservateur (Monoprost® Thea), ou vers le timolol en gel sans conservateur (Geltim LP®), ou vers le dorzolamide/brinzolamide.</w:t>
      </w:r>
    </w:p>
    <w:p>
      <w:r>
        <w:t>L'arbitrage entre latanoprost et travoprost repose essentiellement sur la disponibilité, le coût et la tolérance individuelle. Le profil d'efficacité et de tolérance est globalement équivalent. Le travoprost peut être préféré chez le patient à peau noire (efficacité potentiellement supérieure). En cas d'échec ou d'intolérance au latanoprost, le travoprost est une alternative raisonnable (réponse individuelle variable, environ 10-15 % des patients répondent mieux à un PGF2α qu'à un autre).</w:t>
      </w:r>
    </w:p>
    <w:p>
      <w:pPr>
        <w:pStyle w:val="Heading3"/>
      </w:pPr>
      <w:r>
        <w:t>141.15.10 Instructions et conseils au patient</w:t>
      </w:r>
    </w:p>
    <w:p>
      <w:r>
        <w:t>Conseils identiques au latanoprost : technique d'instillation, heure vespérale fixe, effets locaux attendus (hyperhémie initiale, pigmentation irienne irréversible, hypertrichose), surveillance ophtalmologique, oubli de dose, hygiène du flacon, lentilles, grossesse. Préciser que le travoprost est une alternative au latanoprost avec un profil de tolérance équivalent, mais avec une hyperhémie initiale parfois plus marquée.</w:t>
      </w:r>
    </w:p>
    <w:p>
      <w:pPr>
        <w:pStyle w:val="Heading3"/>
      </w:pPr>
      <w:r>
        <w:t>141.15.11 Pièges au comptoir</w:t>
      </w:r>
    </w:p>
    <w:p>
      <w:pPr>
        <w:pStyle w:val="ListBullet"/>
      </w:pPr>
      <w:r/>
      <w:r>
        <w:rPr>
          <w:b/>
        </w:rPr>
        <w:t>Femme en âge de procréer</w:t>
      </w:r>
      <w:r>
        <w:t xml:space="preserve"> : s'assurer d'une contraception efficace avant dispensation</w:t>
      </w:r>
    </w:p>
    <w:p>
      <w:pPr>
        <w:pStyle w:val="ListBullet"/>
      </w:pPr>
      <w:r/>
      <w:r>
        <w:rPr>
          <w:b/>
        </w:rPr>
        <w:t>Patient pseudophake</w:t>
      </w:r>
      <w:r>
        <w:t xml:space="preserve"> : signaler au prescripteur — risque d'œdème maculaire cystoïde</w:t>
      </w:r>
    </w:p>
    <w:p>
      <w:pPr>
        <w:pStyle w:val="ListBullet"/>
      </w:pPr>
      <w:r/>
      <w:r>
        <w:rPr>
          <w:b/>
        </w:rPr>
        <w:t>Patient présentant une hyperhémie au début</w:t>
      </w:r>
      <w:r>
        <w:t xml:space="preserve"> : rassurer, ne pas arrêter</w:t>
      </w:r>
    </w:p>
    <w:p>
      <w:pPr>
        <w:pStyle w:val="ListBullet"/>
      </w:pPr>
      <w:r/>
      <w:r>
        <w:rPr>
          <w:b/>
        </w:rPr>
        <w:t>Modification de la couleur de l'iris</w:t>
      </w:r>
      <w:r>
        <w:t xml:space="preserve"> : informer avant initiation ; photo couleur de l'iris à l'initiation</w:t>
      </w:r>
    </w:p>
    <w:p>
      <w:pPr>
        <w:pStyle w:val="ListBullet"/>
      </w:pPr>
      <w:r/>
      <w:r>
        <w:rPr>
          <w:b/>
        </w:rPr>
        <w:t>Date d'ouverture</w:t>
      </w:r>
      <w:r>
        <w:t xml:space="preserve"> : inscrire sur le flacon ; jeter à 1 mois</w:t>
      </w:r>
    </w:p>
    <w:p>
      <w:pPr>
        <w:pStyle w:val="ListBullet"/>
      </w:pPr>
      <w:r/>
      <w:r>
        <w:rPr>
          <w:b/>
        </w:rPr>
        <w:t>Disponibilité</w:t>
      </w:r>
      <w:r>
        <w:t xml:space="preserve"> : TRAVADIS® et TRAVOST® sont parfois en rupture de stock en Algérie — prévoir une alternative (latanoprost)</w:t>
      </w:r>
    </w:p>
    <w:p>
      <w:pPr>
        <w:pStyle w:val="ListBullet"/>
      </w:pPr>
      <w:r/>
      <w:r>
        <w:rPr>
          <w:b/>
        </w:rPr>
        <w:t>Coût</w:t>
      </w:r>
      <w:r>
        <w:t xml:space="preserve"> : comparable au latanoprost générique (700-1200 DA/mois)</w:t>
      </w:r>
    </w:p>
    <w:p>
      <w:pPr>
        <w:pStyle w:val="ListBullet"/>
      </w:pPr>
      <w:r/>
      <w:r>
        <w:rPr>
          <w:b/>
        </w:rPr>
        <w:t>Patient en bithérapie</w:t>
      </w:r>
      <w:r>
        <w:t xml:space="preserve"> : vérifier l'espacement de 5 minutes entre les instillations</w:t>
      </w:r>
    </w:p>
    <w:p>
      <w:pPr>
        <w:pStyle w:val="ListBullet"/>
      </w:pPr>
      <w:r/>
      <w:r>
        <w:rPr>
          <w:b/>
        </w:rPr>
        <w:t>Confusion avec latanoprost</w:t>
      </w:r>
      <w:r>
        <w:t xml:space="preserve"> : ne pas substituer sans avis médical (profil de tolérance et d'efficacité comparables mais individuellement variables)</w:t>
      </w:r>
    </w:p>
    <w:p>
      <w:pPr>
        <w:pStyle w:val="Heading2"/>
      </w:pPr>
      <w:r>
        <w:t>141.16 DCI : Bimatoprost</w:t>
      </w:r>
    </w:p>
    <w:p>
      <w:pPr>
        <w:pStyle w:val="Heading3"/>
      </w:pPr>
      <w:r>
        <w:t>141.16.1 Catégories thérapeutiques et place dans la stratégie</w:t>
      </w:r>
    </w:p>
    <w:p>
      <w:pPr>
        <w:pStyle w:val="ListBullet"/>
      </w:pPr>
      <w:r/>
      <w:r>
        <w:rPr>
          <w:b/>
        </w:rPr>
        <w:t>Classe ATC</w:t>
      </w:r>
      <w:r>
        <w:t xml:space="preserve"> : S01EE03 (Bimatoprost — collyre)</w:t>
      </w:r>
    </w:p>
    <w:p>
      <w:pPr>
        <w:pStyle w:val="ListBullet"/>
      </w:pPr>
      <w:r/>
      <w:r>
        <w:rPr>
          <w:b/>
        </w:rPr>
        <w:t>Sous-classe pharmacologique</w:t>
      </w:r>
      <w:r>
        <w:t xml:space="preserve"> : Prostamide (analogue structural de la prostaglandine F2α éthanolamide), agissant sur des récepteurs putatifs « prostamide »</w:t>
      </w:r>
    </w:p>
    <w:p>
      <w:pPr>
        <w:pStyle w:val="ListBullet"/>
      </w:pPr>
      <w:r/>
      <w:r>
        <w:rPr>
          <w:b/>
        </w:rPr>
        <w:t>Liste des médicaments</w:t>
      </w:r>
      <w:r>
        <w:t xml:space="preserve"> : Liste I (prescription médicale obligatoire)</w:t>
      </w:r>
    </w:p>
    <w:p>
      <w:pPr>
        <w:pStyle w:val="ListBullet"/>
      </w:pPr>
      <w:r/>
      <w:r>
        <w:rPr>
          <w:b/>
        </w:rPr>
        <w:t>Statut réglementaire Algérie</w:t>
      </w:r>
      <w:r>
        <w:t xml:space="preserve"> : Liste I, commercialisé (LUMERA® Biothera) en deux dosages</w:t>
      </w:r>
    </w:p>
    <w:p>
      <w:pPr>
        <w:pStyle w:val="ListBullet"/>
      </w:pPr>
      <w:r/>
      <w:r>
        <w:rPr>
          <w:b/>
        </w:rPr>
        <w:t>Place dans la stratégie</w:t>
      </w:r>
      <w:r>
        <w:t xml:space="preserve"> : Alternative au latanoprost et au travoprost en cas d'intolérance ou d'inefficacité ; puissance hypotonisante supérieure ou égale</w:t>
      </w:r>
    </w:p>
    <w:p>
      <w:pPr>
        <w:pStyle w:val="ListBullet"/>
      </w:pPr>
      <w:r/>
      <w:r>
        <w:rPr>
          <w:b/>
        </w:rPr>
        <w:t>Index thérapeutique</w:t>
      </w:r>
      <w:r>
        <w:t xml:space="preserve"> : Large</w:t>
      </w:r>
    </w:p>
    <w:p>
      <w:pPr>
        <w:pStyle w:val="ListBullet"/>
      </w:pPr>
      <w:r/>
      <w:r>
        <w:rPr>
          <w:b/>
        </w:rPr>
        <w:t>Grossesse/Allaitement</w:t>
      </w:r>
      <w:r>
        <w:t xml:space="preserve"> : À éviter par prudence</w:t>
      </w:r>
    </w:p>
    <w:p>
      <w:r>
        <w:t>Le bimatoprost, commercialisé depuis 2001 (Lumigan® Allergan, non disponible en Algérie sous ce nom), est un prostamide apparenté aux prostaglandines F2α mais distinct sur le plan pharmacologique. Son mécanisme combine une augmentation de la voie uvéo-sclérale (comme le latanoprost) et une réduction modérée de la production d'humeur aqueuse (effet additionnel). Sa puissance hypotonisante est supérieure ou égale au latanoprost (baisse de 9 à 11 mmHg, soit 33-37 % de la PIO initiale). En Algérie, le bimatoprost est disponible sous le nom commercial LUMERA® (Biothera) en deux dosages : 0,1 mg/mL (0,01 %) et 0,3 mg/mL (0,03 %). La concentration 0,03 % tend à être remplacée par la concentration 0,01 % (égale efficacité, meilleure tolérance locale — moins d'hyperhémie). À noter que le bimatoprost à 0,03 % dispose d'une AMM cosmétique distincte (Latisse® aux États-Unis) pour l'hypotrichose ciliaire, indication dérivée de l'effet de classe.</w:t>
      </w:r>
    </w:p>
    <w:p>
      <w:pPr>
        <w:pStyle w:val="Heading3"/>
      </w:pPr>
      <w:r>
        <w:t>141.16.2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LUMERA 0,1 mg/mL</w:t>
            </w:r>
          </w:p>
        </w:tc>
        <w:tc>
          <w:tcPr>
            <w:tcW w:type="dxa" w:w="1559"/>
          </w:tcPr>
          <w:p>
            <w:r>
              <w:rPr>
                <w:sz w:val="20"/>
              </w:rPr>
              <w:t>BIOTHERA</w:t>
            </w:r>
          </w:p>
        </w:tc>
        <w:tc>
          <w:tcPr>
            <w:tcW w:type="dxa" w:w="1559"/>
          </w:tcPr>
          <w:p>
            <w:r>
              <w:rPr>
                <w:sz w:val="20"/>
              </w:rPr>
              <w:t>Collyre en solution — 0,1 mg/mL (0,01 %)</w:t>
            </w:r>
          </w:p>
        </w:tc>
        <w:tc>
          <w:tcPr>
            <w:tcW w:type="dxa" w:w="1559"/>
          </w:tcPr>
          <w:p>
            <w:r>
              <w:rPr>
                <w:sz w:val="20"/>
              </w:rPr>
              <w:t>FL/3 mL</w:t>
            </w:r>
          </w:p>
        </w:tc>
        <w:tc>
          <w:tcPr>
            <w:tcW w:type="dxa" w:w="1559"/>
          </w:tcPr>
          <w:p>
            <w:r>
              <w:rPr>
                <w:sz w:val="20"/>
              </w:rPr>
              <w:t>LISTE I</w:t>
            </w:r>
          </w:p>
        </w:tc>
        <w:tc>
          <w:tcPr>
            <w:tcW w:type="dxa" w:w="1559"/>
          </w:tcPr>
          <w:p>
            <w:r>
              <w:rPr>
                <w:sz w:val="20"/>
              </w:rPr>
              <w:t>ACTIF</w:t>
            </w:r>
          </w:p>
        </w:tc>
      </w:tr>
      <w:tr>
        <w:tc>
          <w:tcPr>
            <w:tcW w:type="dxa" w:w="1559"/>
          </w:tcPr>
          <w:p>
            <w:r>
              <w:rPr>
                <w:sz w:val="20"/>
              </w:rPr>
              <w:t>LUMERA 0,3 mg/mL</w:t>
            </w:r>
          </w:p>
        </w:tc>
        <w:tc>
          <w:tcPr>
            <w:tcW w:type="dxa" w:w="1559"/>
          </w:tcPr>
          <w:p>
            <w:r>
              <w:rPr>
                <w:sz w:val="20"/>
              </w:rPr>
              <w:t>BIOTHERA</w:t>
            </w:r>
          </w:p>
        </w:tc>
        <w:tc>
          <w:tcPr>
            <w:tcW w:type="dxa" w:w="1559"/>
          </w:tcPr>
          <w:p>
            <w:r>
              <w:rPr>
                <w:sz w:val="20"/>
              </w:rPr>
              <w:t>Collyre en solution — 0,3 mg/mL (0,03 %)</w:t>
            </w:r>
          </w:p>
        </w:tc>
        <w:tc>
          <w:tcPr>
            <w:tcW w:type="dxa" w:w="1559"/>
          </w:tcPr>
          <w:p>
            <w:r>
              <w:rPr>
                <w:sz w:val="20"/>
              </w:rPr>
              <w:t>FL/3 mL</w:t>
            </w:r>
          </w:p>
        </w:tc>
        <w:tc>
          <w:tcPr>
            <w:tcW w:type="dxa" w:w="1559"/>
          </w:tcPr>
          <w:p>
            <w:r>
              <w:rPr>
                <w:sz w:val="20"/>
              </w:rPr>
              <w:t>LISTE I</w:t>
            </w:r>
          </w:p>
        </w:tc>
        <w:tc>
          <w:tcPr>
            <w:tcW w:type="dxa" w:w="1559"/>
          </w:tcPr>
          <w:p>
            <w:r>
              <w:rPr>
                <w:sz w:val="20"/>
              </w:rPr>
              <w:t>ACTIF</w:t>
            </w:r>
          </w:p>
        </w:tc>
      </w:tr>
    </w:tbl>
    <w:p/>
    <w:p>
      <w:pPr>
        <w:pStyle w:val="Heading3"/>
      </w:pPr>
      <w:r>
        <w:t>141.16.3 Mécanisme d'action détaillé</w:t>
      </w:r>
    </w:p>
    <w:p>
      <w:r>
        <w:t>Le bimatoprost est un prostamide, structurellement apparenté à la prostaglandine F2α éthanolamide. Il n'agit pas significativement sur les récepteurs FP classiques (contrairement au latanoprost et au travoprost), mais sur des récepteurs putatifs « prostamide » encore partiellement caractérisés (potentiellement des variants du récepteur FP ou un récepteur orphelin). Son mécanisme d'action combine :</w:t>
      </w:r>
    </w:p>
    <w:p>
      <w:pPr>
        <w:pStyle w:val="ListNumber"/>
      </w:pPr>
      <w:r/>
      <w:r>
        <w:rPr>
          <w:b/>
        </w:rPr>
        <w:t>Augmentation de la voie uvéo-sclérale d'élimination de l'humeur aqueuse</w:t>
      </w:r>
      <w:r>
        <w:t xml:space="preserve"> (mécanisme principal, comparable au latanoprost) — activation des MMP et remodelage matriciel du muscle ciliaire</w:t>
      </w:r>
    </w:p>
    <w:p>
      <w:pPr>
        <w:pStyle w:val="ListNumber"/>
      </w:pPr>
      <w:r/>
      <w:r>
        <w:rPr>
          <w:b/>
        </w:rPr>
        <w:t>Réduction modérée de la production d'humeur aqueuse</w:t>
      </w:r>
      <w:r>
        <w:t xml:space="preserve"> (effet additionnel propre aux prostamides, non retrouvé avec les PGF2α classiques)</w:t>
      </w:r>
    </w:p>
    <w:p>
      <w:r>
        <w:t>Cette double action explique la puissance hypotonisante supérieure du bimatoprost par rapport au latanoprost (baisse de 9 à 11 mmHg, soit 33-37 % de la PIO initiale vs 30-35 % pour le latanoprost).</w:t>
      </w:r>
    </w:p>
    <w:p>
      <w:r>
        <w:t>La pharmacocinétique locale est comparable au latanoprost : pic d'efficacité à 8-12 heures, plateau à 3-4 semaines, monoprise quotidienne vespérale. La résorption systémique est très faible (&lt; 1 %), avec métabolisation hépatique rapide en métabolites inactifs. La concentration 0,01 % (0,1 mg/mL) présente une efficacité équivalente à la concentration 0,03 % (0,3 mg/mL), avec une meilleure tolérance locale (hyperhémie moindre) — c'est la concentration à privilégier en première intention.</w:t>
      </w:r>
    </w:p>
    <w:p>
      <w:pPr>
        <w:pStyle w:val="Heading3"/>
      </w:pPr>
      <w:r>
        <w:t>141.16.4 Profil pharmacologique : indications, contre-indications, effets indésirables</w:t>
      </w:r>
    </w:p>
    <w:p>
      <w:pPr>
        <w:pStyle w:val="Heading4"/>
      </w:pPr>
      <w:r>
        <w:t>Indications</w:t>
      </w:r>
    </w:p>
    <w:p>
      <w:pPr>
        <w:pStyle w:val="ListBullet"/>
      </w:pPr>
      <w:r/>
      <w:r>
        <w:rPr>
          <w:b/>
        </w:rPr>
        <w:t>Glaucome à angle ouvert</w:t>
      </w:r>
      <w:r>
        <w:t xml:space="preserve"> : alternative au latanoprost et au travoprost, particulièrement en cas d'inefficacité ou d'intolérance</w:t>
      </w:r>
    </w:p>
    <w:p>
      <w:pPr>
        <w:pStyle w:val="ListBullet"/>
      </w:pPr>
      <w:r/>
      <w:r>
        <w:rPr>
          <w:b/>
        </w:rPr>
        <w:t>Hypertonie oculaire isolée</w:t>
      </w:r>
      <w:r>
        <w:t xml:space="preserve"> : monothérapie de première ligne en alternative au latanoprost</w:t>
      </w:r>
    </w:p>
    <w:p>
      <w:pPr>
        <w:pStyle w:val="ListBullet"/>
      </w:pPr>
      <w:r/>
      <w:r>
        <w:rPr>
          <w:b/>
        </w:rPr>
        <w:t>Glaucome à pression normale</w:t>
      </w:r>
      <w:r/>
    </w:p>
    <w:p>
      <w:pPr>
        <w:pStyle w:val="ListBullet"/>
      </w:pPr>
      <w:r/>
      <w:r>
        <w:rPr>
          <w:b/>
        </w:rPr>
        <w:t>Glaucomes secondaires</w:t>
      </w:r>
      <w:r>
        <w:t xml:space="preserve"> : pseudoexfoliatif, pigmentaire, post-inflammatoire</w:t>
      </w:r>
    </w:p>
    <w:p>
      <w:pPr>
        <w:pStyle w:val="ListBullet"/>
      </w:pPr>
      <w:r>
        <w:t>En association avec β-bloquants ou inhibiteurs de l'AC topiques en cas d'insuffisance d'efficacité d'une monothérapie</w:t>
      </w:r>
    </w:p>
    <w:p>
      <w:pPr>
        <w:pStyle w:val="ListBullet"/>
      </w:pPr>
      <w:r/>
      <w:r>
        <w:rPr>
          <w:b/>
        </w:rPr>
        <w:t>Œdème maculaire lié au diabète</w:t>
      </w:r>
      <w:r>
        <w:t xml:space="preserve"> : hors AMM ophtalmologique stricte (AMM distincte du bimatoprost intravitréen, non disponible en Algérie)</w:t>
      </w:r>
    </w:p>
    <w:p>
      <w:pPr>
        <w:pStyle w:val="Heading4"/>
      </w:pPr>
      <w:r>
        <w:t>Contre-indications</w:t>
      </w:r>
    </w:p>
    <w:p>
      <w:r>
        <w:t>Identiques à celles du latanoprost et du travoprost :</w:t>
      </w:r>
    </w:p>
    <w:p>
      <w:pPr>
        <w:pStyle w:val="ListBullet"/>
      </w:pPr>
      <w:r>
        <w:t>Hypersensibilité à la substance active ou aux excipients</w:t>
      </w:r>
    </w:p>
    <w:p>
      <w:pPr>
        <w:pStyle w:val="ListBullet"/>
      </w:pPr>
      <w:r>
        <w:t>Grossesse (risque théorique d'effet utérotonique)</w:t>
      </w:r>
    </w:p>
    <w:p>
      <w:pPr>
        <w:pStyle w:val="ListBullet"/>
      </w:pPr>
      <w:r>
        <w:t>Enfant &lt; 1 an</w:t>
      </w:r>
    </w:p>
    <w:p>
      <w:r>
        <w:t>Précautions d'emploi :</w:t>
      </w:r>
    </w:p>
    <w:p>
      <w:pPr>
        <w:pStyle w:val="ListBullet"/>
      </w:pPr>
      <w:r>
        <w:t>Antécédent d'œdème maculaire cystoïde, pseudophakie avec rupture capsulaire</w:t>
      </w:r>
    </w:p>
    <w:p>
      <w:pPr>
        <w:pStyle w:val="ListBullet"/>
      </w:pPr>
      <w:r>
        <w:t>Chirurgie de la cataracte récente</w:t>
      </w:r>
    </w:p>
    <w:p>
      <w:pPr>
        <w:pStyle w:val="ListBullet"/>
      </w:pPr>
      <w:r>
        <w:t>Inflammation intraoculaire</w:t>
      </w:r>
    </w:p>
    <w:p>
      <w:pPr>
        <w:pStyle w:val="ListBullet"/>
      </w:pPr>
      <w:r>
        <w:t>Asthme sévère (prudence)</w:t>
      </w:r>
    </w:p>
    <w:p>
      <w:pPr>
        <w:pStyle w:val="ListBullet"/>
      </w:pPr>
      <w:r>
        <w:t>Port de lentilles (BAK)</w:t>
      </w:r>
    </w:p>
    <w:p>
      <w:pPr>
        <w:pStyle w:val="Heading4"/>
      </w:pPr>
      <w:r>
        <w:t>Effets indésirables</w:t>
      </w:r>
    </w:p>
    <w:p>
      <w:r>
        <w:t>Profil comparable au latanoprost et au travoprost, avec une intensité d'hyperhémie initiale parfois plus marquée à la concentration 0,03 % (d'où la préférence pour la concentration 0,01 %) :</w:t>
      </w:r>
    </w:p>
    <w:p>
      <w:r/>
      <w:r>
        <w:rPr>
          <w:b/>
        </w:rPr>
        <w:t>Locaux</w:t>
      </w:r>
      <w:r>
        <w:t xml:space="preserve"> :</w:t>
      </w:r>
    </w:p>
    <w:p>
      <w:pPr>
        <w:pStyle w:val="ListBullet"/>
      </w:pPr>
      <w:r/>
      <w:r>
        <w:rPr>
          <w:b/>
        </w:rPr>
        <w:t>Hyperémie conjonctivale</w:t>
      </w:r>
      <w:r>
        <w:t xml:space="preserve"> (15-30 % à la concentration 0,03 % ; 10-15 % à la concentration 0,01 %), surtout en début de traitement, régresse en 4-6 semaines</w:t>
      </w:r>
    </w:p>
    <w:p>
      <w:pPr>
        <w:pStyle w:val="ListBullet"/>
      </w:pPr>
      <w:r/>
      <w:r>
        <w:rPr>
          <w:b/>
        </w:rPr>
        <w:t>Modification de la pigmentation irienne</w:t>
      </w:r>
      <w:r>
        <w:t xml:space="preserve"> (5-15 % à 1 an, irréversible)</w:t>
      </w:r>
    </w:p>
    <w:p>
      <w:pPr>
        <w:pStyle w:val="ListBullet"/>
      </w:pPr>
      <w:r/>
      <w:r>
        <w:rPr>
          <w:b/>
        </w:rPr>
        <w:t>Hypertrichose ciliaire</w:t>
      </w:r>
      <w:r>
        <w:t xml:space="preserve"> (30-50 %, plus marquée qu'avec le latanoprost)</w:t>
      </w:r>
    </w:p>
    <w:p>
      <w:pPr>
        <w:pStyle w:val="ListBullet"/>
      </w:pPr>
      <w:r>
        <w:t>Pigmentation périorbitaire</w:t>
      </w:r>
    </w:p>
    <w:p>
      <w:pPr>
        <w:pStyle w:val="ListBullet"/>
      </w:pPr>
      <w:r>
        <w:t>Sécheresse, brûlure, prurit (5-15 %)</w:t>
      </w:r>
    </w:p>
    <w:p>
      <w:pPr>
        <w:pStyle w:val="ListBullet"/>
      </w:pPr>
      <w:r>
        <w:t>Conjonctivite allergique tardive (1-5 %)</w:t>
      </w:r>
    </w:p>
    <w:p>
      <w:pPr>
        <w:pStyle w:val="ListBullet"/>
      </w:pPr>
      <w:r>
        <w:t>Kératite ponctuée superficielle (BAK)</w:t>
      </w:r>
    </w:p>
    <w:p>
      <w:pPr>
        <w:pStyle w:val="ListBullet"/>
      </w:pPr>
      <w:r>
        <w:t>Œdème maculaire cystoïde (rare, pseudophakies)</w:t>
      </w:r>
    </w:p>
    <w:p>
      <w:pPr>
        <w:pStyle w:val="ListBullet"/>
      </w:pPr>
      <w:r>
        <w:t>Iritis (rare)</w:t>
      </w:r>
    </w:p>
    <w:p>
      <w:pPr>
        <w:pStyle w:val="ListBullet"/>
      </w:pPr>
      <w:r>
        <w:t>Kyste irien (exceptionnel)</w:t>
      </w:r>
    </w:p>
    <w:p>
      <w:r/>
      <w:r>
        <w:rPr>
          <w:b/>
        </w:rPr>
        <w:t>Systémiques</w:t>
      </w:r>
      <w:r>
        <w:t xml:space="preserve"> :</w:t>
      </w:r>
    </w:p>
    <w:p>
      <w:pPr>
        <w:pStyle w:val="ListBullet"/>
      </w:pPr>
      <w:r>
        <w:t>Céphalées (1-3 %)</w:t>
      </w:r>
    </w:p>
    <w:p>
      <w:pPr>
        <w:pStyle w:val="ListBullet"/>
      </w:pPr>
      <w:r>
        <w:t>Arthralgies, myalgies (1-2 %)</w:t>
      </w:r>
    </w:p>
    <w:p>
      <w:pPr>
        <w:pStyle w:val="ListBullet"/>
      </w:pPr>
      <w:r>
        <w:t>Rash cutané (1-2 %)</w:t>
      </w:r>
    </w:p>
    <w:p>
      <w:pPr>
        <w:pStyle w:val="ListBullet"/>
      </w:pPr>
      <w:r>
        <w:t>Asthénie, vertiges (&lt; 1 %)</w:t>
      </w:r>
    </w:p>
    <w:p>
      <w:pPr>
        <w:pStyle w:val="Heading3"/>
      </w:pPr>
      <w:r>
        <w:t>141.16.5 Prévention et gestion des effets indésirables</w:t>
      </w:r>
    </w:p>
    <w:p>
      <w:r>
        <w:t xml:space="preserve">Identique au latanoprost : information du patient sur les effets locaux attendus, surveillance ophtalmologique à 4-6 semaines puis tous les 6 mois, occlusion naso-lacrymale. </w:t>
      </w:r>
      <w:r>
        <w:rPr>
          <w:b/>
        </w:rPr>
        <w:t>Privilégier la concentration 0,01 % (0,1 mg/mL) en première intention</w:t>
      </w:r>
      <w:r>
        <w:t xml:space="preserve"> (efficacité équivalente, tolérance supérieure). En cas d'hyperhémie persistante au-delà de 6 semaines à la concentration 0,03 %, passer à la concentration 0,01 % ou changer de classe.</w:t>
      </w:r>
    </w:p>
    <w:p>
      <w:pPr>
        <w:pStyle w:val="Heading3"/>
      </w:pPr>
      <w:r>
        <w:t>141.16.6 Interactions médicamenteuses</w:t>
      </w:r>
    </w:p>
    <w:p>
      <w:r>
        <w:t>Identiques au latanoprost :</w:t>
      </w:r>
    </w:p>
    <w:p>
      <w:pPr>
        <w:pStyle w:val="ListBullet"/>
      </w:pPr>
      <w:r>
        <w:t>Pas d'interaction systémique notable</w:t>
      </w:r>
    </w:p>
    <w:p>
      <w:pPr>
        <w:pStyle w:val="ListBullet"/>
      </w:pPr>
      <w:r>
        <w:t>Espacer les instillations d'au moins 5 minutes avec tout autre collyre</w:t>
      </w:r>
    </w:p>
    <w:p>
      <w:pPr>
        <w:pStyle w:val="ListBullet"/>
      </w:pPr>
      <w:r>
        <w:t>Associations additifs hypotonisants avec le timolol (Ganfort® + timolol, non disponible en Algérie), dorzolamide, brinzolamide, pilocarpine</w:t>
      </w:r>
    </w:p>
    <w:p>
      <w:pPr>
        <w:pStyle w:val="Heading3"/>
      </w:pPr>
      <w:r>
        <w:t>141.16.7 Grossesse et allaitement (CRAT)</w:t>
      </w:r>
    </w:p>
    <w:p>
      <w:r>
        <w:t>Identique au latanoprost :</w:t>
      </w:r>
    </w:p>
    <w:p>
      <w:pPr>
        <w:pStyle w:val="ListBullet"/>
      </w:pPr>
      <w:r/>
      <w:r>
        <w:rPr>
          <w:b/>
        </w:rPr>
        <w:t>Grossesse</w:t>
      </w:r>
      <w:r>
        <w:t xml:space="preserve"> : À éviter (risque théorique d'effet utérotonique des prostamides). Contraception efficace recommandée. En cas de désir de grossesse, arrêter 1 mois avant.</w:t>
      </w:r>
    </w:p>
    <w:p>
      <w:pPr>
        <w:pStyle w:val="ListBullet"/>
      </w:pPr>
      <w:r/>
      <w:r>
        <w:rPr>
          <w:b/>
        </w:rPr>
        <w:t>Allaitement</w:t>
      </w:r>
      <w:r>
        <w:t xml:space="preserve"> : À éviter par prudence. Si traitement indispensable, suspendre l'allaitement.</w:t>
      </w:r>
    </w:p>
    <w:p>
      <w:pPr>
        <w:pStyle w:val="Heading3"/>
      </w:pPr>
      <w:r>
        <w:t>141.16.8 Posologie</w:t>
      </w:r>
    </w:p>
    <w:p>
      <w:pPr>
        <w:pStyle w:val="ListBullet"/>
      </w:pPr>
      <w:r/>
      <w:r>
        <w:rPr>
          <w:b/>
        </w:rPr>
        <w:t>Adulte</w:t>
      </w:r>
      <w:r>
        <w:t xml:space="preserve"> : 1 goutte de bimatoprost 0,01 % (0,1 mg/mL) dans l'œil atteint, </w:t>
      </w:r>
      <w:r>
        <w:rPr>
          <w:b/>
        </w:rPr>
        <w:t>1 fois par jour le soir</w:t>
      </w:r>
      <w:r>
        <w:t xml:space="preserve"> (à heure fixe)</w:t>
      </w:r>
    </w:p>
    <w:p>
      <w:pPr>
        <w:pStyle w:val="ListBullet"/>
      </w:pPr>
      <w:r/>
      <w:r>
        <w:rPr>
          <w:b/>
        </w:rPr>
        <w:t>Concentration 0,03 % (0,3 mg/mL)</w:t>
      </w:r>
      <w:r>
        <w:t xml:space="preserve"> : réservée à l'alternative en cas d'inefficacité de la concentration 0,01 %, ou en seconde intention</w:t>
      </w:r>
    </w:p>
    <w:p>
      <w:pPr>
        <w:pStyle w:val="ListBullet"/>
      </w:pPr>
      <w:r/>
      <w:r>
        <w:rPr>
          <w:b/>
        </w:rPr>
        <w:t>Ne pas dépasser 1 prise par jour</w:t>
      </w:r>
      <w:r/>
    </w:p>
    <w:p>
      <w:pPr>
        <w:pStyle w:val="ListBullet"/>
      </w:pPr>
      <w:r/>
      <w:r>
        <w:rPr>
          <w:b/>
        </w:rPr>
        <w:t>Oubli de dose</w:t>
      </w:r>
      <w:r>
        <w:t xml:space="preserve"> : si &lt; 12 heures, instiller ; si &gt; 12 heures, sauter la dose</w:t>
      </w:r>
    </w:p>
    <w:p>
      <w:pPr>
        <w:pStyle w:val="ListBullet"/>
      </w:pPr>
      <w:r/>
      <w:r>
        <w:rPr>
          <w:b/>
        </w:rPr>
        <w:t>Sujet âgé, insuffisant hépatique ou rénal</w:t>
      </w:r>
      <w:r>
        <w:t xml:space="preserve"> : pas d'adaptation posologique</w:t>
      </w:r>
    </w:p>
    <w:p>
      <w:pPr>
        <w:pStyle w:val="ListBullet"/>
      </w:pPr>
      <w:r/>
      <w:r>
        <w:rPr>
          <w:b/>
        </w:rPr>
        <w:t>Enfant &gt; 1 an</w:t>
      </w:r>
      <w:r>
        <w:t xml:space="preserve"> : en milieu spécialisé</w:t>
      </w:r>
    </w:p>
    <w:p>
      <w:pPr>
        <w:pStyle w:val="ListBullet"/>
      </w:pPr>
      <w:r/>
      <w:r>
        <w:rPr>
          <w:b/>
        </w:rPr>
        <w:t>Lentilles de contact</w:t>
      </w:r>
      <w:r>
        <w:t xml:space="preserve"> : retirer avant instillation, attendre 15 minutes avant remise</w:t>
      </w:r>
    </w:p>
    <w:p>
      <w:pPr>
        <w:pStyle w:val="ListBullet"/>
      </w:pPr>
      <w:r/>
      <w:r>
        <w:rPr>
          <w:b/>
        </w:rPr>
        <w:t>Durée</w:t>
      </w:r>
      <w:r>
        <w:t xml:space="preserve"> : chronique, à vie</w:t>
      </w:r>
    </w:p>
    <w:p>
      <w:pPr>
        <w:pStyle w:val="Heading3"/>
      </w:pPr>
      <w:r>
        <w:t>141.16.9 Formes galéniques et arbitrage</w:t>
      </w:r>
    </w:p>
    <w:p>
      <w:r>
        <w:t>Une seule forme galénique disponible en Algérie : le collyre en solution à 0,1 mg/mL (0,01 %) ou 0,3 mg/mL (0,03 %), avec conservateur (BAK), flacon de 3 mL. Conservation 1 mois après ouverture.</w:t>
      </w:r>
    </w:p>
    <w:p>
      <w:r>
        <w:t>Aucune forme sans conservateur n'est disponible en Algérie pour le bimatoprost. En cas d'intolérance au BAK, se tourner vers le latanoprost en unidoses sans conservateur (Monoprost® Thea).</w:t>
      </w:r>
    </w:p>
    <w:p>
      <w:r>
        <w:t>L'arbitrage entre bimatoprost 0,01 % et 0,03 % repose sur la tolérance : la concentration 0,01 % a une efficacité équivalente et une meilleure tolérance locale (hyperhémie moindre), à privilégier en première intention.</w:t>
      </w:r>
    </w:p>
    <w:p>
      <w:pPr>
        <w:pStyle w:val="Heading3"/>
      </w:pPr>
      <w:r>
        <w:t>141.16.10 Instructions et conseils au patient</w:t>
      </w:r>
    </w:p>
    <w:p>
      <w:r>
        <w:t>Conseils identiques au latanoprost : technique d'instillation, heure vespérale fixe, effets locaux attendus (hyperhémie initiale, pigmentation irienne irréversible, hypertrichose), surveillance ophtalmologique, oubli de dose, hygiène du flacon, lentilles, grossesse. Préciser que le bimatoprost à 0,01 % est la concentration à privilégier (efficacité équivalente, meilleure tolérance). Insister sur la surveillance de l'hyperhémie en début de traitement (parfois plus marquée qu'avec le latanoprost).</w:t>
      </w:r>
    </w:p>
    <w:p>
      <w:pPr>
        <w:pStyle w:val="Heading3"/>
      </w:pPr>
      <w:r>
        <w:t>141.16.11 Pièges au comptoir</w:t>
      </w:r>
    </w:p>
    <w:p>
      <w:pPr>
        <w:pStyle w:val="ListBullet"/>
      </w:pPr>
      <w:r/>
      <w:r>
        <w:rPr>
          <w:b/>
        </w:rPr>
        <w:t>Femme en âge de procréer</w:t>
      </w:r>
      <w:r>
        <w:t xml:space="preserve"> : s'assurer d'une contraception efficace avant dispensation</w:t>
      </w:r>
    </w:p>
    <w:p>
      <w:pPr>
        <w:pStyle w:val="ListBullet"/>
      </w:pPr>
      <w:r/>
      <w:r>
        <w:rPr>
          <w:b/>
        </w:rPr>
        <w:t>Patient pseudophake</w:t>
      </w:r>
      <w:r>
        <w:t xml:space="preserve"> : signaler au prescripteur — risque d'œdème maculaire cystoïde</w:t>
      </w:r>
    </w:p>
    <w:p>
      <w:pPr>
        <w:pStyle w:val="ListBullet"/>
      </w:pPr>
      <w:r/>
      <w:r>
        <w:rPr>
          <w:b/>
        </w:rPr>
        <w:t>Hyperhémie au début</w:t>
      </w:r>
      <w:r>
        <w:t xml:space="preserve"> : rassurer, ne pas arrêter ; si persistante au-delà de 6 semaines, proposer la concentration 0,01 % ou changer de classe</w:t>
      </w:r>
    </w:p>
    <w:p>
      <w:pPr>
        <w:pStyle w:val="ListBullet"/>
      </w:pPr>
      <w:r/>
      <w:r>
        <w:rPr>
          <w:b/>
        </w:rPr>
        <w:t>Modification de la couleur de l'iris</w:t>
      </w:r>
      <w:r>
        <w:t xml:space="preserve"> : informer avant initiation ; photo couleur de l'iris à l'initiation</w:t>
      </w:r>
    </w:p>
    <w:p>
      <w:pPr>
        <w:pStyle w:val="ListBullet"/>
      </w:pPr>
      <w:r/>
      <w:r>
        <w:rPr>
          <w:b/>
        </w:rPr>
        <w:t>Confusion entre les deux dosages</w:t>
      </w:r>
      <w:r>
        <w:t xml:space="preserve"> : vérifier l'ordonnance — ne pas substituer 0,01 % par 0,03 % sans avis</w:t>
      </w:r>
    </w:p>
    <w:p>
      <w:pPr>
        <w:pStyle w:val="ListBullet"/>
      </w:pPr>
      <w:r/>
      <w:r>
        <w:rPr>
          <w:b/>
        </w:rPr>
        <w:t>Hypertrichose marquée</w:t>
      </w:r>
      <w:r>
        <w:t xml:space="preserve"> : effet attendu, parfois plus marqué qu'avec le latanoprost — à signaler au patient</w:t>
      </w:r>
    </w:p>
    <w:p>
      <w:pPr>
        <w:pStyle w:val="ListBullet"/>
      </w:pPr>
      <w:r/>
      <w:r>
        <w:rPr>
          <w:b/>
        </w:rPr>
        <w:t>Date d'ouverture</w:t>
      </w:r>
      <w:r>
        <w:t xml:space="preserve"> : inscrire sur le flacon ; jeter à 1 mois</w:t>
      </w:r>
    </w:p>
    <w:p>
      <w:pPr>
        <w:pStyle w:val="ListBullet"/>
      </w:pPr>
      <w:r/>
      <w:r>
        <w:rPr>
          <w:b/>
        </w:rPr>
        <w:t>Disponibilité</w:t>
      </w:r>
      <w:r>
        <w:t xml:space="preserve"> : LUMERA® est parfois en rupture de stock en Algérie — prévoir une alternative (latanoprost)</w:t>
      </w:r>
    </w:p>
    <w:p>
      <w:pPr>
        <w:pStyle w:val="ListBullet"/>
      </w:pPr>
      <w:r/>
      <w:r>
        <w:rPr>
          <w:b/>
        </w:rPr>
        <w:t>Coût</w:t>
      </w:r>
      <w:r>
        <w:t xml:space="preserve"> : comparable au latanoprost générique (700-1200 DA/mois)</w:t>
      </w:r>
    </w:p>
    <w:p>
      <w:pPr>
        <w:pStyle w:val="ListBullet"/>
      </w:pPr>
      <w:r/>
      <w:r>
        <w:rPr>
          <w:b/>
        </w:rPr>
        <w:t>Patient en bithérapie</w:t>
      </w:r>
      <w:r>
        <w:t xml:space="preserve"> : vérifier l'espacement de 5 minutes entre les instillations</w:t>
      </w:r>
    </w:p>
    <w:p>
      <w:pPr>
        <w:pStyle w:val="Heading2"/>
      </w:pPr>
      <w:r>
        <w:t>141.17 DCI : Apraclonidine/Clonidine (usage ophtalmique)</w:t>
      </w:r>
    </w:p>
    <w:p>
      <w:pPr>
        <w:pStyle w:val="Heading3"/>
      </w:pPr>
      <w:r>
        <w:t>141.17.1 Catégories thérapeutiques et place dans la stratégie</w:t>
      </w:r>
    </w:p>
    <w:p>
      <w:pPr>
        <w:pStyle w:val="ListBullet"/>
      </w:pPr>
      <w:r/>
      <w:r>
        <w:rPr>
          <w:b/>
        </w:rPr>
        <w:t>Classe ATC</w:t>
      </w:r>
      <w:r>
        <w:t xml:space="preserve"> : S01EA01 (Apraclonidine) ; N02CX02 (Clonidine, usage systémique)</w:t>
      </w:r>
    </w:p>
    <w:p>
      <w:pPr>
        <w:pStyle w:val="ListBullet"/>
      </w:pPr>
      <w:r/>
      <w:r>
        <w:rPr>
          <w:b/>
        </w:rPr>
        <w:t>Sous-classe pharmacologique</w:t>
      </w:r>
      <w:r>
        <w:t xml:space="preserve"> : Agoniste α2-adrénergique (apraclonidine, clonidine)</w:t>
      </w:r>
    </w:p>
    <w:p>
      <w:pPr>
        <w:pStyle w:val="ListBullet"/>
      </w:pPr>
      <w:r/>
      <w:r>
        <w:rPr>
          <w:b/>
        </w:rPr>
        <w:t>Liste des médicaments</w:t>
      </w:r>
      <w:r>
        <w:t xml:space="preserve"> : Liste II (clonidine, prescription médicale mais classée stupéfiant-like dans certains pays — en Algérie, Liste II)</w:t>
      </w:r>
    </w:p>
    <w:p>
      <w:pPr>
        <w:pStyle w:val="ListBullet"/>
      </w:pPr>
      <w:r/>
      <w:r>
        <w:rPr>
          <w:b/>
        </w:rPr>
        <w:t>Statut réglementaire Algérie</w:t>
      </w:r>
      <w:r>
        <w:t xml:space="preserve"> : Liste II, clonidine commercialisée (CLONIDEX, CLONIDINA CLORIDRATO, CRONIDINE, CATAPRESSAN NR, BARCLYD R) ; apraclonidine NON disponible en collyre</w:t>
      </w:r>
    </w:p>
    <w:p>
      <w:pPr>
        <w:pStyle w:val="ListBullet"/>
      </w:pPr>
      <w:r/>
      <w:r>
        <w:rPr>
          <w:b/>
        </w:rPr>
        <w:t>Place dans la stratégie</w:t>
      </w:r>
      <w:r>
        <w:t xml:space="preserve"> (EGS 2023) : </w:t>
      </w:r>
      <w:r>
        <w:rPr>
          <w:b/>
        </w:rPr>
        <w:t>Hors AMM ophtalmologique en Algérie</w:t>
      </w:r>
      <w:r>
        <w:t xml:space="preserve"> — la clonidine systémique a été historiquement utilisée par voie orale à faible dose comme traitement d'appoint du glaucome à angle ouvert dans les années 1970-1980, mais a été supplantée par les β-bloquants topiques et les prostaglandines. L'apraclonidine (collyre 0,5 %, 1 %) et la brimonidine (collyre 0,1 %, 0,15 %, 0,2 %) sont les agonistes α2-adrénergiques topiques de référence dans le monde, mais ne sont PAS disponibles en Algérie en collyre — la prescription éventuelle nécessite une importation ATU.</w:t>
      </w:r>
    </w:p>
    <w:p>
      <w:pPr>
        <w:pStyle w:val="ListBullet"/>
      </w:pPr>
      <w:r/>
      <w:r>
        <w:rPr>
          <w:b/>
        </w:rPr>
        <w:t>Index thérapeutique</w:t>
      </w:r>
      <w:r>
        <w:t xml:space="preserve"> : Étroit pour la clonidine (effets systémiques à la moindre dose)</w:t>
      </w:r>
    </w:p>
    <w:p>
      <w:pPr>
        <w:pStyle w:val="ListBullet"/>
      </w:pPr>
      <w:r/>
      <w:r>
        <w:rPr>
          <w:b/>
        </w:rPr>
        <w:t>Grossesse/Allaitement</w:t>
      </w:r>
      <w:r>
        <w:t xml:space="preserve"> : À éviter (sauf hypertonie sévère)</w:t>
      </w:r>
    </w:p>
    <w:p>
      <w:r>
        <w:t xml:space="preserve">Cette classe mérite un développement spécifique en raison de sa spécificité algérienne : la nomenclature nationale ne comprend que la </w:t>
      </w:r>
      <w:r>
        <w:rPr>
          <w:b/>
        </w:rPr>
        <w:t>clonidine</w:t>
      </w:r>
      <w:r>
        <w:t xml:space="preserve"> (en formes orale et injectable, sous les marques CLONIDEX, CLONIDINA CLORIDRATO, CRONIDINE, CATAPRESSAN®), utilisée principalement en cardiologie pour l'hypertension artérielle résistante, le sevrage aux opioïdes, ou la prévention des crises de migraine. Son usage ophtalmologique stricto sensu est exceptionnel en Algérie, et n'a pas d'AMM locale. Néanmoins, le pharmacien d'officine doit connaître l'existence de cette classe pour répondre aux demandes de patients ayant eu une prescription à l'étranger (apraclonidine, brimonidine), pour signaler l'indisponibilité en Algérie, et pour comprendre les interactions potentielles en cas de co-prescription avec un traitement ophtalmologique classique.</w:t>
      </w:r>
    </w:p>
    <w:p>
      <w:pPr>
        <w:pStyle w:val="Heading3"/>
      </w:pPr>
      <w:r>
        <w:t>141.17.2 Médicaments disponibles en Algérie</w:t>
      </w:r>
    </w:p>
    <w:p>
      <w:r>
        <w:t xml:space="preserve">La nomenclature algérienne Avril 2026 ne comprend que la </w:t>
      </w:r>
      <w:r>
        <w:rPr>
          <w:b/>
        </w:rPr>
        <w:t>clonidine</w:t>
      </w:r>
      <w:r>
        <w:t xml:space="preserve"> (chlorhydrate) en formes systémiques. Les collyres d'apraclonidine (Iopidine®) et de brimonidine (Alphagan P®) ne sont PAS commercialisés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CLONIDEX 150 µg/mL</w:t>
            </w:r>
          </w:p>
        </w:tc>
        <w:tc>
          <w:tcPr>
            <w:tcW w:type="dxa" w:w="1559"/>
          </w:tcPr>
          <w:p>
            <w:r>
              <w:rPr>
                <w:sz w:val="20"/>
              </w:rPr>
              <w:t>LES LABORATOIRES FRATER RAZES</w:t>
            </w:r>
          </w:p>
        </w:tc>
        <w:tc>
          <w:tcPr>
            <w:tcW w:type="dxa" w:w="1559"/>
          </w:tcPr>
          <w:p>
            <w:r>
              <w:rPr>
                <w:sz w:val="20"/>
              </w:rPr>
              <w:t>Solution injectable IM/IV ou perfusion — 150 µg/mL</w:t>
            </w:r>
          </w:p>
        </w:tc>
        <w:tc>
          <w:tcPr>
            <w:tcW w:type="dxa" w:w="1559"/>
          </w:tcPr>
          <w:p>
            <w:r>
              <w:rPr>
                <w:sz w:val="20"/>
              </w:rPr>
              <w:t>B/30 ampoules de 1 mL</w:t>
            </w:r>
          </w:p>
        </w:tc>
        <w:tc>
          <w:tcPr>
            <w:tcW w:type="dxa" w:w="1559"/>
          </w:tcPr>
          <w:p>
            <w:r>
              <w:rPr>
                <w:sz w:val="20"/>
              </w:rPr>
              <w:t>LISTE II</w:t>
            </w:r>
          </w:p>
        </w:tc>
        <w:tc>
          <w:tcPr>
            <w:tcW w:type="dxa" w:w="1559"/>
          </w:tcPr>
          <w:p>
            <w:r>
              <w:rPr>
                <w:sz w:val="20"/>
              </w:rPr>
              <w:t>ACTIF</w:t>
            </w:r>
          </w:p>
        </w:tc>
      </w:tr>
      <w:tr>
        <w:tc>
          <w:tcPr>
            <w:tcW w:type="dxa" w:w="1559"/>
          </w:tcPr>
          <w:p>
            <w:r>
              <w:rPr>
                <w:sz w:val="20"/>
              </w:rPr>
              <w:t>CLONIDEX 150 µg/mL (ampoules 2 mL)</w:t>
            </w:r>
          </w:p>
        </w:tc>
        <w:tc>
          <w:tcPr>
            <w:tcW w:type="dxa" w:w="1559"/>
          </w:tcPr>
          <w:p>
            <w:r>
              <w:rPr>
                <w:sz w:val="20"/>
              </w:rPr>
              <w:t>LES LABORATOIRES FRATER RAZES</w:t>
            </w:r>
          </w:p>
        </w:tc>
        <w:tc>
          <w:tcPr>
            <w:tcW w:type="dxa" w:w="1559"/>
          </w:tcPr>
          <w:p>
            <w:r>
              <w:rPr>
                <w:sz w:val="20"/>
              </w:rPr>
              <w:t>Solution injectable pour perfusion IM/IV — 150 µg/mL</w:t>
            </w:r>
          </w:p>
        </w:tc>
        <w:tc>
          <w:tcPr>
            <w:tcW w:type="dxa" w:w="1559"/>
          </w:tcPr>
          <w:p>
            <w:r>
              <w:rPr>
                <w:sz w:val="20"/>
              </w:rPr>
              <w:t>B/30 ampoules de 2 mL en verre type I transparent contenant 1 mL de solution</w:t>
            </w:r>
          </w:p>
        </w:tc>
        <w:tc>
          <w:tcPr>
            <w:tcW w:type="dxa" w:w="1559"/>
          </w:tcPr>
          <w:p>
            <w:r>
              <w:rPr>
                <w:sz w:val="20"/>
              </w:rPr>
              <w:t>LISTE II</w:t>
            </w:r>
          </w:p>
        </w:tc>
        <w:tc>
          <w:tcPr>
            <w:tcW w:type="dxa" w:w="1559"/>
          </w:tcPr>
          <w:p>
            <w:r>
              <w:rPr>
                <w:sz w:val="20"/>
              </w:rPr>
              <w:t>ACTIF</w:t>
            </w:r>
          </w:p>
        </w:tc>
      </w:tr>
      <w:tr>
        <w:tc>
          <w:tcPr>
            <w:tcW w:type="dxa" w:w="1559"/>
          </w:tcPr>
          <w:p>
            <w:r>
              <w:rPr>
                <w:sz w:val="20"/>
              </w:rPr>
              <w:t>CLONIDINA CLORIDRATO</w:t>
            </w:r>
          </w:p>
        </w:tc>
        <w:tc>
          <w:tcPr>
            <w:tcW w:type="dxa" w:w="1559"/>
          </w:tcPr>
          <w:p>
            <w:r>
              <w:rPr>
                <w:sz w:val="20"/>
              </w:rPr>
              <w:t>BIO INDUSTRIA L.I.M S.P.A</w:t>
            </w:r>
          </w:p>
        </w:tc>
        <w:tc>
          <w:tcPr>
            <w:tcW w:type="dxa" w:w="1559"/>
          </w:tcPr>
          <w:p>
            <w:r>
              <w:rPr>
                <w:sz w:val="20"/>
              </w:rPr>
              <w:t>Solution injectable — 150 µg/mL</w:t>
            </w:r>
          </w:p>
        </w:tc>
        <w:tc>
          <w:tcPr>
            <w:tcW w:type="dxa" w:w="1559"/>
          </w:tcPr>
          <w:p>
            <w:r>
              <w:rPr>
                <w:sz w:val="20"/>
              </w:rPr>
              <w:t>B/10 ampoules de 1 mL</w:t>
            </w:r>
          </w:p>
        </w:tc>
        <w:tc>
          <w:tcPr>
            <w:tcW w:type="dxa" w:w="1559"/>
          </w:tcPr>
          <w:p>
            <w:r>
              <w:rPr>
                <w:sz w:val="20"/>
              </w:rPr>
              <w:t>LISTE II</w:t>
            </w:r>
          </w:p>
        </w:tc>
        <w:tc>
          <w:tcPr>
            <w:tcW w:type="dxa" w:w="1559"/>
          </w:tcPr>
          <w:p>
            <w:r>
              <w:rPr>
                <w:sz w:val="20"/>
              </w:rPr>
              <w:t>ACTIF</w:t>
            </w:r>
          </w:p>
        </w:tc>
      </w:tr>
      <w:tr>
        <w:tc>
          <w:tcPr>
            <w:tcW w:type="dxa" w:w="1559"/>
          </w:tcPr>
          <w:p>
            <w:r>
              <w:rPr>
                <w:sz w:val="20"/>
              </w:rPr>
              <w:t>CRONIDINE</w:t>
            </w:r>
          </w:p>
        </w:tc>
        <w:tc>
          <w:tcPr>
            <w:tcW w:type="dxa" w:w="1559"/>
          </w:tcPr>
          <w:p>
            <w:r>
              <w:rPr>
                <w:sz w:val="20"/>
              </w:rPr>
              <w:t>FARMACEUTICI CROVIS PH.I.L.COM</w:t>
            </w:r>
          </w:p>
        </w:tc>
        <w:tc>
          <w:tcPr>
            <w:tcW w:type="dxa" w:w="1559"/>
          </w:tcPr>
          <w:p>
            <w:r>
              <w:rPr>
                <w:sz w:val="20"/>
              </w:rPr>
              <w:t>Comprimé — 0,15 mg</w:t>
            </w:r>
          </w:p>
        </w:tc>
        <w:tc>
          <w:tcPr>
            <w:tcW w:type="dxa" w:w="1559"/>
          </w:tcPr>
          <w:p>
            <w:r>
              <w:rPr>
                <w:sz w:val="20"/>
              </w:rPr>
              <w:t>B/20</w:t>
            </w:r>
          </w:p>
        </w:tc>
        <w:tc>
          <w:tcPr>
            <w:tcW w:type="dxa" w:w="1559"/>
          </w:tcPr>
          <w:p>
            <w:r>
              <w:rPr>
                <w:sz w:val="20"/>
              </w:rPr>
              <w:t>LISTE II</w:t>
            </w:r>
          </w:p>
        </w:tc>
        <w:tc>
          <w:tcPr>
            <w:tcW w:type="dxa" w:w="1559"/>
          </w:tcPr>
          <w:p>
            <w:r>
              <w:rPr>
                <w:sz w:val="20"/>
              </w:rPr>
              <w:t>ACTIF</w:t>
            </w:r>
          </w:p>
        </w:tc>
      </w:tr>
      <w:tr>
        <w:tc>
          <w:tcPr>
            <w:tcW w:type="dxa" w:w="1559"/>
          </w:tcPr>
          <w:p>
            <w:r>
              <w:rPr>
                <w:sz w:val="20"/>
              </w:rPr>
              <w:t>CATAPRESSAN injectable (NR)</w:t>
            </w:r>
          </w:p>
        </w:tc>
        <w:tc>
          <w:tcPr>
            <w:tcW w:type="dxa" w:w="1559"/>
          </w:tcPr>
          <w:p>
            <w:r>
              <w:rPr>
                <w:sz w:val="20"/>
              </w:rPr>
              <w:t>BOEHRINGER INGELHEIM</w:t>
            </w:r>
          </w:p>
        </w:tc>
        <w:tc>
          <w:tcPr>
            <w:tcW w:type="dxa" w:w="1559"/>
          </w:tcPr>
          <w:p>
            <w:r>
              <w:rPr>
                <w:sz w:val="20"/>
              </w:rPr>
              <w:t>Solution injectable — 0,15 mg/mL</w:t>
            </w:r>
          </w:p>
        </w:tc>
        <w:tc>
          <w:tcPr>
            <w:tcW w:type="dxa" w:w="1559"/>
          </w:tcPr>
          <w:p>
            <w:r>
              <w:rPr>
                <w:sz w:val="20"/>
              </w:rPr>
              <w:t>B/30</w:t>
            </w:r>
          </w:p>
        </w:tc>
        <w:tc>
          <w:tcPr>
            <w:tcW w:type="dxa" w:w="1559"/>
          </w:tcPr>
          <w:p>
            <w:r>
              <w:rPr>
                <w:sz w:val="20"/>
              </w:rPr>
              <w:t>LISTE II</w:t>
            </w:r>
          </w:p>
        </w:tc>
        <w:tc>
          <w:tcPr>
            <w:tcW w:type="dxa" w:w="1559"/>
          </w:tcPr>
          <w:p>
            <w:r>
              <w:rPr>
                <w:sz w:val="20"/>
              </w:rPr>
              <w:t>NON_RENOUVELABLE</w:t>
            </w:r>
          </w:p>
        </w:tc>
      </w:tr>
      <w:tr>
        <w:tc>
          <w:tcPr>
            <w:tcW w:type="dxa" w:w="1559"/>
          </w:tcPr>
          <w:p>
            <w:r>
              <w:rPr>
                <w:sz w:val="20"/>
              </w:rPr>
              <w:t>CATAPRESSAN comprimé (NR)</w:t>
            </w:r>
          </w:p>
        </w:tc>
        <w:tc>
          <w:tcPr>
            <w:tcW w:type="dxa" w:w="1559"/>
          </w:tcPr>
          <w:p>
            <w:r>
              <w:rPr>
                <w:sz w:val="20"/>
              </w:rPr>
              <w:t>BOEHRINGER INGELHEIM</w:t>
            </w:r>
          </w:p>
        </w:tc>
        <w:tc>
          <w:tcPr>
            <w:tcW w:type="dxa" w:w="1559"/>
          </w:tcPr>
          <w:p>
            <w:r>
              <w:rPr>
                <w:sz w:val="20"/>
              </w:rPr>
              <w:t>Comprimé — 0,15 mg</w:t>
            </w:r>
          </w:p>
        </w:tc>
        <w:tc>
          <w:tcPr>
            <w:tcW w:type="dxa" w:w="1559"/>
          </w:tcPr>
          <w:p>
            <w:r>
              <w:rPr>
                <w:sz w:val="20"/>
              </w:rPr>
              <w:t>B/20</w:t>
            </w:r>
          </w:p>
        </w:tc>
        <w:tc>
          <w:tcPr>
            <w:tcW w:type="dxa" w:w="1559"/>
          </w:tcPr>
          <w:p>
            <w:r>
              <w:rPr>
                <w:sz w:val="20"/>
              </w:rPr>
              <w:t>LISTE II</w:t>
            </w:r>
          </w:p>
        </w:tc>
        <w:tc>
          <w:tcPr>
            <w:tcW w:type="dxa" w:w="1559"/>
          </w:tcPr>
          <w:p>
            <w:r>
              <w:rPr>
                <w:sz w:val="20"/>
              </w:rPr>
              <w:t>NON_RENOUVELABLE</w:t>
            </w:r>
          </w:p>
        </w:tc>
      </w:tr>
      <w:tr>
        <w:tc>
          <w:tcPr>
            <w:tcW w:type="dxa" w:w="1559"/>
          </w:tcPr>
          <w:p>
            <w:r>
              <w:rPr>
                <w:sz w:val="20"/>
              </w:rPr>
              <w:t>BARCLYD (R)</w:t>
            </w:r>
          </w:p>
        </w:tc>
        <w:tc>
          <w:tcPr>
            <w:tcW w:type="dxa" w:w="1559"/>
          </w:tcPr>
          <w:p>
            <w:r>
              <w:rPr>
                <w:sz w:val="20"/>
              </w:rPr>
              <w:t>BIOGALENIQUE</w:t>
            </w:r>
          </w:p>
        </w:tc>
        <w:tc>
          <w:tcPr>
            <w:tcW w:type="dxa" w:w="1559"/>
          </w:tcPr>
          <w:p>
            <w:r>
              <w:rPr>
                <w:sz w:val="20"/>
              </w:rPr>
              <w:t>Comprimé — 0,15 mg</w:t>
            </w:r>
          </w:p>
        </w:tc>
        <w:tc>
          <w:tcPr>
            <w:tcW w:type="dxa" w:w="1559"/>
          </w:tcPr>
          <w:p>
            <w:r>
              <w:rPr>
                <w:sz w:val="20"/>
              </w:rPr>
              <w:t>B/30</w:t>
            </w:r>
          </w:p>
        </w:tc>
        <w:tc>
          <w:tcPr>
            <w:tcW w:type="dxa" w:w="1559"/>
          </w:tcPr>
          <w:p>
            <w:r>
              <w:rPr>
                <w:sz w:val="20"/>
              </w:rPr>
              <w:t>Liste II</w:t>
            </w:r>
          </w:p>
        </w:tc>
        <w:tc>
          <w:tcPr>
            <w:tcW w:type="dxa" w:w="1559"/>
          </w:tcPr>
          <w:p>
            <w:r>
              <w:rPr>
                <w:sz w:val="20"/>
              </w:rPr>
              <w:t>RETRAIT</w:t>
            </w:r>
          </w:p>
        </w:tc>
      </w:tr>
    </w:tbl>
    <w:p/>
    <w:p>
      <w:pPr>
        <w:pStyle w:val="Heading3"/>
      </w:pPr>
      <w:r>
        <w:t>141.17.3 Mécanisme d'action détaillé</w:t>
      </w:r>
    </w:p>
    <w:p>
      <w:r>
        <w:t xml:space="preserve">La </w:t>
      </w:r>
      <w:r>
        <w:rPr>
          <w:b/>
        </w:rPr>
        <w:t>clonidine</w:t>
      </w:r>
      <w:r>
        <w:t xml:space="preserve"> est un agoniste α2-adrénergique imidazolique (2-(2,6-dichlorophényl)-2-imidazoline), agoniste direct des récepteurs α2 pré- et post-synaptiques. Au niveau central, elle stimule les récepteurs α2 du tronc cérébral (locus coeruleus, bulbe rachidien), entraînant une réduction de la libération d'adrénaline et de noradrénaline au niveau des synapses sympathiques, et donc une baisse de la pression artérielle, de la fréquence cardiaque et du tonus sympathique. Au niveau périphérique (corps ciliaire), la stimulation des récepteurs α2 réduit la production d'humeur aqueuse via la baisse de l'AMPc (inhibition de l'adénylcyclase) et augmente modestement la résorption uvéo-sclérale.</w:t>
      </w:r>
    </w:p>
    <w:p>
      <w:r>
        <w:t>L'</w:t>
      </w:r>
      <w:r>
        <w:rPr>
          <w:b/>
        </w:rPr>
        <w:t>apraclonidine</w:t>
      </w:r>
      <w:r>
        <w:t xml:space="preserve"> (Iopidine®, non disponible en Algérie) est un dérivé de la clonidine avec une polarité supérieure (groupement amidine), limitant le passage de la barrière hémato-encéphalique et donc les effets centraux (somnolence, hypotension). Elle est utilisée en collyre à 0,5 % et 1 % pour prévenir les poussées hypertensives post-chirurgicales (SLT, iridotomie, trabéculoplastie, chirurgie filtrante). La </w:t>
      </w:r>
      <w:r>
        <w:rPr>
          <w:b/>
        </w:rPr>
        <w:t>brimonidine</w:t>
      </w:r>
      <w:r>
        <w:t xml:space="preserve"> (Alphagan P®, non disponible en Algérie) est un agoniste α2 encore plus sélectif (rapport α2/α1 &gt; 1000×), utilisé en collyre à 0,1 %, 0,15 %, 0,2 % comme hypotonisant oculaire de première ou seconde intention, avec une efficacité intermédiaire entre β-bloquants et prostaglandines (baisse de 4 à 6 mmHg).</w:t>
      </w:r>
    </w:p>
    <w:p>
      <w:r>
        <w:t xml:space="preserve">L'efficacité hypotonisante de la clonidine par voie orale (à faible dose 0,125 mg × 2/jour, usage historique des années 1970-1980) est modeste (baisse de 2 à 4 mmHg) et largement contrebalancée par les effets systémiques : somnolence, sécheresse buccale, hypotension orthostatique, bradycardie, constipation, et surtout </w:t>
      </w:r>
      <w:r>
        <w:rPr>
          <w:b/>
        </w:rPr>
        <w:t>rebond hypertensif à l'arrêt brutal</w:t>
      </w:r>
      <w:r>
        <w:t xml:space="preserve"> (par hyperactivité sympathique réflexe). Cet effet de rebond a fait abandonner l'usage ophtalmologique de la clonidine systémique dès les années 1990, au profit des β-bloquants topiques (timolol) qui ne présentent pas cet inconvénient.</w:t>
      </w:r>
    </w:p>
    <w:p>
      <w:pPr>
        <w:pStyle w:val="Heading3"/>
      </w:pPr>
      <w:r>
        <w:t>141.17.4 Profil pharmacologique : indications, contre-indications, effets indésirables</w:t>
      </w:r>
    </w:p>
    <w:p>
      <w:pPr>
        <w:pStyle w:val="Heading4"/>
      </w:pPr>
      <w:r>
        <w:t>Indications (clonidine — usage systémique en Algérie)</w:t>
      </w:r>
    </w:p>
    <w:p>
      <w:pPr>
        <w:pStyle w:val="ListBullet"/>
      </w:pPr>
      <w:r/>
      <w:r>
        <w:rPr>
          <w:b/>
        </w:rPr>
        <w:t>Hypertension artérielle</w:t>
      </w:r>
      <w:r>
        <w:t xml:space="preserve"> : traitement de seconde intention (HTA résistante, en association)</w:t>
      </w:r>
    </w:p>
    <w:p>
      <w:pPr>
        <w:pStyle w:val="ListBullet"/>
      </w:pPr>
      <w:r/>
      <w:r>
        <w:rPr>
          <w:b/>
        </w:rPr>
        <w:t>Crises d'hypertension maligne</w:t>
      </w:r>
      <w:r>
        <w:t xml:space="preserve"> : traitement d'urgence par voie IV</w:t>
      </w:r>
    </w:p>
    <w:p>
      <w:pPr>
        <w:pStyle w:val="ListBullet"/>
      </w:pPr>
      <w:r/>
      <w:r>
        <w:rPr>
          <w:b/>
        </w:rPr>
        <w:t>Sevrage aux opioïdes</w:t>
      </w:r>
      <w:r>
        <w:t xml:space="preserve"> : traitement adjuvant des symptômes de sevrage</w:t>
      </w:r>
    </w:p>
    <w:p>
      <w:pPr>
        <w:pStyle w:val="ListBullet"/>
      </w:pPr>
      <w:r/>
      <w:r>
        <w:rPr>
          <w:b/>
        </w:rPr>
        <w:t>Ménopause</w:t>
      </w:r>
      <w:r>
        <w:t xml:space="preserve"> : traitement des bouffées de chaleur résistant aux autres thérapeutiques</w:t>
      </w:r>
    </w:p>
    <w:p>
      <w:pPr>
        <w:pStyle w:val="ListBullet"/>
      </w:pPr>
      <w:r/>
      <w:r>
        <w:rPr>
          <w:b/>
        </w:rPr>
        <w:t>Syndrome de Gilles de la Tourette</w:t>
      </w:r>
      <w:r>
        <w:t xml:space="preserve"> : traitement adjuvant (hors AMM stricte)</w:t>
      </w:r>
    </w:p>
    <w:p>
      <w:pPr>
        <w:pStyle w:val="ListBullet"/>
      </w:pPr>
      <w:r/>
      <w:r>
        <w:rPr>
          <w:b/>
        </w:rPr>
        <w:t>Migrée cataméniale</w:t>
      </w:r>
      <w:r>
        <w:t xml:space="preserve"> : traitement préventif (hors AMM stricte)</w:t>
      </w:r>
    </w:p>
    <w:p>
      <w:pPr>
        <w:pStyle w:val="ListBullet"/>
      </w:pPr>
      <w:r/>
      <w:r>
        <w:rPr>
          <w:b/>
        </w:rPr>
        <w:t>Usage ophtalmologique</w:t>
      </w:r>
      <w:r>
        <w:t xml:space="preserve"> : HORS AMM en Algérie — usage exceptionnel en cas de CI à toutes les autres classes (prostaglandines, β-bloquants, inhibiteurs AC, pilocarpine) — nécessite avis ophtalmologique spécialisé</w:t>
      </w:r>
    </w:p>
    <w:p>
      <w:pPr>
        <w:pStyle w:val="Heading4"/>
      </w:pPr>
      <w:r>
        <w:t>Contre-indications (clonidine — usage systémique)</w:t>
      </w:r>
    </w:p>
    <w:p>
      <w:pPr>
        <w:pStyle w:val="ListBullet"/>
      </w:pPr>
      <w:r/>
      <w:r>
        <w:rPr>
          <w:b/>
        </w:rPr>
        <w:t>Contre-indications absolues</w:t>
      </w:r>
      <w:r>
        <w:t xml:space="preserve"> :</w:t>
      </w:r>
    </w:p>
    <w:p>
      <w:pPr>
        <w:pStyle w:val="ListBullet"/>
      </w:pPr>
      <w:r>
        <w:t>Hypersensibilité à la clonidine</w:t>
      </w:r>
    </w:p>
    <w:p>
      <w:pPr>
        <w:pStyle w:val="ListBullet"/>
      </w:pPr>
      <w:r>
        <w:t>Bradycardie sinusale sévère (&lt; 50 bpm)</w:t>
      </w:r>
    </w:p>
    <w:p>
      <w:pPr>
        <w:pStyle w:val="ListBullet"/>
      </w:pPr>
      <w:r>
        <w:t>Bloc sino-auriculaire ou bloc auriculo-ventriculaire du 2ᵉ ou 3ᵉ degré non appareillé</w:t>
      </w:r>
    </w:p>
    <w:p>
      <w:pPr>
        <w:pStyle w:val="ListBullet"/>
      </w:pPr>
      <w:r>
        <w:t>Syndrome de Raynaud sévère, artériopathie oblitérante des membres inférieurs sévère</w:t>
      </w:r>
    </w:p>
    <w:p>
      <w:pPr>
        <w:pStyle w:val="ListBullet"/>
      </w:pPr>
      <w:r>
        <w:t>Phéochromocytome (risque de crise hypertensive par stimulation α1)</w:t>
      </w:r>
    </w:p>
    <w:p>
      <w:pPr>
        <w:pStyle w:val="ListBullet"/>
      </w:pPr>
      <w:r>
        <w:t>Grossesse (au 1er trimestre, risque tératogène théorique ; à discuter ensuite)</w:t>
      </w:r>
    </w:p>
    <w:p>
      <w:pPr>
        <w:pStyle w:val="ListBullet"/>
      </w:pPr>
      <w:r>
        <w:t>Allaitement (passe dans le lait maternel, risque d'hypotension chez le nourrisson)</w:t>
      </w:r>
    </w:p>
    <w:p>
      <w:pPr>
        <w:pStyle w:val="ListBullet"/>
      </w:pPr>
      <w:r/>
      <w:r>
        <w:rPr>
          <w:b/>
        </w:rPr>
        <w:t>Contre-indications relatives</w:t>
      </w:r>
      <w:r>
        <w:t xml:space="preserve"> :</w:t>
      </w:r>
    </w:p>
    <w:p>
      <w:pPr>
        <w:pStyle w:val="ListBullet"/>
      </w:pPr>
      <w:r>
        <w:t>Dépression (la clonidine peut aggraver une dépression préexistante)</w:t>
      </w:r>
    </w:p>
    <w:p>
      <w:pPr>
        <w:pStyle w:val="ListBullet"/>
      </w:pPr>
      <w:r>
        <w:t>Insuffisance rénale (adaptation posologique nécessaire)</w:t>
      </w:r>
    </w:p>
    <w:p>
      <w:pPr>
        <w:pStyle w:val="ListBullet"/>
      </w:pPr>
      <w:r>
        <w:t>Sujet âgé (risque d'hypotension orthostatique)</w:t>
      </w:r>
    </w:p>
    <w:p>
      <w:pPr>
        <w:pStyle w:val="ListBullet"/>
      </w:pPr>
      <w:r>
        <w:t>Diabète (modification de la tolérance glucidique)</w:t>
      </w:r>
    </w:p>
    <w:p>
      <w:pPr>
        <w:pStyle w:val="ListBullet"/>
      </w:pPr>
      <w:r>
        <w:t>Polyuréme (interaction avec les diurétiques)</w:t>
      </w:r>
    </w:p>
    <w:p>
      <w:pPr>
        <w:pStyle w:val="Heading4"/>
      </w:pPr>
      <w:r>
        <w:t>Effets indésirables (clonidine — usage systémique)</w:t>
      </w:r>
    </w:p>
    <w:p>
      <w:r/>
      <w:r>
        <w:rPr>
          <w:b/>
        </w:rPr>
        <w:t>Cardiovasculaires</w:t>
      </w:r>
      <w:r>
        <w:t xml:space="preserve"> :</w:t>
      </w:r>
    </w:p>
    <w:p>
      <w:pPr>
        <w:pStyle w:val="ListBullet"/>
      </w:pPr>
      <w:r>
        <w:t>Bradycardie sinusale</w:t>
      </w:r>
    </w:p>
    <w:p>
      <w:pPr>
        <w:pStyle w:val="ListBullet"/>
      </w:pPr>
      <w:r>
        <w:t>Hypotension orthostatique (surtout en début de traitement)</w:t>
      </w:r>
    </w:p>
    <w:p>
      <w:pPr>
        <w:pStyle w:val="ListBullet"/>
      </w:pPr>
      <w:r>
        <w:t>BAV (rare)</w:t>
      </w:r>
    </w:p>
    <w:p>
      <w:pPr>
        <w:pStyle w:val="ListBullet"/>
      </w:pPr>
      <w:r/>
      <w:r>
        <w:rPr>
          <w:b/>
        </w:rPr>
        <w:t>Rebond hypertensif à l'arrêt brutal</w:t>
      </w:r>
      <w:r>
        <w:t xml:space="preserve"> (effet caractéristique — nécessite arrêt progressif sur 7-10 jours)</w:t>
      </w:r>
    </w:p>
    <w:p>
      <w:r/>
      <w:r>
        <w:rPr>
          <w:b/>
        </w:rPr>
        <w:t>Neurologiques et psychiatriques</w:t>
      </w:r>
      <w:r>
        <w:t xml:space="preserve"> :</w:t>
      </w:r>
    </w:p>
    <w:p>
      <w:pPr>
        <w:pStyle w:val="ListBullet"/>
      </w:pPr>
      <w:r>
        <w:t>Somnolence (très fréquente, 30-50 %)</w:t>
      </w:r>
    </w:p>
    <w:p>
      <w:pPr>
        <w:pStyle w:val="ListBullet"/>
      </w:pPr>
      <w:r>
        <w:t>Sécheresse buccale (très fréquente, 40-60 %)</w:t>
      </w:r>
    </w:p>
    <w:p>
      <w:pPr>
        <w:pStyle w:val="ListBullet"/>
      </w:pPr>
      <w:r>
        <w:t>Asthénie, fatigue</w:t>
      </w:r>
    </w:p>
    <w:p>
      <w:pPr>
        <w:pStyle w:val="ListBullet"/>
      </w:pPr>
      <w:r>
        <w:t>Céphalées</w:t>
      </w:r>
    </w:p>
    <w:p>
      <w:pPr>
        <w:pStyle w:val="ListBullet"/>
      </w:pPr>
      <w:r>
        <w:t>Vertiges</w:t>
      </w:r>
    </w:p>
    <w:p>
      <w:pPr>
        <w:pStyle w:val="ListBullet"/>
      </w:pPr>
      <w:r>
        <w:t>Dépression (signal important)</w:t>
      </w:r>
    </w:p>
    <w:p>
      <w:pPr>
        <w:pStyle w:val="ListBullet"/>
      </w:pPr>
      <w:r>
        <w:t>Cauchemars, insomnie</w:t>
      </w:r>
    </w:p>
    <w:p>
      <w:pPr>
        <w:pStyle w:val="ListBullet"/>
      </w:pPr>
      <w:r>
        <w:t>Troubles de la libido</w:t>
      </w:r>
    </w:p>
    <w:p>
      <w:r/>
      <w:r>
        <w:rPr>
          <w:b/>
        </w:rPr>
        <w:t>Digestifs</w:t>
      </w:r>
      <w:r>
        <w:t xml:space="preserve"> :</w:t>
      </w:r>
    </w:p>
    <w:p>
      <w:pPr>
        <w:pStyle w:val="ListBullet"/>
      </w:pPr>
      <w:r>
        <w:t>Constipation</w:t>
      </w:r>
    </w:p>
    <w:p>
      <w:pPr>
        <w:pStyle w:val="ListBullet"/>
      </w:pPr>
      <w:r>
        <w:t>Nausées</w:t>
      </w:r>
    </w:p>
    <w:p>
      <w:pPr>
        <w:pStyle w:val="ListBullet"/>
      </w:pPr>
      <w:r>
        <w:t>Anorexie</w:t>
      </w:r>
    </w:p>
    <w:p>
      <w:r/>
      <w:r>
        <w:rPr>
          <w:b/>
        </w:rPr>
        <w:t>Autres</w:t>
      </w:r>
      <w:r>
        <w:t xml:space="preserve"> :</w:t>
      </w:r>
    </w:p>
    <w:p>
      <w:pPr>
        <w:pStyle w:val="ListBullet"/>
      </w:pPr>
      <w:r>
        <w:t>Sécheresse oculaire (par diminution de la sécrétion lacrymale)</w:t>
      </w:r>
    </w:p>
    <w:p>
      <w:pPr>
        <w:pStyle w:val="ListBullet"/>
      </w:pPr>
      <w:r>
        <w:t>Sécheresse des muqueuses (nasale, génitale)</w:t>
      </w:r>
    </w:p>
    <w:p>
      <w:pPr>
        <w:pStyle w:val="ListBullet"/>
      </w:pPr>
      <w:r>
        <w:t>Rétention hydrosodée (contre-indication relative avec les diurétiques épargneurs de potassium)</w:t>
      </w:r>
    </w:p>
    <w:p>
      <w:pPr>
        <w:pStyle w:val="ListBullet"/>
      </w:pPr>
      <w:r>
        <w:t>Réactions allergiques cutanées (rash, prurit)</w:t>
      </w:r>
    </w:p>
    <w:p>
      <w:pPr>
        <w:pStyle w:val="ListBullet"/>
      </w:pPr>
      <w:r>
        <w:t>Gynécomastie (rare)</w:t>
      </w:r>
    </w:p>
    <w:p>
      <w:pPr>
        <w:pStyle w:val="Heading3"/>
      </w:pPr>
      <w:r>
        <w:t>141.17.5 Prévention et gestion des effets indésirables</w:t>
      </w:r>
    </w:p>
    <w:p>
      <w:pPr>
        <w:pStyle w:val="ListBullet"/>
      </w:pPr>
      <w:r/>
      <w:r>
        <w:rPr>
          <w:b/>
        </w:rPr>
        <w:t>Prévention du rebond hypertensif à l'arrêt</w:t>
      </w:r>
      <w:r>
        <w:t xml:space="preserve"> : ne JAMAIS arrêter brutalement la clonidine ; toujours réduire progressivement sur 7-10 jours (par exemple, de 0,150 mg × 3/jour à 0,150 mg × 2/jour pendant 3 jours, puis 0,150 mg × 1/jour pendant 4 jours, puis arrêt)</w:t>
      </w:r>
    </w:p>
    <w:p>
      <w:pPr>
        <w:pStyle w:val="ListBullet"/>
      </w:pPr>
      <w:r/>
      <w:r>
        <w:rPr>
          <w:b/>
        </w:rPr>
        <w:t>Surveillance tensionnelle</w:t>
      </w:r>
      <w:r>
        <w:t xml:space="preserve"> : aux 2 premières semaines, puis tous les 3 mois</w:t>
      </w:r>
    </w:p>
    <w:p>
      <w:pPr>
        <w:pStyle w:val="ListBullet"/>
      </w:pPr>
      <w:r/>
      <w:r>
        <w:rPr>
          <w:b/>
        </w:rPr>
        <w:t>Surveillance cardiaque</w:t>
      </w:r>
      <w:r>
        <w:t xml:space="preserve"> : fréquence cardiaque, ECG si trouble de conduction</w:t>
      </w:r>
    </w:p>
    <w:p>
      <w:pPr>
        <w:pStyle w:val="ListBullet"/>
      </w:pPr>
      <w:r/>
      <w:r>
        <w:rPr>
          <w:b/>
        </w:rPr>
        <w:t>Surveillance biologique</w:t>
      </w:r>
      <w:r>
        <w:t xml:space="preserve"> : ionogramme, urée, créatinine tous les 6 mois</w:t>
      </w:r>
    </w:p>
    <w:p>
      <w:pPr>
        <w:pStyle w:val="ListBullet"/>
      </w:pPr>
      <w:r/>
      <w:r>
        <w:rPr>
          <w:b/>
        </w:rPr>
        <w:t>Information du patient</w:t>
      </w:r>
      <w:r>
        <w:t xml:space="preserve"> : signaler les effets centraux (somnolence, sécheresse buccale), éviter la conduite en début de traitement</w:t>
      </w:r>
    </w:p>
    <w:p>
      <w:pPr>
        <w:pStyle w:val="ListBullet"/>
      </w:pPr>
      <w:r/>
      <w:r>
        <w:rPr>
          <w:b/>
        </w:rPr>
        <w:t>Adaptation posologique</w:t>
      </w:r>
      <w:r>
        <w:t xml:space="preserve"> : insuffisant rénal (DFG &lt; 30 mL/min) — réduire la dose de moitié</w:t>
      </w:r>
    </w:p>
    <w:p>
      <w:pPr>
        <w:pStyle w:val="ListBullet"/>
      </w:pPr>
      <w:r/>
      <w:r>
        <w:rPr>
          <w:b/>
        </w:rPr>
        <w:t>Sujet âgé</w:t>
      </w:r>
      <w:r>
        <w:t xml:space="preserve"> : commencer par dose réduite (0,075 mg × 1/jour)</w:t>
      </w:r>
    </w:p>
    <w:p>
      <w:pPr>
        <w:pStyle w:val="Heading3"/>
      </w:pPr>
      <w:r>
        <w:t>141.17.6 Interactions médicamenteuses</w:t>
      </w:r>
    </w:p>
    <w:p>
      <w:pPr>
        <w:pStyle w:val="ListBullet"/>
      </w:pPr>
      <w:r/>
      <w:r>
        <w:rPr>
          <w:b/>
        </w:rPr>
        <w:t>Associations contre-indiquées</w:t>
      </w:r>
      <w:r>
        <w:t xml:space="preserve"> :</w:t>
      </w:r>
    </w:p>
    <w:p>
      <w:pPr>
        <w:pStyle w:val="ListBullet"/>
      </w:pPr>
      <w:r>
        <w:t>IMAO (iproniazide, moclobémide, phénelzine) : risque de crise hypertensive par potentialisation</w:t>
      </w:r>
    </w:p>
    <w:p>
      <w:pPr>
        <w:pStyle w:val="ListBullet"/>
      </w:pPr>
      <w:r>
        <w:t>Tricycliques (imipramine, amitriptyline) : antagonisme de l'effet antihypertenseur</w:t>
      </w:r>
    </w:p>
    <w:p>
      <w:pPr>
        <w:pStyle w:val="ListBullet"/>
      </w:pPr>
      <w:r/>
      <w:r>
        <w:rPr>
          <w:b/>
        </w:rPr>
        <w:t>Associations déconseillées</w:t>
      </w:r>
      <w:r>
        <w:t xml:space="preserve"> :</w:t>
      </w:r>
    </w:p>
    <w:p>
      <w:pPr>
        <w:pStyle w:val="ListBullet"/>
      </w:pPr>
      <w:r>
        <w:t>β-bloquants systémiques : majoration du risque de bradycardie et de rebond hypertensif à l'arrêt</w:t>
      </w:r>
    </w:p>
    <w:p>
      <w:pPr>
        <w:pStyle w:val="ListBullet"/>
      </w:pPr>
      <w:r>
        <w:t>Digitaliques : bradycardie additive</w:t>
      </w:r>
    </w:p>
    <w:p>
      <w:pPr>
        <w:pStyle w:val="ListBullet"/>
      </w:pPr>
      <w:r>
        <w:t>Inhibiteurs calciques bradycardisants (vérapamil, diltiazem) : bradycardie additive</w:t>
      </w:r>
    </w:p>
    <w:p>
      <w:pPr>
        <w:pStyle w:val="ListBullet"/>
      </w:pPr>
      <w:r/>
      <w:r>
        <w:rPr>
          <w:b/>
        </w:rPr>
        <w:t>Associations nécessitant des précautions</w:t>
      </w:r>
      <w:r>
        <w:t xml:space="preserve"> :</w:t>
      </w:r>
    </w:p>
    <w:p>
      <w:pPr>
        <w:pStyle w:val="ListBullet"/>
      </w:pPr>
      <w:r>
        <w:t>Antihypertenseurs (IEC, ARA2, diurétiques) : majoration de l'effet hypotenseur</w:t>
      </w:r>
    </w:p>
    <w:p>
      <w:pPr>
        <w:pStyle w:val="ListBullet"/>
      </w:pPr>
      <w:r>
        <w:t>Diurétiques : hypokaliémie additive</w:t>
      </w:r>
    </w:p>
    <w:p>
      <w:pPr>
        <w:pStyle w:val="ListBullet"/>
      </w:pPr>
      <w:r>
        <w:t>Anesthésiques volatils : hypotension peranesthésique</w:t>
      </w:r>
    </w:p>
    <w:p>
      <w:pPr>
        <w:pStyle w:val="ListBullet"/>
      </w:pPr>
      <w:r>
        <w:t>Insuline, antidiabétiques oraux : modification de la tolérance glucidique</w:t>
      </w:r>
    </w:p>
    <w:p>
      <w:pPr>
        <w:pStyle w:val="ListBullet"/>
      </w:pPr>
      <w:r>
        <w:t>Neuroleptiques, sédatifs, antihistaminiques H1 sédatifs : majoration de la somnolence</w:t>
      </w:r>
    </w:p>
    <w:p>
      <w:pPr>
        <w:pStyle w:val="ListBullet"/>
      </w:pPr>
      <w:r>
        <w:t>Alcool : majoration de la somnolence et de l'hypotension</w:t>
      </w:r>
    </w:p>
    <w:p>
      <w:pPr>
        <w:pStyle w:val="ListBullet"/>
      </w:pPr>
      <w:r>
        <w:t>Méfloquine, luméfantrine : bradycardie additive</w:t>
      </w:r>
    </w:p>
    <w:p>
      <w:pPr>
        <w:pStyle w:val="ListBullet"/>
      </w:pPr>
      <w:r/>
      <w:r>
        <w:rPr>
          <w:b/>
        </w:rPr>
        <w:t>Interactions pharmacocinétiques</w:t>
      </w:r>
      <w:r>
        <w:t xml:space="preserve"> :</w:t>
      </w:r>
    </w:p>
    <w:p>
      <w:pPr>
        <w:pStyle w:val="ListBullet"/>
      </w:pPr>
      <w:r>
        <w:t>Inhibiteurs du CYP3A4 (kétoconazole, itraconazole, érythromycine, clarithromycine, ritonavir) : augmentation des concentrations plasmatiques de clonidine — surveillance clinique</w:t>
      </w:r>
    </w:p>
    <w:p>
      <w:pPr>
        <w:pStyle w:val="ListBullet"/>
      </w:pPr>
      <w:r>
        <w:t>Inducteurs du CYP3A4 (rifampicine, phénobarbital, carbamazépine) : diminution des concentrations plasmatiques de clonidine — surveillance clinique</w:t>
      </w:r>
    </w:p>
    <w:p>
      <w:pPr>
        <w:pStyle w:val="Heading3"/>
      </w:pPr>
      <w:r>
        <w:t>141.17.7 Grossesse et allaitement (CRAT)</w:t>
      </w:r>
    </w:p>
    <w:p>
      <w:pPr>
        <w:pStyle w:val="ListBullet"/>
      </w:pPr>
      <w:r/>
      <w:r>
        <w:rPr>
          <w:b/>
        </w:rPr>
        <w:t>Grossesse</w:t>
      </w:r>
      <w:r>
        <w:t xml:space="preserve"> :</w:t>
      </w:r>
    </w:p>
    <w:p>
      <w:pPr>
        <w:pStyle w:val="ListBullet"/>
      </w:pPr>
      <w:r>
        <w:t>La clonidine traverse le placenta (rapport cordon/maternel ≈ 1)</w:t>
      </w:r>
    </w:p>
    <w:p>
      <w:pPr>
        <w:pStyle w:val="ListBullet"/>
      </w:pPr>
      <w:r/>
      <w:r>
        <w:rPr>
          <w:b/>
        </w:rPr>
        <w:t>Données animales</w:t>
      </w:r>
      <w:r>
        <w:t xml:space="preserve"> : pas de tératogénicité majeure, mais embryotoxicité à doses supra-thérapeutiques</w:t>
      </w:r>
    </w:p>
    <w:p>
      <w:pPr>
        <w:pStyle w:val="ListBullet"/>
      </w:pPr>
      <w:r/>
      <w:r>
        <w:rPr>
          <w:b/>
        </w:rPr>
        <w:t>Données humaines</w:t>
      </w:r>
      <w:r>
        <w:t xml:space="preserve"> : plusieurs centaines de grossesses exposées sans augmentation du risque malformatif majeur ; cependant, cas rapportés d'hypotension néonatale, bradycardie néonatale, et détresse respiratoire néonatale en cas de traitement maternel proche du terme</w:t>
      </w:r>
    </w:p>
    <w:p>
      <w:pPr>
        <w:pStyle w:val="ListBullet"/>
      </w:pPr>
      <w:r/>
      <w:r>
        <w:rPr>
          <w:b/>
        </w:rPr>
        <w:t>Recommandation CRAT</w:t>
      </w:r>
      <w:r>
        <w:t xml:space="preserve"> : utilisation déconseillée au 1er trimestre (prudence par principe) ; au 2ᵉ et 3ᵉ trimestre, à utiliser avec prudence, surveillance du rythme cardiaque fœtal, arrêt 48-72 heures avant l'accouchement pour prévenir la bradycardie néonatale</w:t>
      </w:r>
    </w:p>
    <w:p>
      <w:pPr>
        <w:pStyle w:val="ListBullet"/>
      </w:pPr>
      <w:r>
        <w:t>En cas de nécessité absolue (HTA résistante, sevrage aux opioïdes), la clonidine peut être poursuivie pendant la grossesse sous surveillance spécialisée</w:t>
      </w:r>
    </w:p>
    <w:p>
      <w:pPr>
        <w:pStyle w:val="ListBullet"/>
      </w:pPr>
      <w:r>
        <w:t>En cas de projet de grossesse chez une patiente hypertendue, préférer un autre antihypertenseur (méthyldopa, labétalol, nicardipine) si possible</w:t>
      </w:r>
    </w:p>
    <w:p>
      <w:pPr>
        <w:pStyle w:val="ListBullet"/>
      </w:pPr>
      <w:r/>
      <w:r>
        <w:rPr>
          <w:b/>
        </w:rPr>
        <w:t>Allaitement</w:t>
      </w:r>
      <w:r>
        <w:t xml:space="preserve"> :</w:t>
      </w:r>
    </w:p>
    <w:p>
      <w:pPr>
        <w:pStyle w:val="ListBullet"/>
      </w:pPr>
      <w:r>
        <w:t>La clonidine passe dans le lait maternel (rapport lait/plasma ≈ 2-3)</w:t>
      </w:r>
    </w:p>
    <w:p>
      <w:pPr>
        <w:pStyle w:val="ListBullet"/>
      </w:pPr>
      <w:r>
        <w:t>Cas rapportés d'hypotension et de bradycardie chez le nourrisson allaité</w:t>
      </w:r>
    </w:p>
    <w:p>
      <w:pPr>
        <w:pStyle w:val="ListBullet"/>
      </w:pPr>
      <w:r/>
      <w:r>
        <w:rPr>
          <w:b/>
        </w:rPr>
        <w:t>Recommandation CRAT</w:t>
      </w:r>
      <w:r>
        <w:t xml:space="preserve"> : à éviter pendant l'allaitement ; si traitement indispensable, suspendre l'allaitement</w:t>
      </w:r>
    </w:p>
    <w:p>
      <w:pPr>
        <w:pStyle w:val="ListBullet"/>
      </w:pPr>
      <w:r>
        <w:t>En cas de poursuite du traitement maternel, surveiller le nourrisson (bradycardie, hypotension, somnolence, hypotonie)</w:t>
      </w:r>
    </w:p>
    <w:p>
      <w:pPr>
        <w:pStyle w:val="Heading3"/>
      </w:pPr>
      <w:r>
        <w:t>141.17.8 Posologie</w:t>
      </w:r>
    </w:p>
    <w:p>
      <w:pPr>
        <w:pStyle w:val="ListBullet"/>
      </w:pPr>
      <w:r/>
      <w:r>
        <w:rPr>
          <w:b/>
        </w:rPr>
        <w:t>HTA adulte</w:t>
      </w:r>
      <w:r>
        <w:t xml:space="preserve"> : 0,150 mg × 1 à 3/jour per os (CRONIDINE® 0,15 mg comprimé) ; adaptation progressive selon la réponse tensionnelle</w:t>
      </w:r>
    </w:p>
    <w:p>
      <w:pPr>
        <w:pStyle w:val="ListBullet"/>
      </w:pPr>
      <w:r/>
      <w:r>
        <w:rPr>
          <w:b/>
        </w:rPr>
        <w:t>Mode d'administration</w:t>
      </w:r>
      <w:r>
        <w:t xml:space="preserve"> : per os, à heure fixe, à prendre avec un grand verre d'eau</w:t>
      </w:r>
    </w:p>
    <w:p>
      <w:pPr>
        <w:pStyle w:val="ListBullet"/>
      </w:pPr>
      <w:r/>
      <w:r>
        <w:rPr>
          <w:b/>
        </w:rPr>
        <w:t>Sujet âgé</w:t>
      </w:r>
      <w:r>
        <w:t xml:space="preserve"> : commencer par 0,075 mg × 1/jour (demi-comprimé), augmenter progressivement</w:t>
      </w:r>
    </w:p>
    <w:p>
      <w:pPr>
        <w:pStyle w:val="ListBullet"/>
      </w:pPr>
      <w:r/>
      <w:r>
        <w:rPr>
          <w:b/>
        </w:rPr>
        <w:t>Insuffisant rénal (DFG &lt; 30 mL/min)</w:t>
      </w:r>
      <w:r>
        <w:t xml:space="preserve"> : réduire la dose de moitié</w:t>
      </w:r>
    </w:p>
    <w:p>
      <w:pPr>
        <w:pStyle w:val="ListBullet"/>
      </w:pPr>
      <w:r/>
      <w:r>
        <w:rPr>
          <w:b/>
        </w:rPr>
        <w:t>Enfant</w:t>
      </w:r>
      <w:r>
        <w:t xml:space="preserve"> : hors AMM, en milieu spécialisé (30-50 µg/kg/jour en 3 prises)</w:t>
      </w:r>
    </w:p>
    <w:p>
      <w:pPr>
        <w:pStyle w:val="ListBullet"/>
      </w:pPr>
      <w:r/>
      <w:r>
        <w:rPr>
          <w:b/>
        </w:rPr>
        <w:t>IV (urgence hypertensive)</w:t>
      </w:r>
      <w:r>
        <w:t xml:space="preserve"> : 150 µg (1 mL de CLONIDEX®) en IV lente sur 5-10 minutes, à renouveler si nécessaire après 30 minutes (max 750 µg/24h)</w:t>
      </w:r>
    </w:p>
    <w:p>
      <w:pPr>
        <w:pStyle w:val="ListBullet"/>
      </w:pPr>
      <w:r/>
      <w:r>
        <w:rPr>
          <w:b/>
        </w:rPr>
        <w:t>Ne jamais arrêter brutalement</w:t>
      </w:r>
      <w:r>
        <w:t xml:space="preserve"> : arrêt progressif sur 7-10 jours</w:t>
      </w:r>
    </w:p>
    <w:p>
      <w:r/>
      <w:r>
        <w:rPr>
          <w:b/>
        </w:rPr>
        <w:t>Usage ophtalmologique (hors AMM en Algérie)</w:t>
      </w:r>
      <w:r>
        <w:t xml:space="preserve"> :</w:t>
      </w:r>
    </w:p>
    <w:p>
      <w:pPr>
        <w:pStyle w:val="ListBullet"/>
      </w:pPr>
      <w:r>
        <w:t>La clonidine n'est PAS utilisée en collyre en Algérie</w:t>
      </w:r>
    </w:p>
    <w:p>
      <w:pPr>
        <w:pStyle w:val="ListBullet"/>
      </w:pPr>
      <w:r>
        <w:t>L'apraclonidine (collyre 0,5 % ou 1 %) et la brimonidine (collyre 0,1 %, 0,15 %, 0,2 %) nécessitent une importation ATU</w:t>
      </w:r>
    </w:p>
    <w:p>
      <w:pPr>
        <w:pStyle w:val="ListBullet"/>
      </w:pPr>
      <w:r>
        <w:t>La clonidine par voie orale (0,125 mg × 2/jour) a été historiquement utilisée dans les années 1970-1980 comme traitement d'appoint du glaucome à angle ouvert — usage obsolète, non recommandé en 2024</w:t>
      </w:r>
    </w:p>
    <w:p>
      <w:pPr>
        <w:pStyle w:val="Heading3"/>
      </w:pPr>
      <w:r>
        <w:t>141.17.9 Formes galéniques et arbitrage</w:t>
      </w:r>
    </w:p>
    <w:p>
      <w:pPr>
        <w:pStyle w:val="ListBullet"/>
      </w:pPr>
      <w:r/>
      <w:r>
        <w:rPr>
          <w:b/>
        </w:rPr>
        <w:t>Comprimé 0,15 mg</w:t>
      </w:r>
      <w:r>
        <w:t xml:space="preserve"> (CRONIDINE® Farmaceutici Crovis) : forme orale standard, Liste II</w:t>
      </w:r>
    </w:p>
    <w:p>
      <w:pPr>
        <w:pStyle w:val="ListBullet"/>
      </w:pPr>
      <w:r/>
      <w:r>
        <w:rPr>
          <w:b/>
        </w:rPr>
        <w:t>Solution injectable 150 µg/mL</w:t>
      </w:r>
      <w:r>
        <w:t xml:space="preserve"> (CLONIDEX®, CLONIDINA CLORIDRATO) : forme IV/IM pour urgences hypertensives, Liste II</w:t>
      </w:r>
    </w:p>
    <w:p>
      <w:r>
        <w:t>Aucune forme ophtalmologique (collyre) n'est disponible en Algérie pour la clonidine, l'apraclonidine ou la brimonidine.</w:t>
      </w:r>
    </w:p>
    <w:p>
      <w:pPr>
        <w:pStyle w:val="Heading3"/>
      </w:pPr>
      <w:r>
        <w:t>141.17.10 Instructions et conseils au patient</w:t>
      </w:r>
    </w:p>
    <w:p>
      <w:pPr>
        <w:pStyle w:val="ListNumber"/>
      </w:pPr>
      <w:r/>
      <w:r>
        <w:rPr>
          <w:b/>
        </w:rPr>
        <w:t>Prise régulière à heure fixe</w:t>
      </w:r>
      <w:r>
        <w:t xml:space="preserve"> : ne pas oublier de prise, ne pas doubler la dose oubliée</w:t>
      </w:r>
    </w:p>
    <w:p>
      <w:pPr>
        <w:pStyle w:val="ListNumber"/>
      </w:pPr>
      <w:r/>
      <w:r>
        <w:rPr>
          <w:b/>
        </w:rPr>
        <w:t>Ne jamais arrêter brutalement</w:t>
      </w:r>
      <w:r>
        <w:t xml:space="preserve"> : risque de rebond hypertensif sévère (crise hypertensive, angor, infarctus du myocarde, mort subite) — arrêt progressif sur 7-10 jours</w:t>
      </w:r>
    </w:p>
    <w:p>
      <w:pPr>
        <w:pStyle w:val="ListNumber"/>
      </w:pPr>
      <w:r/>
      <w:r>
        <w:rPr>
          <w:b/>
        </w:rPr>
        <w:t>Surveillance tensionnelle</w:t>
      </w:r>
      <w:r>
        <w:t xml:space="preserve"> : auto-mesure à domicile 2 fois par jour en début de traitement</w:t>
      </w:r>
    </w:p>
    <w:p>
      <w:pPr>
        <w:pStyle w:val="ListNumber"/>
      </w:pPr>
      <w:r/>
      <w:r>
        <w:rPr>
          <w:b/>
        </w:rPr>
        <w:t>Somnolence</w:t>
      </w:r>
      <w:r>
        <w:t xml:space="preserve"> : éviter la conduite et les activités dangereuses en début de traitement (15-30 jours)</w:t>
      </w:r>
    </w:p>
    <w:p>
      <w:pPr>
        <w:pStyle w:val="ListNumber"/>
      </w:pPr>
      <w:r/>
      <w:r>
        <w:rPr>
          <w:b/>
        </w:rPr>
        <w:t>Sécheresse buccale</w:t>
      </w:r>
      <w:r>
        <w:t xml:space="preserve"> : hygiène bucco-dentaire rigoureuse (caries favorisées), bonbons sans sucre, gomme à mâcher</w:t>
      </w:r>
    </w:p>
    <w:p>
      <w:pPr>
        <w:pStyle w:val="ListNumber"/>
      </w:pPr>
      <w:r/>
      <w:r>
        <w:rPr>
          <w:b/>
        </w:rPr>
        <w:t>Hypotension orthostatique</w:t>
      </w:r>
      <w:r>
        <w:t xml:space="preserve"> : se lever progressivement, boire un grand verre d'eau le matin</w:t>
      </w:r>
    </w:p>
    <w:p>
      <w:pPr>
        <w:pStyle w:val="ListNumber"/>
      </w:pPr>
      <w:r/>
      <w:r>
        <w:rPr>
          <w:b/>
        </w:rPr>
        <w:t>Constipation</w:t>
      </w:r>
      <w:r>
        <w:t xml:space="preserve"> : hydratation abondante, alimentation riche en fibres</w:t>
      </w:r>
    </w:p>
    <w:p>
      <w:pPr>
        <w:pStyle w:val="ListNumber"/>
      </w:pPr>
      <w:r/>
      <w:r>
        <w:rPr>
          <w:b/>
        </w:rPr>
        <w:t>Signaux d'alerte</w:t>
      </w:r>
      <w:r>
        <w:t xml:space="preserve"> : vertiges intenses, malaise, confusions, idées noires (dépression), bradycardie ressentie — consulter en urgence</w:t>
      </w:r>
    </w:p>
    <w:p>
      <w:pPr>
        <w:pStyle w:val="ListNumber"/>
      </w:pPr>
      <w:r/>
      <w:r>
        <w:rPr>
          <w:b/>
        </w:rPr>
        <w:t>Grossesse et allaitement</w:t>
      </w:r>
      <w:r>
        <w:t xml:space="preserve"> : à éviter absolument</w:t>
      </w:r>
    </w:p>
    <w:p>
      <w:pPr>
        <w:pStyle w:val="ListNumber"/>
      </w:pPr>
      <w:r/>
      <w:r>
        <w:rPr>
          <w:b/>
        </w:rPr>
        <w:t>Interactions médicamenteuses</w:t>
      </w:r>
      <w:r>
        <w:t xml:space="preserve"> : signaler tous les traitements en cours, notamment les antidépresseurs, les antihypertenseurs, les diurétiques, les IMAO</w:t>
      </w:r>
    </w:p>
    <w:p>
      <w:pPr>
        <w:pStyle w:val="Heading3"/>
      </w:pPr>
      <w:r>
        <w:t>141.17.11 Pièges au comptoir</w:t>
      </w:r>
    </w:p>
    <w:p>
      <w:pPr>
        <w:pStyle w:val="ListBullet"/>
      </w:pPr>
      <w:r/>
      <w:r>
        <w:rPr>
          <w:b/>
        </w:rPr>
        <w:t>Demande de collyre d'apraclonidine ou de brimonidine</w:t>
      </w:r>
      <w:r>
        <w:t xml:space="preserve"> : ces collyres ne sont PAS disponibles en Algérie — orienter vers un service d'ophtalmologie spécialisé pour importation ATU</w:t>
      </w:r>
    </w:p>
    <w:p>
      <w:pPr>
        <w:pStyle w:val="ListBullet"/>
      </w:pPr>
      <w:r/>
      <w:r>
        <w:rPr>
          <w:b/>
        </w:rPr>
        <w:t>Patient hypertendu sous clonidine</w:t>
      </w:r>
      <w:r>
        <w:t xml:space="preserve"> : surveiller la bradycardie, l'hypotension orthostatique, le rebond à l'arrêt</w:t>
      </w:r>
    </w:p>
    <w:p>
      <w:pPr>
        <w:pStyle w:val="ListBullet"/>
      </w:pPr>
      <w:r/>
      <w:r>
        <w:rPr>
          <w:b/>
        </w:rPr>
        <w:t>Patient glaucomateux sous clonidine orale</w:t>
      </w:r>
      <w:r>
        <w:t xml:space="preserve"> : usage HORS AMM, à signaler au prescripteur (ophtalmologue et cardiologue) — préférer un collyre classique (latanoprost, timolol)</w:t>
      </w:r>
    </w:p>
    <w:p>
      <w:pPr>
        <w:pStyle w:val="ListBullet"/>
      </w:pPr>
      <w:r/>
      <w:r>
        <w:rPr>
          <w:b/>
        </w:rPr>
        <w:t>Patient dépressif sous clonidine</w:t>
      </w:r>
      <w:r>
        <w:t xml:space="preserve"> : signaler au psychiatre — risque d'aggravation dépressive</w:t>
      </w:r>
    </w:p>
    <w:p>
      <w:pPr>
        <w:pStyle w:val="ListBullet"/>
      </w:pPr>
      <w:r/>
      <w:r>
        <w:rPr>
          <w:b/>
        </w:rPr>
        <w:t>Arrêt brutal de la clonidine</w:t>
      </w:r>
      <w:r>
        <w:t xml:space="preserve"> : à signaler en urgence au prescripteur — risque de rebond hypertensif</w:t>
      </w:r>
    </w:p>
    <w:p>
      <w:pPr>
        <w:pStyle w:val="ListBullet"/>
      </w:pPr>
      <w:r/>
      <w:r>
        <w:rPr>
          <w:b/>
        </w:rPr>
        <w:t>Co-prescription avec β-bloquant oral</w:t>
      </w:r>
      <w:r>
        <w:t xml:space="preserve"> : surveillance cardiovasculaire stricte, surveillance à l'arrêt (rebond)</w:t>
      </w:r>
    </w:p>
    <w:p>
      <w:pPr>
        <w:pStyle w:val="ListBullet"/>
      </w:pPr>
      <w:r/>
      <w:r>
        <w:rPr>
          <w:b/>
        </w:rPr>
        <w:t>Patient âgé</w:t>
      </w:r>
      <w:r>
        <w:t xml:space="preserve"> : commencer par dose réduite, surveiller les chutes (hypotension orthostatique)</w:t>
      </w:r>
    </w:p>
    <w:p>
      <w:pPr>
        <w:pStyle w:val="ListBullet"/>
      </w:pPr>
      <w:r/>
      <w:r>
        <w:rPr>
          <w:b/>
        </w:rPr>
        <w:t>Grossesse et allaitement</w:t>
      </w:r>
      <w:r>
        <w:t xml:space="preserve"> : à éviter absolument</w:t>
      </w:r>
    </w:p>
    <w:p>
      <w:pPr>
        <w:pStyle w:val="ListBullet"/>
      </w:pPr>
      <w:r/>
      <w:r>
        <w:rPr>
          <w:b/>
        </w:rPr>
        <w:t>IMAO concomitant</w:t>
      </w:r>
      <w:r>
        <w:t xml:space="preserve"> : CI absolue, attendre 15 jours après arrêt de l'IMAO avant d'initier la clonidine</w:t>
      </w:r>
    </w:p>
    <w:p>
      <w:pPr>
        <w:pStyle w:val="Heading2"/>
      </w:pPr>
      <w:r>
        <w:t>141.18 DCI : Dorzolamide (usage ophtalmique)</w:t>
      </w:r>
    </w:p>
    <w:p>
      <w:pPr>
        <w:pStyle w:val="Heading3"/>
      </w:pPr>
      <w:r>
        <w:t>141.18.1 Catégories thérapeutiques et place dans la stratégie</w:t>
      </w:r>
    </w:p>
    <w:p>
      <w:pPr>
        <w:pStyle w:val="ListBullet"/>
      </w:pPr>
      <w:r/>
      <w:r>
        <w:rPr>
          <w:b/>
        </w:rPr>
        <w:t>Classe ATC</w:t>
      </w:r>
      <w:r>
        <w:t xml:space="preserve"> : S01EC03 (Dorzolamide — collyre)</w:t>
      </w:r>
    </w:p>
    <w:p>
      <w:pPr>
        <w:pStyle w:val="ListBullet"/>
      </w:pPr>
      <w:r/>
      <w:r>
        <w:rPr>
          <w:b/>
        </w:rPr>
        <w:t>Sous-classe pharmacologique</w:t>
      </w:r>
      <w:r>
        <w:t xml:space="preserve"> : Inhibiteur de l'anhydrase carbonique topique (sulfonamide)</w:t>
      </w:r>
    </w:p>
    <w:p>
      <w:pPr>
        <w:pStyle w:val="ListBullet"/>
      </w:pPr>
      <w:r/>
      <w:r>
        <w:rPr>
          <w:b/>
        </w:rPr>
        <w:t>Liste des médicaments</w:t>
      </w:r>
      <w:r>
        <w:t xml:space="preserve"> : Liste I (prescription médicale obligatoire)</w:t>
      </w:r>
    </w:p>
    <w:p>
      <w:pPr>
        <w:pStyle w:val="ListBullet"/>
      </w:pPr>
      <w:r/>
      <w:r>
        <w:rPr>
          <w:b/>
        </w:rPr>
        <w:t>Statut réglementaire Algérie</w:t>
      </w:r>
      <w:r>
        <w:t xml:space="preserve"> : Liste I, commercialisé (8 spécialités actives : ALZOR, DAROMED, DORZAMED, DORZAMIDE, TRUSAMID, XOLA JAM, ZOLAMIDE, ZOLAMIDE FREE)</w:t>
      </w:r>
    </w:p>
    <w:p>
      <w:pPr>
        <w:pStyle w:val="ListBullet"/>
      </w:pPr>
      <w:r/>
      <w:r>
        <w:rPr>
          <w:b/>
        </w:rPr>
        <w:t>Place dans la stratégie</w:t>
      </w:r>
      <w:r>
        <w:t xml:space="preserve"> : Seconde ou troisième intention en monothérapie (efficacité modeste) ; </w:t>
      </w:r>
      <w:r>
        <w:rPr>
          <w:b/>
        </w:rPr>
        <w:t>bithérapie de choix en association fixe avec le timolol</w:t>
      </w:r>
      <w:r>
        <w:t xml:space="preserve"> (Cosopt® et 9 génériques algériens : COSOTIMOL, COZOLAMIDE, DAROMED-T, DORZASOPT, MYOSOPT, OPTODROP-CO, TIMOLAMID, XOLAMOL, ZOLAMIDE +)</w:t>
      </w:r>
    </w:p>
    <w:p>
      <w:pPr>
        <w:pStyle w:val="ListBullet"/>
      </w:pPr>
      <w:r/>
      <w:r>
        <w:rPr>
          <w:b/>
        </w:rPr>
        <w:t>Index thérapeutique</w:t>
      </w:r>
      <w:r>
        <w:t xml:space="preserve"> : Large (résorption systémique faible, métabolisation rénale)</w:t>
      </w:r>
    </w:p>
    <w:p>
      <w:pPr>
        <w:pStyle w:val="ListBullet"/>
      </w:pPr>
      <w:r/>
      <w:r>
        <w:rPr>
          <w:b/>
        </w:rPr>
        <w:t>Grossesse/Allaitement</w:t>
      </w:r>
      <w:r>
        <w:t xml:space="preserve"> : À éviter par prudence (sulfamide)</w:t>
      </w:r>
    </w:p>
    <w:p>
      <w:r>
        <w:t>Le dorzolamide, commercialisé depuis 1995 (Trusopt® MSD Chibret), est le premier inhibiteur de l'anhydrase carbonique topique disponible en collyre. Son développement a révolutionné le traitement médical du glaucome en permettant d'éviter les effets systémiques de l'acétazolamide oral (acidose métabolique, hypokaliémie, paresthésies). En Algérie, le princeps Trusopt® est retiré du marché (MUNDI PHARMA, RETRAIT), mais 8 génériques sont disponibles, dont 2 formes « sans conservateur » (ZOLAMIDE FREE® Generic Lab). Le dorzolamide est également disponible en association fixe avec le timolol (Cosopt® et 9 génériques), qui est l'une des bithérapies les plus prescrites en Algérie en raison de son efficacité additive et de son coût modéré (500-900 DA/mois).</w:t>
      </w:r>
    </w:p>
    <w:p>
      <w:pPr>
        <w:pStyle w:val="Heading3"/>
      </w:pPr>
      <w:r>
        <w:t>141.18.2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ALZOR</w:t>
            </w:r>
          </w:p>
        </w:tc>
        <w:tc>
          <w:tcPr>
            <w:tcW w:type="dxa" w:w="1559"/>
          </w:tcPr>
          <w:p>
            <w:r>
              <w:rPr>
                <w:sz w:val="20"/>
              </w:rPr>
              <w:t>UNIMED</w:t>
            </w:r>
          </w:p>
        </w:tc>
        <w:tc>
          <w:tcPr>
            <w:tcW w:type="dxa" w:w="1559"/>
          </w:tcPr>
          <w:p>
            <w:r>
              <w:rPr>
                <w:sz w:val="20"/>
              </w:rPr>
              <w:t>Collyre en solution — 2 % (20 mg/mL)</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DAROMED</w:t>
            </w:r>
          </w:p>
        </w:tc>
        <w:tc>
          <w:tcPr>
            <w:tcW w:type="dxa" w:w="1559"/>
          </w:tcPr>
          <w:p>
            <w:r>
              <w:rPr>
                <w:sz w:val="20"/>
              </w:rPr>
              <w:t>DAR AL DAWA</w:t>
            </w:r>
          </w:p>
        </w:tc>
        <w:tc>
          <w:tcPr>
            <w:tcW w:type="dxa" w:w="1559"/>
          </w:tcPr>
          <w:p>
            <w:r>
              <w:rPr>
                <w:sz w:val="20"/>
              </w:rPr>
              <w:t>Collyre — 20 mg/mL</w:t>
            </w:r>
          </w:p>
        </w:tc>
        <w:tc>
          <w:tcPr>
            <w:tcW w:type="dxa" w:w="1559"/>
          </w:tcPr>
          <w:p>
            <w:r>
              <w:rPr>
                <w:sz w:val="20"/>
              </w:rPr>
              <w:t>Boîte d'un flacon de 5 mL</w:t>
            </w:r>
          </w:p>
        </w:tc>
        <w:tc>
          <w:tcPr>
            <w:tcW w:type="dxa" w:w="1559"/>
          </w:tcPr>
          <w:p>
            <w:r>
              <w:rPr>
                <w:sz w:val="20"/>
              </w:rPr>
              <w:t>LISTE I</w:t>
            </w:r>
          </w:p>
        </w:tc>
        <w:tc>
          <w:tcPr>
            <w:tcW w:type="dxa" w:w="1559"/>
          </w:tcPr>
          <w:p>
            <w:r>
              <w:rPr>
                <w:sz w:val="20"/>
              </w:rPr>
              <w:t>ACTIF</w:t>
            </w:r>
          </w:p>
        </w:tc>
      </w:tr>
      <w:tr>
        <w:tc>
          <w:tcPr>
            <w:tcW w:type="dxa" w:w="1559"/>
          </w:tcPr>
          <w:p>
            <w:r>
              <w:rPr>
                <w:sz w:val="20"/>
              </w:rPr>
              <w:t>DORZAMED</w:t>
            </w:r>
          </w:p>
        </w:tc>
        <w:tc>
          <w:tcPr>
            <w:tcW w:type="dxa" w:w="1559"/>
          </w:tcPr>
          <w:p>
            <w:r>
              <w:rPr>
                <w:sz w:val="20"/>
              </w:rPr>
              <w:t>WORLD MEDECINE LIMITED</w:t>
            </w:r>
          </w:p>
        </w:tc>
        <w:tc>
          <w:tcPr>
            <w:tcW w:type="dxa" w:w="1559"/>
          </w:tcPr>
          <w:p>
            <w:r>
              <w:rPr>
                <w:sz w:val="20"/>
              </w:rPr>
              <w:t>Collyre en solution — 2 % (20 mg/mL)</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DORZAMIDE</w:t>
            </w:r>
          </w:p>
        </w:tc>
        <w:tc>
          <w:tcPr>
            <w:tcW w:type="dxa" w:w="1559"/>
          </w:tcPr>
          <w:p>
            <w:r>
              <w:rPr>
                <w:sz w:val="20"/>
              </w:rPr>
              <w:t>OUBARI PHARMA &amp; CO</w:t>
            </w:r>
          </w:p>
        </w:tc>
        <w:tc>
          <w:tcPr>
            <w:tcW w:type="dxa" w:w="1559"/>
          </w:tcPr>
          <w:p>
            <w:r>
              <w:rPr>
                <w:sz w:val="20"/>
              </w:rPr>
              <w:t>Collyre en solution — 2 % (20 mg/mL)</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TRUSAMID</w:t>
            </w:r>
          </w:p>
        </w:tc>
        <w:tc>
          <w:tcPr>
            <w:tcW w:type="dxa" w:w="1559"/>
          </w:tcPr>
          <w:p>
            <w:r>
              <w:rPr>
                <w:sz w:val="20"/>
              </w:rPr>
              <w:t>HUPP PHARMA</w:t>
            </w:r>
          </w:p>
        </w:tc>
        <w:tc>
          <w:tcPr>
            <w:tcW w:type="dxa" w:w="1559"/>
          </w:tcPr>
          <w:p>
            <w:r>
              <w:rPr>
                <w:sz w:val="20"/>
              </w:rPr>
              <w:t>Collyre en solution — 2 % (20 mg/mL)</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XOLA JAM</w:t>
            </w:r>
          </w:p>
        </w:tc>
        <w:tc>
          <w:tcPr>
            <w:tcW w:type="dxa" w:w="1559"/>
          </w:tcPr>
          <w:p>
            <w:r>
              <w:rPr>
                <w:sz w:val="20"/>
              </w:rPr>
              <w:t>JAMJOOM PHARMACEUTICAL INDUSTRY</w:t>
            </w:r>
          </w:p>
        </w:tc>
        <w:tc>
          <w:tcPr>
            <w:tcW w:type="dxa" w:w="1559"/>
          </w:tcPr>
          <w:p>
            <w:r>
              <w:rPr>
                <w:sz w:val="20"/>
              </w:rPr>
              <w:t>Collyre en solution — 2 % (20 mg/mL)</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ZOLAMIDE</w:t>
            </w:r>
          </w:p>
        </w:tc>
        <w:tc>
          <w:tcPr>
            <w:tcW w:type="dxa" w:w="1559"/>
          </w:tcPr>
          <w:p>
            <w:r>
              <w:rPr>
                <w:sz w:val="20"/>
              </w:rPr>
              <w:t>GENERIC LAB</w:t>
            </w:r>
          </w:p>
        </w:tc>
        <w:tc>
          <w:tcPr>
            <w:tcW w:type="dxa" w:w="1559"/>
          </w:tcPr>
          <w:p>
            <w:r>
              <w:rPr>
                <w:sz w:val="20"/>
              </w:rPr>
              <w:t>Collyre en solution — 2 % (20 mg/mL)</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ZOLAMIDE FREE</w:t>
            </w:r>
          </w:p>
        </w:tc>
        <w:tc>
          <w:tcPr>
            <w:tcW w:type="dxa" w:w="1559"/>
          </w:tcPr>
          <w:p>
            <w:r>
              <w:rPr>
                <w:sz w:val="20"/>
              </w:rPr>
              <w:t>GENERIC LAB</w:t>
            </w:r>
          </w:p>
        </w:tc>
        <w:tc>
          <w:tcPr>
            <w:tcW w:type="dxa" w:w="1559"/>
          </w:tcPr>
          <w:p>
            <w:r>
              <w:rPr>
                <w:sz w:val="20"/>
              </w:rPr>
              <w:t>Collyre en solution sans conservateur — 2 % (20 mg/mL)</w:t>
            </w:r>
          </w:p>
        </w:tc>
        <w:tc>
          <w:tcPr>
            <w:tcW w:type="dxa" w:w="1559"/>
          </w:tcPr>
          <w:p>
            <w:r>
              <w:rPr>
                <w:sz w:val="20"/>
              </w:rPr>
              <w:t>FL/5 mL</w:t>
            </w:r>
          </w:p>
        </w:tc>
        <w:tc>
          <w:tcPr>
            <w:tcW w:type="dxa" w:w="1559"/>
          </w:tcPr>
          <w:p>
            <w:r>
              <w:rPr>
                <w:sz w:val="20"/>
              </w:rPr>
              <w:t>LISTE I</w:t>
            </w:r>
          </w:p>
        </w:tc>
        <w:tc>
          <w:tcPr>
            <w:tcW w:type="dxa" w:w="1559"/>
          </w:tcPr>
          <w:p>
            <w:r>
              <w:rPr>
                <w:sz w:val="20"/>
              </w:rPr>
              <w:t>ACTIF</w:t>
            </w:r>
          </w:p>
        </w:tc>
      </w:tr>
      <w:tr>
        <w:tc>
          <w:tcPr>
            <w:tcW w:type="dxa" w:w="1559"/>
          </w:tcPr>
          <w:p>
            <w:r>
              <w:rPr>
                <w:sz w:val="20"/>
              </w:rPr>
              <w:t>TRUSOPT (R)</w:t>
            </w:r>
          </w:p>
        </w:tc>
        <w:tc>
          <w:tcPr>
            <w:tcW w:type="dxa" w:w="1559"/>
          </w:tcPr>
          <w:p>
            <w:r>
              <w:rPr>
                <w:sz w:val="20"/>
              </w:rPr>
              <w:t>MUNDI PHARMA PTY LTD</w:t>
            </w:r>
          </w:p>
        </w:tc>
        <w:tc>
          <w:tcPr>
            <w:tcW w:type="dxa" w:w="1559"/>
          </w:tcPr>
          <w:p>
            <w:r>
              <w:rPr>
                <w:sz w:val="20"/>
              </w:rPr>
              <w:t>Collyre solution — 2 % (20 mg/mL)</w:t>
            </w:r>
          </w:p>
        </w:tc>
        <w:tc>
          <w:tcPr>
            <w:tcW w:type="dxa" w:w="1559"/>
          </w:tcPr>
          <w:p>
            <w:r>
              <w:rPr>
                <w:sz w:val="20"/>
              </w:rPr>
              <w:t>FL/5 mL</w:t>
            </w:r>
          </w:p>
        </w:tc>
        <w:tc>
          <w:tcPr>
            <w:tcW w:type="dxa" w:w="1559"/>
          </w:tcPr>
          <w:p>
            <w:r>
              <w:rPr>
                <w:sz w:val="20"/>
              </w:rPr>
              <w:t>LISTE I</w:t>
            </w:r>
          </w:p>
        </w:tc>
        <w:tc>
          <w:tcPr>
            <w:tcW w:type="dxa" w:w="1559"/>
          </w:tcPr>
          <w:p>
            <w:r>
              <w:rPr>
                <w:sz w:val="20"/>
              </w:rPr>
              <w:t>RETRAIT</w:t>
            </w:r>
          </w:p>
        </w:tc>
      </w:tr>
    </w:tbl>
    <w:p/>
    <w:p>
      <w:r>
        <w:t>À noter : l'association fixe dorzolamide + timolol est également disponible en Algérie (Cosopt® retiré mais 9 génériques actifs : COSOTIMOL, COZOLAMIDE, DAROMED-T, DORZASOPT, MYOSOPT, OPTODROP-CO, TIMOLAMID, XOLAMOL, ZOLAMIDE +), détaillée dans la fiche Timolol.</w:t>
      </w:r>
    </w:p>
    <w:p>
      <w:pPr>
        <w:pStyle w:val="Heading3"/>
      </w:pPr>
      <w:r>
        <w:t>141.18.3 Mécanisme d'action détaillé</w:t>
      </w:r>
    </w:p>
    <w:p>
      <w:r>
        <w:t xml:space="preserve">Le dorzolamide est un sulfonamide inhibiteur de l'anhydrase carbonique (AC, EC 4.2.1.1), métallo-enzyme à zinc présente dans de nombreux tissus, en particulier les procès ciliaires (isoforme II). L'AC catalyse l'hydratation réversible du CO₂ en HCO₃⁻ + H⁺. La formation de bicarbonate est le co-transporteur obligatoire du sodium et du chlore dans la production d'humeur aqueuse par les cellules épithéliales non pigmentaires du corps ciliaire. L'inhibition de l'AC II ciliaire entraîne une </w:t>
      </w:r>
      <w:r>
        <w:rPr>
          <w:b/>
        </w:rPr>
        <w:t>baisse de 30 à 50 % de la production d'humeur aqueuse</w:t>
      </w:r>
      <w:r>
        <w:t>, sans effet sur la résorption trabéculaire ni uvéo-sclérale.</w:t>
      </w:r>
    </w:p>
    <w:p>
      <w:r>
        <w:t>Le dorzolamide est un inhibiteur puissant de l'AC II (Ki ≈ 0,7 nM), mais aussi des isoformes I, IV (moins exprimées dans l'œil). Sa lipophilie supérieure aux sulfamides diurétiques classiques (acétazolamide, méthazolamide) permet un passage transcornéen satisfaisant, tout en limitant l'inhibition systémique de l'AC rénale (qui serait responsable d'acidose métabolique et hypokaliémie). En pratique, l'absorption systémique du dorzolamide après instillation oculaire est faible (résorption naso-lacrymale 5-15 %), et l'inhibition rénale de l'AC est négligeable aux doses thérapeutiques.</w:t>
      </w:r>
    </w:p>
    <w:p>
      <w:r>
        <w:t>L'efficacité hypotonisante est modeste (baisse de 3 à 5 mmHg, soit 15-22 % de la PIO initiale), ce qui réserve le dorzolamide en monothérapie aux patients ayant une CI aux prostaglandines et aux β-bloquants, ou en association avec ces derniers. La bithérapie dorzolamide + timolol (Cosopt® et génériques) permet une baisse pressionnelle de 6 à 9 mmHg (25-35 % de la PIO initiale), comparable à une monothérapie par prostaglandine, justifiant son large usage.</w:t>
      </w:r>
    </w:p>
    <w:p>
      <w:r>
        <w:t>La pharmacocinétique locale est caractéristique : pic d'efficacité à 2 heures, plateau à 2 semaines, demi-vie d'élimination locale de 3-4 heures, justifiant 2 à 3 instillations par jour en monothérapie (ou 2 en association fixe). La résorption systémique est faible, avec métabolisation rénale (élimination urinaire sous forme inchangée). Aucune accumulation systémique n'est observée à long terme.</w:t>
      </w:r>
    </w:p>
    <w:p>
      <w:pPr>
        <w:pStyle w:val="Heading3"/>
      </w:pPr>
      <w:r>
        <w:t>141.18.4 Profil pharmacologique : indications, contre-indications, effets indésirables</w:t>
      </w:r>
    </w:p>
    <w:p>
      <w:pPr>
        <w:pStyle w:val="Heading4"/>
      </w:pPr>
      <w:r>
        <w:t>Indications</w:t>
      </w:r>
    </w:p>
    <w:p>
      <w:pPr>
        <w:pStyle w:val="ListBullet"/>
      </w:pPr>
      <w:r/>
      <w:r>
        <w:rPr>
          <w:b/>
        </w:rPr>
        <w:t>Glaucome à angle ouvert</w:t>
      </w:r>
      <w:r>
        <w:t xml:space="preserve"> : en monothérapie (seconde ou troisième intention, en cas de CI aux prostaglandines et β-bloquants) ou en association fixe avec le timolol (Cosopt® et génériques, seconde intention après échec d'une monothérapie)</w:t>
      </w:r>
    </w:p>
    <w:p>
      <w:pPr>
        <w:pStyle w:val="ListBullet"/>
      </w:pPr>
      <w:r/>
      <w:r>
        <w:rPr>
          <w:b/>
        </w:rPr>
        <w:t>Hypertonie oculaire isolée</w:t>
      </w:r>
      <w:r>
        <w:t xml:space="preserve"> : en monothérapie ou en association</w:t>
      </w:r>
    </w:p>
    <w:p>
      <w:pPr>
        <w:pStyle w:val="ListBullet"/>
      </w:pPr>
      <w:r/>
      <w:r>
        <w:rPr>
          <w:b/>
        </w:rPr>
        <w:t>Glaucome à pression normale</w:t>
      </w:r>
      <w:r>
        <w:t xml:space="preserve"> : en association</w:t>
      </w:r>
    </w:p>
    <w:p>
      <w:pPr>
        <w:pStyle w:val="ListBullet"/>
      </w:pPr>
      <w:r/>
      <w:r>
        <w:rPr>
          <w:b/>
        </w:rPr>
        <w:t>Glaucomes secondaires</w:t>
      </w:r>
      <w:r>
        <w:t xml:space="preserve"> : post-inflammatoires, post-traumatiques, pseudoexfoliatif, pigmentaire</w:t>
      </w:r>
    </w:p>
    <w:p>
      <w:pPr>
        <w:pStyle w:val="ListBullet"/>
      </w:pPr>
      <w:r/>
      <w:r>
        <w:rPr>
          <w:b/>
        </w:rPr>
        <w:t>Glaucome pédiatrique</w:t>
      </w:r>
      <w:r>
        <w:t xml:space="preserve"> (en milieu spécialisé, &gt; 2 semaines d'âge, &gt; 1 an en pratique courante)</w:t>
      </w:r>
    </w:p>
    <w:p>
      <w:pPr>
        <w:pStyle w:val="Heading4"/>
      </w:pPr>
      <w:r>
        <w:t>Contre-indications</w:t>
      </w:r>
    </w:p>
    <w:p>
      <w:pPr>
        <w:pStyle w:val="ListBullet"/>
      </w:pPr>
      <w:r/>
      <w:r>
        <w:rPr>
          <w:b/>
        </w:rPr>
        <w:t>Contre-indications absolues</w:t>
      </w:r>
      <w:r>
        <w:t xml:space="preserve"> :</w:t>
      </w:r>
    </w:p>
    <w:p>
      <w:pPr>
        <w:pStyle w:val="ListBullet"/>
      </w:pPr>
      <w:r>
        <w:t>Hypersensibilité aux sulfamides (le dorzolamide est un sulfonamide — allergie croisée possible avec les sulfamides antibactériens, diurétiques, hypoglycémiants)</w:t>
      </w:r>
    </w:p>
    <w:p>
      <w:pPr>
        <w:pStyle w:val="ListBullet"/>
      </w:pPr>
      <w:r>
        <w:t>Hypersensibilité à la substance active ou à l'un des excipients (chlorure de benzalkonium)</w:t>
      </w:r>
    </w:p>
    <w:p>
      <w:pPr>
        <w:pStyle w:val="ListBullet"/>
      </w:pPr>
      <w:r>
        <w:t>Insuffisance rénale sévère (DFG &lt; 30 mL/min) — élimination rénale exclusive</w:t>
      </w:r>
    </w:p>
    <w:p>
      <w:pPr>
        <w:pStyle w:val="ListBullet"/>
      </w:pPr>
      <w:r>
        <w:t>Hyperchlorémie, acidose métabolique préexistante (le dorzolamide aggrave l'acidose)</w:t>
      </w:r>
    </w:p>
    <w:p>
      <w:pPr>
        <w:pStyle w:val="ListBullet"/>
      </w:pPr>
      <w:r/>
      <w:r>
        <w:rPr>
          <w:b/>
        </w:rPr>
        <w:t>Contre-indications relatives</w:t>
      </w:r>
      <w:r>
        <w:t xml:space="preserve"> :</w:t>
      </w:r>
    </w:p>
    <w:p>
      <w:pPr>
        <w:pStyle w:val="ListBullet"/>
      </w:pPr>
      <w:r>
        <w:t>Allaitement (sulfamide — passe dans le lait maternel)</w:t>
      </w:r>
    </w:p>
    <w:p>
      <w:pPr>
        <w:pStyle w:val="ListBullet"/>
      </w:pPr>
      <w:r>
        <w:t>Grossesse (sulfamide — risque théorique tératogène, principe de précaution)</w:t>
      </w:r>
    </w:p>
    <w:p>
      <w:pPr>
        <w:pStyle w:val="ListBullet"/>
      </w:pPr>
      <w:r>
        <w:t>Lithiase urinaire (le dorzolamide topique est peu concerné, mais principe de précaution)</w:t>
      </w:r>
    </w:p>
    <w:p>
      <w:pPr>
        <w:pStyle w:val="ListBullet"/>
      </w:pPr>
      <w:r>
        <w:t>Sujet âgé avec insuffisance rénale modérée (DFG 30-60 mL/min) — surveillance biologique</w:t>
      </w:r>
    </w:p>
    <w:p>
      <w:pPr>
        <w:pStyle w:val="Heading4"/>
      </w:pPr>
      <w:r>
        <w:t>Effets indésirables</w:t>
      </w:r>
    </w:p>
    <w:p>
      <w:r/>
      <w:r>
        <w:rPr>
          <w:b/>
        </w:rPr>
        <w:t>Locaux ophtalmiques</w:t>
      </w:r>
      <w:r>
        <w:t xml:space="preserve"> :</w:t>
      </w:r>
    </w:p>
    <w:p>
      <w:pPr>
        <w:pStyle w:val="ListBullet"/>
      </w:pPr>
      <w:r/>
      <w:r>
        <w:rPr>
          <w:b/>
        </w:rPr>
        <w:t>Brûlure à l'instillation</w:t>
      </w:r>
      <w:r>
        <w:t xml:space="preserve"> (10-20 %, plus marquée qu'avec le timolol en raison du pH acide 5,5-6,0 de la formulation)</w:t>
      </w:r>
    </w:p>
    <w:p>
      <w:pPr>
        <w:pStyle w:val="ListBullet"/>
      </w:pPr>
      <w:r/>
      <w:r>
        <w:rPr>
          <w:b/>
        </w:rPr>
        <w:t>Goût amer post-nasal</w:t>
      </w:r>
      <w:r>
        <w:t xml:space="preserve"> (30-50 %, par passage par voie naso-lacrymale — très fréquent, parfois responsable d'une anorexie ou de nausées)</w:t>
      </w:r>
    </w:p>
    <w:p>
      <w:pPr>
        <w:pStyle w:val="ListBullet"/>
      </w:pPr>
      <w:r>
        <w:t>Sécheresse oculaire, corps étranger (5-15 %)</w:t>
      </w:r>
    </w:p>
    <w:p>
      <w:pPr>
        <w:pStyle w:val="ListBullet"/>
      </w:pPr>
      <w:r/>
      <w:r>
        <w:rPr>
          <w:b/>
        </w:rPr>
        <w:t>Conjonctivite allergique tardive</w:t>
      </w:r>
      <w:r>
        <w:t xml:space="preserve"> (5-10 % à 1 an, type immunoallergique, nécessitant arrêt)</w:t>
      </w:r>
    </w:p>
    <w:p>
      <w:pPr>
        <w:pStyle w:val="ListBullet"/>
      </w:pPr>
      <w:r>
        <w:t>Kératite ponctuée superficielle (3-5 %, BAK)</w:t>
      </w:r>
    </w:p>
    <w:p>
      <w:pPr>
        <w:pStyle w:val="ListBullet"/>
      </w:pPr>
      <w:r>
        <w:t>Blépharite, dermatite de contact palpébrale (2-3 %)</w:t>
      </w:r>
    </w:p>
    <w:p>
      <w:pPr>
        <w:pStyle w:val="ListBullet"/>
      </w:pPr>
      <w:r/>
      <w:r>
        <w:rPr>
          <w:b/>
        </w:rPr>
        <w:t>Syndrome de Stevens-Johnson</w:t>
      </w:r>
      <w:r>
        <w:t xml:space="preserve"> (exceptionnel, &lt; 1 cas/million, mais gravissime — signal pharmacovigilance)</w:t>
      </w:r>
    </w:p>
    <w:p>
      <w:pPr>
        <w:pStyle w:val="ListBullet"/>
      </w:pPr>
      <w:r>
        <w:t>Mydriase transitoire (rare)</w:t>
      </w:r>
    </w:p>
    <w:p>
      <w:pPr>
        <w:pStyle w:val="ListBullet"/>
      </w:pPr>
      <w:r>
        <w:t>Décollement choroïdien (rare, en post-opératoire)</w:t>
      </w:r>
    </w:p>
    <w:p>
      <w:r/>
      <w:r>
        <w:rPr>
          <w:b/>
        </w:rPr>
        <w:t>Systémiques</w:t>
      </w:r>
      <w:r>
        <w:t xml:space="preserve"> (par absorption naso-lacrymale) :</w:t>
      </w:r>
    </w:p>
    <w:p>
      <w:pPr>
        <w:pStyle w:val="ListBullet"/>
      </w:pPr>
      <w:r/>
      <w:r>
        <w:rPr>
          <w:b/>
        </w:rPr>
        <w:t>Goût amer</w:t>
      </w:r>
      <w:r>
        <w:t xml:space="preserve"> (cf. supra, très fréquent)</w:t>
      </w:r>
    </w:p>
    <w:p>
      <w:pPr>
        <w:pStyle w:val="ListBullet"/>
      </w:pPr>
      <w:r>
        <w:t>Céphalées (1-3 %)</w:t>
      </w:r>
    </w:p>
    <w:p>
      <w:pPr>
        <w:pStyle w:val="ListBullet"/>
      </w:pPr>
      <w:r>
        <w:t>Asthénie, fatigue (1-2 %)</w:t>
      </w:r>
    </w:p>
    <w:p>
      <w:pPr>
        <w:pStyle w:val="ListBullet"/>
      </w:pPr>
      <w:r>
        <w:t>Nausées (1-2 %)</w:t>
      </w:r>
    </w:p>
    <w:p>
      <w:pPr>
        <w:pStyle w:val="ListBullet"/>
      </w:pPr>
      <w:r>
        <w:t>Exceptionnellement (sujets âgés, insuffisants rénaux) : acidose métabolique hyperchlorémique, hypokaliémie — surveillance biologique si traitement prolongé &gt; 6 mois chez le sujet à risque</w:t>
      </w:r>
    </w:p>
    <w:p>
      <w:pPr>
        <w:pStyle w:val="Heading3"/>
      </w:pPr>
      <w:r>
        <w:t>141.18.5 Prévention et gestion des effets indésirables</w:t>
      </w:r>
    </w:p>
    <w:p>
      <w:pPr>
        <w:pStyle w:val="ListNumber"/>
      </w:pPr>
      <w:r/>
      <w:r>
        <w:rPr>
          <w:b/>
        </w:rPr>
        <w:t>Prévention de l'allergie de contact</w:t>
      </w:r>
      <w:r>
        <w:t xml:space="preserve"> : surveillance clinique (rougeur, prurit, blépharite progressive), arrêt du dorzolamide et changement de classe si suspicion d'allergie immunoallergique</w:t>
      </w:r>
    </w:p>
    <w:p>
      <w:pPr>
        <w:pStyle w:val="ListNumber"/>
      </w:pPr>
      <w:r/>
      <w:r>
        <w:rPr>
          <w:b/>
        </w:rPr>
        <w:t>Prévention de la brûlure à l'instillation</w:t>
      </w:r>
      <w:r>
        <w:t xml:space="preserve"> : préférer la forme sans conservateur (ZOLAMIDE FREE® Generic Lab) en cas d'intolérance ; instiller à température ambiante (sortir le flacon du réfrigérateur 15 minutes avant si stocké au froid)</w:t>
      </w:r>
    </w:p>
    <w:p>
      <w:pPr>
        <w:pStyle w:val="ListNumber"/>
      </w:pPr>
      <w:r/>
      <w:r>
        <w:rPr>
          <w:b/>
        </w:rPr>
        <w:t>Prévention du goût amer</w:t>
      </w:r>
      <w:r>
        <w:t xml:space="preserve"> : occlusion naso-lacrymale pendant 1-2 minutes après instillation (réduit le passage post-nasal)</w:t>
      </w:r>
    </w:p>
    <w:p>
      <w:pPr>
        <w:pStyle w:val="ListNumber"/>
      </w:pPr>
      <w:r/>
      <w:r>
        <w:rPr>
          <w:b/>
        </w:rPr>
        <w:t>Surveillance de la fonction rénale</w:t>
      </w:r>
      <w:r>
        <w:t xml:space="preserve"> : ionogramme, urée, créatinine tous les 6 mois chez le sujet âgé ou insuffisant rénal modéré ; arrêt si acidose métabolique</w:t>
      </w:r>
    </w:p>
    <w:p>
      <w:pPr>
        <w:pStyle w:val="ListNumber"/>
      </w:pPr>
      <w:r/>
      <w:r>
        <w:rPr>
          <w:b/>
        </w:rPr>
        <w:t>Surveillance de la tolérance cornéenne</w:t>
      </w:r>
      <w:r>
        <w:t xml:space="preserve"> : examen à la lampe fente à 4-6 semaines, puis tous les 6 mois ; arrêt si kératite ponctuée sévère</w:t>
      </w:r>
    </w:p>
    <w:p>
      <w:pPr>
        <w:pStyle w:val="ListNumber"/>
      </w:pPr>
      <w:r/>
      <w:r>
        <w:rPr>
          <w:b/>
        </w:rPr>
        <w:t>Information du patient</w:t>
      </w:r>
      <w:r>
        <w:t xml:space="preserve"> : signaler le goût amer comme effet attendu et non pathologique ; signaler la possibilité d'une allergie de contact tardive (plusieurs mois à apparaître)</w:t>
      </w:r>
    </w:p>
    <w:p>
      <w:pPr>
        <w:pStyle w:val="ListNumber"/>
      </w:pPr>
      <w:r/>
      <w:r>
        <w:rPr>
          <w:b/>
        </w:rPr>
        <w:t>En cas d'allergie</w:t>
      </w:r>
      <w:r>
        <w:t xml:space="preserve"> : changement de classe (brinzolamide, mais allergie croisée possible ; préférer prostaglandine ou β-bloquant)</w:t>
      </w:r>
    </w:p>
    <w:p>
      <w:pPr>
        <w:pStyle w:val="ListNumber"/>
      </w:pPr>
      <w:r/>
      <w:r>
        <w:rPr>
          <w:b/>
        </w:rPr>
        <w:t>Syndrome de Stevens-Johnson</w:t>
      </w:r>
      <w:r>
        <w:t xml:space="preserve"> : arrêt immédiat, urgence ophtalmologique et dermatologique</w:t>
      </w:r>
    </w:p>
    <w:p>
      <w:pPr>
        <w:pStyle w:val="Heading3"/>
      </w:pPr>
      <w:r>
        <w:t>141.18.6 Interactions médicamenteuses</w:t>
      </w:r>
    </w:p>
    <w:p>
      <w:pPr>
        <w:pStyle w:val="ListBullet"/>
      </w:pPr>
      <w:r/>
      <w:r>
        <w:rPr>
          <w:b/>
        </w:rPr>
        <w:t>Associations à surveiller</w:t>
      </w:r>
      <w:r>
        <w:t xml:space="preserve"> :</w:t>
      </w:r>
    </w:p>
    <w:p>
      <w:pPr>
        <w:pStyle w:val="ListBullet"/>
      </w:pPr>
      <w:r>
        <w:t>Acétazolamide oral (autre inhibiteur de l'AC) : potentialisation de l'inhibition systémique, risque d'acidose métabolique additive</w:t>
      </w:r>
    </w:p>
    <w:p>
      <w:pPr>
        <w:pStyle w:val="ListBullet"/>
      </w:pPr>
      <w:r>
        <w:t>Sulfamides diurétiques (furosémide, hydrochlorothiazide) : potentialisation de l'effet diurétique et du risque d'hypokaliémie (effet systémique faible mais théorique)</w:t>
      </w:r>
    </w:p>
    <w:p>
      <w:pPr>
        <w:pStyle w:val="ListBullet"/>
      </w:pPr>
      <w:r>
        <w:t>Lithium : excrétion rénale réduite par l'alcalinisation des urines (le dorzolamide topique est peu concerné, mais principe de précaution)</w:t>
      </w:r>
    </w:p>
    <w:p>
      <w:pPr>
        <w:pStyle w:val="ListBullet"/>
      </w:pPr>
      <w:r>
        <w:t>Salicylés à forte dose : déplacement de la liaison protéique, augmentation transitoire des concentrations (cas théorique)</w:t>
      </w:r>
    </w:p>
    <w:p>
      <w:pPr>
        <w:pStyle w:val="ListBullet"/>
      </w:pPr>
      <w:r/>
      <w:r>
        <w:rPr>
          <w:b/>
        </w:rPr>
        <w:t>Associations physiquement incompatibles</w:t>
      </w:r>
      <w:r>
        <w:t xml:space="preserve"> : pas de mélange dans le même flacon</w:t>
      </w:r>
    </w:p>
    <w:p>
      <w:pPr>
        <w:pStyle w:val="ListBullet"/>
      </w:pPr>
      <w:r/>
      <w:r>
        <w:rPr>
          <w:b/>
        </w:rPr>
        <w:t>Associations à espacer</w:t>
      </w:r>
      <w:r>
        <w:t xml:space="preserve"> : tout collyre instillé dans le même œil doit l'être à au moins 5 minutes d'intervalle</w:t>
      </w:r>
    </w:p>
    <w:p>
      <w:pPr>
        <w:pStyle w:val="Heading3"/>
      </w:pPr>
      <w:r>
        <w:t>141.18.7 Grossesse et allaitement (CRAT)</w:t>
      </w:r>
    </w:p>
    <w:p>
      <w:pPr>
        <w:pStyle w:val="ListBullet"/>
      </w:pPr>
      <w:r/>
      <w:r>
        <w:rPr>
          <w:b/>
        </w:rPr>
        <w:t>Grossesse</w:t>
      </w:r>
      <w:r>
        <w:t xml:space="preserve"> :</w:t>
      </w:r>
    </w:p>
    <w:p>
      <w:pPr>
        <w:pStyle w:val="ListBullet"/>
      </w:pPr>
      <w:r>
        <w:t>Le dorzolamide est un sulfonamide — principe de précaution en raison de l'allergie croisée et du risque théorique tératogène des sulfamides au 1er trimestre</w:t>
      </w:r>
    </w:p>
    <w:p>
      <w:pPr>
        <w:pStyle w:val="ListBullet"/>
      </w:pPr>
      <w:r/>
      <w:r>
        <w:rPr>
          <w:b/>
        </w:rPr>
        <w:t>Données animales</w:t>
      </w:r>
      <w:r>
        <w:t xml:space="preserve"> : pas de tératogénicité majeure à doses thérapeutiques, mais embryotoxicité à doses supra-thérapeutiques</w:t>
      </w:r>
    </w:p>
    <w:p>
      <w:pPr>
        <w:pStyle w:val="ListBullet"/>
      </w:pPr>
      <w:r/>
      <w:r>
        <w:rPr>
          <w:b/>
        </w:rPr>
        <w:t>Données humaines</w:t>
      </w:r>
      <w:r>
        <w:t xml:space="preserve"> : cas isolés rapportés sans malformation majeure, mais données limitées</w:t>
      </w:r>
    </w:p>
    <w:p>
      <w:pPr>
        <w:pStyle w:val="ListBullet"/>
      </w:pPr>
      <w:r/>
      <w:r>
        <w:rPr>
          <w:b/>
        </w:rPr>
        <w:t>Recommandation CRAT</w:t>
      </w:r>
      <w:r>
        <w:t xml:space="preserve"> : à éviter pendant la grossesse par prudence ; si traitement indispensable, préférer le timolol (2ᵉ et 3ᵉ trimestre sous surveillance) ou le latanoprost (à éviter au 1er trimestre par prudence)</w:t>
      </w:r>
    </w:p>
    <w:p>
      <w:pPr>
        <w:pStyle w:val="ListBullet"/>
      </w:pPr>
      <w:r>
        <w:t>En cas d'exposition au 1er trimestre, signaler à la pharmacovigilance et surveiller échographique</w:t>
      </w:r>
    </w:p>
    <w:p>
      <w:pPr>
        <w:pStyle w:val="ListBullet"/>
      </w:pPr>
      <w:r/>
      <w:r>
        <w:rPr>
          <w:b/>
        </w:rPr>
        <w:t>Allaitement</w:t>
      </w:r>
      <w:r>
        <w:t xml:space="preserve"> :</w:t>
      </w:r>
    </w:p>
    <w:p>
      <w:pPr>
        <w:pStyle w:val="ListBullet"/>
      </w:pPr>
      <w:r>
        <w:t>Le dorzolamide passe dans le lait maternel (données animales)</w:t>
      </w:r>
    </w:p>
    <w:p>
      <w:pPr>
        <w:pStyle w:val="ListBullet"/>
      </w:pPr>
      <w:r>
        <w:t>Aucune donnée humaine disponible</w:t>
      </w:r>
    </w:p>
    <w:p>
      <w:pPr>
        <w:pStyle w:val="ListBullet"/>
      </w:pPr>
      <w:r/>
      <w:r>
        <w:rPr>
          <w:b/>
        </w:rPr>
        <w:t>Recommandation CRAT</w:t>
      </w:r>
      <w:r>
        <w:t xml:space="preserve"> : à éviter pendant l'allaitement par prudence (sulfamide) ; si traitement indispensable, suspendre l'allaitement</w:t>
      </w:r>
    </w:p>
    <w:p>
      <w:pPr>
        <w:pStyle w:val="ListBullet"/>
      </w:pPr>
      <w:r>
        <w:t>En cas de poursuite du dorzolamide, surveiller le nourrisson (troubles digestifs, rash)</w:t>
      </w:r>
    </w:p>
    <w:p>
      <w:pPr>
        <w:pStyle w:val="Heading3"/>
      </w:pPr>
      <w:r>
        <w:t>141.18.8 Posologie</w:t>
      </w:r>
    </w:p>
    <w:p>
      <w:pPr>
        <w:pStyle w:val="ListBullet"/>
      </w:pPr>
      <w:r/>
      <w:r>
        <w:rPr>
          <w:b/>
        </w:rPr>
        <w:t>Adulte</w:t>
      </w:r>
      <w:r>
        <w:t xml:space="preserve"> (monothérapie) : 1 goutte de dorzolamide 2 % (20 mg/mL) dans l'œil atteint, </w:t>
      </w:r>
      <w:r>
        <w:rPr>
          <w:b/>
        </w:rPr>
        <w:t>3 fois par jour</w:t>
      </w:r>
      <w:r>
        <w:t xml:space="preserve"> (matin, midi, soir)</w:t>
      </w:r>
    </w:p>
    <w:p>
      <w:pPr>
        <w:pStyle w:val="ListBullet"/>
      </w:pPr>
      <w:r/>
      <w:r>
        <w:rPr>
          <w:b/>
        </w:rPr>
        <w:t>Adulte</w:t>
      </w:r>
      <w:r>
        <w:t xml:space="preserve"> (association fixe avec timolol — Cosopt® et génériques) : 1 goutte de dorzolamide 2 % + timolol 0,5 % dans l'œil atteint, </w:t>
      </w:r>
      <w:r>
        <w:rPr>
          <w:b/>
        </w:rPr>
        <w:t>2 fois par jour</w:t>
      </w:r>
      <w:r>
        <w:t xml:space="preserve"> (matin et soir)</w:t>
      </w:r>
    </w:p>
    <w:p>
      <w:pPr>
        <w:pStyle w:val="ListBullet"/>
      </w:pPr>
      <w:r/>
      <w:r>
        <w:rPr>
          <w:b/>
        </w:rPr>
        <w:t>Oubli de dose</w:t>
      </w:r>
      <w:r>
        <w:t xml:space="preserve"> : si moins de 2 heures (monothérapie) ou 4 heures (association fixe), instiller la dose oubliée ; sinon, sauter la dose</w:t>
      </w:r>
    </w:p>
    <w:p>
      <w:pPr>
        <w:pStyle w:val="ListBullet"/>
      </w:pPr>
      <w:r/>
      <w:r>
        <w:rPr>
          <w:b/>
        </w:rPr>
        <w:t>Sujet âgé</w:t>
      </w:r>
      <w:r>
        <w:t xml:space="preserve"> : pas d'adaptation posologique si fonction rénale normale ; surveillance renforcée si insuffisance rénale modérée</w:t>
      </w:r>
    </w:p>
    <w:p>
      <w:pPr>
        <w:pStyle w:val="ListBullet"/>
      </w:pPr>
      <w:r/>
      <w:r>
        <w:rPr>
          <w:b/>
        </w:rPr>
        <w:t>Insuffisant rénal (DFG &lt; 30 mL/min)</w:t>
      </w:r>
      <w:r>
        <w:t xml:space="preserve"> : CI absolue</w:t>
      </w:r>
    </w:p>
    <w:p>
      <w:pPr>
        <w:pStyle w:val="ListBullet"/>
      </w:pPr>
      <w:r/>
      <w:r>
        <w:rPr>
          <w:b/>
        </w:rPr>
        <w:t>Insuffisant hépatique</w:t>
      </w:r>
      <w:r>
        <w:t xml:space="preserve"> : pas d'adaptation posologique</w:t>
      </w:r>
    </w:p>
    <w:p>
      <w:pPr>
        <w:pStyle w:val="ListBullet"/>
      </w:pPr>
      <w:r/>
      <w:r>
        <w:rPr>
          <w:b/>
        </w:rPr>
        <w:t>Enfant &gt; 1 an</w:t>
      </w:r>
      <w:r>
        <w:t xml:space="preserve"> : en milieu spécialisé, 1 goutte 2 % × 3/jour en monothérapie, ou × 2/jour en association fixe</w:t>
      </w:r>
    </w:p>
    <w:p>
      <w:pPr>
        <w:pStyle w:val="ListBullet"/>
      </w:pPr>
      <w:r/>
      <w:r>
        <w:rPr>
          <w:b/>
        </w:rPr>
        <w:t>Lentilles de contact</w:t>
      </w:r>
      <w:r>
        <w:t xml:space="preserve"> : retirer avant instillation, attendre 15 minutes avant remise (BAK)</w:t>
      </w:r>
    </w:p>
    <w:p>
      <w:pPr>
        <w:pStyle w:val="ListBullet"/>
      </w:pPr>
      <w:r/>
      <w:r>
        <w:rPr>
          <w:b/>
        </w:rPr>
        <w:t>Durée</w:t>
      </w:r>
      <w:r>
        <w:t xml:space="preserve"> : chronique, à vie</w:t>
      </w:r>
    </w:p>
    <w:p>
      <w:pPr>
        <w:pStyle w:val="Heading3"/>
      </w:pPr>
      <w:r>
        <w:t>141.18.9 Formes galéniques et arbitrage</w:t>
      </w:r>
    </w:p>
    <w:p>
      <w:r>
        <w:t>Deux formes disponibles en Algérie pour le dorzolamide en monothérapie :</w:t>
      </w:r>
    </w:p>
    <w:p>
      <w:pPr>
        <w:pStyle w:val="ListNumber"/>
      </w:pPr>
      <w:r/>
      <w:r>
        <w:rPr>
          <w:b/>
        </w:rPr>
        <w:t>Collyre en solution 2 % (20 mg/mL) avec conservateur (BAK)</w:t>
      </w:r>
      <w:r>
        <w:t xml:space="preserve"> :</w:t>
      </w:r>
    </w:p>
    <w:p>
      <w:pPr>
        <w:pStyle w:val="ListBullet"/>
      </w:pPr>
      <w:r>
        <w:t>Présentation : flacon 5 mL</w:t>
      </w:r>
    </w:p>
    <w:p>
      <w:pPr>
        <w:pStyle w:val="ListBullet"/>
      </w:pPr>
      <w:r>
        <w:t>Conservation : 1 mois après ouverture (≤ 25 °C, à l'abri de la lumière)</w:t>
      </w:r>
    </w:p>
    <w:p>
      <w:pPr>
        <w:pStyle w:val="ListBullet"/>
      </w:pPr>
      <w:r>
        <w:t>BAK 0,1 mg/mL : toxicité cornéenne épithéliale en usage prolongé</w:t>
      </w:r>
    </w:p>
    <w:p>
      <w:pPr>
        <w:pStyle w:val="ListBullet"/>
      </w:pPr>
      <w:r>
        <w:t>Spécialités : ALZOR, DAROMED, DORZAMED, DORZAMIDE, TRUSAMID, XOLA JAM, ZOLAMIDE</w:t>
      </w:r>
    </w:p>
    <w:p>
      <w:pPr>
        <w:pStyle w:val="ListBullet"/>
      </w:pPr>
      <w:r>
        <w:t>Coût : 400-700 DA/mois selon le générique</w:t>
      </w:r>
    </w:p>
    <w:p>
      <w:pPr>
        <w:pStyle w:val="ListNumber"/>
      </w:pPr>
      <w:r/>
      <w:r>
        <w:rPr>
          <w:b/>
        </w:rPr>
        <w:t>Collyre en solution 2 % (20 mg/mL) sans conservateur (ZOLAMIDE FREE® Generic Lab)</w:t>
      </w:r>
      <w:r>
        <w:t xml:space="preserve"> :</w:t>
      </w:r>
    </w:p>
    <w:p>
      <w:pPr>
        <w:pStyle w:val="ListBullet"/>
      </w:pPr>
      <w:r>
        <w:t>Présentation : flacon 5 mL avec système de filtration/conservation spécial (ABS multilayer, formulation sans BAK)</w:t>
      </w:r>
    </w:p>
    <w:p>
      <w:pPr>
        <w:pStyle w:val="ListBullet"/>
      </w:pPr>
      <w:r>
        <w:t>Conservation : 1 mois après ouverture</w:t>
      </w:r>
    </w:p>
    <w:p>
      <w:pPr>
        <w:pStyle w:val="ListBullet"/>
      </w:pPr>
      <w:r>
        <w:t>Avantage : absence de BAK — meilleure tolérance cornéenne à long terme</w:t>
      </w:r>
    </w:p>
    <w:p>
      <w:pPr>
        <w:pStyle w:val="ListBullet"/>
      </w:pPr>
      <w:r>
        <w:t>Inconvénient : disponibilité parfois limitée</w:t>
      </w:r>
    </w:p>
    <w:p>
      <w:pPr>
        <w:pStyle w:val="ListBullet"/>
      </w:pPr>
      <w:r>
        <w:t>Coût : 500-800 DA/mois</w:t>
      </w:r>
    </w:p>
    <w:p>
      <w:r>
        <w:t>L'arbitrage entre dorzolamide en monothérapie (3 fois/jour) et association fixe dorzolamide + timolol (Cosopt® et 9 génériques, 2 fois/jour) repose sur l'observance et le profil de tolérance. L'association fixe est préférée en cas d'indication d'une bithérapie, en raison de sa simplicité (2 prises/jour vs 5 prises/jour en traitement séparé).</w:t>
      </w:r>
    </w:p>
    <w:p>
      <w:pPr>
        <w:pStyle w:val="Heading3"/>
      </w:pPr>
      <w:r>
        <w:t>141.18.10 Instructions et conseils au patient</w:t>
      </w:r>
    </w:p>
    <w:p>
      <w:pPr>
        <w:pStyle w:val="ListNumber"/>
      </w:pPr>
      <w:r/>
      <w:r>
        <w:rPr>
          <w:b/>
        </w:rPr>
        <w:t>Technique d'instillation</w:t>
      </w:r>
      <w:r>
        <w:t xml:space="preserve"> : identique aux autres collyres (lavage des mains, bascule de la tête, gouttière palpébrale, 1 goutte, occlusion naso-lacrymale 1-2 minutes, essuyage de l'excédent)</w:t>
      </w:r>
    </w:p>
    <w:p>
      <w:pPr>
        <w:pStyle w:val="ListNumber"/>
      </w:pPr>
      <w:r/>
      <w:r>
        <w:rPr>
          <w:b/>
        </w:rPr>
        <w:t>Fréquence</w:t>
      </w:r>
      <w:r>
        <w:t xml:space="preserve"> : 3 fois par jour (monothérapie) ou 2 fois par jour (association fixe avec timolol), à heure fixe</w:t>
      </w:r>
    </w:p>
    <w:p>
      <w:pPr>
        <w:pStyle w:val="ListNumber"/>
      </w:pPr>
      <w:r/>
      <w:r>
        <w:rPr>
          <w:b/>
        </w:rPr>
        <w:t>Goût amer post-nasal</w:t>
      </w:r>
      <w:r>
        <w:t xml:space="preserve"> : effet attendu, banal, ne pas s'inquiéter ; réduire par occlusion naso-lacrymale</w:t>
      </w:r>
    </w:p>
    <w:p>
      <w:pPr>
        <w:pStyle w:val="ListNumber"/>
      </w:pPr>
      <w:r/>
      <w:r>
        <w:rPr>
          <w:b/>
        </w:rPr>
        <w:t>Brûlure à l'instillation</w:t>
      </w:r>
      <w:r>
        <w:t xml:space="preserve"> : effet attendu en raison du pH acide de la formulation ; si intolérance, préférer la forme sans conservateur (ZOLAMIDE FREE®) ou le brinzolamide (Azopt®)</w:t>
      </w:r>
    </w:p>
    <w:p>
      <w:pPr>
        <w:pStyle w:val="ListNumber"/>
      </w:pPr>
      <w:r/>
      <w:r>
        <w:rPr>
          <w:b/>
        </w:rPr>
        <w:t>Allergie tardive</w:t>
      </w:r>
      <w:r>
        <w:t xml:space="preserve"> : rougeur, prurit, blépharite progressive après plusieurs mois — consulter en urgence pour changement de classe</w:t>
      </w:r>
    </w:p>
    <w:p>
      <w:pPr>
        <w:pStyle w:val="ListNumber"/>
      </w:pPr>
      <w:r/>
      <w:r>
        <w:rPr>
          <w:b/>
        </w:rPr>
        <w:t>Surveillance biologique</w:t>
      </w:r>
      <w:r>
        <w:t xml:space="preserve"> : ionogramme, urée, créatinine tous les 6 mois chez le sujet âgé ou insuffisant rénal</w:t>
      </w:r>
    </w:p>
    <w:p>
      <w:pPr>
        <w:pStyle w:val="ListNumber"/>
      </w:pPr>
      <w:r/>
      <w:r>
        <w:rPr>
          <w:b/>
        </w:rPr>
        <w:t>Surveillance ophtalmologique</w:t>
      </w:r>
      <w:r>
        <w:t xml:space="preserve"> : à 4-6 semaines (efficacité, tolérance), puis tous les 6 mois</w:t>
      </w:r>
    </w:p>
    <w:p>
      <w:pPr>
        <w:pStyle w:val="ListNumber"/>
      </w:pPr>
      <w:r/>
      <w:r>
        <w:rPr>
          <w:b/>
        </w:rPr>
        <w:t>Oubli de dose</w:t>
      </w:r>
      <w:r>
        <w:t xml:space="preserve"> : si &lt; 2 heures (monothérapie) ou &lt; 4 heures (association fixe), instiller ; sinon, sauter la dose</w:t>
      </w:r>
    </w:p>
    <w:p>
      <w:pPr>
        <w:pStyle w:val="ListNumber"/>
      </w:pPr>
      <w:r/>
      <w:r>
        <w:rPr>
          <w:b/>
        </w:rPr>
        <w:t>Hygiène du flacon</w:t>
      </w:r>
      <w:r>
        <w:t xml:space="preserve"> : inscrire la date d'ouverture sur le flacon ; jeter 1 mois après ouverture ; ne pas toucher l'embout</w:t>
      </w:r>
    </w:p>
    <w:p>
      <w:pPr>
        <w:pStyle w:val="ListNumber"/>
      </w:pPr>
      <w:r/>
      <w:r>
        <w:rPr>
          <w:b/>
        </w:rPr>
        <w:t>Lentilles de contact</w:t>
      </w:r>
      <w:r>
        <w:t xml:space="preserve"> : retirer avant instillation, attendre 15 minutes avant remise</w:t>
      </w:r>
    </w:p>
    <w:p>
      <w:pPr>
        <w:pStyle w:val="ListNumber"/>
      </w:pPr>
      <w:r/>
      <w:r>
        <w:rPr>
          <w:b/>
        </w:rPr>
        <w:t>Grossesse et allaitement</w:t>
      </w:r>
      <w:r>
        <w:t xml:space="preserve"> : à éviter</w:t>
      </w:r>
    </w:p>
    <w:p>
      <w:pPr>
        <w:pStyle w:val="ListNumber"/>
      </w:pPr>
      <w:r/>
      <w:r>
        <w:rPr>
          <w:b/>
        </w:rPr>
        <w:t>Patient allergique aux sulfamides</w:t>
      </w:r>
      <w:r>
        <w:t xml:space="preserve"> : signaler au prescripteur — CI absolue</w:t>
      </w:r>
    </w:p>
    <w:p>
      <w:pPr>
        <w:pStyle w:val="ListNumber"/>
      </w:pPr>
      <w:r/>
      <w:r>
        <w:rPr>
          <w:b/>
        </w:rPr>
        <w:t>Patient en bithérapie</w:t>
      </w:r>
      <w:r>
        <w:t xml:space="preserve"> : vérifier l'espacement de 5 minutes entre les instillations (sauf association fixe en 1 prise)</w:t>
      </w:r>
    </w:p>
    <w:p>
      <w:pPr>
        <w:pStyle w:val="Heading3"/>
      </w:pPr>
      <w:r>
        <w:t>141.18.11 Pièges au comptoir</w:t>
      </w:r>
    </w:p>
    <w:p>
      <w:pPr>
        <w:pStyle w:val="ListBullet"/>
      </w:pPr>
      <w:r/>
      <w:r>
        <w:rPr>
          <w:b/>
        </w:rPr>
        <w:t>Allergie aux sulfamides</w:t>
      </w:r>
      <w:r>
        <w:t xml:space="preserve"> : interroger systématiquement le patient avant dispensation — le dorzolamide est un sulfonamide, allergie croisée possible avec les sulfamides antibactériens, diurétiques, hypoglycémiants</w:t>
      </w:r>
    </w:p>
    <w:p>
      <w:pPr>
        <w:pStyle w:val="ListBullet"/>
      </w:pPr>
      <w:r/>
      <w:r>
        <w:rPr>
          <w:b/>
        </w:rPr>
        <w:t>Goût amer</w:t>
      </w:r>
      <w:r>
        <w:t xml:space="preserve"> : effet attendu et banal — rassurer le patient, ne pas arrêter</w:t>
      </w:r>
    </w:p>
    <w:p>
      <w:pPr>
        <w:pStyle w:val="ListBullet"/>
      </w:pPr>
      <w:r/>
      <w:r>
        <w:rPr>
          <w:b/>
        </w:rPr>
        <w:t>Brûlure à l'instillation</w:t>
      </w:r>
      <w:r>
        <w:t xml:space="preserve"> : effet attendu en raison du pH acide ; si intolérance, préférer la forme sans conservateur (ZOLAMIDE FREE®) ou le brinzolamide</w:t>
      </w:r>
    </w:p>
    <w:p>
      <w:pPr>
        <w:pStyle w:val="ListBullet"/>
      </w:pPr>
      <w:r/>
      <w:r>
        <w:rPr>
          <w:b/>
        </w:rPr>
        <w:t>Insuffisance rénale</w:t>
      </w:r>
      <w:r>
        <w:t xml:space="preserve"> : CI absolue si DFG &lt; 30 mL/min ; surveillance biologique si DFG 30-60 mL/min</w:t>
      </w:r>
    </w:p>
    <w:p>
      <w:pPr>
        <w:pStyle w:val="ListBullet"/>
      </w:pPr>
      <w:r/>
      <w:r>
        <w:rPr>
          <w:b/>
        </w:rPr>
        <w:t>Sujet âgé</w:t>
      </w:r>
      <w:r>
        <w:t xml:space="preserve"> : surveillance biologique (ionogramme, urée, créatinine) tous les 6 mois</w:t>
      </w:r>
    </w:p>
    <w:p>
      <w:pPr>
        <w:pStyle w:val="ListBullet"/>
      </w:pPr>
      <w:r/>
      <w:r>
        <w:rPr>
          <w:b/>
        </w:rPr>
        <w:t>Date d'ouverture</w:t>
      </w:r>
      <w:r>
        <w:t xml:space="preserve"> : inscrire sur le flacon ; jeter à 1 mois</w:t>
      </w:r>
    </w:p>
    <w:p>
      <w:pPr>
        <w:pStyle w:val="ListBullet"/>
      </w:pPr>
      <w:r/>
      <w:r>
        <w:rPr>
          <w:b/>
        </w:rPr>
        <w:t>Disponibilité</w:t>
      </w:r>
      <w:r>
        <w:t xml:space="preserve"> : 8 spécialités actives en Algérie — peu de risque de rupture de stock</w:t>
      </w:r>
    </w:p>
    <w:p>
      <w:pPr>
        <w:pStyle w:val="ListBullet"/>
      </w:pPr>
      <w:r/>
      <w:r>
        <w:rPr>
          <w:b/>
        </w:rPr>
        <w:t>Coût</w:t>
      </w:r>
      <w:r>
        <w:t xml:space="preserve"> : modéré (400-800 DA/mois)</w:t>
      </w:r>
    </w:p>
    <w:p>
      <w:pPr>
        <w:pStyle w:val="ListBullet"/>
      </w:pPr>
      <w:r/>
      <w:r>
        <w:rPr>
          <w:b/>
        </w:rPr>
        <w:t>Patient en bithérapie</w:t>
      </w:r>
      <w:r>
        <w:t xml:space="preserve"> : vérifier l'espacement de 5 minutes entre les instillations (sauf association fixe en 1 prise)</w:t>
      </w:r>
    </w:p>
    <w:p>
      <w:pPr>
        <w:pStyle w:val="ListBullet"/>
      </w:pPr>
      <w:r/>
      <w:r>
        <w:rPr>
          <w:b/>
        </w:rPr>
        <w:t>Syndrome de Stevens-Johnson</w:t>
      </w:r>
      <w:r>
        <w:t xml:space="preserve"> : urgence médicale — arrêt immédiat et consultation spécialisée</w:t>
      </w:r>
    </w:p>
    <w:p>
      <w:pPr>
        <w:pStyle w:val="Heading2"/>
      </w:pPr>
      <w:r>
        <w:t>141.19 DCI : Brinzolamide</w:t>
      </w:r>
    </w:p>
    <w:p>
      <w:pPr>
        <w:pStyle w:val="Heading3"/>
      </w:pPr>
      <w:r>
        <w:t>141.19.1 Catégories thérapeutiques et place dans la stratégie</w:t>
      </w:r>
    </w:p>
    <w:p>
      <w:pPr>
        <w:pStyle w:val="ListBullet"/>
      </w:pPr>
      <w:r/>
      <w:r>
        <w:rPr>
          <w:b/>
        </w:rPr>
        <w:t>Classe ATC</w:t>
      </w:r>
      <w:r>
        <w:t xml:space="preserve"> : S01EC04 (Brinzolamide — collyre)</w:t>
      </w:r>
    </w:p>
    <w:p>
      <w:pPr>
        <w:pStyle w:val="ListBullet"/>
      </w:pPr>
      <w:r/>
      <w:r>
        <w:rPr>
          <w:b/>
        </w:rPr>
        <w:t>Sous-classe pharmacologique</w:t>
      </w:r>
      <w:r>
        <w:t xml:space="preserve"> : Inhibiteur de l'anhydrase carbonique topique (sulfonamide)</w:t>
      </w:r>
    </w:p>
    <w:p>
      <w:pPr>
        <w:pStyle w:val="ListBullet"/>
      </w:pPr>
      <w:r/>
      <w:r>
        <w:rPr>
          <w:b/>
        </w:rPr>
        <w:t>Liste des médicaments</w:t>
      </w:r>
      <w:r>
        <w:t xml:space="preserve"> : Liste I (prescription médicale obligatoire)</w:t>
      </w:r>
    </w:p>
    <w:p>
      <w:pPr>
        <w:pStyle w:val="ListBullet"/>
      </w:pPr>
      <w:r/>
      <w:r>
        <w:rPr>
          <w:b/>
        </w:rPr>
        <w:t>Statut réglementaire Algérie</w:t>
      </w:r>
      <w:r>
        <w:t xml:space="preserve"> : Liste I, commercialisé (AZOPT® Alcon UK, BRITIL® World Medecine)</w:t>
      </w:r>
    </w:p>
    <w:p>
      <w:pPr>
        <w:pStyle w:val="ListBullet"/>
      </w:pPr>
      <w:r/>
      <w:r>
        <w:rPr>
          <w:b/>
        </w:rPr>
        <w:t>Place dans la stratégie</w:t>
      </w:r>
      <w:r>
        <w:t xml:space="preserve"> : Alternative au dorzolamide en cas d'intolérance (brûlure, allergie) ; profil de tolérance locale supérieur (suspension vs solution, pH moins acide)</w:t>
      </w:r>
    </w:p>
    <w:p>
      <w:pPr>
        <w:pStyle w:val="ListBullet"/>
      </w:pPr>
      <w:r/>
      <w:r>
        <w:rPr>
          <w:b/>
        </w:rPr>
        <w:t>Index thérapeutique</w:t>
      </w:r>
      <w:r>
        <w:t xml:space="preserve"> : Large</w:t>
      </w:r>
    </w:p>
    <w:p>
      <w:pPr>
        <w:pStyle w:val="ListBullet"/>
      </w:pPr>
      <w:r/>
      <w:r>
        <w:rPr>
          <w:b/>
        </w:rPr>
        <w:t>Grossesse/Allaitement</w:t>
      </w:r>
      <w:r>
        <w:t xml:space="preserve"> : À éviter par prudence (sulfamide)</w:t>
      </w:r>
    </w:p>
    <w:p>
      <w:r>
        <w:t>Le brinzolamide, commercialisé depuis 1998 (Azopt® Alcon), appartient à la même classe que le dorzolamide mais avec un profil de tolérance locale supérieur. Sa formulation en suspension (vs solution pour le dorzolamide) et son pH plus proche de la neutralité (pH 7,5 vs 5,5-6,0 pour le dorzolamide) expliquent la moindre fréquence de brûlure à l'instillation. En Algérie, le princeps Azopt® (Alcon UK) est commercialisé, accompagné d'un générique (BRITIL® World Medecine). Le coût mensuel est de 700-1200 DA.</w:t>
      </w:r>
    </w:p>
    <w:p>
      <w:pPr>
        <w:pStyle w:val="Heading3"/>
      </w:pPr>
      <w:r>
        <w:t>141.19.2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AZOPT</w:t>
            </w:r>
          </w:p>
        </w:tc>
        <w:tc>
          <w:tcPr>
            <w:tcW w:type="dxa" w:w="1559"/>
          </w:tcPr>
          <w:p>
            <w:r>
              <w:rPr>
                <w:sz w:val="20"/>
              </w:rPr>
              <w:t>ALCON UK LTD</w:t>
            </w:r>
          </w:p>
        </w:tc>
        <w:tc>
          <w:tcPr>
            <w:tcW w:type="dxa" w:w="1559"/>
          </w:tcPr>
          <w:p>
            <w:r>
              <w:rPr>
                <w:sz w:val="20"/>
              </w:rPr>
              <w:t>Collyre en suspension — 10 mg/mL (1 %)</w:t>
            </w:r>
          </w:p>
        </w:tc>
        <w:tc>
          <w:tcPr>
            <w:tcW w:type="dxa" w:w="1559"/>
          </w:tcPr>
          <w:p>
            <w:r>
              <w:rPr>
                <w:sz w:val="20"/>
              </w:rPr>
              <w:t>B/01 FL 5 mL</w:t>
            </w:r>
          </w:p>
        </w:tc>
        <w:tc>
          <w:tcPr>
            <w:tcW w:type="dxa" w:w="1559"/>
          </w:tcPr>
          <w:p>
            <w:r>
              <w:rPr>
                <w:sz w:val="20"/>
              </w:rPr>
              <w:t>LISTE I</w:t>
            </w:r>
          </w:p>
        </w:tc>
        <w:tc>
          <w:tcPr>
            <w:tcW w:type="dxa" w:w="1559"/>
          </w:tcPr>
          <w:p>
            <w:r>
              <w:rPr>
                <w:sz w:val="20"/>
              </w:rPr>
              <w:t>ACTIF</w:t>
            </w:r>
          </w:p>
        </w:tc>
      </w:tr>
      <w:tr>
        <w:tc>
          <w:tcPr>
            <w:tcW w:type="dxa" w:w="1559"/>
          </w:tcPr>
          <w:p>
            <w:r>
              <w:rPr>
                <w:sz w:val="20"/>
              </w:rPr>
              <w:t>BRITIL</w:t>
            </w:r>
          </w:p>
        </w:tc>
        <w:tc>
          <w:tcPr>
            <w:tcW w:type="dxa" w:w="1559"/>
          </w:tcPr>
          <w:p>
            <w:r>
              <w:rPr>
                <w:sz w:val="20"/>
              </w:rPr>
              <w:t>WORLD MEDECINE LIMITED</w:t>
            </w:r>
          </w:p>
        </w:tc>
        <w:tc>
          <w:tcPr>
            <w:tcW w:type="dxa" w:w="1559"/>
          </w:tcPr>
          <w:p>
            <w:r>
              <w:rPr>
                <w:sz w:val="20"/>
              </w:rPr>
              <w:t>Collyre en suspension — 10 mg/mL (1 %)</w:t>
            </w:r>
          </w:p>
        </w:tc>
        <w:tc>
          <w:tcPr>
            <w:tcW w:type="dxa" w:w="1559"/>
          </w:tcPr>
          <w:p>
            <w:r>
              <w:rPr>
                <w:sz w:val="20"/>
              </w:rPr>
              <w:t>B/01 FL 5 mL</w:t>
            </w:r>
          </w:p>
        </w:tc>
        <w:tc>
          <w:tcPr>
            <w:tcW w:type="dxa" w:w="1559"/>
          </w:tcPr>
          <w:p>
            <w:r>
              <w:rPr>
                <w:sz w:val="20"/>
              </w:rPr>
              <w:t>LISTE I</w:t>
            </w:r>
          </w:p>
        </w:tc>
        <w:tc>
          <w:tcPr>
            <w:tcW w:type="dxa" w:w="1559"/>
          </w:tcPr>
          <w:p>
            <w:r>
              <w:rPr>
                <w:sz w:val="20"/>
              </w:rPr>
              <w:t>ACTIF</w:t>
            </w:r>
          </w:p>
        </w:tc>
      </w:tr>
    </w:tbl>
    <w:p/>
    <w:p>
      <w:pPr>
        <w:pStyle w:val="Heading3"/>
      </w:pPr>
      <w:r>
        <w:t>141.19.3 Mécanisme d'action détaillé</w:t>
      </w:r>
    </w:p>
    <w:p>
      <w:r>
        <w:t>Le brinzolamide est un sulfonamide inhibiteur de l'anhydrase carbonique topique, comparable au dorzolamide mais avec une lipophilie supérieure (log P ≈ 2,8 vs 1,4 pour le dorzolamide) et une puissance inhibitrice légèrement supérieure (Ki ≈ 0,3 nM pour l'AC II vs 0,7 nM pour le dorzolamide). Le mécanisme d'action est identique : inhibition de l'AC II ciliaire → baisse de la production de bicarbonate → réduction de 30-50 % de la production d'humeur aqueuse, sans effet sur la résorption trabéculaire ni uvéo-sclérale.</w:t>
      </w:r>
    </w:p>
    <w:p>
      <w:r>
        <w:t>L'efficacité hypotonisante est comparable à celle du dorzolamide (baisse de 3 à 5 mmHg en monothérapie, 6 à 9 mmHg en association fixe avec le timolol — Azarga® non disponible en Algérie). Le profil de tolérance locale est supérieur (suspension vs solution, pH 7,5 vs 5,5-6,0), avec une moindre fréquence de brûlure à l'instillation. La pharmacocinétique locale est comparable : pic d'efficacité à 2 heures, plateau à 2 semaines, demi-vie d'élimination locale de 3-4 heures, justifiant 2 à 3 instillations par jour en monothérapie. La résorption systémique est faible (5-15 %), avec élimination rénale sous forme inchangée.</w:t>
      </w:r>
    </w:p>
    <w:p>
      <w:pPr>
        <w:pStyle w:val="Heading3"/>
      </w:pPr>
      <w:r>
        <w:t>141.19.4 Profil pharmacologique : indications, contre-indications, effets indésirables</w:t>
      </w:r>
    </w:p>
    <w:p>
      <w:pPr>
        <w:pStyle w:val="Heading4"/>
      </w:pPr>
      <w:r>
        <w:t>Indications</w:t>
      </w:r>
    </w:p>
    <w:p>
      <w:r>
        <w:t>Identiques à celles du dorzolamide :</w:t>
      </w:r>
    </w:p>
    <w:p>
      <w:pPr>
        <w:pStyle w:val="ListBullet"/>
      </w:pPr>
      <w:r/>
      <w:r>
        <w:rPr>
          <w:b/>
        </w:rPr>
        <w:t>Glaucome à angle ouvert</w:t>
      </w:r>
      <w:r>
        <w:t xml:space="preserve"> : en monothérapie (seconde ou troisième intention) ou en association fixe avec le timolol (non disponible en Algérie sous forme fixe)</w:t>
      </w:r>
    </w:p>
    <w:p>
      <w:pPr>
        <w:pStyle w:val="ListBullet"/>
      </w:pPr>
      <w:r/>
      <w:r>
        <w:rPr>
          <w:b/>
        </w:rPr>
        <w:t>Hypertonie oculaire isolée</w:t>
      </w:r>
      <w:r/>
    </w:p>
    <w:p>
      <w:pPr>
        <w:pStyle w:val="ListBullet"/>
      </w:pPr>
      <w:r/>
      <w:r>
        <w:rPr>
          <w:b/>
        </w:rPr>
        <w:t>Glaucome à pression normale</w:t>
      </w:r>
      <w:r/>
    </w:p>
    <w:p>
      <w:pPr>
        <w:pStyle w:val="ListBullet"/>
      </w:pPr>
      <w:r/>
      <w:r>
        <w:rPr>
          <w:b/>
        </w:rPr>
        <w:t>Glaucomes secondaires</w:t>
      </w:r>
      <w:r/>
    </w:p>
    <w:p>
      <w:pPr>
        <w:pStyle w:val="ListBullet"/>
      </w:pPr>
      <w:r/>
      <w:r>
        <w:rPr>
          <w:b/>
        </w:rPr>
        <w:t>Glaucome pédiatrique</w:t>
      </w:r>
      <w:r>
        <w:t xml:space="preserve"> (en milieu spécialisé)</w:t>
      </w:r>
    </w:p>
    <w:p>
      <w:r>
        <w:t>Le brinzolamide est l'alternative de choix au dorzolamide en cas d'intolérance locale (brûlure, allergie de contact), en raison de son meilleur profil de tolérance.</w:t>
      </w:r>
    </w:p>
    <w:p>
      <w:pPr>
        <w:pStyle w:val="Heading4"/>
      </w:pPr>
      <w:r>
        <w:t>Contre-indications</w:t>
      </w:r>
    </w:p>
    <w:p>
      <w:r>
        <w:t>Identiques à celles du dorzolamide :</w:t>
      </w:r>
    </w:p>
    <w:p>
      <w:pPr>
        <w:pStyle w:val="ListBullet"/>
      </w:pPr>
      <w:r>
        <w:t>Hypersensibilité aux sulfamides</w:t>
      </w:r>
    </w:p>
    <w:p>
      <w:pPr>
        <w:pStyle w:val="ListBullet"/>
      </w:pPr>
      <w:r>
        <w:t>Hypersensibilité à la substance active ou aux excipients</w:t>
      </w:r>
    </w:p>
    <w:p>
      <w:pPr>
        <w:pStyle w:val="ListBullet"/>
      </w:pPr>
      <w:r>
        <w:t>Insuffisance rénale sévère (DFG &lt; 30 mL/min)</w:t>
      </w:r>
    </w:p>
    <w:p>
      <w:pPr>
        <w:pStyle w:val="ListBullet"/>
      </w:pPr>
      <w:r>
        <w:t>Hyperchlorémie, acidose métabolique préexistante</w:t>
      </w:r>
    </w:p>
    <w:p>
      <w:r>
        <w:t>Précautions d'emploi :</w:t>
      </w:r>
    </w:p>
    <w:p>
      <w:pPr>
        <w:pStyle w:val="ListBullet"/>
      </w:pPr>
      <w:r>
        <w:t>Allaitement, grossesse</w:t>
      </w:r>
    </w:p>
    <w:p>
      <w:pPr>
        <w:pStyle w:val="ListBullet"/>
      </w:pPr>
      <w:r>
        <w:t>Lithiase urinaire</w:t>
      </w:r>
    </w:p>
    <w:p>
      <w:pPr>
        <w:pStyle w:val="ListBullet"/>
      </w:pPr>
      <w:r>
        <w:t>Sujet âgé avec insuffisance rénale modérée</w:t>
      </w:r>
    </w:p>
    <w:p>
      <w:pPr>
        <w:pStyle w:val="Heading4"/>
      </w:pPr>
      <w:r>
        <w:t>Effets indésirables</w:t>
      </w:r>
    </w:p>
    <w:p>
      <w:r/>
      <w:r>
        <w:rPr>
          <w:b/>
        </w:rPr>
        <w:t>Locaux ophtalmiques</w:t>
      </w:r>
      <w:r>
        <w:t xml:space="preserve"> :</w:t>
      </w:r>
    </w:p>
    <w:p>
      <w:pPr>
        <w:pStyle w:val="ListBullet"/>
      </w:pPr>
      <w:r/>
      <w:r>
        <w:rPr>
          <w:b/>
        </w:rPr>
        <w:t>Brûlure à l'instillation</w:t>
      </w:r>
      <w:r>
        <w:t xml:space="preserve"> (5-10 %, moins marquée qu'avec le dorzolamide en raison du pH 7,5 et de la formulation en suspension)</w:t>
      </w:r>
    </w:p>
    <w:p>
      <w:pPr>
        <w:pStyle w:val="ListBullet"/>
      </w:pPr>
      <w:r/>
      <w:r>
        <w:rPr>
          <w:b/>
        </w:rPr>
        <w:t>Goût amer post-nasal</w:t>
      </w:r>
      <w:r>
        <w:t xml:space="preserve"> (20-30 %, légèrement moins fréquent qu'avec le dorzolamide)</w:t>
      </w:r>
    </w:p>
    <w:p>
      <w:pPr>
        <w:pStyle w:val="ListBullet"/>
      </w:pPr>
      <w:r/>
      <w:r>
        <w:rPr>
          <w:b/>
        </w:rPr>
        <w:t>Vision floue transitoire</w:t>
      </w:r>
      <w:r>
        <w:t xml:space="preserve"> (5-10 %, en raison de la formulation en suspension — particules en suspension dans le film lacrymal)</w:t>
      </w:r>
    </w:p>
    <w:p>
      <w:pPr>
        <w:pStyle w:val="ListBullet"/>
      </w:pPr>
      <w:r>
        <w:t>Sécheresse oculaire, corps étranger (5-10 %)</w:t>
      </w:r>
    </w:p>
    <w:p>
      <w:pPr>
        <w:pStyle w:val="ListBullet"/>
      </w:pPr>
      <w:r>
        <w:t>Conjonctivite allergique tardive (1-5 %)</w:t>
      </w:r>
    </w:p>
    <w:p>
      <w:pPr>
        <w:pStyle w:val="ListBullet"/>
      </w:pPr>
      <w:r>
        <w:t>Kératite ponctuée superficielle (3-5 %, BAK)</w:t>
      </w:r>
    </w:p>
    <w:p>
      <w:pPr>
        <w:pStyle w:val="ListBullet"/>
      </w:pPr>
      <w:r>
        <w:t>Blépharite, dermatite de contact palpébrale (1-2 %)</w:t>
      </w:r>
    </w:p>
    <w:p>
      <w:pPr>
        <w:pStyle w:val="ListBullet"/>
      </w:pPr>
      <w:r>
        <w:t>Syndrome de Stevens-Johnson (exceptionnel)</w:t>
      </w:r>
    </w:p>
    <w:p>
      <w:pPr>
        <w:pStyle w:val="ListBullet"/>
      </w:pPr>
      <w:r>
        <w:t>Décollement choroïdien (rare, en post-opératoire)</w:t>
      </w:r>
    </w:p>
    <w:p>
      <w:r/>
      <w:r>
        <w:rPr>
          <w:b/>
        </w:rPr>
        <w:t>Systémiques</w:t>
      </w:r>
      <w:r>
        <w:t xml:space="preserve"> (par absorption naso-lacrymale) :</w:t>
      </w:r>
    </w:p>
    <w:p>
      <w:pPr>
        <w:pStyle w:val="ListBullet"/>
      </w:pPr>
      <w:r>
        <w:t>Goût amer (cf. supra)</w:t>
      </w:r>
    </w:p>
    <w:p>
      <w:pPr>
        <w:pStyle w:val="ListBullet"/>
      </w:pPr>
      <w:r>
        <w:t>Céphalées (1-3 %)</w:t>
      </w:r>
    </w:p>
    <w:p>
      <w:pPr>
        <w:pStyle w:val="ListBullet"/>
      </w:pPr>
      <w:r>
        <w:t>Asthénie, fatigue (1-2 %)</w:t>
      </w:r>
    </w:p>
    <w:p>
      <w:pPr>
        <w:pStyle w:val="ListBullet"/>
      </w:pPr>
      <w:r>
        <w:t>Nausées (1-2 %)</w:t>
      </w:r>
    </w:p>
    <w:p>
      <w:pPr>
        <w:pStyle w:val="ListBullet"/>
      </w:pPr>
      <w:r>
        <w:t>Exceptionnellement (sujets âgés, insuffisants rénaux) : acidose métabolique hyperchlorémique, hypokaliémie</w:t>
      </w:r>
    </w:p>
    <w:p>
      <w:pPr>
        <w:pStyle w:val="Heading3"/>
      </w:pPr>
      <w:r>
        <w:t>141.19.5 Prévention et gestion des effets indésirables</w:t>
      </w:r>
    </w:p>
    <w:p>
      <w:r>
        <w:t>Identique au dorzolamide :</w:t>
      </w:r>
    </w:p>
    <w:p>
      <w:pPr>
        <w:pStyle w:val="ListNumber"/>
      </w:pPr>
      <w:r>
        <w:t>Prévention de l'allergie de contact (surveillance clinique, arrêt si suspicion)</w:t>
      </w:r>
    </w:p>
    <w:p>
      <w:pPr>
        <w:pStyle w:val="ListNumber"/>
      </w:pPr>
      <w:r>
        <w:t>Prévention de la brûlure à l'instillation (le brinzolamide est moins brûlant que le dorzolamide — alternative en cas d'intolérance au dorzolamide)</w:t>
      </w:r>
    </w:p>
    <w:p>
      <w:pPr>
        <w:pStyle w:val="ListNumber"/>
      </w:pPr>
      <w:r>
        <w:t>Prévention du goût amer (occlusion naso-lacrymale)</w:t>
      </w:r>
    </w:p>
    <w:p>
      <w:pPr>
        <w:pStyle w:val="ListNumber"/>
      </w:pPr>
      <w:r>
        <w:t>Surveillance de la fonction rénale (ionogramme, urée, créatinine tous les 6 mois chez le sujet âgé ou insuffisant rénal modéré)</w:t>
      </w:r>
    </w:p>
    <w:p>
      <w:pPr>
        <w:pStyle w:val="ListNumber"/>
      </w:pPr>
      <w:r>
        <w:t>Surveillance de la tolérance cornéenne (examen à la lampe fente à 4-6 semaines, puis tous les 6 mois)</w:t>
      </w:r>
    </w:p>
    <w:p>
      <w:pPr>
        <w:pStyle w:val="ListNumber"/>
      </w:pPr>
      <w:r>
        <w:t>Information du patient (goût amer, vision floue transitoire, allergie tardive)</w:t>
      </w:r>
    </w:p>
    <w:p>
      <w:pPr>
        <w:pStyle w:val="ListNumber"/>
      </w:pPr>
      <w:r>
        <w:t>En cas d'allergie : changement de classe (prostaglandine, β-bloquant)</w:t>
      </w:r>
    </w:p>
    <w:p>
      <w:pPr>
        <w:pStyle w:val="ListNumber"/>
      </w:pPr>
      <w:r>
        <w:t>Syndrome de Stevens-Johnson : arrêt immédiat, urgence</w:t>
      </w:r>
    </w:p>
    <w:p>
      <w:pPr>
        <w:pStyle w:val="Heading3"/>
      </w:pPr>
      <w:r>
        <w:t>141.19.6 Interactions médicamenteuses</w:t>
      </w:r>
    </w:p>
    <w:p>
      <w:r>
        <w:t>Identiques au dorzolamide :</w:t>
      </w:r>
    </w:p>
    <w:p>
      <w:pPr>
        <w:pStyle w:val="ListBullet"/>
      </w:pPr>
      <w:r>
        <w:t>Acétazolamide oral : potentialisation de l'inhibition systémique, risque d'acidose métabolique additive</w:t>
      </w:r>
    </w:p>
    <w:p>
      <w:pPr>
        <w:pStyle w:val="ListBullet"/>
      </w:pPr>
      <w:r>
        <w:t>Sulfamides diurétiques : potentialisation de l'effet diurétique et du risque d'hypokaliémie</w:t>
      </w:r>
    </w:p>
    <w:p>
      <w:pPr>
        <w:pStyle w:val="ListBullet"/>
      </w:pPr>
      <w:r>
        <w:t>Lithium : excrétion rénale réduite (principe de précaution)</w:t>
      </w:r>
    </w:p>
    <w:p>
      <w:pPr>
        <w:pStyle w:val="ListBullet"/>
      </w:pPr>
      <w:r>
        <w:t>Salicylés à forte dose : déplacement de la liaison protéique</w:t>
      </w:r>
    </w:p>
    <w:p>
      <w:pPr>
        <w:pStyle w:val="ListBullet"/>
      </w:pPr>
      <w:r>
        <w:t>Associations physiquement incompatibles : pas de mélange dans le même flacon</w:t>
      </w:r>
    </w:p>
    <w:p>
      <w:pPr>
        <w:pStyle w:val="ListBullet"/>
      </w:pPr>
      <w:r>
        <w:t>Associations à espacer : tout collyre instillé dans le même œil doit l'être à au moins 5 minutes d'intervalle</w:t>
      </w:r>
    </w:p>
    <w:p>
      <w:pPr>
        <w:pStyle w:val="Heading3"/>
      </w:pPr>
      <w:r>
        <w:t>141.19.7 Grossesse et allaitement (CRAT)</w:t>
      </w:r>
    </w:p>
    <w:p>
      <w:r>
        <w:t>Identique au dorzolamide :</w:t>
      </w:r>
    </w:p>
    <w:p>
      <w:pPr>
        <w:pStyle w:val="ListBullet"/>
      </w:pPr>
      <w:r/>
      <w:r>
        <w:rPr>
          <w:b/>
        </w:rPr>
        <w:t>Grossesse</w:t>
      </w:r>
      <w:r>
        <w:t xml:space="preserve"> : à éviter par prudence (sulfamide). Données animales défavorables à doses supra-thérapeutiques. Données humaines limitées. En cas de nécessité, préférer le timolol (2ᵉ et 3ᵉ trimestre) ou le latanoprost (à éviter au 1er trimestre).</w:t>
      </w:r>
    </w:p>
    <w:p>
      <w:pPr>
        <w:pStyle w:val="ListBullet"/>
      </w:pPr>
      <w:r/>
      <w:r>
        <w:rPr>
          <w:b/>
        </w:rPr>
        <w:t>Allaitement</w:t>
      </w:r>
      <w:r>
        <w:t xml:space="preserve"> : à éviter par prudence (sulfamide). Si traitement indispensable, suspendre l'allaitement.</w:t>
      </w:r>
    </w:p>
    <w:p>
      <w:pPr>
        <w:pStyle w:val="Heading3"/>
      </w:pPr>
      <w:r>
        <w:t>141.19.8 Posologie</w:t>
      </w:r>
    </w:p>
    <w:p>
      <w:pPr>
        <w:pStyle w:val="ListBullet"/>
      </w:pPr>
      <w:r/>
      <w:r>
        <w:rPr>
          <w:b/>
        </w:rPr>
        <w:t>Adulte</w:t>
      </w:r>
      <w:r>
        <w:t xml:space="preserve"> (monothérapie) : 1 goutte de brinzolamide 1 % (10 mg/mL) dans l'œil atteint, </w:t>
      </w:r>
      <w:r>
        <w:rPr>
          <w:b/>
        </w:rPr>
        <w:t>2 à 3 fois par jour</w:t>
      </w:r>
      <w:r>
        <w:t xml:space="preserve"> (matin et soir, ou matin, midi, soir)</w:t>
      </w:r>
    </w:p>
    <w:p>
      <w:pPr>
        <w:pStyle w:val="ListBullet"/>
      </w:pPr>
      <w:r/>
      <w:r>
        <w:rPr>
          <w:b/>
        </w:rPr>
        <w:t>Adulte</w:t>
      </w:r>
      <w:r>
        <w:t xml:space="preserve"> (association fixe avec timolol — Azarga® non disponible en Algérie) : 1 goutte × 2/jour (matin et soir)</w:t>
      </w:r>
    </w:p>
    <w:p>
      <w:pPr>
        <w:pStyle w:val="ListBullet"/>
      </w:pPr>
      <w:r/>
      <w:r>
        <w:rPr>
          <w:b/>
        </w:rPr>
        <w:t>Oubli de dose</w:t>
      </w:r>
      <w:r>
        <w:t xml:space="preserve"> : si &lt; 2 heures (monothérapie) ou &lt; 4 heures (association fixe), instiller ; sinon, sauter la dose</w:t>
      </w:r>
    </w:p>
    <w:p>
      <w:pPr>
        <w:pStyle w:val="ListBullet"/>
      </w:pPr>
      <w:r/>
      <w:r>
        <w:rPr>
          <w:b/>
        </w:rPr>
        <w:t>Sujet âgé</w:t>
      </w:r>
      <w:r>
        <w:t xml:space="preserve"> : pas d'adaptation posologique si fonction rénale normale ; surveillance renforcée si insuffisance rénale modérée</w:t>
      </w:r>
    </w:p>
    <w:p>
      <w:pPr>
        <w:pStyle w:val="ListBullet"/>
      </w:pPr>
      <w:r/>
      <w:r>
        <w:rPr>
          <w:b/>
        </w:rPr>
        <w:t>Insuffisant rénal (DFG &lt; 30 mL/min)</w:t>
      </w:r>
      <w:r>
        <w:t xml:space="preserve"> : CI absolue</w:t>
      </w:r>
    </w:p>
    <w:p>
      <w:pPr>
        <w:pStyle w:val="ListBullet"/>
      </w:pPr>
      <w:r/>
      <w:r>
        <w:rPr>
          <w:b/>
        </w:rPr>
        <w:t>Insuffisant hépatique</w:t>
      </w:r>
      <w:r>
        <w:t xml:space="preserve"> : pas d'adaptation posologique</w:t>
      </w:r>
    </w:p>
    <w:p>
      <w:pPr>
        <w:pStyle w:val="ListBullet"/>
      </w:pPr>
      <w:r/>
      <w:r>
        <w:rPr>
          <w:b/>
        </w:rPr>
        <w:t>Enfant &gt; 1 an</w:t>
      </w:r>
      <w:r>
        <w:t xml:space="preserve"> : en milieu spécialisé</w:t>
      </w:r>
    </w:p>
    <w:p>
      <w:pPr>
        <w:pStyle w:val="ListBullet"/>
      </w:pPr>
      <w:r/>
      <w:r>
        <w:rPr>
          <w:b/>
        </w:rPr>
        <w:t>Lentilles de contact</w:t>
      </w:r>
      <w:r>
        <w:t xml:space="preserve"> : retirer avant instillation, attendre 15 minutes avant remise (BAK)</w:t>
      </w:r>
    </w:p>
    <w:p>
      <w:pPr>
        <w:pStyle w:val="ListBullet"/>
      </w:pPr>
      <w:r/>
      <w:r>
        <w:rPr>
          <w:b/>
        </w:rPr>
        <w:t>Agiter avant emploi</w:t>
      </w:r>
      <w:r>
        <w:t xml:space="preserve"> (suspension) : bien agiter le flacon avant chaque instillation pour homogénéiser la suspension</w:t>
      </w:r>
    </w:p>
    <w:p>
      <w:pPr>
        <w:pStyle w:val="ListBullet"/>
      </w:pPr>
      <w:r/>
      <w:r>
        <w:rPr>
          <w:b/>
        </w:rPr>
        <w:t>Durée</w:t>
      </w:r>
      <w:r>
        <w:t xml:space="preserve"> : chronique, à vie</w:t>
      </w:r>
    </w:p>
    <w:p>
      <w:pPr>
        <w:pStyle w:val="Heading3"/>
      </w:pPr>
      <w:r>
        <w:t>141.19.9 Formes galéniques et arbitrage</w:t>
      </w:r>
    </w:p>
    <w:p>
      <w:r>
        <w:t>Une seule forme galénique disponible en Algérie : le collyre en suspension à 1 % (10 mg/mL), avec conservateur (chlorure de benzalkonium), flacon de 5 mL. Conservation 1 mois après ouverture.</w:t>
      </w:r>
    </w:p>
    <w:p>
      <w:r>
        <w:t>Aucune forme sans conservateur n'est disponible en Algérie pour le brinzolamide. En cas d'intolérance au BAK, se tourner vers le dorzolamide sans conservateur (ZOLAMIDE FREE® Generic Lab), ou vers une autre classe.</w:t>
      </w:r>
    </w:p>
    <w:p>
      <w:r>
        <w:t>L'arbitrage entre dorzolamide et brinzolamide repose sur la tolérance locale :</w:t>
      </w:r>
    </w:p>
    <w:p>
      <w:pPr>
        <w:pStyle w:val="ListBullet"/>
      </w:pPr>
      <w:r/>
      <w:r>
        <w:rPr>
          <w:b/>
        </w:rPr>
        <w:t>Dorzolamide</w:t>
      </w:r>
      <w:r>
        <w:t xml:space="preserve"> : solution, pH 5,5-6,0, brûlure plus marquée, goût amer plus fréquent, mais forme sans conservateur disponible (ZOLAMIDE FREE®)</w:t>
      </w:r>
    </w:p>
    <w:p>
      <w:pPr>
        <w:pStyle w:val="ListBullet"/>
      </w:pPr>
      <w:r/>
      <w:r>
        <w:rPr>
          <w:b/>
        </w:rPr>
        <w:t>Brinzolamide</w:t>
      </w:r>
      <w:r>
        <w:t xml:space="preserve"> : suspension, pH 7,5, brûlure moindre, vision floue transitoire (suspension), mais pas de forme sans conservateur en Algérie</w:t>
      </w:r>
    </w:p>
    <w:p>
      <w:r>
        <w:t>Le brinzolamide est l'alternative de choix en cas d'intolérance au dorzolamide (brûlure, allergie), mais nécessite une agitation avant emploi (suspension).</w:t>
      </w:r>
    </w:p>
    <w:p>
      <w:pPr>
        <w:pStyle w:val="Heading3"/>
      </w:pPr>
      <w:r>
        <w:t>141.19.10 Instructions et conseils au patient</w:t>
      </w:r>
    </w:p>
    <w:p>
      <w:r>
        <w:t>Conseils identiques au dorzolamide : technique d'instillation, fréquence, goût amer, surveillance biologique, surveillance ophtalmologique, oubli de dose, hygiène du flacon, lentilles, grossesse, allergie aux sulfamides.</w:t>
      </w:r>
    </w:p>
    <w:p>
      <w:r>
        <w:t xml:space="preserve">Préciser que le brinzolamide est une suspension — </w:t>
      </w:r>
      <w:r>
        <w:rPr>
          <w:b/>
        </w:rPr>
        <w:t>bien agiter le flacon avant chaque instillation</w:t>
      </w:r>
      <w:r>
        <w:t xml:space="preserve"> pour homogénéiser la suspension (sinon, la dose administrée peut être sous-dosée).</w:t>
      </w:r>
    </w:p>
    <w:p>
      <w:r>
        <w:t>Préciser que la vision floue transitoire (particules en suspension dans le film lacrymal) est un effet attendu, banal, régressant en quelques minutes.</w:t>
      </w:r>
    </w:p>
    <w:p>
      <w:pPr>
        <w:pStyle w:val="Heading3"/>
      </w:pPr>
      <w:r>
        <w:t>141.19.11 Pièges au comptoir</w:t>
      </w:r>
    </w:p>
    <w:p>
      <w:pPr>
        <w:pStyle w:val="ListBullet"/>
      </w:pPr>
      <w:r/>
      <w:r>
        <w:rPr>
          <w:b/>
        </w:rPr>
        <w:t>Suspension à agiter</w:t>
      </w:r>
      <w:r>
        <w:t xml:space="preserve"> : insister sur l'agitation du flacon avant chaque instillation — sinon sous-dosage</w:t>
      </w:r>
    </w:p>
    <w:p>
      <w:pPr>
        <w:pStyle w:val="ListBullet"/>
      </w:pPr>
      <w:r/>
      <w:r>
        <w:rPr>
          <w:b/>
        </w:rPr>
        <w:t>Allergie aux sulfamides</w:t>
      </w:r>
      <w:r>
        <w:t xml:space="preserve"> : interroger systématiquement — CI absolue</w:t>
      </w:r>
    </w:p>
    <w:p>
      <w:pPr>
        <w:pStyle w:val="ListBullet"/>
      </w:pPr>
      <w:r/>
      <w:r>
        <w:rPr>
          <w:b/>
        </w:rPr>
        <w:t>Goût amer</w:t>
      </w:r>
      <w:r>
        <w:t xml:space="preserve"> : effet attendu, banal — rassurer le patient</w:t>
      </w:r>
    </w:p>
    <w:p>
      <w:pPr>
        <w:pStyle w:val="ListBullet"/>
      </w:pPr>
      <w:r/>
      <w:r>
        <w:rPr>
          <w:b/>
        </w:rPr>
        <w:t>Vision floue transitoire</w:t>
      </w:r>
      <w:r>
        <w:t xml:space="preserve"> : effet attendu en raison de la formulation en suspension — prévenir le patient, ne pas conduire dans les 15 minutes</w:t>
      </w:r>
    </w:p>
    <w:p>
      <w:pPr>
        <w:pStyle w:val="ListBullet"/>
      </w:pPr>
      <w:r/>
      <w:r>
        <w:rPr>
          <w:b/>
        </w:rPr>
        <w:t>Insuffisance rénale</w:t>
      </w:r>
      <w:r>
        <w:t xml:space="preserve"> : CI absolue si DFG &lt; 30 mL/min ; surveillance biologique si DFG 30-60 mL/min</w:t>
      </w:r>
    </w:p>
    <w:p>
      <w:pPr>
        <w:pStyle w:val="ListBullet"/>
      </w:pPr>
      <w:r/>
      <w:r>
        <w:rPr>
          <w:b/>
        </w:rPr>
        <w:t>Sujet âgé</w:t>
      </w:r>
      <w:r>
        <w:t xml:space="preserve"> : surveillance biologique tous les 6 mois</w:t>
      </w:r>
    </w:p>
    <w:p>
      <w:pPr>
        <w:pStyle w:val="ListBullet"/>
      </w:pPr>
      <w:r/>
      <w:r>
        <w:rPr>
          <w:b/>
        </w:rPr>
        <w:t>Date d'ouverture</w:t>
      </w:r>
      <w:r>
        <w:t xml:space="preserve"> : inscrire sur le flacon ; jeter à 1 mois</w:t>
      </w:r>
    </w:p>
    <w:p>
      <w:pPr>
        <w:pStyle w:val="ListBullet"/>
      </w:pPr>
      <w:r/>
      <w:r>
        <w:rPr>
          <w:b/>
        </w:rPr>
        <w:t>Disponibilité</w:t>
      </w:r>
      <w:r>
        <w:t xml:space="preserve"> : AZOPT® et BRITIL® sont parfois en rupture de stock en Algérie — prévoir une alternative (dorzolamide)</w:t>
      </w:r>
    </w:p>
    <w:p>
      <w:pPr>
        <w:pStyle w:val="ListBullet"/>
      </w:pPr>
      <w:r/>
      <w:r>
        <w:rPr>
          <w:b/>
        </w:rPr>
        <w:t>Coût</w:t>
      </w:r>
      <w:r>
        <w:t xml:space="preserve"> : supérieur au dorzolamide générique (700-1200 DA/mois)</w:t>
      </w:r>
    </w:p>
    <w:p>
      <w:pPr>
        <w:pStyle w:val="ListBullet"/>
      </w:pPr>
      <w:r/>
      <w:r>
        <w:rPr>
          <w:b/>
        </w:rPr>
        <w:t>Patient en bithérapie</w:t>
      </w:r>
      <w:r>
        <w:t xml:space="preserve"> : vérifier l'espacement de 5 minutes entre les instillations</w:t>
      </w:r>
    </w:p>
    <w:p>
      <w:pPr>
        <w:pStyle w:val="Heading2"/>
      </w:pPr>
      <w:r>
        <w:t>141.20 DCI : Acétazolamide (usage ophtalmique)</w:t>
      </w:r>
    </w:p>
    <w:p>
      <w:pPr>
        <w:pStyle w:val="Heading3"/>
      </w:pPr>
      <w:r>
        <w:t>141.20.1 Catégories thérapeutiques et place dans la stratégie</w:t>
      </w:r>
    </w:p>
    <w:p>
      <w:pPr>
        <w:pStyle w:val="ListBullet"/>
      </w:pPr>
      <w:r/>
      <w:r>
        <w:rPr>
          <w:b/>
        </w:rPr>
        <w:t>Classe ATC</w:t>
      </w:r>
      <w:r>
        <w:t xml:space="preserve"> : S01EC01 (Acétazolamide — usage ophtalmique) ; C03BC01 (usage diurétique)</w:t>
      </w:r>
    </w:p>
    <w:p>
      <w:pPr>
        <w:pStyle w:val="ListBullet"/>
      </w:pPr>
      <w:r/>
      <w:r>
        <w:rPr>
          <w:b/>
        </w:rPr>
        <w:t>Sous-classe pharmacologique</w:t>
      </w:r>
      <w:r>
        <w:t xml:space="preserve"> : Inhibiteur de l'anhydrase carbonique systémique (sulfonamide)</w:t>
      </w:r>
    </w:p>
    <w:p>
      <w:pPr>
        <w:pStyle w:val="ListBullet"/>
      </w:pPr>
      <w:r/>
      <w:r>
        <w:rPr>
          <w:b/>
        </w:rPr>
        <w:t>Liste des médicaments</w:t>
      </w:r>
      <w:r>
        <w:t xml:space="preserve"> : Liste II (prescription médicale, mais non stupéfiant)</w:t>
      </w:r>
    </w:p>
    <w:p>
      <w:pPr>
        <w:pStyle w:val="ListBullet"/>
      </w:pPr>
      <w:r/>
      <w:r>
        <w:rPr>
          <w:b/>
        </w:rPr>
        <w:t>Statut réglementaire Algérie</w:t>
      </w:r>
      <w:r>
        <w:t xml:space="preserve"> : Liste II, commercialisé (ACETAZOLAMIDE BR® Biorem, LYNOX® SARL Groupe Santé) ; DIAMOX® (Rhône Poulenc Rorer) NON_RENOUVELABLE ; DIURAZOL® (Lifepharma) NON_RENOUVELABLE ; ACEDIOX® (Biomedic), ACEMAX® (Cipla) RETRAIT</w:t>
      </w:r>
    </w:p>
    <w:p>
      <w:pPr>
        <w:pStyle w:val="ListBullet"/>
      </w:pPr>
      <w:r/>
      <w:r>
        <w:rPr>
          <w:b/>
        </w:rPr>
        <w:t>Place dans la stratégie</w:t>
      </w:r>
      <w:r>
        <w:t xml:space="preserve"> (EGS 2023, AAO PPP 2020) : </w:t>
      </w:r>
      <w:r>
        <w:rPr>
          <w:b/>
        </w:rPr>
        <w:t>Crise aiguë de glaucome par fermeture d'angle (CGFA)</w:t>
      </w:r>
      <w:r>
        <w:t xml:space="preserve"> — traitement d'attaque par voie IV ou orale, en association avec la pilocarpine et la mannitol IV ; </w:t>
      </w:r>
      <w:r>
        <w:rPr>
          <w:b/>
        </w:rPr>
        <w:t>Glaucome réfractaire</w:t>
      </w:r>
      <w:r>
        <w:t xml:space="preserve"> — traitement adjuvant en attendant la chirurgie filtrante ; </w:t>
      </w:r>
      <w:r>
        <w:rPr>
          <w:b/>
        </w:rPr>
        <w:t>Glaucome post-traumatique</w:t>
      </w:r>
      <w:r>
        <w:t xml:space="preserve"> — traitement d'attaque</w:t>
      </w:r>
    </w:p>
    <w:p>
      <w:pPr>
        <w:pStyle w:val="ListBullet"/>
      </w:pPr>
      <w:r/>
      <w:r>
        <w:rPr>
          <w:b/>
        </w:rPr>
        <w:t>Index thérapeutique</w:t>
      </w:r>
      <w:r>
        <w:t xml:space="preserve"> : Étroit (effets systémiques constants)</w:t>
      </w:r>
    </w:p>
    <w:p>
      <w:pPr>
        <w:pStyle w:val="ListBullet"/>
      </w:pPr>
      <w:r/>
      <w:r>
        <w:rPr>
          <w:b/>
        </w:rPr>
        <w:t>Grossesse/Allaitement</w:t>
      </w:r>
      <w:r>
        <w:t xml:space="preserve"> : À éviter (sulfamide, tératogène potentiel)</w:t>
      </w:r>
    </w:p>
    <w:p>
      <w:r>
        <w:t>L'acétazolamide, commercialisé depuis 1954 (Diamox® Rhône Poulenc Rorer), est l'unique inhibiteur de l'anhydrase carbonique disponible par voie systémique et utilisé en ophtalmologie. Sa puissance hypotonisante est importante (baisse de 8 à 15 mmHg en quelques heures), mais son profil d'effets indésirables systémiques limite strictement son usage à la courte durée (quelques jours à quelques semaines). En Algérie, le princeps Diamox® est retiré du marché, mais 2 génériques sont disponibles (ACETAZOLAMIDE BR® et LYNOX®) en comprimés sécables de 250 mg. La forme injectable (Diamox® 500 mg IV) n'est plus disponible en Algérie (NON_RENOUVELABLE et RETRAIT), ce qui peut poser problème dans la prise en charge des crises aiguës de glaucome par fermeture d'angle en milieu hospitalier — la voie orale reste utilisable en urgence (250 mg × 4/jour per os, avec un délai d'action de 1 à 2 heures vs 30 minutes en IV).</w:t>
      </w:r>
    </w:p>
    <w:p>
      <w:pPr>
        <w:pStyle w:val="Heading3"/>
      </w:pPr>
      <w:r>
        <w:t>141.20.2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ACETAZOLAMIDE BR</w:t>
            </w:r>
          </w:p>
        </w:tc>
        <w:tc>
          <w:tcPr>
            <w:tcW w:type="dxa" w:w="1559"/>
          </w:tcPr>
          <w:p>
            <w:r>
              <w:rPr>
                <w:sz w:val="20"/>
              </w:rPr>
              <w:t>SARL BIOREM</w:t>
            </w:r>
          </w:p>
        </w:tc>
        <w:tc>
          <w:tcPr>
            <w:tcW w:type="dxa" w:w="1559"/>
          </w:tcPr>
          <w:p>
            <w:r>
              <w:rPr>
                <w:sz w:val="20"/>
              </w:rPr>
              <w:t>Comprimé sécable — 250 mg</w:t>
            </w:r>
          </w:p>
        </w:tc>
        <w:tc>
          <w:tcPr>
            <w:tcW w:type="dxa" w:w="1559"/>
          </w:tcPr>
          <w:p>
            <w:r>
              <w:rPr>
                <w:sz w:val="20"/>
              </w:rPr>
              <w:t>Boîte de 20</w:t>
            </w:r>
          </w:p>
        </w:tc>
        <w:tc>
          <w:tcPr>
            <w:tcW w:type="dxa" w:w="1559"/>
          </w:tcPr>
          <w:p>
            <w:r>
              <w:rPr>
                <w:sz w:val="20"/>
              </w:rPr>
              <w:t>LISTE II</w:t>
            </w:r>
          </w:p>
        </w:tc>
        <w:tc>
          <w:tcPr>
            <w:tcW w:type="dxa" w:w="1559"/>
          </w:tcPr>
          <w:p>
            <w:r>
              <w:rPr>
                <w:sz w:val="20"/>
              </w:rPr>
              <w:t>ACTIF</w:t>
            </w:r>
          </w:p>
        </w:tc>
      </w:tr>
      <w:tr>
        <w:tc>
          <w:tcPr>
            <w:tcW w:type="dxa" w:w="1559"/>
          </w:tcPr>
          <w:p>
            <w:r>
              <w:rPr>
                <w:sz w:val="20"/>
              </w:rPr>
              <w:t>LYNOX</w:t>
            </w:r>
          </w:p>
        </w:tc>
        <w:tc>
          <w:tcPr>
            <w:tcW w:type="dxa" w:w="1559"/>
          </w:tcPr>
          <w:p>
            <w:r>
              <w:rPr>
                <w:sz w:val="20"/>
              </w:rPr>
              <w:t>SARL GROUPE SANTE</w:t>
            </w:r>
          </w:p>
        </w:tc>
        <w:tc>
          <w:tcPr>
            <w:tcW w:type="dxa" w:w="1559"/>
          </w:tcPr>
          <w:p>
            <w:r>
              <w:rPr>
                <w:sz w:val="20"/>
              </w:rPr>
              <w:t>Comprimé — 250 mg</w:t>
            </w:r>
          </w:p>
        </w:tc>
        <w:tc>
          <w:tcPr>
            <w:tcW w:type="dxa" w:w="1559"/>
          </w:tcPr>
          <w:p>
            <w:r>
              <w:rPr>
                <w:sz w:val="20"/>
              </w:rPr>
              <w:t>B/20</w:t>
            </w:r>
          </w:p>
        </w:tc>
        <w:tc>
          <w:tcPr>
            <w:tcW w:type="dxa" w:w="1559"/>
          </w:tcPr>
          <w:p>
            <w:r>
              <w:rPr>
                <w:sz w:val="20"/>
              </w:rPr>
              <w:t>LISTE II</w:t>
            </w:r>
          </w:p>
        </w:tc>
        <w:tc>
          <w:tcPr>
            <w:tcW w:type="dxa" w:w="1559"/>
          </w:tcPr>
          <w:p>
            <w:r>
              <w:rPr>
                <w:sz w:val="20"/>
              </w:rPr>
              <w:t>ACTIF</w:t>
            </w:r>
          </w:p>
        </w:tc>
      </w:tr>
      <w:tr>
        <w:tc>
          <w:tcPr>
            <w:tcW w:type="dxa" w:w="1559"/>
          </w:tcPr>
          <w:p>
            <w:r>
              <w:rPr>
                <w:sz w:val="20"/>
              </w:rPr>
              <w:t>DIAMOX solution injectable (NR)</w:t>
            </w:r>
          </w:p>
        </w:tc>
        <w:tc>
          <w:tcPr>
            <w:tcW w:type="dxa" w:w="1559"/>
          </w:tcPr>
          <w:p>
            <w:r>
              <w:rPr>
                <w:sz w:val="20"/>
              </w:rPr>
              <w:t>RHONE POULENC RORER</w:t>
            </w:r>
          </w:p>
        </w:tc>
        <w:tc>
          <w:tcPr>
            <w:tcW w:type="dxa" w:w="1559"/>
          </w:tcPr>
          <w:p>
            <w:r>
              <w:rPr>
                <w:sz w:val="20"/>
              </w:rPr>
              <w:t>Solution injectable — 500 mg</w:t>
            </w:r>
          </w:p>
        </w:tc>
        <w:tc>
          <w:tcPr>
            <w:tcW w:type="dxa" w:w="1559"/>
          </w:tcPr>
          <w:p>
            <w:r>
              <w:rPr>
                <w:sz w:val="20"/>
              </w:rPr>
              <w:t>B/25</w:t>
            </w:r>
          </w:p>
        </w:tc>
        <w:tc>
          <w:tcPr>
            <w:tcW w:type="dxa" w:w="1559"/>
          </w:tcPr>
          <w:p>
            <w:r>
              <w:rPr>
                <w:sz w:val="20"/>
              </w:rPr>
              <w:t>LISTE II</w:t>
            </w:r>
          </w:p>
        </w:tc>
        <w:tc>
          <w:tcPr>
            <w:tcW w:type="dxa" w:w="1559"/>
          </w:tcPr>
          <w:p>
            <w:r>
              <w:rPr>
                <w:sz w:val="20"/>
              </w:rPr>
              <w:t>NON_RENOUVELABLE</w:t>
            </w:r>
          </w:p>
        </w:tc>
      </w:tr>
      <w:tr>
        <w:tc>
          <w:tcPr>
            <w:tcW w:type="dxa" w:w="1559"/>
          </w:tcPr>
          <w:p>
            <w:r>
              <w:rPr>
                <w:sz w:val="20"/>
              </w:rPr>
              <w:t>DIURAZOL (NR)</w:t>
            </w:r>
          </w:p>
        </w:tc>
        <w:tc>
          <w:tcPr>
            <w:tcW w:type="dxa" w:w="1559"/>
          </w:tcPr>
          <w:p>
            <w:r>
              <w:rPr>
                <w:sz w:val="20"/>
              </w:rPr>
              <w:t>LIFEPHARMA</w:t>
            </w:r>
          </w:p>
        </w:tc>
        <w:tc>
          <w:tcPr>
            <w:tcW w:type="dxa" w:w="1559"/>
          </w:tcPr>
          <w:p>
            <w:r>
              <w:rPr>
                <w:sz w:val="20"/>
              </w:rPr>
              <w:t>Comprimé — 250 mg</w:t>
            </w:r>
          </w:p>
        </w:tc>
        <w:tc>
          <w:tcPr>
            <w:tcW w:type="dxa" w:w="1559"/>
          </w:tcPr>
          <w:p>
            <w:r>
              <w:rPr>
                <w:sz w:val="20"/>
              </w:rPr>
              <w:t>B/24</w:t>
            </w:r>
          </w:p>
        </w:tc>
        <w:tc>
          <w:tcPr>
            <w:tcW w:type="dxa" w:w="1559"/>
          </w:tcPr>
          <w:p>
            <w:r>
              <w:rPr>
                <w:sz w:val="20"/>
              </w:rPr>
              <w:t>LISTE II</w:t>
            </w:r>
          </w:p>
        </w:tc>
        <w:tc>
          <w:tcPr>
            <w:tcW w:type="dxa" w:w="1559"/>
          </w:tcPr>
          <w:p>
            <w:r>
              <w:rPr>
                <w:sz w:val="20"/>
              </w:rPr>
              <w:t>NON_RENOUVELABLE</w:t>
            </w:r>
          </w:p>
        </w:tc>
      </w:tr>
      <w:tr>
        <w:tc>
          <w:tcPr>
            <w:tcW w:type="dxa" w:w="1559"/>
          </w:tcPr>
          <w:p>
            <w:r>
              <w:rPr>
                <w:sz w:val="20"/>
              </w:rPr>
              <w:t>ACEDIOX (R)</w:t>
            </w:r>
          </w:p>
        </w:tc>
        <w:tc>
          <w:tcPr>
            <w:tcW w:type="dxa" w:w="1559"/>
          </w:tcPr>
          <w:p>
            <w:r>
              <w:rPr>
                <w:sz w:val="20"/>
              </w:rPr>
              <w:t>BIOMEDIC</w:t>
            </w:r>
          </w:p>
        </w:tc>
        <w:tc>
          <w:tcPr>
            <w:tcW w:type="dxa" w:w="1559"/>
          </w:tcPr>
          <w:p>
            <w:r>
              <w:rPr>
                <w:sz w:val="20"/>
              </w:rPr>
              <w:t>Comprimé — 250 mg</w:t>
            </w:r>
          </w:p>
        </w:tc>
        <w:tc>
          <w:tcPr>
            <w:tcW w:type="dxa" w:w="1559"/>
          </w:tcPr>
          <w:p>
            <w:r>
              <w:rPr>
                <w:sz w:val="20"/>
              </w:rPr>
              <w:t>B/20</w:t>
            </w:r>
          </w:p>
        </w:tc>
        <w:tc>
          <w:tcPr>
            <w:tcW w:type="dxa" w:w="1559"/>
          </w:tcPr>
          <w:p>
            <w:r>
              <w:rPr>
                <w:sz w:val="20"/>
              </w:rPr>
              <w:t>Liste II</w:t>
            </w:r>
          </w:p>
        </w:tc>
        <w:tc>
          <w:tcPr>
            <w:tcW w:type="dxa" w:w="1559"/>
          </w:tcPr>
          <w:p>
            <w:r>
              <w:rPr>
                <w:sz w:val="20"/>
              </w:rPr>
              <w:t>RETRAIT</w:t>
            </w:r>
          </w:p>
        </w:tc>
      </w:tr>
      <w:tr>
        <w:tc>
          <w:tcPr>
            <w:tcW w:type="dxa" w:w="1559"/>
          </w:tcPr>
          <w:p>
            <w:r>
              <w:rPr>
                <w:sz w:val="20"/>
              </w:rPr>
              <w:t>ACEMAX (R)</w:t>
            </w:r>
          </w:p>
        </w:tc>
        <w:tc>
          <w:tcPr>
            <w:tcW w:type="dxa" w:w="1559"/>
          </w:tcPr>
          <w:p>
            <w:r>
              <w:rPr>
                <w:sz w:val="20"/>
              </w:rPr>
              <w:t>CIPLA LIMITED</w:t>
            </w:r>
          </w:p>
        </w:tc>
        <w:tc>
          <w:tcPr>
            <w:tcW w:type="dxa" w:w="1559"/>
          </w:tcPr>
          <w:p>
            <w:r>
              <w:rPr>
                <w:sz w:val="20"/>
              </w:rPr>
              <w:t>Comprimé — 250 mg</w:t>
            </w:r>
          </w:p>
        </w:tc>
        <w:tc>
          <w:tcPr>
            <w:tcW w:type="dxa" w:w="1559"/>
          </w:tcPr>
          <w:p>
            <w:r>
              <w:rPr>
                <w:sz w:val="20"/>
              </w:rPr>
              <w:t>B/20</w:t>
            </w:r>
          </w:p>
        </w:tc>
        <w:tc>
          <w:tcPr>
            <w:tcW w:type="dxa" w:w="1559"/>
          </w:tcPr>
          <w:p>
            <w:r>
              <w:rPr>
                <w:sz w:val="20"/>
              </w:rPr>
              <w:t>Liste II</w:t>
            </w:r>
          </w:p>
        </w:tc>
        <w:tc>
          <w:tcPr>
            <w:tcW w:type="dxa" w:w="1559"/>
          </w:tcPr>
          <w:p>
            <w:r>
              <w:rPr>
                <w:sz w:val="20"/>
              </w:rPr>
              <w:t>RETRAIT</w:t>
            </w:r>
          </w:p>
        </w:tc>
      </w:tr>
      <w:tr>
        <w:tc>
          <w:tcPr>
            <w:tcW w:type="dxa" w:w="1559"/>
          </w:tcPr>
          <w:p>
            <w:r>
              <w:rPr>
                <w:sz w:val="20"/>
              </w:rPr>
              <w:t>DIAMOX solution injectable (R)</w:t>
            </w:r>
          </w:p>
        </w:tc>
        <w:tc>
          <w:tcPr>
            <w:tcW w:type="dxa" w:w="1559"/>
          </w:tcPr>
          <w:p>
            <w:r>
              <w:rPr>
                <w:sz w:val="20"/>
              </w:rPr>
              <w:t>RHONE POULENC RORER</w:t>
            </w:r>
          </w:p>
        </w:tc>
        <w:tc>
          <w:tcPr>
            <w:tcW w:type="dxa" w:w="1559"/>
          </w:tcPr>
          <w:p>
            <w:r>
              <w:rPr>
                <w:sz w:val="20"/>
              </w:rPr>
              <w:t>Solution injectable — 500 mg</w:t>
            </w:r>
          </w:p>
        </w:tc>
        <w:tc>
          <w:tcPr>
            <w:tcW w:type="dxa" w:w="1559"/>
          </w:tcPr>
          <w:p>
            <w:r>
              <w:rPr>
                <w:sz w:val="20"/>
              </w:rPr>
              <w:t>B/25</w:t>
            </w:r>
          </w:p>
        </w:tc>
        <w:tc>
          <w:tcPr>
            <w:tcW w:type="dxa" w:w="1559"/>
          </w:tcPr>
          <w:p>
            <w:r>
              <w:rPr>
                <w:sz w:val="20"/>
              </w:rPr>
              <w:t>Liste II</w:t>
            </w:r>
          </w:p>
        </w:tc>
        <w:tc>
          <w:tcPr>
            <w:tcW w:type="dxa" w:w="1559"/>
          </w:tcPr>
          <w:p>
            <w:r>
              <w:rPr>
                <w:sz w:val="20"/>
              </w:rPr>
              <w:t>RETRAIT</w:t>
            </w:r>
          </w:p>
        </w:tc>
      </w:tr>
      <w:tr>
        <w:tc>
          <w:tcPr>
            <w:tcW w:type="dxa" w:w="1559"/>
          </w:tcPr>
          <w:p>
            <w:r>
              <w:rPr>
                <w:sz w:val="20"/>
              </w:rPr>
              <w:t>DIAMOX comprimé (R)</w:t>
            </w:r>
          </w:p>
        </w:tc>
        <w:tc>
          <w:tcPr>
            <w:tcW w:type="dxa" w:w="1559"/>
          </w:tcPr>
          <w:p>
            <w:r>
              <w:rPr>
                <w:sz w:val="20"/>
              </w:rPr>
              <w:t>RHONE POULENC RORER</w:t>
            </w:r>
          </w:p>
        </w:tc>
        <w:tc>
          <w:tcPr>
            <w:tcW w:type="dxa" w:w="1559"/>
          </w:tcPr>
          <w:p>
            <w:r>
              <w:rPr>
                <w:sz w:val="20"/>
              </w:rPr>
              <w:t>Comprimé — 250 mg</w:t>
            </w:r>
          </w:p>
        </w:tc>
        <w:tc>
          <w:tcPr>
            <w:tcW w:type="dxa" w:w="1559"/>
          </w:tcPr>
          <w:p>
            <w:r>
              <w:rPr>
                <w:sz w:val="20"/>
              </w:rPr>
              <w:t>B/24</w:t>
            </w:r>
          </w:p>
        </w:tc>
        <w:tc>
          <w:tcPr>
            <w:tcW w:type="dxa" w:w="1559"/>
          </w:tcPr>
          <w:p>
            <w:r>
              <w:rPr>
                <w:sz w:val="20"/>
              </w:rPr>
              <w:t>Liste II</w:t>
            </w:r>
          </w:p>
        </w:tc>
        <w:tc>
          <w:tcPr>
            <w:tcW w:type="dxa" w:w="1559"/>
          </w:tcPr>
          <w:p>
            <w:r>
              <w:rPr>
                <w:sz w:val="20"/>
              </w:rPr>
              <w:t>RETRAIT</w:t>
            </w:r>
          </w:p>
        </w:tc>
      </w:tr>
    </w:tbl>
    <w:p/>
    <w:p>
      <w:pPr>
        <w:pStyle w:val="Heading3"/>
      </w:pPr>
      <w:r>
        <w:t>141.20.3 Mécanisme d'action détaillé</w:t>
      </w:r>
    </w:p>
    <w:p>
      <w:r>
        <w:t>L'acétazolamide est un sulfonamide inhibiteur de l'anhydrase carbonique (AC, EC 4.2.1.1), métallo-enzyme à zinc présente dans de nombreux tissus, en particulier les procès ciliaires (isoforme II), les tubules rénaux proximaux (isoformes II et IV), les cellules pariétales gastriques, les érythrocytes (isoforme I), et le système nerveux central. L'AC catalyse l'hydratation réversible du CO₂ en HCO₃⁻ + H⁺.</w:t>
      </w:r>
    </w:p>
    <w:p>
      <w:r>
        <w:t xml:space="preserve">Au niveau ophtalmologique, l'inhibition de l'AC II ciliaire entraîne une </w:t>
      </w:r>
      <w:r>
        <w:rPr>
          <w:b/>
        </w:rPr>
        <w:t>baisse de 40 à 60 % de la production d'humeur aqueuse</w:t>
      </w:r>
      <w:r>
        <w:t>, sans effet sur la résorption trabéculaire ni uvéo-sclérale. La baisse pressionnelle est importante (8 à 15 mmHg en quelques heures) et rapide (30 minutes en IV, 1 à 2 heures per os), permettant un usage en urgence dans la crise aiguë de glaucome par fermeture d'angle.</w:t>
      </w:r>
    </w:p>
    <w:p>
      <w:r>
        <w:t xml:space="preserve">Au niveau rénal, l'inhibition de l'AC II et IV tubulaire entraîne une </w:t>
      </w:r>
      <w:r>
        <w:rPr>
          <w:b/>
        </w:rPr>
        <w:t>bicarbonaturie</w:t>
      </w:r>
      <w:r>
        <w:t xml:space="preserve"> (perte rénale de bicarbonates), une </w:t>
      </w:r>
      <w:r>
        <w:rPr>
          <w:b/>
        </w:rPr>
        <w:t>alcalinisation des urines</w:t>
      </w:r>
      <w:r>
        <w:t xml:space="preserve"> (urines pH &gt; 7), une </w:t>
      </w:r>
      <w:r>
        <w:rPr>
          <w:b/>
        </w:rPr>
        <w:t>diurèse osmotique modeste</w:t>
      </w:r>
      <w:r>
        <w:t xml:space="preserve"> (par excrétion de sodium, potassium, et eau), une </w:t>
      </w:r>
      <w:r>
        <w:rPr>
          <w:b/>
        </w:rPr>
        <w:t>acidose métabolique hyperchlorémique</w:t>
      </w:r>
      <w:r>
        <w:t xml:space="preserve"> (par perte de bicarbonates compensée par chlore), et une </w:t>
      </w:r>
      <w:r>
        <w:rPr>
          <w:b/>
        </w:rPr>
        <w:t>hypokaliémie</w:t>
      </w:r>
      <w:r>
        <w:t xml:space="preserve"> (par diurèse). Ces effets sont constants à dose thérapeutique et expliquent la majorité des effets indésirables systémiques de l'acétazolamide.</w:t>
      </w:r>
    </w:p>
    <w:p>
      <w:r>
        <w:t>Au niveau systémique, l'inhibition de l'AC érythrocytaire et gastrique entraîne des effets mineurs (acidose tissulaire modeste, baisse de la sécrétion gastrique). L'inhibition de l'AC cérébrale a des effets multiples : modification de la respiration (stimulation centrale, utilisé dans le traitement de l'encéphalopathie hyperammoniémique), antiépileptique (usage historique dans les épilepsies partielles), et prévention du mal des montagnes (baisse de la pression intracrânienne et de l'hypoxie alvéolaire). En pratique ophtalmologique, ces effets sont négligeables aux doses thérapeutiques (250-1000 mg/jour).</w:t>
      </w:r>
    </w:p>
    <w:p>
      <w:r>
        <w:t>La pharmacocinétique est caractéristique : résorption digestive rapide (biodisponibilité 60-90 %), pic plasmatique à 1-2 heures per os (30 minutes IV), demi-vie d'élimination 4-6 heures (justifiant 4 prises par jour), élimination rénale sous forme inchangée (90 %). Aucune accumulation systémique n'est observée à long terme en raison de la courte demi-vie, mais l'acidose métabolique est constante.</w:t>
      </w:r>
    </w:p>
    <w:p>
      <w:pPr>
        <w:pStyle w:val="Heading3"/>
      </w:pPr>
      <w:r>
        <w:t>141.20.4 Profil pharmacologique : indications, contre-indications, effets indésirables</w:t>
      </w:r>
    </w:p>
    <w:p>
      <w:pPr>
        <w:pStyle w:val="Heading4"/>
      </w:pPr>
      <w:r>
        <w:t>Indications</w:t>
      </w:r>
    </w:p>
    <w:p>
      <w:pPr>
        <w:pStyle w:val="ListBullet"/>
      </w:pPr>
      <w:r/>
      <w:r>
        <w:rPr>
          <w:b/>
        </w:rPr>
        <w:t>Crise aiguë de glaucome par fermeture d'angle (CGFA)</w:t>
      </w:r>
      <w:r>
        <w:t xml:space="preserve"> : traitement d'attaque par voie IV (500 mg en IV lente) ou orale (500 mg en 1 prise, puis 250 mg × 4/jour), en association avec la pilocarpine (après levée du bloc pupillaire) et la mannitol IV (si PIO très élevée &gt; 50 mmHg), en attendant l'iridotomie au laser</w:t>
      </w:r>
    </w:p>
    <w:p>
      <w:pPr>
        <w:pStyle w:val="ListBullet"/>
      </w:pPr>
      <w:r/>
      <w:r>
        <w:rPr>
          <w:b/>
        </w:rPr>
        <w:t>Glaucome réfractaire</w:t>
      </w:r>
      <w:r>
        <w:t xml:space="preserve"> : traitement adjuvant en attendant la chirurgie filtrante (250 mg × 4/jour pendant quelques jours à quelques semaines)</w:t>
      </w:r>
    </w:p>
    <w:p>
      <w:pPr>
        <w:pStyle w:val="ListBullet"/>
      </w:pPr>
      <w:r/>
      <w:r>
        <w:rPr>
          <w:b/>
        </w:rPr>
        <w:t>Glaucome post-traumatique</w:t>
      </w:r>
      <w:r>
        <w:t xml:space="preserve"> : traitement d'attaque</w:t>
      </w:r>
    </w:p>
    <w:p>
      <w:pPr>
        <w:pStyle w:val="ListBullet"/>
      </w:pPr>
      <w:r/>
      <w:r>
        <w:rPr>
          <w:b/>
        </w:rPr>
        <w:t>Préparation à la chirurgie filtrante</w:t>
      </w:r>
      <w:r>
        <w:t xml:space="preserve"> : 250 mg × 2-3/jour pendant 48-72 heures avant intervention</w:t>
      </w:r>
    </w:p>
    <w:p>
      <w:pPr>
        <w:pStyle w:val="ListBullet"/>
      </w:pPr>
      <w:r/>
      <w:r>
        <w:rPr>
          <w:b/>
        </w:rPr>
        <w:t>Maladie de Ménière</w:t>
      </w:r>
      <w:r>
        <w:t xml:space="preserve"> (hors AMM stricte) : 250 mg × 2/jour en traitement de fond</w:t>
      </w:r>
    </w:p>
    <w:p>
      <w:pPr>
        <w:pStyle w:val="ListBullet"/>
      </w:pPr>
      <w:r/>
      <w:r>
        <w:rPr>
          <w:b/>
        </w:rPr>
        <w:t>Prévention du mal des montagnes</w:t>
      </w:r>
      <w:r>
        <w:t xml:space="preserve"> (hors AMM ophtalmologique) : 125-250 mg × 2/jour</w:t>
      </w:r>
    </w:p>
    <w:p>
      <w:pPr>
        <w:pStyle w:val="ListBullet"/>
      </w:pPr>
      <w:r/>
      <w:r>
        <w:rPr>
          <w:b/>
        </w:rPr>
        <w:t>Épilepsie partielle</w:t>
      </w:r>
      <w:r>
        <w:t xml:space="preserve"> (hors AMM stricte, traitement adjuvant historique) : 250-500 mg × 2/jour</w:t>
      </w:r>
    </w:p>
    <w:p>
      <w:pPr>
        <w:pStyle w:val="ListBullet"/>
      </w:pPr>
      <w:r/>
      <w:r>
        <w:rPr>
          <w:b/>
        </w:rPr>
        <w:t>Alcalinisation urinaire</w:t>
      </w:r>
      <w:r>
        <w:t xml:space="preserve"> ( hors AMM stricte) : 250 mg × 2-4/jour</w:t>
      </w:r>
    </w:p>
    <w:p>
      <w:pPr>
        <w:pStyle w:val="Heading4"/>
      </w:pPr>
      <w:r>
        <w:t>Contre-indications</w:t>
      </w:r>
    </w:p>
    <w:p>
      <w:pPr>
        <w:pStyle w:val="ListBullet"/>
      </w:pPr>
      <w:r/>
      <w:r>
        <w:rPr>
          <w:b/>
        </w:rPr>
        <w:t>Contre-indications absolues</w:t>
      </w:r>
      <w:r>
        <w:t xml:space="preserve"> :</w:t>
      </w:r>
    </w:p>
    <w:p>
      <w:pPr>
        <w:pStyle w:val="ListBullet"/>
      </w:pPr>
      <w:r>
        <w:t>Hypersensibilité aux sulfamides</w:t>
      </w:r>
    </w:p>
    <w:p>
      <w:pPr>
        <w:pStyle w:val="ListBullet"/>
      </w:pPr>
      <w:r>
        <w:t>Insuffisance rénale sévère (DFG &lt; 30 mL/min) — élimination rénale exclusive</w:t>
      </w:r>
    </w:p>
    <w:p>
      <w:pPr>
        <w:pStyle w:val="ListBullet"/>
      </w:pPr>
      <w:r>
        <w:t>Insuffisance hépatique sévère (risque d'encéphalopathie hépatique par alcalinisation)</w:t>
      </w:r>
    </w:p>
    <w:p>
      <w:pPr>
        <w:pStyle w:val="ListBullet"/>
      </w:pPr>
      <w:r>
        <w:t>Acidose métabolique préexistante</w:t>
      </w:r>
    </w:p>
    <w:p>
      <w:pPr>
        <w:pStyle w:val="ListBullet"/>
      </w:pPr>
      <w:r>
        <w:t>Hypokaliémie sévère (&lt; 3 mmol/L)</w:t>
      </w:r>
    </w:p>
    <w:p>
      <w:pPr>
        <w:pStyle w:val="ListBullet"/>
      </w:pPr>
      <w:r>
        <w:t>Hyponatrémie sévère (&lt; 125 mmol/L)</w:t>
      </w:r>
    </w:p>
    <w:p>
      <w:pPr>
        <w:pStyle w:val="ListBullet"/>
      </w:pPr>
      <w:r>
        <w:t>Hypersensibilité à la substance active ou aux excipients</w:t>
      </w:r>
    </w:p>
    <w:p>
      <w:pPr>
        <w:pStyle w:val="ListBullet"/>
      </w:pPr>
      <w:r>
        <w:t>Maladie d'Addison (insuffisance surrénalienne — risque d'acidose additive)</w:t>
      </w:r>
    </w:p>
    <w:p>
      <w:pPr>
        <w:pStyle w:val="ListBullet"/>
      </w:pPr>
      <w:r>
        <w:t>Hyperoxalurie, lithiase urinaire récidivante (l'alcalinisation des urines favorise la lithiase calcique)</w:t>
      </w:r>
    </w:p>
    <w:p>
      <w:pPr>
        <w:pStyle w:val="ListBullet"/>
      </w:pPr>
      <w:r/>
      <w:r>
        <w:rPr>
          <w:b/>
        </w:rPr>
        <w:t>Contre-indications relatives</w:t>
      </w:r>
      <w:r>
        <w:t xml:space="preserve"> :</w:t>
      </w:r>
    </w:p>
    <w:p>
      <w:pPr>
        <w:pStyle w:val="ListBullet"/>
      </w:pPr>
      <w:r>
        <w:t>Diabète déséquilibré (acidocétose risque)</w:t>
      </w:r>
    </w:p>
    <w:p>
      <w:pPr>
        <w:pStyle w:val="ListBullet"/>
      </w:pPr>
      <w:r>
        <w:t>Sujet âgé fragile</w:t>
      </w:r>
    </w:p>
    <w:p>
      <w:pPr>
        <w:pStyle w:val="ListBullet"/>
      </w:pPr>
      <w:r>
        <w:t>Goutte (hyperuricémie, hypouricémie paradoxale)</w:t>
      </w:r>
    </w:p>
    <w:p>
      <w:pPr>
        <w:pStyle w:val="ListBullet"/>
      </w:pPr>
      <w:r>
        <w:t>Grossesse (sulfamide — risque tératogène)</w:t>
      </w:r>
    </w:p>
    <w:p>
      <w:pPr>
        <w:pStyle w:val="ListBullet"/>
      </w:pPr>
      <w:r>
        <w:t>Allaitement (sulfamide — passe dans le lait)</w:t>
      </w:r>
    </w:p>
    <w:p>
      <w:pPr>
        <w:pStyle w:val="ListBullet"/>
      </w:pPr>
      <w:r>
        <w:t>Bronchopneumopathie chronique obstructive sévère (acidose respiratoire — risque d'aggravation par acidose métabolique additive)</w:t>
      </w:r>
    </w:p>
    <w:p>
      <w:pPr>
        <w:pStyle w:val="Heading4"/>
      </w:pPr>
      <w:r>
        <w:t>Effets indésirables</w:t>
      </w:r>
    </w:p>
    <w:p>
      <w:r/>
      <w:r>
        <w:rPr>
          <w:b/>
        </w:rPr>
        <w:t>Métaboliques et biologiques</w:t>
      </w:r>
      <w:r>
        <w:t xml:space="preserve"> (constants à dose thérapeutique) :</w:t>
      </w:r>
    </w:p>
    <w:p>
      <w:pPr>
        <w:pStyle w:val="ListBullet"/>
      </w:pPr>
      <w:r>
        <w:t>Acidose métabolique hyperchlorémique (baisse des bicarbonates, hausse du chlore)</w:t>
      </w:r>
    </w:p>
    <w:p>
      <w:pPr>
        <w:pStyle w:val="ListBullet"/>
      </w:pPr>
      <w:r>
        <w:t>Hypokaliémie (diurèse potassique)</w:t>
      </w:r>
    </w:p>
    <w:p>
      <w:pPr>
        <w:pStyle w:val="ListBullet"/>
      </w:pPr>
      <w:r>
        <w:t>Hyponatrémie modeste</w:t>
      </w:r>
    </w:p>
    <w:p>
      <w:pPr>
        <w:pStyle w:val="ListBullet"/>
      </w:pPr>
      <w:r>
        <w:t>Hyperuricémie, hyperglycémie modeste</w:t>
      </w:r>
    </w:p>
    <w:p>
      <w:r/>
      <w:r>
        <w:rPr>
          <w:b/>
        </w:rPr>
        <w:t>Neurologiques</w:t>
      </w:r>
      <w:r>
        <w:t xml:space="preserve"> :</w:t>
      </w:r>
    </w:p>
    <w:p>
      <w:pPr>
        <w:pStyle w:val="ListBullet"/>
      </w:pPr>
      <w:r/>
      <w:r>
        <w:rPr>
          <w:b/>
        </w:rPr>
        <w:t>Paresthésies des extrémités et de la face</w:t>
      </w:r>
      <w:r>
        <w:t xml:space="preserve"> (60-80 %, effet caractéristique — picotements des doigts, des orteils, du nez, de la bouche)</w:t>
      </w:r>
    </w:p>
    <w:p>
      <w:pPr>
        <w:pStyle w:val="ListBullet"/>
      </w:pPr>
      <w:r>
        <w:t>Asthénie, fatigue (50-60 %)</w:t>
      </w:r>
    </w:p>
    <w:p>
      <w:pPr>
        <w:pStyle w:val="ListBullet"/>
      </w:pPr>
      <w:r>
        <w:t>Somnolence, sédation (30-40 %)</w:t>
      </w:r>
    </w:p>
    <w:p>
      <w:pPr>
        <w:pStyle w:val="ListBullet"/>
      </w:pPr>
      <w:r>
        <w:t>Céphalées (20-30 %)</w:t>
      </w:r>
    </w:p>
    <w:p>
      <w:pPr>
        <w:pStyle w:val="ListBullet"/>
      </w:pPr>
      <w:r>
        <w:t>Vertiges, confusion (sujets âgés)</w:t>
      </w:r>
    </w:p>
    <w:p>
      <w:r/>
      <w:r>
        <w:rPr>
          <w:b/>
        </w:rPr>
        <w:t>Digestifs</w:t>
      </w:r>
      <w:r>
        <w:t xml:space="preserve"> :</w:t>
      </w:r>
    </w:p>
    <w:p>
      <w:pPr>
        <w:pStyle w:val="ListBullet"/>
      </w:pPr>
      <w:r>
        <w:t>Nausées, vomissements (30-50 %)</w:t>
      </w:r>
    </w:p>
    <w:p>
      <w:pPr>
        <w:pStyle w:val="ListBullet"/>
      </w:pPr>
      <w:r>
        <w:t>Anorexie (40-60 %)</w:t>
      </w:r>
    </w:p>
    <w:p>
      <w:pPr>
        <w:pStyle w:val="ListBullet"/>
      </w:pPr>
      <w:r>
        <w:t>Goût métallique (30-40 %)</w:t>
      </w:r>
    </w:p>
    <w:p>
      <w:pPr>
        <w:pStyle w:val="ListBullet"/>
      </w:pPr>
      <w:r>
        <w:t>Diarrhée (10-20 %)</w:t>
      </w:r>
    </w:p>
    <w:p>
      <w:r/>
      <w:r>
        <w:rPr>
          <w:b/>
        </w:rPr>
        <w:t>Rénaux</w:t>
      </w:r>
      <w:r>
        <w:t xml:space="preserve"> :</w:t>
      </w:r>
    </w:p>
    <w:p>
      <w:pPr>
        <w:pStyle w:val="ListBullet"/>
      </w:pPr>
      <w:r>
        <w:t>Diurèse augmentée (effet diurétique osmotique)</w:t>
      </w:r>
    </w:p>
    <w:p>
      <w:pPr>
        <w:pStyle w:val="ListBullet"/>
      </w:pPr>
      <w:r>
        <w:t>Lithiase urinaire (calcique, par alcalinisation et hypercalciurie — 5-10 % des traitements prolongés)</w:t>
      </w:r>
    </w:p>
    <w:p>
      <w:pPr>
        <w:pStyle w:val="ListBullet"/>
      </w:pPr>
      <w:r>
        <w:t>Colique néphrétique (signal de pharmacovigilance)</w:t>
      </w:r>
    </w:p>
    <w:p>
      <w:r/>
      <w:r>
        <w:rPr>
          <w:b/>
        </w:rPr>
        <w:t>Hématologiques</w:t>
      </w:r>
      <w:r>
        <w:t xml:space="preserve"> (rares) :</w:t>
      </w:r>
    </w:p>
    <w:p>
      <w:pPr>
        <w:pStyle w:val="ListBullet"/>
      </w:pPr>
      <w:r>
        <w:t>Agranulocytose, aplasie médullaire (exceptionnel, &lt; 1 cas/million)</w:t>
      </w:r>
    </w:p>
    <w:p>
      <w:pPr>
        <w:pStyle w:val="ListBullet"/>
      </w:pPr>
      <w:r>
        <w:t>Thrombopénie</w:t>
      </w:r>
    </w:p>
    <w:p>
      <w:pPr>
        <w:pStyle w:val="ListBullet"/>
      </w:pPr>
      <w:r>
        <w:t>Anémie hémolytique</w:t>
      </w:r>
    </w:p>
    <w:p>
      <w:r/>
      <w:r>
        <w:rPr>
          <w:b/>
        </w:rPr>
        <w:t>Hypersensibilité</w:t>
      </w:r>
      <w:r>
        <w:t xml:space="preserve"> :</w:t>
      </w:r>
    </w:p>
    <w:p>
      <w:pPr>
        <w:pStyle w:val="ListBullet"/>
      </w:pPr>
      <w:r>
        <w:t>Rash cutané, prurit, urticaire (1-3 %)</w:t>
      </w:r>
    </w:p>
    <w:p>
      <w:pPr>
        <w:pStyle w:val="ListBullet"/>
      </w:pPr>
      <w:r>
        <w:t>Syndrome de Stevens-Johnson, syndrome de Lyell (exceptionnel, gravissime)</w:t>
      </w:r>
    </w:p>
    <w:p>
      <w:pPr>
        <w:pStyle w:val="ListBullet"/>
      </w:pPr>
      <w:r>
        <w:t>Réaction anaphylactique</w:t>
      </w:r>
    </w:p>
    <w:p>
      <w:r/>
      <w:r>
        <w:rPr>
          <w:b/>
        </w:rPr>
        <w:t>Ophtalmologiques</w:t>
      </w:r>
      <w:r>
        <w:t xml:space="preserve"> (en cas de traitement prolongé) :</w:t>
      </w:r>
    </w:p>
    <w:p>
      <w:pPr>
        <w:pStyle w:val="ListBullet"/>
      </w:pPr>
      <w:r>
        <w:t>Myopie transitoire (par modification de la courbure du cristallin)</w:t>
      </w:r>
    </w:p>
    <w:p>
      <w:pPr>
        <w:pStyle w:val="ListBullet"/>
      </w:pPr>
      <w:r>
        <w:t>Décollement choroïdien (rare)</w:t>
      </w:r>
    </w:p>
    <w:p>
      <w:pPr>
        <w:pStyle w:val="Heading3"/>
      </w:pPr>
      <w:r>
        <w:t>141.20.5 Prévention et gestion des effets indésirables</w:t>
      </w:r>
    </w:p>
    <w:p>
      <w:pPr>
        <w:pStyle w:val="ListNumber"/>
      </w:pPr>
      <w:r/>
      <w:r>
        <w:rPr>
          <w:b/>
        </w:rPr>
        <w:t>Prévention de l'acidose métabolique</w:t>
      </w:r>
      <w:r>
        <w:t xml:space="preserve"> : surveillance biologique systématique (ionogramme, gaz du sang, urée, créatinine) à 48 heures de traitement, puis 2 fois par semaine en traitement prolongé ; arrêt si acidose métabolique sévère (bicarbonates &lt; 18 mmol/L)</w:t>
      </w:r>
    </w:p>
    <w:p>
      <w:pPr>
        <w:pStyle w:val="ListNumber"/>
      </w:pPr>
      <w:r/>
      <w:r>
        <w:rPr>
          <w:b/>
        </w:rPr>
        <w:t>Prévention de l'hypokaliémie</w:t>
      </w:r>
      <w:r>
        <w:t xml:space="preserve"> : supplémentation potassique (KCl 1-2 g/jour per os) en cas de traitement prolongé &gt; 1 semaine ; surveillance ionogramme</w:t>
      </w:r>
    </w:p>
    <w:p>
      <w:pPr>
        <w:pStyle w:val="ListNumber"/>
      </w:pPr>
      <w:r/>
      <w:r>
        <w:rPr>
          <w:b/>
        </w:rPr>
        <w:t>Prévention de la lithiase urinaire</w:t>
      </w:r>
      <w:r>
        <w:t xml:space="preserve"> : hydratation abondante (2-3 L/jour) ; surveillance bandelette urinaire (pH, recherche de cristaux)</w:t>
      </w:r>
    </w:p>
    <w:p>
      <w:pPr>
        <w:pStyle w:val="ListNumber"/>
      </w:pPr>
      <w:r/>
      <w:r>
        <w:rPr>
          <w:b/>
        </w:rPr>
        <w:t>Prévention des paresthésies</w:t>
      </w:r>
      <w:r>
        <w:t xml:space="preserve"> : information du patient, effet attendu et banal, régressif à l'arrêt</w:t>
      </w:r>
    </w:p>
    <w:p>
      <w:pPr>
        <w:pStyle w:val="ListNumber"/>
      </w:pPr>
      <w:r/>
      <w:r>
        <w:rPr>
          <w:b/>
        </w:rPr>
        <w:t>Prévention des effets digestifs</w:t>
      </w:r>
      <w:r>
        <w:t xml:space="preserve"> : prendre pendant les repas, fractionner les doses</w:t>
      </w:r>
    </w:p>
    <w:p>
      <w:pPr>
        <w:pStyle w:val="ListNumber"/>
      </w:pPr>
      <w:r/>
      <w:r>
        <w:rPr>
          <w:b/>
        </w:rPr>
        <w:t>Surveillance de la fonction rénale</w:t>
      </w:r>
      <w:r>
        <w:t xml:space="preserve"> : urée, créatinine tous les 3-7 jours</w:t>
      </w:r>
    </w:p>
    <w:p>
      <w:pPr>
        <w:pStyle w:val="ListNumber"/>
      </w:pPr>
      <w:r/>
      <w:r>
        <w:rPr>
          <w:b/>
        </w:rPr>
        <w:t>Surveillance hépatique</w:t>
      </w:r>
      <w:r>
        <w:t xml:space="preserve"> : transaminases, bilirubine en début de traitement</w:t>
      </w:r>
    </w:p>
    <w:p>
      <w:pPr>
        <w:pStyle w:val="ListNumber"/>
      </w:pPr>
      <w:r/>
      <w:r>
        <w:rPr>
          <w:b/>
        </w:rPr>
        <w:t>Surveillance hématologique</w:t>
      </w:r>
      <w:r>
        <w:t xml:space="preserve"> : NFS-plaquettes en cas de traitement prolongé &gt; 2 semaines</w:t>
      </w:r>
    </w:p>
    <w:p>
      <w:pPr>
        <w:pStyle w:val="ListNumber"/>
      </w:pPr>
      <w:r/>
      <w:r>
        <w:rPr>
          <w:b/>
        </w:rPr>
        <w:t>Arrêt progressif</w:t>
      </w:r>
      <w:r>
        <w:t xml:space="preserve"> : ne pas arrêter brutalement en cas de traitement prolongé (rebond tensionnel oculaire possible) ; réduire sur 3-5 jours</w:t>
      </w:r>
    </w:p>
    <w:p>
      <w:pPr>
        <w:pStyle w:val="ListNumber"/>
      </w:pPr>
      <w:r/>
      <w:r>
        <w:rPr>
          <w:b/>
        </w:rPr>
        <w:t>Information du patient</w:t>
      </w:r>
      <w:r>
        <w:t xml:space="preserve"> : signaler les paresthésies, l'asthénie, le goût métallique comme effets attendus ; signaler en urgence les signes d'alerte (douleur lombaire, fièvre, rash, saignement, fatigue intense)</w:t>
      </w:r>
    </w:p>
    <w:p>
      <w:pPr>
        <w:pStyle w:val="Heading3"/>
      </w:pPr>
      <w:r>
        <w:t>141.20.6 Interactions médicamenteuses</w:t>
      </w:r>
    </w:p>
    <w:p>
      <w:pPr>
        <w:pStyle w:val="ListBullet"/>
      </w:pPr>
      <w:r/>
      <w:r>
        <w:rPr>
          <w:b/>
        </w:rPr>
        <w:t>Associations contre-indiquées</w:t>
      </w:r>
      <w:r>
        <w:t xml:space="preserve"> :</w:t>
      </w:r>
    </w:p>
    <w:p>
      <w:pPr>
        <w:pStyle w:val="ListBullet"/>
      </w:pPr>
      <w:r>
        <w:t>Méthotrexate (à fortes doses) : excrétion rénale réduite par l'alcalinisation des urines</w:t>
      </w:r>
    </w:p>
    <w:p>
      <w:pPr>
        <w:pStyle w:val="ListBullet"/>
      </w:pPr>
      <w:r>
        <w:t>Acide acétylsalicylique à forte dose (&gt; 3 g/jour) : déplacement de la liaison protéique, augmentation des concentrations d'acétazolamide</w:t>
      </w:r>
    </w:p>
    <w:p>
      <w:pPr>
        <w:pStyle w:val="ListBullet"/>
      </w:pPr>
      <w:r/>
      <w:r>
        <w:rPr>
          <w:b/>
        </w:rPr>
        <w:t>Associations déconseillées</w:t>
      </w:r>
      <w:r>
        <w:t xml:space="preserve"> :</w:t>
      </w:r>
    </w:p>
    <w:p>
      <w:pPr>
        <w:pStyle w:val="ListBullet"/>
      </w:pPr>
      <w:r>
        <w:t>Autres inhibiteurs de l'AC topiques (dorzolamide, brinzolamide) : potentialisation de l'inhibition systémique, risque d'acidose additive</w:t>
      </w:r>
    </w:p>
    <w:p>
      <w:pPr>
        <w:pStyle w:val="ListBullet"/>
      </w:pPr>
      <w:r>
        <w:t>Diurétiques épargneurs de potassium (spironolactone, amiloride, triamtérène) : risque d'acidose métabolique additive, hypokaliémie paradoxale</w:t>
      </w:r>
    </w:p>
    <w:p>
      <w:pPr>
        <w:pStyle w:val="ListBullet"/>
      </w:pPr>
      <w:r>
        <w:t>Lithium : excrétion rénale réduite par l'alcalinisation des urines — surveillance lithiémie</w:t>
      </w:r>
    </w:p>
    <w:p>
      <w:pPr>
        <w:pStyle w:val="ListBullet"/>
      </w:pPr>
      <w:r/>
      <w:r>
        <w:rPr>
          <w:b/>
        </w:rPr>
        <w:t>Associations nécessitant des précautions</w:t>
      </w:r>
      <w:r>
        <w:t xml:space="preserve"> :</w:t>
      </w:r>
    </w:p>
    <w:p>
      <w:pPr>
        <w:pStyle w:val="ListBullet"/>
      </w:pPr>
      <w:r>
        <w:t>Digitaliques (digoxine) : hypokaliémie additive — surveillance ECG et digoxinémie</w:t>
      </w:r>
    </w:p>
    <w:p>
      <w:pPr>
        <w:pStyle w:val="ListBullet"/>
      </w:pPr>
      <w:r>
        <w:t>Corticoïdes : hypokaliémie additive</w:t>
      </w:r>
    </w:p>
    <w:p>
      <w:pPr>
        <w:pStyle w:val="ListBullet"/>
      </w:pPr>
      <w:r>
        <w:t>Insuline, antidiabétiques oraux : modification de la tolérance glucidique (hyperglycémie)</w:t>
      </w:r>
    </w:p>
    <w:p>
      <w:pPr>
        <w:pStyle w:val="ListBullet"/>
      </w:pPr>
      <w:r>
        <w:t>Phénytoïne : augmentation transitoire des concentrations</w:t>
      </w:r>
    </w:p>
    <w:p>
      <w:pPr>
        <w:pStyle w:val="ListBullet"/>
      </w:pPr>
      <w:r>
        <w:t>Primidone : diminution des concentrations</w:t>
      </w:r>
    </w:p>
    <w:p>
      <w:pPr>
        <w:pStyle w:val="ListBullet"/>
      </w:pPr>
      <w:r>
        <w:t>Quinidine : excrétion rénale réduite — surveillance</w:t>
      </w:r>
    </w:p>
    <w:p>
      <w:pPr>
        <w:pStyle w:val="ListBullet"/>
      </w:pPr>
      <w:r>
        <w:t>Antiépileptiques : modification des concentrations</w:t>
      </w:r>
    </w:p>
    <w:p>
      <w:pPr>
        <w:pStyle w:val="ListBullet"/>
      </w:pPr>
      <w:r>
        <w:t>Ciclosporine : augmentation possible des concentrations — surveillance</w:t>
      </w:r>
    </w:p>
    <w:p>
      <w:pPr>
        <w:pStyle w:val="ListBullet"/>
      </w:pPr>
      <w:r>
        <w:t>Salicylés : déplacement de la liaison protéique</w:t>
      </w:r>
    </w:p>
    <w:p>
      <w:pPr>
        <w:pStyle w:val="Heading3"/>
      </w:pPr>
      <w:r>
        <w:t>141.20.7 Grossesse et allaitement (CRAT)</w:t>
      </w:r>
    </w:p>
    <w:p>
      <w:pPr>
        <w:pStyle w:val="ListBullet"/>
      </w:pPr>
      <w:r/>
      <w:r>
        <w:rPr>
          <w:b/>
        </w:rPr>
        <w:t>Grossesse</w:t>
      </w:r>
      <w:r>
        <w:t xml:space="preserve"> :</w:t>
      </w:r>
    </w:p>
    <w:p>
      <w:pPr>
        <w:pStyle w:val="ListBullet"/>
      </w:pPr>
      <w:r>
        <w:t>L'acétazolamide est un sulfonamide — risque théorique tératogène au 1er trimestre</w:t>
      </w:r>
    </w:p>
    <w:p>
      <w:pPr>
        <w:pStyle w:val="ListBullet"/>
      </w:pPr>
      <w:r/>
      <w:r>
        <w:rPr>
          <w:b/>
        </w:rPr>
        <w:t>Données animales</w:t>
      </w:r>
      <w:r>
        <w:t xml:space="preserve"> : tératogénicité (anomalies squelettiques) à doses supra-thérapeutiques</w:t>
      </w:r>
    </w:p>
    <w:p>
      <w:pPr>
        <w:pStyle w:val="ListBullet"/>
      </w:pPr>
      <w:r/>
      <w:r>
        <w:rPr>
          <w:b/>
        </w:rPr>
        <w:t>Données humaines</w:t>
      </w:r>
      <w:r>
        <w:t xml:space="preserve"> : plusieurs centaines de grossesses exposées sans augmentation du risque malformatif majeur ; cependant, cas rapportés d'acidose métabolique néonatale, hypoglycémie néonatale</w:t>
      </w:r>
    </w:p>
    <w:p>
      <w:pPr>
        <w:pStyle w:val="ListBullet"/>
      </w:pPr>
      <w:r/>
      <w:r>
        <w:rPr>
          <w:b/>
        </w:rPr>
        <w:t>Recommandation CRAT</w:t>
      </w:r>
      <w:r>
        <w:t xml:space="preserve"> : à éviter pendant la grossesse par prudence (sulfamide) ; en cas de crise aiguë de glaucome par fermeture d'angle chez la femme enceinte, discuter cas par cas avec l'ophtalmologiste et le gynécologue-obstétricien ; préférer la pilocarpine locale et la mannitol IV, puis l'iridotomie au laser</w:t>
      </w:r>
    </w:p>
    <w:p>
      <w:pPr>
        <w:pStyle w:val="ListBullet"/>
      </w:pPr>
      <w:r>
        <w:t>En cas d'exposition au 1er trimestre, signaler à la pharmacovigilance et surveiller échographique</w:t>
      </w:r>
    </w:p>
    <w:p>
      <w:pPr>
        <w:pStyle w:val="ListBullet"/>
      </w:pPr>
      <w:r/>
      <w:r>
        <w:rPr>
          <w:b/>
        </w:rPr>
        <w:t>Allaitement</w:t>
      </w:r>
      <w:r>
        <w:t xml:space="preserve"> :</w:t>
      </w:r>
    </w:p>
    <w:p>
      <w:pPr>
        <w:pStyle w:val="ListBullet"/>
      </w:pPr>
      <w:r>
        <w:t>L'acétazolamide passe dans le lait maternel (rapport lait/plasma ≈ 0,5-1,0)</w:t>
      </w:r>
    </w:p>
    <w:p>
      <w:pPr>
        <w:pStyle w:val="ListBullet"/>
      </w:pPr>
      <w:r>
        <w:t>Cas rapportés d'acidose métabolique modérée chez le nourrisson allaité</w:t>
      </w:r>
    </w:p>
    <w:p>
      <w:pPr>
        <w:pStyle w:val="ListBullet"/>
      </w:pPr>
      <w:r/>
      <w:r>
        <w:rPr>
          <w:b/>
        </w:rPr>
        <w:t>Recommandation CRAT</w:t>
      </w:r>
      <w:r>
        <w:t xml:space="preserve"> : à éviter pendant l'allaitement par prudence (sulfamide) ; en cas de crise aiguë de glaucome, suspendre l'allaitement pendant le traitement (48-72 heures) et reprendre après arrêt</w:t>
      </w:r>
    </w:p>
    <w:p>
      <w:pPr>
        <w:pStyle w:val="Heading3"/>
      </w:pPr>
      <w:r>
        <w:t>141.20.8 Posologie</w:t>
      </w:r>
    </w:p>
    <w:p>
      <w:pPr>
        <w:pStyle w:val="ListBullet"/>
      </w:pPr>
      <w:r/>
      <w:r>
        <w:rPr>
          <w:b/>
        </w:rPr>
        <w:t>Adulte</w:t>
      </w:r>
      <w:r>
        <w:t xml:space="preserve"> :</w:t>
      </w:r>
    </w:p>
    <w:p>
      <w:pPr>
        <w:pStyle w:val="ListBullet"/>
      </w:pPr>
      <w:r/>
      <w:r>
        <w:rPr>
          <w:b/>
        </w:rPr>
        <w:t>Crise aiguë de glaucome par fermeture d'angle</w:t>
      </w:r>
      <w:r>
        <w:t xml:space="preserve"> : 500 mg en IV lente (sur 5 minutes) ou 500 mg per os en 1 prise, puis 250 mg × 4/jour (toutes les 6 heures) pendant 24-48 heures en attendant l'iridotomie au laser</w:t>
      </w:r>
    </w:p>
    <w:p>
      <w:pPr>
        <w:pStyle w:val="ListBullet"/>
      </w:pPr>
      <w:r/>
      <w:r>
        <w:rPr>
          <w:b/>
        </w:rPr>
        <w:t>Glaucome réfractaire</w:t>
      </w:r>
      <w:r>
        <w:t xml:space="preserve"> : 250 mg × 2-4/jour per os pendant quelques jours à quelques semaines</w:t>
      </w:r>
    </w:p>
    <w:p>
      <w:pPr>
        <w:pStyle w:val="ListBullet"/>
      </w:pPr>
      <w:r/>
      <w:r>
        <w:rPr>
          <w:b/>
        </w:rPr>
        <w:t>Préparation à la chirurgie filtrante</w:t>
      </w:r>
      <w:r>
        <w:t xml:space="preserve"> : 250 mg × 2-3/jour pendant 48-72 heures avant intervention</w:t>
      </w:r>
    </w:p>
    <w:p>
      <w:pPr>
        <w:pStyle w:val="ListBullet"/>
      </w:pPr>
      <w:r/>
      <w:r>
        <w:rPr>
          <w:b/>
        </w:rPr>
        <w:t>Maladie de Ménière</w:t>
      </w:r>
      <w:r>
        <w:t xml:space="preserve"> (hors AMM) : 250 mg × 2/jour en traitement de fond</w:t>
      </w:r>
    </w:p>
    <w:p>
      <w:pPr>
        <w:pStyle w:val="ListBullet"/>
      </w:pPr>
      <w:r/>
      <w:r>
        <w:rPr>
          <w:b/>
        </w:rPr>
        <w:t>Prévention du mal des montagnes</w:t>
      </w:r>
      <w:r>
        <w:t xml:space="preserve"> (hors AMM) : 125-250 mg × 2/jour, débuter 24-48 heures avant l'ascension</w:t>
      </w:r>
    </w:p>
    <w:p>
      <w:pPr>
        <w:pStyle w:val="ListBullet"/>
      </w:pPr>
      <w:r/>
      <w:r>
        <w:rPr>
          <w:b/>
        </w:rPr>
        <w:t>Mode d'administration</w:t>
      </w:r>
      <w:r>
        <w:t xml:space="preserve"> : per os, pendant les repas, avec un grand verre d'eau</w:t>
      </w:r>
    </w:p>
    <w:p>
      <w:pPr>
        <w:pStyle w:val="ListBullet"/>
      </w:pPr>
      <w:r/>
      <w:r>
        <w:rPr>
          <w:b/>
        </w:rPr>
        <w:t>Oubli de dose</w:t>
      </w:r>
      <w:r>
        <w:t xml:space="preserve"> : si moins de 2 heures, prendre la dose oubliée ; sinon, sauter la dose</w:t>
      </w:r>
    </w:p>
    <w:p>
      <w:pPr>
        <w:pStyle w:val="ListBullet"/>
      </w:pPr>
      <w:r/>
      <w:r>
        <w:rPr>
          <w:b/>
        </w:rPr>
        <w:t>Sujet âgé</w:t>
      </w:r>
      <w:r>
        <w:t xml:space="preserve"> : commencer par 250 mg × 2/jour, surveillance biologique renforcée</w:t>
      </w:r>
    </w:p>
    <w:p>
      <w:pPr>
        <w:pStyle w:val="ListBullet"/>
      </w:pPr>
      <w:r/>
      <w:r>
        <w:rPr>
          <w:b/>
        </w:rPr>
        <w:t>Insuffisant rénal (DFG &lt; 30 mL/min)</w:t>
      </w:r>
      <w:r>
        <w:t xml:space="preserve"> : CI absolue</w:t>
      </w:r>
    </w:p>
    <w:p>
      <w:pPr>
        <w:pStyle w:val="ListBullet"/>
      </w:pPr>
      <w:r/>
      <w:r>
        <w:rPr>
          <w:b/>
        </w:rPr>
        <w:t>Insuffisant hépatique sévère</w:t>
      </w:r>
      <w:r>
        <w:t xml:space="preserve"> : CI absolue</w:t>
      </w:r>
    </w:p>
    <w:p>
      <w:pPr>
        <w:pStyle w:val="ListBullet"/>
      </w:pPr>
      <w:r/>
      <w:r>
        <w:rPr>
          <w:b/>
        </w:rPr>
        <w:t>Enfant</w:t>
      </w:r>
      <w:r>
        <w:t xml:space="preserve"> : hors AMM stricte, en milieu spécialisé (10-20 mg/kg/jour en 4 prises)</w:t>
      </w:r>
    </w:p>
    <w:p>
      <w:pPr>
        <w:pStyle w:val="ListBullet"/>
      </w:pPr>
      <w:r/>
      <w:r>
        <w:rPr>
          <w:b/>
        </w:rPr>
        <w:t>Durée</w:t>
      </w:r>
      <w:r>
        <w:t xml:space="preserve"> : courte durée (quelques jours à quelques semaines) en raison du profil d'effets indésirables systémiques</w:t>
      </w:r>
    </w:p>
    <w:p>
      <w:pPr>
        <w:pStyle w:val="Heading3"/>
      </w:pPr>
      <w:r>
        <w:t>141.20.9 Formes galéniques et arbitrage</w:t>
      </w:r>
    </w:p>
    <w:p>
      <w:r>
        <w:t>Deux formes galéniques historiquement disponibles :</w:t>
      </w:r>
    </w:p>
    <w:p>
      <w:pPr>
        <w:pStyle w:val="ListNumber"/>
      </w:pPr>
      <w:r/>
      <w:r>
        <w:rPr>
          <w:b/>
        </w:rPr>
        <w:t>Comprimé sécable 250 mg</w:t>
      </w:r>
      <w:r>
        <w:t xml:space="preserve"> :</w:t>
      </w:r>
    </w:p>
    <w:p>
      <w:pPr>
        <w:pStyle w:val="ListBullet"/>
      </w:pPr>
      <w:r>
        <w:t>ACETAZOLAMIDE BR® (Biorem) et LYNOX® (SARL Groupe Santé) — actifs en Algérie</w:t>
      </w:r>
    </w:p>
    <w:p>
      <w:pPr>
        <w:pStyle w:val="ListBullet"/>
      </w:pPr>
      <w:r>
        <w:t>DIAMOX® (Rhône Poulenc Rorer) — RETRAIT</w:t>
      </w:r>
    </w:p>
    <w:p>
      <w:pPr>
        <w:pStyle w:val="ListBullet"/>
      </w:pPr>
      <w:r>
        <w:t>DIURAZOL® (Lifepharma) — NON_RENOUVELABLE</w:t>
      </w:r>
    </w:p>
    <w:p>
      <w:pPr>
        <w:pStyle w:val="ListBullet"/>
      </w:pPr>
      <w:r>
        <w:t>ACEDIOX® (Biomedic), ACEMAX® (Cipla) — RETRAIT</w:t>
      </w:r>
    </w:p>
    <w:p>
      <w:pPr>
        <w:pStyle w:val="ListBullet"/>
      </w:pPr>
      <w:r>
        <w:t>Conservation : 3 ans (à température ambiante ≤ 25 °C, à l'abri de l'humidité)</w:t>
      </w:r>
    </w:p>
    <w:p>
      <w:pPr>
        <w:pStyle w:val="ListBullet"/>
      </w:pPr>
      <w:r>
        <w:t>Avantages : forme orale pratique, coût modéré (300-500 DA/boîte de 20)</w:t>
      </w:r>
    </w:p>
    <w:p>
      <w:pPr>
        <w:pStyle w:val="ListBullet"/>
      </w:pPr>
      <w:r>
        <w:t>Inconvénients : délai d'action de 1-2 heures (vs 30 minutes en IV)</w:t>
      </w:r>
    </w:p>
    <w:p>
      <w:pPr>
        <w:pStyle w:val="ListNumber"/>
      </w:pPr>
      <w:r/>
      <w:r>
        <w:rPr>
          <w:b/>
        </w:rPr>
        <w:t>Solution injectable 500 mg</w:t>
      </w:r>
      <w:r>
        <w:t xml:space="preserve"> (Diamox® IV) :</w:t>
      </w:r>
    </w:p>
    <w:p>
      <w:pPr>
        <w:pStyle w:val="ListBullet"/>
      </w:pPr>
      <w:r/>
      <w:r>
        <w:rPr>
          <w:b/>
        </w:rPr>
        <w:t>NON disponible en Algérie</w:t>
      </w:r>
      <w:r>
        <w:t xml:space="preserve"> (DIAMOX® injectable NON_RENOUVELABLE et RETRAIT)</w:t>
      </w:r>
    </w:p>
    <w:p>
      <w:pPr>
        <w:pStyle w:val="ListBullet"/>
      </w:pPr>
      <w:r>
        <w:t>En cas d'urgence absolue, voie orale (500 mg en 1 prise) ou voie IV alternative (mannitol 20 %, 1-2 g/kg en IV lente sur 30-60 minutes)</w:t>
      </w:r>
    </w:p>
    <w:p>
      <w:pPr>
        <w:pStyle w:val="ListBullet"/>
      </w:pPr>
      <w:r>
        <w:t>Le mannitol IV est l'alternative de choix dans les crises aiguës de glaucome par fermeture d'angle en Algérie (hyperosmolaire, baisse rapide de la PIO par déshydratation vitréenne)</w:t>
      </w:r>
    </w:p>
    <w:p>
      <w:r>
        <w:t>L'arbitrage entre acétazolamide oral et mannitol IV repose sur la sévérité de la crise et la disponibilité hospitalière. En pratique hospitalière algérienne, le mannitol IV est souvent préféré en première intention en raison de la non-disponibilité de l'acétazolamide injectable.</w:t>
      </w:r>
    </w:p>
    <w:p>
      <w:pPr>
        <w:pStyle w:val="Heading3"/>
      </w:pPr>
      <w:r>
        <w:t>141.20.10 Instructions et conseils au patient</w:t>
      </w:r>
    </w:p>
    <w:p>
      <w:pPr>
        <w:pStyle w:val="ListNumber"/>
      </w:pPr>
      <w:r/>
      <w:r>
        <w:rPr>
          <w:b/>
        </w:rPr>
        <w:t>Prise pendant les repas</w:t>
      </w:r>
      <w:r>
        <w:t xml:space="preserve"> : réduire les effets digestifs (nausées, diarrhée)</w:t>
      </w:r>
    </w:p>
    <w:p>
      <w:pPr>
        <w:pStyle w:val="ListNumber"/>
      </w:pPr>
      <w:r/>
      <w:r>
        <w:rPr>
          <w:b/>
        </w:rPr>
        <w:t>Hydratation abondante</w:t>
      </w:r>
      <w:r>
        <w:t xml:space="preserve"> : 2-3 L/jour d'eau pour prévenir la lithiase urinaire</w:t>
      </w:r>
    </w:p>
    <w:p>
      <w:pPr>
        <w:pStyle w:val="ListNumber"/>
      </w:pPr>
      <w:r/>
      <w:r>
        <w:rPr>
          <w:b/>
        </w:rPr>
        <w:t>Surveillance biologique</w:t>
      </w:r>
      <w:r>
        <w:t xml:space="preserve"> : ionogramme, urée, créatinine, gaz du sang à 48 heures, puis 2 fois par semaine</w:t>
      </w:r>
    </w:p>
    <w:p>
      <w:pPr>
        <w:pStyle w:val="ListNumber"/>
      </w:pPr>
      <w:r/>
      <w:r>
        <w:rPr>
          <w:b/>
        </w:rPr>
        <w:t>Paresthésies des extrémités</w:t>
      </w:r>
      <w:r>
        <w:t xml:space="preserve"> : effet attendu et banal, régressif à l'arrêt — ne pas s'inquiéter</w:t>
      </w:r>
    </w:p>
    <w:p>
      <w:pPr>
        <w:pStyle w:val="ListNumber"/>
      </w:pPr>
      <w:r/>
      <w:r>
        <w:rPr>
          <w:b/>
        </w:rPr>
        <w:t>Asthénie, somnolence</w:t>
      </w:r>
      <w:r>
        <w:t xml:space="preserve"> : effet attendu, éviter la conduite en début de traitement</w:t>
      </w:r>
    </w:p>
    <w:p>
      <w:pPr>
        <w:pStyle w:val="ListNumber"/>
      </w:pPr>
      <w:r/>
      <w:r>
        <w:rPr>
          <w:b/>
        </w:rPr>
        <w:t>Goût métallique</w:t>
      </w:r>
      <w:r>
        <w:t xml:space="preserve"> : effet attendu, banal</w:t>
      </w:r>
    </w:p>
    <w:p>
      <w:pPr>
        <w:pStyle w:val="ListNumber"/>
      </w:pPr>
      <w:r/>
      <w:r>
        <w:rPr>
          <w:b/>
        </w:rPr>
        <w:t>Signaux d'alerte</w:t>
      </w:r>
      <w:r>
        <w:t xml:space="preserve"> : douleur lombaire (lithiase), fièvre (infection), rash (allergie), saignement (thrombopénie), fatigue intense, confusion — consulter en urgence</w:t>
      </w:r>
    </w:p>
    <w:p>
      <w:pPr>
        <w:pStyle w:val="ListNumber"/>
      </w:pPr>
      <w:r/>
      <w:r>
        <w:rPr>
          <w:b/>
        </w:rPr>
        <w:t>Ne pas arrêter brutalement</w:t>
      </w:r>
      <w:r>
        <w:t xml:space="preserve"> en cas de traitement prolongé (rebond tensionnel oculaire possible)</w:t>
      </w:r>
    </w:p>
    <w:p>
      <w:pPr>
        <w:pStyle w:val="ListNumber"/>
      </w:pPr>
      <w:r/>
      <w:r>
        <w:rPr>
          <w:b/>
        </w:rPr>
        <w:t>Grossesse et allaitement</w:t>
      </w:r>
      <w:r>
        <w:t xml:space="preserve"> : à éviter absolument</w:t>
      </w:r>
    </w:p>
    <w:p>
      <w:pPr>
        <w:pStyle w:val="ListNumber"/>
      </w:pPr>
      <w:r/>
      <w:r>
        <w:rPr>
          <w:b/>
        </w:rPr>
        <w:t>Patient allergique aux sulfamides</w:t>
      </w:r>
      <w:r>
        <w:t xml:space="preserve"> : signaler au prescripteur — CI absolue</w:t>
      </w:r>
    </w:p>
    <w:p>
      <w:pPr>
        <w:pStyle w:val="ListNumber"/>
      </w:pPr>
      <w:r/>
      <w:r>
        <w:rPr>
          <w:b/>
        </w:rPr>
        <w:t>Patient diabétique</w:t>
      </w:r>
      <w:r>
        <w:t xml:space="preserve"> : surveillance glycémique renforcée (modification de la tolérance glucidique)</w:t>
      </w:r>
    </w:p>
    <w:p>
      <w:pPr>
        <w:pStyle w:val="ListNumber"/>
      </w:pPr>
      <w:r/>
      <w:r>
        <w:rPr>
          <w:b/>
        </w:rPr>
        <w:t>Patient goutteux</w:t>
      </w:r>
      <w:r>
        <w:t xml:space="preserve"> : surveillance uricémie (hyperuricémie)</w:t>
      </w:r>
    </w:p>
    <w:p>
      <w:pPr>
        <w:pStyle w:val="ListNumber"/>
      </w:pPr>
      <w:r/>
      <w:r>
        <w:rPr>
          <w:b/>
        </w:rPr>
        <w:t>Patient insuffisant rénal</w:t>
      </w:r>
      <w:r>
        <w:t xml:space="preserve"> : CI absolue si DFG &lt; 30 mL/min</w:t>
      </w:r>
    </w:p>
    <w:p>
      <w:pPr>
        <w:pStyle w:val="ListNumber"/>
      </w:pPr>
      <w:r/>
      <w:r>
        <w:rPr>
          <w:b/>
        </w:rPr>
        <w:t>Patient sous digitalique</w:t>
      </w:r>
      <w:r>
        <w:t xml:space="preserve"> : surveillance ECG et digoxinémie (hypokaliémie additive)</w:t>
      </w:r>
    </w:p>
    <w:p>
      <w:pPr>
        <w:pStyle w:val="Heading3"/>
      </w:pPr>
      <w:r>
        <w:t>141.20.11 Pièges au comptoir</w:t>
      </w:r>
    </w:p>
    <w:p>
      <w:pPr>
        <w:pStyle w:val="ListBullet"/>
      </w:pPr>
      <w:r/>
      <w:r>
        <w:rPr>
          <w:b/>
        </w:rPr>
        <w:t>Allergie aux sulfamides</w:t>
      </w:r>
      <w:r>
        <w:t xml:space="preserve"> : interroger systématiquement — CI absolue</w:t>
      </w:r>
    </w:p>
    <w:p>
      <w:pPr>
        <w:pStyle w:val="ListBullet"/>
      </w:pPr>
      <w:r/>
      <w:r>
        <w:rPr>
          <w:b/>
        </w:rPr>
        <w:t>Crise aiguë de glaucome par fermeture d'angle</w:t>
      </w:r>
      <w:r>
        <w:t xml:space="preserve"> : urgence ophtalmologique — orienter vers un service d'ophtalmologie hospitalier en urgence ; le traitement médical (acétazolamide, pilocarpine, mannitol) n'est qu'une temporisation en attendant l'iridotomie au laser</w:t>
      </w:r>
    </w:p>
    <w:p>
      <w:pPr>
        <w:pStyle w:val="ListBullet"/>
      </w:pPr>
      <w:r/>
      <w:r>
        <w:rPr>
          <w:b/>
        </w:rPr>
        <w:t>Forme injectable non disponible en Algérie</w:t>
      </w:r>
      <w:r>
        <w:t xml:space="preserve"> : la forme IV (Diamox®) est NON_RENOUVELABLE et RETRAIT — préférer la voie orale (500 mg en 1 prise) ou le mannitol IV</w:t>
      </w:r>
    </w:p>
    <w:p>
      <w:pPr>
        <w:pStyle w:val="ListBullet"/>
      </w:pPr>
      <w:r/>
      <w:r>
        <w:rPr>
          <w:b/>
        </w:rPr>
        <w:t>Patient insuffisant rénal</w:t>
      </w:r>
      <w:r>
        <w:t xml:space="preserve"> : CI absolue si DFG &lt; 30 mL/min ; surveillance biologique si DFG 30-60 mL/min</w:t>
      </w:r>
    </w:p>
    <w:p>
      <w:pPr>
        <w:pStyle w:val="ListBullet"/>
      </w:pPr>
      <w:r/>
      <w:r>
        <w:rPr>
          <w:b/>
        </w:rPr>
        <w:t>Patient sous digitalique</w:t>
      </w:r>
      <w:r>
        <w:t xml:space="preserve"> : surveillance ECG (hypokaliémie additive, risque de digitalotoxicité)</w:t>
      </w:r>
    </w:p>
    <w:p>
      <w:pPr>
        <w:pStyle w:val="ListBullet"/>
      </w:pPr>
      <w:r/>
      <w:r>
        <w:rPr>
          <w:b/>
        </w:rPr>
        <w:t>Patient goutteux</w:t>
      </w:r>
      <w:r>
        <w:t xml:space="preserve"> : surveillance uricémie</w:t>
      </w:r>
    </w:p>
    <w:p>
      <w:pPr>
        <w:pStyle w:val="ListBullet"/>
      </w:pPr>
      <w:r/>
      <w:r>
        <w:rPr>
          <w:b/>
        </w:rPr>
        <w:t>Patient diabétique</w:t>
      </w:r>
      <w:r>
        <w:t xml:space="preserve"> : surveillance glycémique renforcée</w:t>
      </w:r>
    </w:p>
    <w:p>
      <w:pPr>
        <w:pStyle w:val="ListBullet"/>
      </w:pPr>
      <w:r/>
      <w:r>
        <w:rPr>
          <w:b/>
        </w:rPr>
        <w:t>Sujet âgé</w:t>
      </w:r>
      <w:r>
        <w:t xml:space="preserve"> : surveillance biologique tous les 3-7 jours</w:t>
      </w:r>
    </w:p>
    <w:p>
      <w:pPr>
        <w:pStyle w:val="ListBullet"/>
      </w:pPr>
      <w:r/>
      <w:r>
        <w:rPr>
          <w:b/>
        </w:rPr>
        <w:t>Lithiase urinaire</w:t>
      </w:r>
      <w:r>
        <w:t xml:space="preserve"> : hydratation abondante, surveillance bandelette urinaire</w:t>
      </w:r>
    </w:p>
    <w:p>
      <w:pPr>
        <w:pStyle w:val="ListBullet"/>
      </w:pPr>
      <w:r/>
      <w:r>
        <w:rPr>
          <w:b/>
        </w:rPr>
        <w:t>Date d'expiration</w:t>
      </w:r>
      <w:r>
        <w:t xml:space="preserve"> : vérifier la date avant dispensation (les comprimés périmés perdent leur efficacité)</w:t>
      </w:r>
    </w:p>
    <w:p>
      <w:pPr>
        <w:pStyle w:val="ListBullet"/>
      </w:pPr>
      <w:r/>
      <w:r>
        <w:rPr>
          <w:b/>
        </w:rPr>
        <w:t>Coût</w:t>
      </w:r>
      <w:r>
        <w:t xml:space="preserve"> : modéré (300-500 DA/boîte de 20 comprimés)</w:t>
      </w:r>
    </w:p>
    <w:p>
      <w:pPr>
        <w:pStyle w:val="ListBullet"/>
      </w:pPr>
      <w:r/>
      <w:r>
        <w:rPr>
          <w:b/>
        </w:rPr>
        <w:t>Grossesse et allaitement</w:t>
      </w:r>
      <w:r>
        <w:t xml:space="preserve"> : à éviter absolument</w:t>
      </w:r>
    </w:p>
    <w:p>
      <w:pPr>
        <w:pStyle w:val="ListBullet"/>
      </w:pPr>
      <w:r/>
      <w:r>
        <w:rPr>
          <w:b/>
        </w:rPr>
        <w:t>Patient sous diurétiques épargneurs de potassium</w:t>
      </w:r>
      <w:r>
        <w:t xml:space="preserve"> : surveillance biologique stricte (acidose, hypokaliémie paradoxale)</w:t>
      </w:r>
    </w:p>
    <w:p>
      <w:pPr>
        <w:pStyle w:val="Heading2"/>
      </w:pPr>
      <w:r>
        <w:t>141.21 DCI : Pilocarpine (usage ophtalmique)</w:t>
      </w:r>
    </w:p>
    <w:p>
      <w:pPr>
        <w:pStyle w:val="Heading3"/>
      </w:pPr>
      <w:r>
        <w:t>141.21.1 Catégories thérapeutiques et place dans la stratégie</w:t>
      </w:r>
    </w:p>
    <w:p>
      <w:pPr>
        <w:pStyle w:val="ListBullet"/>
      </w:pPr>
      <w:r/>
      <w:r>
        <w:rPr>
          <w:b/>
        </w:rPr>
        <w:t>Classe ATC</w:t>
      </w:r>
      <w:r>
        <w:t xml:space="preserve"> : S01EB01 (Pilocarpine — collyre) ; N07AX02 (usage sialagogue oral, non disponible en Algérie)</w:t>
      </w:r>
    </w:p>
    <w:p>
      <w:pPr>
        <w:pStyle w:val="ListBullet"/>
      </w:pPr>
      <w:r/>
      <w:r>
        <w:rPr>
          <w:b/>
        </w:rPr>
        <w:t>Sous-classe pharmacologique</w:t>
      </w:r>
      <w:r>
        <w:t xml:space="preserve"> : Miotique parasymphathomimétique (alcaloïde imidazolique naturel, agoniste direct des récepteurs muscariniques M1, M2, M3, M4)</w:t>
      </w:r>
    </w:p>
    <w:p>
      <w:pPr>
        <w:pStyle w:val="ListBullet"/>
      </w:pPr>
      <w:r/>
      <w:r>
        <w:rPr>
          <w:b/>
        </w:rPr>
        <w:t>Liste des médicaments</w:t>
      </w:r>
      <w:r>
        <w:t xml:space="preserve"> : Liste I (prescription médicale obligatoire — collyre ophtalmique)</w:t>
      </w:r>
    </w:p>
    <w:p>
      <w:pPr>
        <w:pStyle w:val="ListBullet"/>
      </w:pPr>
      <w:r/>
      <w:r>
        <w:rPr>
          <w:b/>
        </w:rPr>
        <w:t>Statut réglementaire Algérie</w:t>
      </w:r>
      <w:r>
        <w:t xml:space="preserve"> : Liste I, commercialisé (APICARPIN® Amman Pharmaceutical 1 % et 2 %, PILO 1® Chauvin 1 %) ; PILO 2® Chauvin 2 % RETRAIT, ISOPTO-PILOCARPINE® Alcon RETRAIT, PILOCARPINE® CIBA VISION RETRAIT, PILOLOL® (pilocarpine + timolol) NON_RENOUVELABLE</w:t>
      </w:r>
    </w:p>
    <w:p>
      <w:pPr>
        <w:pStyle w:val="ListBullet"/>
      </w:pPr>
      <w:r/>
      <w:r>
        <w:rPr>
          <w:b/>
        </w:rPr>
        <w:t>Place dans la stratégie</w:t>
      </w:r>
      <w:r>
        <w:t xml:space="preserve"> (EGS 2023, AAO PPP 2020) : </w:t>
      </w:r>
      <w:r>
        <w:rPr>
          <w:b/>
        </w:rPr>
        <w:t>Crise aiguë de glaucome par fermeture d'angle (CGFA)</w:t>
      </w:r>
      <w:r>
        <w:t xml:space="preserve"> — traitement d'attaque en association avec l'acétazolamide et la mannitol IV, en attendant l'iridotomie au laser (la pilocarpine lève le bloc pupillaire en contractant le sphincter irien et en ouvrant l'angle) ; </w:t>
      </w:r>
      <w:r>
        <w:rPr>
          <w:b/>
        </w:rPr>
        <w:t>Glaucome par bloc pupillaire</w:t>
      </w:r>
      <w:r>
        <w:t xml:space="preserve"> (en attendant l'iridotomie au laser) ; </w:t>
      </w:r>
      <w:r>
        <w:rPr>
          <w:b/>
        </w:rPr>
        <w:t>Glaucome pigmentaire</w:t>
      </w:r>
      <w:r>
        <w:t xml:space="preserve"> (réduit la dispersion pigmentaire) ; </w:t>
      </w:r>
      <w:r>
        <w:rPr>
          <w:b/>
        </w:rPr>
        <w:t>Certaines formes de glaucome chronique par fermeture d'angle</w:t>
      </w:r>
      <w:r>
        <w:t xml:space="preserve"> (traitement adjuvant après iridotomie au laser, en cas d'échec)</w:t>
      </w:r>
    </w:p>
    <w:p>
      <w:pPr>
        <w:pStyle w:val="ListBullet"/>
      </w:pPr>
      <w:r/>
      <w:r>
        <w:rPr>
          <w:b/>
        </w:rPr>
        <w:t>Index thérapeutique</w:t>
      </w:r>
      <w:r>
        <w:t xml:space="preserve"> : Étroit (effets systémiques possibles en cas de surdosage)</w:t>
      </w:r>
    </w:p>
    <w:p>
      <w:pPr>
        <w:pStyle w:val="ListBullet"/>
      </w:pPr>
      <w:r/>
      <w:r>
        <w:rPr>
          <w:b/>
        </w:rPr>
        <w:t>Grossesse/Allaitement</w:t>
      </w:r>
      <w:r>
        <w:t xml:space="preserve"> : À éviter (parasympathomimétique — effet théorique sur le tonus utérin)</w:t>
      </w:r>
    </w:p>
    <w:p>
      <w:r>
        <w:t xml:space="preserve">La pilocarpine, alcaloïde naturel extrait des feuilles de </w:t>
      </w:r>
      <w:r>
        <w:rPr>
          <w:i/>
        </w:rPr>
        <w:t>Pilocarpus jaborandi</w:t>
      </w:r>
      <w:r>
        <w:t xml:space="preserve"> (Rutacées), est le plus ancien hypotonisant oculaire connu (utilisation empirique depuis le XVIᵉ siècle au Brésil, introduit en thérapeutique européenne en 1875 par Weber). Sa place dans la stratégie thérapeutique du glaucome a régressé considérablement depuis les années 1990-2000 en raison de la supériorité de tolérance des prostaglandines et des β-bloquants, mais elle conserve une indication de choix dans la crise aiguë de glaucome par fermeture d'angle (CAGFA), où elle est l'un des trois piliers du traitement d'attaque avec l'acétazolamide et la mannitol IV. En Algérie, deux dosages sont disponibles : 1 % et 2 %, en flacon de 10 mL avec conservateur (chlorure de benzalkonium). La conservation est de 1 mois après ouverture.</w:t>
      </w:r>
    </w:p>
    <w:p>
      <w:pPr>
        <w:pStyle w:val="Heading3"/>
      </w:pPr>
      <w:r>
        <w:t>141.21.2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APICARPIN 1 %</w:t>
            </w:r>
          </w:p>
        </w:tc>
        <w:tc>
          <w:tcPr>
            <w:tcW w:type="dxa" w:w="1559"/>
          </w:tcPr>
          <w:p>
            <w:r>
              <w:rPr>
                <w:sz w:val="20"/>
              </w:rPr>
              <w:t>AMMAN PHARMACEUTICAL INDUSTRIE</w:t>
            </w:r>
          </w:p>
        </w:tc>
        <w:tc>
          <w:tcPr>
            <w:tcW w:type="dxa" w:w="1559"/>
          </w:tcPr>
          <w:p>
            <w:r>
              <w:rPr>
                <w:sz w:val="20"/>
              </w:rPr>
              <w:t>Collyre en solution — 1 % (10 mg/mL)</w:t>
            </w:r>
          </w:p>
        </w:tc>
        <w:tc>
          <w:tcPr>
            <w:tcW w:type="dxa" w:w="1559"/>
          </w:tcPr>
          <w:p>
            <w:r>
              <w:rPr>
                <w:sz w:val="20"/>
              </w:rPr>
              <w:t>FL/10 mL</w:t>
            </w:r>
          </w:p>
        </w:tc>
        <w:tc>
          <w:tcPr>
            <w:tcW w:type="dxa" w:w="1559"/>
          </w:tcPr>
          <w:p>
            <w:r>
              <w:rPr>
                <w:sz w:val="20"/>
              </w:rPr>
              <w:t>LISTE I</w:t>
            </w:r>
          </w:p>
        </w:tc>
        <w:tc>
          <w:tcPr>
            <w:tcW w:type="dxa" w:w="1559"/>
          </w:tcPr>
          <w:p>
            <w:r>
              <w:rPr>
                <w:sz w:val="20"/>
              </w:rPr>
              <w:t>ACTIF</w:t>
            </w:r>
          </w:p>
        </w:tc>
      </w:tr>
      <w:tr>
        <w:tc>
          <w:tcPr>
            <w:tcW w:type="dxa" w:w="1559"/>
          </w:tcPr>
          <w:p>
            <w:r>
              <w:rPr>
                <w:sz w:val="20"/>
              </w:rPr>
              <w:t>APICARPIN 2 %</w:t>
            </w:r>
          </w:p>
        </w:tc>
        <w:tc>
          <w:tcPr>
            <w:tcW w:type="dxa" w:w="1559"/>
          </w:tcPr>
          <w:p>
            <w:r>
              <w:rPr>
                <w:sz w:val="20"/>
              </w:rPr>
              <w:t>AMMAN PHARMACEUTICAL INDUSTRIE</w:t>
            </w:r>
          </w:p>
        </w:tc>
        <w:tc>
          <w:tcPr>
            <w:tcW w:type="dxa" w:w="1559"/>
          </w:tcPr>
          <w:p>
            <w:r>
              <w:rPr>
                <w:sz w:val="20"/>
              </w:rPr>
              <w:t>Collyre en solution — 2 % (20 mg/mL)</w:t>
            </w:r>
          </w:p>
        </w:tc>
        <w:tc>
          <w:tcPr>
            <w:tcW w:type="dxa" w:w="1559"/>
          </w:tcPr>
          <w:p>
            <w:r>
              <w:rPr>
                <w:sz w:val="20"/>
              </w:rPr>
              <w:t>FL/10 mL</w:t>
            </w:r>
          </w:p>
        </w:tc>
        <w:tc>
          <w:tcPr>
            <w:tcW w:type="dxa" w:w="1559"/>
          </w:tcPr>
          <w:p>
            <w:r>
              <w:rPr>
                <w:sz w:val="20"/>
              </w:rPr>
              <w:t>LISTE I</w:t>
            </w:r>
          </w:p>
        </w:tc>
        <w:tc>
          <w:tcPr>
            <w:tcW w:type="dxa" w:w="1559"/>
          </w:tcPr>
          <w:p>
            <w:r>
              <w:rPr>
                <w:sz w:val="20"/>
              </w:rPr>
              <w:t>ACTIF</w:t>
            </w:r>
          </w:p>
        </w:tc>
      </w:tr>
      <w:tr>
        <w:tc>
          <w:tcPr>
            <w:tcW w:type="dxa" w:w="1559"/>
          </w:tcPr>
          <w:p>
            <w:r>
              <w:rPr>
                <w:sz w:val="20"/>
              </w:rPr>
              <w:t>PILO 1</w:t>
            </w:r>
          </w:p>
        </w:tc>
        <w:tc>
          <w:tcPr>
            <w:tcW w:type="dxa" w:w="1559"/>
          </w:tcPr>
          <w:p>
            <w:r>
              <w:rPr>
                <w:sz w:val="20"/>
              </w:rPr>
              <w:t>CHAUVIN S.A.</w:t>
            </w:r>
          </w:p>
        </w:tc>
        <w:tc>
          <w:tcPr>
            <w:tcW w:type="dxa" w:w="1559"/>
          </w:tcPr>
          <w:p>
            <w:r>
              <w:rPr>
                <w:sz w:val="20"/>
              </w:rPr>
              <w:t>Collyre en solution — 1 % (10 mg/mL)</w:t>
            </w:r>
          </w:p>
        </w:tc>
        <w:tc>
          <w:tcPr>
            <w:tcW w:type="dxa" w:w="1559"/>
          </w:tcPr>
          <w:p>
            <w:r>
              <w:rPr>
                <w:sz w:val="20"/>
              </w:rPr>
              <w:t>FL/10 mL</w:t>
            </w:r>
          </w:p>
        </w:tc>
        <w:tc>
          <w:tcPr>
            <w:tcW w:type="dxa" w:w="1559"/>
          </w:tcPr>
          <w:p>
            <w:r>
              <w:rPr>
                <w:sz w:val="20"/>
              </w:rPr>
              <w:t>LISTE I</w:t>
            </w:r>
          </w:p>
        </w:tc>
        <w:tc>
          <w:tcPr>
            <w:tcW w:type="dxa" w:w="1559"/>
          </w:tcPr>
          <w:p>
            <w:r>
              <w:rPr>
                <w:sz w:val="20"/>
              </w:rPr>
              <w:t>ACTIF</w:t>
            </w:r>
          </w:p>
        </w:tc>
      </w:tr>
      <w:tr>
        <w:tc>
          <w:tcPr>
            <w:tcW w:type="dxa" w:w="1559"/>
          </w:tcPr>
          <w:p>
            <w:r>
              <w:rPr>
                <w:sz w:val="20"/>
              </w:rPr>
              <w:t>PILOLOL (NR)</w:t>
            </w:r>
          </w:p>
        </w:tc>
        <w:tc>
          <w:tcPr>
            <w:tcW w:type="dxa" w:w="1559"/>
          </w:tcPr>
          <w:p>
            <w:r>
              <w:rPr>
                <w:sz w:val="20"/>
              </w:rPr>
              <w:t>UNIMED</w:t>
            </w:r>
          </w:p>
        </w:tc>
        <w:tc>
          <w:tcPr>
            <w:tcW w:type="dxa" w:w="1559"/>
          </w:tcPr>
          <w:p>
            <w:r>
              <w:rPr>
                <w:sz w:val="20"/>
              </w:rPr>
              <w:t>Collyre (pilocarpine 1 % + timolol 0,5 %)</w:t>
            </w:r>
          </w:p>
        </w:tc>
        <w:tc>
          <w:tcPr>
            <w:tcW w:type="dxa" w:w="1559"/>
          </w:tcPr>
          <w:p>
            <w:r>
              <w:rPr>
                <w:sz w:val="20"/>
              </w:rPr>
              <w:t>FL/5 mL</w:t>
            </w:r>
          </w:p>
        </w:tc>
        <w:tc>
          <w:tcPr>
            <w:tcW w:type="dxa" w:w="1559"/>
          </w:tcPr>
          <w:p>
            <w:r>
              <w:rPr>
                <w:sz w:val="20"/>
              </w:rPr>
              <w:t>LISTE I</w:t>
            </w:r>
          </w:p>
        </w:tc>
        <w:tc>
          <w:tcPr>
            <w:tcW w:type="dxa" w:w="1559"/>
          </w:tcPr>
          <w:p>
            <w:r>
              <w:rPr>
                <w:sz w:val="20"/>
              </w:rPr>
              <w:t>NON_RENOUVELABLE</w:t>
            </w:r>
          </w:p>
        </w:tc>
      </w:tr>
      <w:tr>
        <w:tc>
          <w:tcPr>
            <w:tcW w:type="dxa" w:w="1559"/>
          </w:tcPr>
          <w:p>
            <w:r>
              <w:rPr>
                <w:sz w:val="20"/>
              </w:rPr>
              <w:t>ISOPTO-PILOCARPINE 1 % (R)</w:t>
            </w:r>
          </w:p>
        </w:tc>
        <w:tc>
          <w:tcPr>
            <w:tcW w:type="dxa" w:w="1559"/>
          </w:tcPr>
          <w:p>
            <w:r>
              <w:rPr>
                <w:sz w:val="20"/>
              </w:rPr>
              <w:t>ALCON</w:t>
            </w:r>
          </w:p>
        </w:tc>
        <w:tc>
          <w:tcPr>
            <w:tcW w:type="dxa" w:w="1559"/>
          </w:tcPr>
          <w:p>
            <w:r>
              <w:rPr>
                <w:sz w:val="20"/>
              </w:rPr>
              <w:t>Collyre — 1 %</w:t>
            </w:r>
          </w:p>
        </w:tc>
        <w:tc>
          <w:tcPr>
            <w:tcW w:type="dxa" w:w="1559"/>
          </w:tcPr>
          <w:p>
            <w:r>
              <w:rPr>
                <w:sz w:val="20"/>
              </w:rPr>
              <w:t>FL/10 mL</w:t>
            </w:r>
          </w:p>
        </w:tc>
        <w:tc>
          <w:tcPr>
            <w:tcW w:type="dxa" w:w="1559"/>
          </w:tcPr>
          <w:p>
            <w:r>
              <w:rPr>
                <w:sz w:val="20"/>
              </w:rPr>
              <w:t>Liste I</w:t>
            </w:r>
          </w:p>
        </w:tc>
        <w:tc>
          <w:tcPr>
            <w:tcW w:type="dxa" w:w="1559"/>
          </w:tcPr>
          <w:p>
            <w:r>
              <w:rPr>
                <w:sz w:val="20"/>
              </w:rPr>
              <w:t>RETRAIT</w:t>
            </w:r>
          </w:p>
        </w:tc>
      </w:tr>
      <w:tr>
        <w:tc>
          <w:tcPr>
            <w:tcW w:type="dxa" w:w="1559"/>
          </w:tcPr>
          <w:p>
            <w:r>
              <w:rPr>
                <w:sz w:val="20"/>
              </w:rPr>
              <w:t>ISOPTO-PILOCARPINE 2 % (R)</w:t>
            </w:r>
          </w:p>
        </w:tc>
        <w:tc>
          <w:tcPr>
            <w:tcW w:type="dxa" w:w="1559"/>
          </w:tcPr>
          <w:p>
            <w:r>
              <w:rPr>
                <w:sz w:val="20"/>
              </w:rPr>
              <w:t>ALCON</w:t>
            </w:r>
          </w:p>
        </w:tc>
        <w:tc>
          <w:tcPr>
            <w:tcW w:type="dxa" w:w="1559"/>
          </w:tcPr>
          <w:p>
            <w:r>
              <w:rPr>
                <w:sz w:val="20"/>
              </w:rPr>
              <w:t>Collyre — 2 %</w:t>
            </w:r>
          </w:p>
        </w:tc>
        <w:tc>
          <w:tcPr>
            <w:tcW w:type="dxa" w:w="1559"/>
          </w:tcPr>
          <w:p>
            <w:r>
              <w:rPr>
                <w:sz w:val="20"/>
              </w:rPr>
              <w:t>FL/10 mL</w:t>
            </w:r>
          </w:p>
        </w:tc>
        <w:tc>
          <w:tcPr>
            <w:tcW w:type="dxa" w:w="1559"/>
          </w:tcPr>
          <w:p>
            <w:r>
              <w:rPr>
                <w:sz w:val="20"/>
              </w:rPr>
              <w:t>Liste I</w:t>
            </w:r>
          </w:p>
        </w:tc>
        <w:tc>
          <w:tcPr>
            <w:tcW w:type="dxa" w:w="1559"/>
          </w:tcPr>
          <w:p>
            <w:r>
              <w:rPr>
                <w:sz w:val="20"/>
              </w:rPr>
              <w:t>RETRAIT</w:t>
            </w:r>
          </w:p>
        </w:tc>
      </w:tr>
      <w:tr>
        <w:tc>
          <w:tcPr>
            <w:tcW w:type="dxa" w:w="1559"/>
          </w:tcPr>
          <w:p>
            <w:r>
              <w:rPr>
                <w:sz w:val="20"/>
              </w:rPr>
              <w:t>PILO 2 (R)</w:t>
            </w:r>
          </w:p>
        </w:tc>
        <w:tc>
          <w:tcPr>
            <w:tcW w:type="dxa" w:w="1559"/>
          </w:tcPr>
          <w:p>
            <w:r>
              <w:rPr>
                <w:sz w:val="20"/>
              </w:rPr>
              <w:t>CHAUVIN</w:t>
            </w:r>
          </w:p>
        </w:tc>
        <w:tc>
          <w:tcPr>
            <w:tcW w:type="dxa" w:w="1559"/>
          </w:tcPr>
          <w:p>
            <w:r>
              <w:rPr>
                <w:sz w:val="20"/>
              </w:rPr>
              <w:t>Collyre en solution — 2 %</w:t>
            </w:r>
          </w:p>
        </w:tc>
        <w:tc>
          <w:tcPr>
            <w:tcW w:type="dxa" w:w="1559"/>
          </w:tcPr>
          <w:p>
            <w:r>
              <w:rPr>
                <w:sz w:val="20"/>
              </w:rPr>
              <w:t>FL/10 mL</w:t>
            </w:r>
          </w:p>
        </w:tc>
        <w:tc>
          <w:tcPr>
            <w:tcW w:type="dxa" w:w="1559"/>
          </w:tcPr>
          <w:p>
            <w:r>
              <w:rPr>
                <w:sz w:val="20"/>
              </w:rPr>
              <w:t>Liste I</w:t>
            </w:r>
          </w:p>
        </w:tc>
        <w:tc>
          <w:tcPr>
            <w:tcW w:type="dxa" w:w="1559"/>
          </w:tcPr>
          <w:p>
            <w:r>
              <w:rPr>
                <w:sz w:val="20"/>
              </w:rPr>
              <w:t>RETRAIT</w:t>
            </w:r>
          </w:p>
        </w:tc>
      </w:tr>
      <w:tr>
        <w:tc>
          <w:tcPr>
            <w:tcW w:type="dxa" w:w="1559"/>
          </w:tcPr>
          <w:p>
            <w:r>
              <w:rPr>
                <w:sz w:val="20"/>
              </w:rPr>
              <w:t>PILOCARPINE 1 % (R)</w:t>
            </w:r>
          </w:p>
        </w:tc>
        <w:tc>
          <w:tcPr>
            <w:tcW w:type="dxa" w:w="1559"/>
          </w:tcPr>
          <w:p>
            <w:r>
              <w:rPr>
                <w:sz w:val="20"/>
              </w:rPr>
              <w:t>CIBA VISION</w:t>
            </w:r>
          </w:p>
        </w:tc>
        <w:tc>
          <w:tcPr>
            <w:tcW w:type="dxa" w:w="1559"/>
          </w:tcPr>
          <w:p>
            <w:r>
              <w:rPr>
                <w:sz w:val="20"/>
              </w:rPr>
              <w:t>Collyre — 1 %</w:t>
            </w:r>
          </w:p>
        </w:tc>
        <w:tc>
          <w:tcPr>
            <w:tcW w:type="dxa" w:w="1559"/>
          </w:tcPr>
          <w:p>
            <w:r>
              <w:rPr>
                <w:sz w:val="20"/>
              </w:rPr>
              <w:t>FL/15 mL</w:t>
            </w:r>
          </w:p>
        </w:tc>
        <w:tc>
          <w:tcPr>
            <w:tcW w:type="dxa" w:w="1559"/>
          </w:tcPr>
          <w:p>
            <w:r>
              <w:rPr>
                <w:sz w:val="20"/>
              </w:rPr>
              <w:t>Liste I</w:t>
            </w:r>
          </w:p>
        </w:tc>
        <w:tc>
          <w:tcPr>
            <w:tcW w:type="dxa" w:w="1559"/>
          </w:tcPr>
          <w:p>
            <w:r>
              <w:rPr>
                <w:sz w:val="20"/>
              </w:rPr>
              <w:t>RETRAIT</w:t>
            </w:r>
          </w:p>
        </w:tc>
      </w:tr>
      <w:tr>
        <w:tc>
          <w:tcPr>
            <w:tcW w:type="dxa" w:w="1559"/>
          </w:tcPr>
          <w:p>
            <w:r>
              <w:rPr>
                <w:sz w:val="20"/>
              </w:rPr>
              <w:t>PILOCARPINE 2 % (R)</w:t>
            </w:r>
          </w:p>
        </w:tc>
        <w:tc>
          <w:tcPr>
            <w:tcW w:type="dxa" w:w="1559"/>
          </w:tcPr>
          <w:p>
            <w:r>
              <w:rPr>
                <w:sz w:val="20"/>
              </w:rPr>
              <w:t>CIBA VISION</w:t>
            </w:r>
          </w:p>
        </w:tc>
        <w:tc>
          <w:tcPr>
            <w:tcW w:type="dxa" w:w="1559"/>
          </w:tcPr>
          <w:p>
            <w:r>
              <w:rPr>
                <w:sz w:val="20"/>
              </w:rPr>
              <w:t>Collyre — 2 %</w:t>
            </w:r>
          </w:p>
        </w:tc>
        <w:tc>
          <w:tcPr>
            <w:tcW w:type="dxa" w:w="1559"/>
          </w:tcPr>
          <w:p>
            <w:r>
              <w:rPr>
                <w:sz w:val="20"/>
              </w:rPr>
              <w:t>FL/15 mL</w:t>
            </w:r>
          </w:p>
        </w:tc>
        <w:tc>
          <w:tcPr>
            <w:tcW w:type="dxa" w:w="1559"/>
          </w:tcPr>
          <w:p>
            <w:r>
              <w:rPr>
                <w:sz w:val="20"/>
              </w:rPr>
              <w:t>Liste I</w:t>
            </w:r>
          </w:p>
        </w:tc>
        <w:tc>
          <w:tcPr>
            <w:tcW w:type="dxa" w:w="1559"/>
          </w:tcPr>
          <w:p>
            <w:r>
              <w:rPr>
                <w:sz w:val="20"/>
              </w:rPr>
              <w:t>RETRAIT</w:t>
            </w:r>
          </w:p>
        </w:tc>
      </w:tr>
    </w:tbl>
    <w:p/>
    <w:p>
      <w:pPr>
        <w:pStyle w:val="Heading3"/>
      </w:pPr>
      <w:r>
        <w:t>141.21.3 Mécanisme d'action détaillé</w:t>
      </w:r>
    </w:p>
    <w:p>
      <w:r>
        <w:t>La pilocarpine est un alcaloïde imidazolique naturel, agoniste direct des récepteurs muscariniques M1, M2, M3, M4 (parasympathomimétique direct). Au niveau de l'œil, son action prédominante s'exerce sur :</w:t>
      </w:r>
    </w:p>
    <w:p>
      <w:pPr>
        <w:pStyle w:val="ListNumber"/>
      </w:pPr>
      <w:r/>
      <w:r>
        <w:rPr>
          <w:b/>
        </w:rPr>
        <w:t>Le muscle ciliaire</w:t>
      </w:r>
      <w:r>
        <w:t xml:space="preserve"> (M3) : la contraction du muscle ciliaire (muscle lisse) tire la sangle trabéculo-ciliaire, ouvrant l'angle irido-cornéen et facilitant l'élimination trabéculaire de l'humeur aqueuse (jusqu'à +30-50 % de la résorption trabéculaire). C'est le mécanisme principal de l'effet hypotonisant.</w:t>
      </w:r>
    </w:p>
    <w:p>
      <w:pPr>
        <w:pStyle w:val="ListNumber"/>
      </w:pPr>
      <w:r/>
      <w:r>
        <w:rPr>
          <w:b/>
        </w:rPr>
        <w:t>Le sphincter de l'iris</w:t>
      </w:r>
      <w:r>
        <w:t xml:space="preserve"> (M3) : la contraction du sphincter irien provoque un </w:t>
      </w:r>
      <w:r>
        <w:rPr>
          <w:b/>
        </w:rPr>
        <w:t>myosis</w:t>
      </w:r>
      <w:r>
        <w:t xml:space="preserve"> marqué (pupille en épingle), ce qui, en cas de bloc pupillaire par iris en plate (mécanisme de la crise aiguë de glaucome par fermeture d'angle), </w:t>
      </w:r>
      <w:r>
        <w:rPr>
          <w:b/>
        </w:rPr>
        <w:t>lève mécaniquement l'obstruction</w:t>
      </w:r>
      <w:r>
        <w:t xml:space="preserve"> en éloignant l'iris du cristallin. C'est le mécanisme thérapeutique essentiel dans la CAGFA.</w:t>
      </w:r>
    </w:p>
    <w:p>
      <w:pPr>
        <w:pStyle w:val="ListNumber"/>
      </w:pPr>
      <w:r/>
      <w:r>
        <w:rPr>
          <w:b/>
        </w:rPr>
        <w:t>Le muscle ciliaire accommodatif</w:t>
      </w:r>
      <w:r>
        <w:t xml:space="preserve"> (M3) : la contraction du muscle ciliaire déclenche un </w:t>
      </w:r>
      <w:r>
        <w:rPr>
          <w:b/>
        </w:rPr>
        <w:t>spasme accommodatif</w:t>
      </w:r>
      <w:r>
        <w:t xml:space="preserve"> (accommodation maximale, myopie transitoire), responsable de céphalées sourcilières, surtout chez le jeune patient.</w:t>
      </w:r>
    </w:p>
    <w:p>
      <w:pPr>
        <w:pStyle w:val="ListNumber"/>
      </w:pPr>
      <w:r/>
      <w:r>
        <w:rPr>
          <w:b/>
        </w:rPr>
        <w:t>Les glandes lacrymales, salivaires, sudoripares</w:t>
      </w:r>
      <w:r>
        <w:t xml:space="preserve"> (M3) : stimulation des sécrétions (larmes, salive, sueur) en cas d'absorption systémique.</w:t>
      </w:r>
    </w:p>
    <w:p>
      <w:r>
        <w:t>L'efficacité hypotonisante est correcte (baisse de 4 à 6 mmHg), avec un délai d'action rapide (15-30 minutes, pic à 1-2 heures, durée 4-8 heures), justifiant une administration toutes les 6 à 8 heures (3 à 4 fois par jour). La pharmacocinétique locale est caractéristique : résorption transcornéenne rapide, résorption naso-lacrymale systémique significative (10-20 %), métabolisation hépatique partielle par hydrolyse (esters plasmatiques), élimination rénale sous forme inchangée et métabolites. La demi-vie d'élimination systémique est courte (1-2 heures), justifiant la fréquence d'administration.</w:t>
      </w:r>
    </w:p>
    <w:p>
      <w:pPr>
        <w:pStyle w:val="Heading3"/>
      </w:pPr>
      <w:r>
        <w:t>141.21.4 Profil pharmacologique : indications, contre-indications, effets indésirables</w:t>
      </w:r>
    </w:p>
    <w:p>
      <w:pPr>
        <w:pStyle w:val="Heading4"/>
      </w:pPr>
      <w:r>
        <w:t>Indications</w:t>
      </w:r>
    </w:p>
    <w:p>
      <w:pPr>
        <w:pStyle w:val="ListBullet"/>
      </w:pPr>
      <w:r/>
      <w:r>
        <w:rPr>
          <w:b/>
        </w:rPr>
        <w:t>Crise aiguë de glaucome par fermeture d'angle (CAGFA)</w:t>
      </w:r>
      <w:r>
        <w:t xml:space="preserve"> : traitement d'attaque, en association avec l'acétazolamide (IV ou oral) et la mannitol IV, en attendant l'iridotomie au laser. La pilocarpine est instillée après la baisse initiale de la PIO par l'acétazolamide et le mannitol (généralement à la 2ème-4ème heure) — en effet, en cas de PIO très élevée (&gt; 50 mmHg), le sphincter irien est ischémique et ne répond pas à la pilocarpine ; il faut d'abord faire baisser la PIO pour que la pilocarpine puisse agir.</w:t>
      </w:r>
    </w:p>
    <w:p>
      <w:pPr>
        <w:pStyle w:val="ListBullet"/>
      </w:pPr>
      <w:r>
        <w:t>Protocole classique : 1 goutte de pilocarpine 2 % toutes les 15 minutes pendant 1 heure (4 instillations), puis toutes les heures pendant 4 heures, puis 4 fois par jour jusqu'à l'iridotomie au laser</w:t>
      </w:r>
    </w:p>
    <w:p>
      <w:pPr>
        <w:pStyle w:val="ListBullet"/>
      </w:pPr>
      <w:r/>
      <w:r>
        <w:rPr>
          <w:b/>
        </w:rPr>
        <w:t>Glaucome par bloc pupillaire</w:t>
      </w:r>
      <w:r>
        <w:t xml:space="preserve"> : traitement adjuvant en attendant l'iridotomie au laser</w:t>
      </w:r>
    </w:p>
    <w:p>
      <w:pPr>
        <w:pStyle w:val="ListBullet"/>
      </w:pPr>
      <w:r/>
      <w:r>
        <w:rPr>
          <w:b/>
        </w:rPr>
        <w:t>Glaucome pigmentaire</w:t>
      </w:r>
      <w:r>
        <w:t xml:space="preserve"> : la pilocarpine réduit la dispersion pigmentaire en constricte la pupille et limite le contact iris-zonules (mécanisme inverse du glaucome par fermeture d'angle)</w:t>
      </w:r>
    </w:p>
    <w:p>
      <w:pPr>
        <w:pStyle w:val="ListBullet"/>
      </w:pPr>
      <w:r/>
      <w:r>
        <w:rPr>
          <w:b/>
        </w:rPr>
        <w:t>Certaines formes de glaucome chronique par fermeture d'angle</w:t>
      </w:r>
      <w:r>
        <w:t xml:space="preserve"> : traitement adjuvant après iridotomie au laser, en cas d'échec</w:t>
      </w:r>
    </w:p>
    <w:p>
      <w:pPr>
        <w:pStyle w:val="ListBullet"/>
      </w:pPr>
      <w:r/>
      <w:r>
        <w:rPr>
          <w:b/>
        </w:rPr>
        <w:t>Glaucome post-chirurgie filtrante</w:t>
      </w:r>
      <w:r>
        <w:t xml:space="preserve"> (hypotonie oculaire excessive) : inversion paradoxale — la pilocarpine peut augmenter la PIO en cas de sur-filtration</w:t>
      </w:r>
    </w:p>
    <w:p>
      <w:pPr>
        <w:pStyle w:val="ListBullet"/>
      </w:pPr>
      <w:r/>
      <w:r>
        <w:rPr>
          <w:b/>
        </w:rPr>
        <w:t>Indications hors glaucome</w:t>
      </w:r>
      <w:r>
        <w:t xml:space="preserve"> : examen du fond d'œil (myosis thérapeutique pour rétine périphérique — largement supplantée par la tropicamide), test à la pilocarpine dans le syndrome d'Adie (mydriase tonique), syndrome de Sjögren (pilocarpine orale — non disponible en Algérie)</w:t>
      </w:r>
    </w:p>
    <w:p>
      <w:pPr>
        <w:pStyle w:val="Heading4"/>
      </w:pPr>
      <w:r>
        <w:t>Contre-indications</w:t>
      </w:r>
    </w:p>
    <w:p>
      <w:pPr>
        <w:pStyle w:val="ListBullet"/>
      </w:pPr>
      <w:r/>
      <w:r>
        <w:rPr>
          <w:b/>
        </w:rPr>
        <w:t>Contre-indications absolues</w:t>
      </w:r>
      <w:r>
        <w:t xml:space="preserve"> :</w:t>
      </w:r>
    </w:p>
    <w:p>
      <w:pPr>
        <w:pStyle w:val="ListBullet"/>
      </w:pPr>
      <w:r>
        <w:t>Hypersensibilité à la substance active ou à l'un des excipients (chlorure de benzalkonium)</w:t>
      </w:r>
    </w:p>
    <w:p>
      <w:pPr>
        <w:pStyle w:val="ListBullet"/>
      </w:pPr>
      <w:r>
        <w:t>Glaucome à angle ouvert (la pilocarpine peut aggraver certains GAO, en particulier chez le myope fort)</w:t>
      </w:r>
    </w:p>
    <w:p>
      <w:pPr>
        <w:pStyle w:val="ListBullet"/>
      </w:pPr>
      <w:r/>
      <w:r>
        <w:rPr>
          <w:b/>
        </w:rPr>
        <w:t>Myopie forte</w:t>
      </w:r>
      <w:r>
        <w:t xml:space="preserve"> (risque de décollement rétinien par traction vitréo-rétinienne)</w:t>
      </w:r>
    </w:p>
    <w:p>
      <w:pPr>
        <w:pStyle w:val="ListBullet"/>
      </w:pPr>
      <w:r>
        <w:t>Inflammation intraoculaire aiguë (uvéite, iritis — risque d'aggravation par myosis et synechies)</w:t>
      </w:r>
    </w:p>
    <w:p>
      <w:pPr>
        <w:pStyle w:val="ListBullet"/>
      </w:pPr>
      <w:r>
        <w:t>Aniridie (inefficacité)</w:t>
      </w:r>
    </w:p>
    <w:p>
      <w:pPr>
        <w:pStyle w:val="ListBullet"/>
      </w:pPr>
      <w:r>
        <w:t>Iridectomie préalable (inefficacité)</w:t>
      </w:r>
    </w:p>
    <w:p>
      <w:pPr>
        <w:pStyle w:val="ListBullet"/>
      </w:pPr>
      <w:r/>
      <w:r>
        <w:rPr>
          <w:b/>
        </w:rPr>
        <w:t>Crise aiguë de glaucome par fermeture d'angle en phase initiale</w:t>
      </w:r>
      <w:r>
        <w:t xml:space="preserve"> (PIO &gt; 50 mmHg) — le sphincter irien est ischémique et ne répond pas à la pilocarpine ; il faut d'abord faire baisser la PIO par acétazolamide et mannitol</w:t>
      </w:r>
    </w:p>
    <w:p>
      <w:pPr>
        <w:pStyle w:val="ListBullet"/>
      </w:pPr>
      <w:r/>
      <w:r>
        <w:rPr>
          <w:b/>
        </w:rPr>
        <w:t>Contre-indications relatives</w:t>
      </w:r>
      <w:r>
        <w:t xml:space="preserve"> :</w:t>
      </w:r>
    </w:p>
    <w:p>
      <w:pPr>
        <w:pStyle w:val="ListBullet"/>
      </w:pPr>
      <w:r>
        <w:t>Asthme bronchique (parasympathomimétique — risque de bronchospasme en cas d'absorption systémique)</w:t>
      </w:r>
    </w:p>
    <w:p>
      <w:pPr>
        <w:pStyle w:val="ListBullet"/>
      </w:pPr>
      <w:r>
        <w:t>Bradycardie sinusale, BAV (risque de bradycardie additive en cas d'absorption systémique)</w:t>
      </w:r>
    </w:p>
    <w:p>
      <w:pPr>
        <w:pStyle w:val="ListBullet"/>
      </w:pPr>
      <w:r>
        <w:t>Hyperthyroïdie (prudence)</w:t>
      </w:r>
    </w:p>
    <w:p>
      <w:pPr>
        <w:pStyle w:val="ListBullet"/>
      </w:pPr>
      <w:r>
        <w:t>Hypertension (prudence)</w:t>
      </w:r>
    </w:p>
    <w:p>
      <w:pPr>
        <w:pStyle w:val="ListBullet"/>
      </w:pPr>
      <w:r>
        <w:t>Insuffisance cardiaque (prudence)</w:t>
      </w:r>
    </w:p>
    <w:p>
      <w:pPr>
        <w:pStyle w:val="ListBullet"/>
      </w:pPr>
      <w:r>
        <w:t>Sujet âgé fragile (risque de spasme accommodatif mal toléré, risque de bradycardie)</w:t>
      </w:r>
    </w:p>
    <w:p>
      <w:pPr>
        <w:pStyle w:val="ListBullet"/>
      </w:pPr>
      <w:r>
        <w:t>Grossesse (parasympathomimétique — effet théorique sur le tonus utérin)</w:t>
      </w:r>
    </w:p>
    <w:p>
      <w:pPr>
        <w:pStyle w:val="ListBullet"/>
      </w:pPr>
      <w:r>
        <w:t>Allaitement (passe dans le lait)</w:t>
      </w:r>
    </w:p>
    <w:p>
      <w:pPr>
        <w:pStyle w:val="ListBullet"/>
      </w:pPr>
      <w:r>
        <w:t>Port de lentilles (BAK)</w:t>
      </w:r>
    </w:p>
    <w:p>
      <w:pPr>
        <w:pStyle w:val="Heading4"/>
      </w:pPr>
      <w:r>
        <w:t>Effets indésirables</w:t>
      </w:r>
    </w:p>
    <w:p>
      <w:r/>
      <w:r>
        <w:rPr>
          <w:b/>
        </w:rPr>
        <w:t>Locaux ophtalmiques</w:t>
      </w:r>
      <w:r>
        <w:t xml:space="preserve"> :</w:t>
      </w:r>
    </w:p>
    <w:p>
      <w:pPr>
        <w:pStyle w:val="ListBullet"/>
      </w:pPr>
      <w:r/>
      <w:r>
        <w:rPr>
          <w:b/>
        </w:rPr>
        <w:t>Myosis</w:t>
      </w:r>
      <w:r>
        <w:t xml:space="preserve"> marqué (effet attendu, c'est l'effet thérapeutique recherché) — mais gêne fonctionnelle en basse luminosité (baisse de l'acuité visuelle nocturne, gêne à la lecture chez le sujet presbyte)</w:t>
      </w:r>
    </w:p>
    <w:p>
      <w:pPr>
        <w:pStyle w:val="ListBullet"/>
      </w:pPr>
      <w:r/>
      <w:r>
        <w:rPr>
          <w:b/>
        </w:rPr>
        <w:t>Spasme accommodatif</w:t>
      </w:r>
      <w:r>
        <w:t xml:space="preserve"> (effet attendu, lié à la contraction du muscle ciliaire) — céphalées sourcilières, frontales, surtout chez le jeune patient ; myopie transitoire (le patient devient temporairement myope)</w:t>
      </w:r>
    </w:p>
    <w:p>
      <w:pPr>
        <w:pStyle w:val="ListBullet"/>
      </w:pPr>
      <w:r/>
      <w:r>
        <w:rPr>
          <w:b/>
        </w:rPr>
        <w:t>Brûlure à l'instillation</w:t>
      </w:r>
      <w:r>
        <w:t xml:space="preserve"> (10-20 %)</w:t>
      </w:r>
    </w:p>
    <w:p>
      <w:pPr>
        <w:pStyle w:val="ListBullet"/>
      </w:pPr>
      <w:r/>
      <w:r>
        <w:rPr>
          <w:b/>
        </w:rPr>
        <w:t>Conjonctivite allergique</w:t>
      </w:r>
      <w:r>
        <w:t xml:space="preserve"> (5-10 %)</w:t>
      </w:r>
    </w:p>
    <w:p>
      <w:pPr>
        <w:pStyle w:val="ListBullet"/>
      </w:pPr>
      <w:r/>
      <w:r>
        <w:rPr>
          <w:b/>
        </w:rPr>
        <w:t>Kératite ponctuée superficielle</w:t>
      </w:r>
      <w:r>
        <w:t xml:space="preserve"> (3-5 %, BAK)</w:t>
      </w:r>
    </w:p>
    <w:p>
      <w:pPr>
        <w:pStyle w:val="ListBullet"/>
      </w:pPr>
      <w:r/>
      <w:r>
        <w:rPr>
          <w:b/>
        </w:rPr>
        <w:t>Blépharite, dermatite de contact palpébrale</w:t>
      </w:r>
      <w:r>
        <w:t xml:space="preserve"> (2-3 %)</w:t>
      </w:r>
    </w:p>
    <w:p>
      <w:pPr>
        <w:pStyle w:val="ListBullet"/>
      </w:pPr>
      <w:r/>
      <w:r>
        <w:rPr>
          <w:b/>
        </w:rPr>
        <w:t>Décollement rétinien</w:t>
      </w:r>
      <w:r>
        <w:t xml:space="preserve"> (rare, surtout chez le myope fort — mécanisme : traction vitréo-rétinienne par contraction ciliaire)</w:t>
      </w:r>
    </w:p>
    <w:p>
      <w:pPr>
        <w:pStyle w:val="ListBullet"/>
      </w:pPr>
      <w:r/>
      <w:r>
        <w:rPr>
          <w:b/>
        </w:rPr>
        <w:t>Décollement choroïdien</w:t>
      </w:r>
      <w:r>
        <w:t xml:space="preserve"> (rare)</w:t>
      </w:r>
    </w:p>
    <w:p>
      <w:pPr>
        <w:pStyle w:val="ListBullet"/>
      </w:pPr>
      <w:r/>
      <w:r>
        <w:rPr>
          <w:b/>
        </w:rPr>
        <w:t>Synechies irido-cristalliniennes postérieures</w:t>
      </w:r>
      <w:r>
        <w:t xml:space="preserve"> (en cas d'inflammation intraoculaire associée)</w:t>
      </w:r>
    </w:p>
    <w:p>
      <w:r/>
      <w:r>
        <w:rPr>
          <w:b/>
        </w:rPr>
        <w:t>Systémiques</w:t>
      </w:r>
      <w:r>
        <w:t xml:space="preserve"> (par absorption naso-lacrymale) :</w:t>
      </w:r>
    </w:p>
    <w:p>
      <w:pPr>
        <w:pStyle w:val="ListBullet"/>
      </w:pPr>
      <w:r/>
      <w:r>
        <w:rPr>
          <w:b/>
        </w:rPr>
        <w:t>Hypersudation</w:t>
      </w:r>
      <w:r>
        <w:t xml:space="preserve"> (très fréquente, 30-50 %, surtout en cas d'administration forte dose comme dans la crise aiguë)</w:t>
      </w:r>
    </w:p>
    <w:p>
      <w:pPr>
        <w:pStyle w:val="ListBullet"/>
      </w:pPr>
      <w:r/>
      <w:r>
        <w:rPr>
          <w:b/>
        </w:rPr>
        <w:t>Hypersialorrhée</w:t>
      </w:r>
      <w:r>
        <w:t xml:space="preserve"> (20-30 %)</w:t>
      </w:r>
    </w:p>
    <w:p>
      <w:pPr>
        <w:pStyle w:val="ListBullet"/>
      </w:pPr>
      <w:r/>
      <w:r>
        <w:rPr>
          <w:b/>
        </w:rPr>
        <w:t>Bradycardie</w:t>
      </w:r>
      <w:r>
        <w:t xml:space="preserve"> (10-20 %, parasympathomimétique)</w:t>
      </w:r>
    </w:p>
    <w:p>
      <w:pPr>
        <w:pStyle w:val="ListBullet"/>
      </w:pPr>
      <w:r/>
      <w:r>
        <w:rPr>
          <w:b/>
        </w:rPr>
        <w:t>Hypotension</w:t>
      </w:r>
      <w:r>
        <w:t xml:space="preserve"> (10-15 %)</w:t>
      </w:r>
    </w:p>
    <w:p>
      <w:pPr>
        <w:pStyle w:val="ListBullet"/>
      </w:pPr>
      <w:r/>
      <w:r>
        <w:rPr>
          <w:b/>
        </w:rPr>
        <w:t>Bronchospasme</w:t>
      </w:r>
      <w:r>
        <w:t xml:space="preserve"> (rare, surtout chez l'asthmatique)</w:t>
      </w:r>
    </w:p>
    <w:p>
      <w:pPr>
        <w:pStyle w:val="ListBullet"/>
      </w:pPr>
      <w:r/>
      <w:r>
        <w:rPr>
          <w:b/>
        </w:rPr>
        <w:t>Nausées, vomissements, diarrhée</w:t>
      </w:r>
      <w:r>
        <w:t xml:space="preserve"> (10-20 %, parasympathomimétique digestif)</w:t>
      </w:r>
    </w:p>
    <w:p>
      <w:pPr>
        <w:pStyle w:val="ListBullet"/>
      </w:pPr>
      <w:r/>
      <w:r>
        <w:rPr>
          <w:b/>
        </w:rPr>
        <w:t>Céphalées</w:t>
      </w:r>
      <w:r>
        <w:t xml:space="preserve"> (très fréquentes, en raison du spasme accommodatif)</w:t>
      </w:r>
    </w:p>
    <w:p>
      <w:pPr>
        <w:pStyle w:val="ListBullet"/>
      </w:pPr>
      <w:r/>
      <w:r>
        <w:rPr>
          <w:b/>
        </w:rPr>
        <w:t>Astéknisation, fatigue</w:t>
      </w:r>
      <w:r>
        <w:t xml:space="preserve"> (10-15 %)</w:t>
      </w:r>
    </w:p>
    <w:p>
      <w:pPr>
        <w:pStyle w:val="ListBullet"/>
      </w:pPr>
      <w:r/>
      <w:r>
        <w:rPr>
          <w:b/>
        </w:rPr>
        <w:t>Bronchorrhée</w:t>
      </w:r>
      <w:r>
        <w:t xml:space="preserve"> (rare)</w:t>
      </w:r>
    </w:p>
    <w:p>
      <w:pPr>
        <w:pStyle w:val="Heading3"/>
      </w:pPr>
      <w:r>
        <w:t>141.21.5 Prévention et gestion des effets indésirables</w:t>
      </w:r>
    </w:p>
    <w:p>
      <w:pPr>
        <w:pStyle w:val="ListNumber"/>
      </w:pPr>
      <w:r/>
      <w:r>
        <w:rPr>
          <w:b/>
        </w:rPr>
        <w:t>Fond d'œil systématique avant initiation</w:t>
      </w:r>
      <w:r>
        <w:t xml:space="preserve"> : vérifier l'absence de décollement rétinien, de lésions vitréo-rétiniennes périphériques, en particulier chez le myope fort</w:t>
      </w:r>
    </w:p>
    <w:p>
      <w:pPr>
        <w:pStyle w:val="ListNumber"/>
      </w:pPr>
      <w:r/>
      <w:r>
        <w:rPr>
          <w:b/>
        </w:rPr>
        <w:t>Prévention du spasme accommodatif</w:t>
      </w:r>
      <w:r>
        <w:t xml:space="preserve"> : informer le patient de la possibilité de céphalées sourcilières et de myopie transitoire ; favoriser la surveillance en début de traitement ; envisager un verre correcteur en lecture si besoin</w:t>
      </w:r>
    </w:p>
    <w:p>
      <w:pPr>
        <w:pStyle w:val="ListNumber"/>
      </w:pPr>
      <w:r/>
      <w:r>
        <w:rPr>
          <w:b/>
        </w:rPr>
        <w:t>Prévention de la gêne nocturne</w:t>
      </w:r>
      <w:r>
        <w:t xml:space="preserve"> : informer le patient de la baisse d'acuité visuelle en basse luminosité ; recommander un éclairage suffisant pour la lecture, l'écriture, la conduite nocturne (à éviter si possible)</w:t>
      </w:r>
    </w:p>
    <w:p>
      <w:pPr>
        <w:pStyle w:val="ListNumber"/>
      </w:pPr>
      <w:r/>
      <w:r>
        <w:rPr>
          <w:b/>
        </w:rPr>
        <w:t>Occlusion naso-lacrymale</w:t>
      </w:r>
      <w:r>
        <w:t xml:space="preserve"> : pression digitale du canthus interne pendant 1-2 minutes après instillation pour réduire la résorption systémique</w:t>
      </w:r>
    </w:p>
    <w:p>
      <w:pPr>
        <w:pStyle w:val="ListNumber"/>
      </w:pPr>
      <w:r/>
      <w:r>
        <w:rPr>
          <w:b/>
        </w:rPr>
        <w:t>Surveillance cardiorespiratoire</w:t>
      </w:r>
      <w:r>
        <w:t xml:space="preserve"> : chez le sujet âgé, l'asthmatique, le cardiaque — fréquence cardiaque, auscultation pulmonaire</w:t>
      </w:r>
    </w:p>
    <w:p>
      <w:pPr>
        <w:pStyle w:val="ListNumber"/>
      </w:pPr>
      <w:r/>
      <w:r>
        <w:rPr>
          <w:b/>
        </w:rPr>
        <w:t>Surveillance ophtalmologique</w:t>
      </w:r>
      <w:r>
        <w:t xml:space="preserve"> : fond d'œil à 4-6 semaines (vérifier l'absence de décollement rétinien), examen à la lampe fente (vérifier l'absence de synechies), tonus à 1 semaine, puis tous les 3-6 mois</w:t>
      </w:r>
    </w:p>
    <w:p>
      <w:pPr>
        <w:pStyle w:val="ListNumber"/>
      </w:pPr>
      <w:r/>
      <w:r>
        <w:rPr>
          <w:b/>
        </w:rPr>
        <w:t>Information du patient</w:t>
      </w:r>
      <w:r>
        <w:t xml:space="preserve"> : signaler le myosis, le spasme accommodatif, l'hypersudation comme effets attendus et banaux ; signaler en urgence les signes d'alerte (myodésopsie, photophobie, baisse d'acuité visuelle brutale, douleur oculaire, scotome)</w:t>
      </w:r>
    </w:p>
    <w:p>
      <w:pPr>
        <w:pStyle w:val="ListNumber"/>
      </w:pPr>
      <w:r/>
      <w:r>
        <w:rPr>
          <w:b/>
        </w:rPr>
        <w:t>En cas d'effet systémique marqué</w:t>
      </w:r>
      <w:r>
        <w:t xml:space="preserve"> (hypersudation, bradycardie, bronchospasme) : arrêt transitoire, occlusion naso-lacrymale renforcée, voire atropine en urgence (antidote parasympatholytique)</w:t>
      </w:r>
    </w:p>
    <w:p>
      <w:pPr>
        <w:pStyle w:val="ListNumber"/>
      </w:pPr>
      <w:r/>
      <w:r>
        <w:rPr>
          <w:b/>
        </w:rPr>
        <w:t>Patient asthmatique</w:t>
      </w:r>
      <w:r>
        <w:t xml:space="preserve"> : prudence accrue, surveillance respiratoire ; préférer une autre classe si possible</w:t>
      </w:r>
    </w:p>
    <w:p>
      <w:pPr>
        <w:pStyle w:val="ListNumber"/>
      </w:pPr>
      <w:r/>
      <w:r>
        <w:rPr>
          <w:b/>
        </w:rPr>
        <w:t>Patient myope fort</w:t>
      </w:r>
      <w:r>
        <w:t xml:space="preserve"> : CI relative — vérifier le fond d'œil avant initiation</w:t>
      </w:r>
    </w:p>
    <w:p>
      <w:pPr>
        <w:pStyle w:val="Heading3"/>
      </w:pPr>
      <w:r>
        <w:t>141.21.6 Interactions médicamenteuses</w:t>
      </w:r>
    </w:p>
    <w:p>
      <w:pPr>
        <w:pStyle w:val="ListBullet"/>
      </w:pPr>
      <w:r/>
      <w:r>
        <w:rPr>
          <w:b/>
        </w:rPr>
        <w:t>Associations contre-indiquées</w:t>
      </w:r>
      <w:r>
        <w:t xml:space="preserve"> :</w:t>
      </w:r>
    </w:p>
    <w:p>
      <w:pPr>
        <w:pStyle w:val="ListBullet"/>
      </w:pPr>
      <w:r>
        <w:t>Parasympatholytiques topiques (atropine, tropicamide, homatropine, cyclopentolate) : antagonisme pharmacologique (effet mydriatique vs myotique)</w:t>
      </w:r>
    </w:p>
    <w:p>
      <w:pPr>
        <w:pStyle w:val="ListBullet"/>
      </w:pPr>
      <w:r>
        <w:t>Anticholinergiques systémiques (atropine, scopolamine, trihexyphénidyle, bipéridène) : antagonisme</w:t>
      </w:r>
    </w:p>
    <w:p>
      <w:pPr>
        <w:pStyle w:val="ListBullet"/>
      </w:pPr>
      <w:r/>
      <w:r>
        <w:rPr>
          <w:b/>
        </w:rPr>
        <w:t>Associations déconseillées</w:t>
      </w:r>
      <w:r>
        <w:t xml:space="preserve"> :</w:t>
      </w:r>
    </w:p>
    <w:p>
      <w:pPr>
        <w:pStyle w:val="ListBullet"/>
      </w:pPr>
      <w:r>
        <w:t>β-bloquants topiques (timolol, bétaxolol, cartéolol) : bradycardie additive (la pilocarpine parasympathomimétique et le timolol bradycardisant potentialisent leurs effets)</w:t>
      </w:r>
    </w:p>
    <w:p>
      <w:pPr>
        <w:pStyle w:val="ListBullet"/>
      </w:pPr>
      <w:r>
        <w:t>Inhibiteurs calciques bradycardisants (vérapamil, diltiazem) : bradycardie additive</w:t>
      </w:r>
    </w:p>
    <w:p>
      <w:pPr>
        <w:pStyle w:val="ListBullet"/>
      </w:pPr>
      <w:r>
        <w:t>Digitaliques : bradycardie additive</w:t>
      </w:r>
    </w:p>
    <w:p>
      <w:pPr>
        <w:pStyle w:val="ListBullet"/>
      </w:pPr>
      <w:r/>
      <w:r>
        <w:rPr>
          <w:b/>
        </w:rPr>
        <w:t>Associations nécessitant des précautions</w:t>
      </w:r>
      <w:r>
        <w:t xml:space="preserve"> :</w:t>
      </w:r>
    </w:p>
    <w:p>
      <w:pPr>
        <w:pStyle w:val="ListBullet"/>
      </w:pPr>
      <w:r>
        <w:t>Inhibiteurs de la cholinestérase (néostigmine, pyridostigmine, distigmine) : potentialisation de l'effet parasymphathomimétique (risque de cholinergique toxique)</w:t>
      </w:r>
    </w:p>
    <w:p>
      <w:pPr>
        <w:pStyle w:val="ListBullet"/>
      </w:pPr>
      <w:r>
        <w:t>Succinylcholine (anesthésie) : potentialisation de la curarisation (la pilocarpine inhibe faiblement les cholinestérases plasmatiques)</w:t>
      </w:r>
    </w:p>
    <w:p>
      <w:pPr>
        <w:pStyle w:val="ListBullet"/>
      </w:pPr>
      <w:r>
        <w:t>Antidépresseurs tricycliques : antagonisme (effet anticholinergique)</w:t>
      </w:r>
    </w:p>
    <w:p>
      <w:pPr>
        <w:pStyle w:val="ListBullet"/>
      </w:pPr>
      <w:r/>
      <w:r>
        <w:rPr>
          <w:b/>
        </w:rPr>
        <w:t>Associations physiquement incompatibles</w:t>
      </w:r>
      <w:r>
        <w:t xml:space="preserve"> : pas de mélange dans le même flacon</w:t>
      </w:r>
    </w:p>
    <w:p>
      <w:pPr>
        <w:pStyle w:val="ListBullet"/>
      </w:pPr>
      <w:r/>
      <w:r>
        <w:rPr>
          <w:b/>
        </w:rPr>
        <w:t>Associations à espacer</w:t>
      </w:r>
      <w:r>
        <w:t xml:space="preserve"> : tout collyre instillé dans le même œil doit l'être à au moins 5 minutes d'intervalle</w:t>
      </w:r>
    </w:p>
    <w:p>
      <w:pPr>
        <w:pStyle w:val="Heading3"/>
      </w:pPr>
      <w:r>
        <w:t>141.21.7 Grossesse et allaitement (CRAT)</w:t>
      </w:r>
    </w:p>
    <w:p>
      <w:pPr>
        <w:pStyle w:val="ListBullet"/>
      </w:pPr>
      <w:r/>
      <w:r>
        <w:rPr>
          <w:b/>
        </w:rPr>
        <w:t>Grossesse</w:t>
      </w:r>
      <w:r>
        <w:t xml:space="preserve"> :</w:t>
      </w:r>
    </w:p>
    <w:p>
      <w:pPr>
        <w:pStyle w:val="ListBullet"/>
      </w:pPr>
      <w:r>
        <w:t>La pilocarpine est un parasympathomimétique — effet théorique sur le tonus utérin (contraction utérine possible)</w:t>
      </w:r>
    </w:p>
    <w:p>
      <w:pPr>
        <w:pStyle w:val="ListBullet"/>
      </w:pPr>
      <w:r/>
      <w:r>
        <w:rPr>
          <w:b/>
        </w:rPr>
        <w:t>Données animales</w:t>
      </w:r>
      <w:r>
        <w:t xml:space="preserve"> : pas de tératogénicité majeure, mais embryotoxicité à doses supra-thérapeutiques</w:t>
      </w:r>
    </w:p>
    <w:p>
      <w:pPr>
        <w:pStyle w:val="ListBullet"/>
      </w:pPr>
      <w:r/>
      <w:r>
        <w:rPr>
          <w:b/>
        </w:rPr>
        <w:t>Données humaines</w:t>
      </w:r>
      <w:r>
        <w:t xml:space="preserve"> : cas isolés rapportés sans malformation majeure, mais données limitées</w:t>
      </w:r>
    </w:p>
    <w:p>
      <w:pPr>
        <w:pStyle w:val="ListBullet"/>
      </w:pPr>
      <w:r/>
      <w:r>
        <w:rPr>
          <w:b/>
        </w:rPr>
        <w:t>Recommandation CRAT</w:t>
      </w:r>
      <w:r>
        <w:t xml:space="preserve"> : à éviter pendant la grossesse par prudence (parasympathomimétique) ; en cas de crise aiguë de glaucome par fermeture d'angle chez la femme enceinte, discuter cas par cas ; préférer l'acétazolamide oral (à éviter également, maisalternative en urgence) et l'iridotomie au laser (préférable car traitement définitif)</w:t>
      </w:r>
    </w:p>
    <w:p>
      <w:pPr>
        <w:pStyle w:val="ListBullet"/>
      </w:pPr>
      <w:r>
        <w:t>En cas d'exposition au 1er trimestre, signaler à la pharmacovigilance et surveiller échographique</w:t>
      </w:r>
    </w:p>
    <w:p>
      <w:pPr>
        <w:pStyle w:val="ListBullet"/>
      </w:pPr>
      <w:r/>
      <w:r>
        <w:rPr>
          <w:b/>
        </w:rPr>
        <w:t>Allaitement</w:t>
      </w:r>
      <w:r>
        <w:t xml:space="preserve"> :</w:t>
      </w:r>
    </w:p>
    <w:p>
      <w:pPr>
        <w:pStyle w:val="ListBullet"/>
      </w:pPr>
      <w:r>
        <w:t>La pilocarpine passe dans le lait maternel (rapport lait/plasma ≈ 1-2)</w:t>
      </w:r>
    </w:p>
    <w:p>
      <w:pPr>
        <w:pStyle w:val="ListBullet"/>
      </w:pPr>
      <w:r>
        <w:t>Cas rapportés d'hypersudation, hypersialorrhée, bradycardie, diarrhée chez le nourrisson allaité</w:t>
      </w:r>
    </w:p>
    <w:p>
      <w:pPr>
        <w:pStyle w:val="ListBullet"/>
      </w:pPr>
      <w:r/>
      <w:r>
        <w:rPr>
          <w:b/>
        </w:rPr>
        <w:t>Recommandation CRAT</w:t>
      </w:r>
      <w:r>
        <w:t xml:space="preserve"> : à éviter pendant l'allaitement par prudence ; si traitement indispensable (crise aiguë), suspendre l'allaitement pendant le traitement (48-72 heures) et reprendre après arrêt</w:t>
      </w:r>
    </w:p>
    <w:p>
      <w:pPr>
        <w:pStyle w:val="Heading3"/>
      </w:pPr>
      <w:r>
        <w:t>141.21.8 Posologie</w:t>
      </w:r>
    </w:p>
    <w:p>
      <w:pPr>
        <w:pStyle w:val="ListBullet"/>
      </w:pPr>
      <w:r/>
      <w:r>
        <w:rPr>
          <w:b/>
        </w:rPr>
        <w:t>Adulte</w:t>
      </w:r>
      <w:r>
        <w:t xml:space="preserve"> :</w:t>
      </w:r>
    </w:p>
    <w:p>
      <w:pPr>
        <w:pStyle w:val="ListBullet"/>
      </w:pPr>
      <w:r/>
      <w:r>
        <w:rPr>
          <w:b/>
        </w:rPr>
        <w:t>Crise aiguë de glaucome par fermeture d'angle (CAGFA)</w:t>
      </w:r>
      <w:r>
        <w:t xml:space="preserve"> : 1 goutte de pilocarpine 2 % toutes les 15 minutes pendant 1 heure (4 instillations), puis toutes les heures pendant 4 heures, puis 4 fois par jour jusqu'à l'iridotomie au laser</w:t>
      </w:r>
    </w:p>
    <w:p>
      <w:pPr>
        <w:pStyle w:val="ListBullet"/>
      </w:pPr>
      <w:r/>
      <w:r>
        <w:rPr>
          <w:b/>
        </w:rPr>
        <w:t>Glaucome chronique par fermeture d'angle</w:t>
      </w:r>
      <w:r>
        <w:t xml:space="preserve"> : 1 goutte de pilocarpine 1 % ou 2 % dans l'œil atteint, 3 à 4 fois par jour</w:t>
      </w:r>
    </w:p>
    <w:p>
      <w:pPr>
        <w:pStyle w:val="ListBullet"/>
      </w:pPr>
      <w:r/>
      <w:r>
        <w:rPr>
          <w:b/>
        </w:rPr>
        <w:t>Glaucome pigmentaire</w:t>
      </w:r>
      <w:r>
        <w:t xml:space="preserve"> : 1 goutte de pilocarpine 1 % dans l'œil atteint, 2 à 4 fois par jour</w:t>
      </w:r>
    </w:p>
    <w:p>
      <w:pPr>
        <w:pStyle w:val="ListBullet"/>
      </w:pPr>
      <w:r/>
      <w:r>
        <w:rPr>
          <w:b/>
        </w:rPr>
        <w:t>Glaucome par bloc pupillaire</w:t>
      </w:r>
      <w:r>
        <w:t xml:space="preserve"> : 1 goutte de pilocarpine 2 % × 4 fois/jour jusqu'à l'iridotomie au laser</w:t>
      </w:r>
    </w:p>
    <w:p>
      <w:pPr>
        <w:pStyle w:val="ListBullet"/>
      </w:pPr>
      <w:r/>
      <w:r>
        <w:rPr>
          <w:b/>
        </w:rPr>
        <w:t>Mode d'administration</w:t>
      </w:r>
      <w:r>
        <w:t xml:space="preserve"> : instillation oculaire, occlusion naso-lacrymale pendant 1-2 minutes après chaque instillation</w:t>
      </w:r>
    </w:p>
    <w:p>
      <w:pPr>
        <w:pStyle w:val="ListBullet"/>
      </w:pPr>
      <w:r/>
      <w:r>
        <w:rPr>
          <w:b/>
        </w:rPr>
        <w:t>Oubli de dose</w:t>
      </w:r>
      <w:r>
        <w:t xml:space="preserve"> : si &lt; 1 heure, instiller ; sinon, sauter la dose</w:t>
      </w:r>
    </w:p>
    <w:p>
      <w:pPr>
        <w:pStyle w:val="ListBullet"/>
      </w:pPr>
      <w:r/>
      <w:r>
        <w:rPr>
          <w:b/>
        </w:rPr>
        <w:t>Sujet âgé</w:t>
      </w:r>
      <w:r>
        <w:t xml:space="preserve"> : commencer par 1 % × 2/jour, surveillance cardiorespiratoire</w:t>
      </w:r>
    </w:p>
    <w:p>
      <w:pPr>
        <w:pStyle w:val="ListBullet"/>
      </w:pPr>
      <w:r/>
      <w:r>
        <w:rPr>
          <w:b/>
        </w:rPr>
        <w:t>Enfant</w:t>
      </w:r>
      <w:r>
        <w:t xml:space="preserve"> : hors AMM, en milieu spécialisé (1 % × 1-2/jour selon poids et âge)</w:t>
      </w:r>
    </w:p>
    <w:p>
      <w:pPr>
        <w:pStyle w:val="ListBullet"/>
      </w:pPr>
      <w:r/>
      <w:r>
        <w:rPr>
          <w:b/>
        </w:rPr>
        <w:t>Lentilles de contact</w:t>
      </w:r>
      <w:r>
        <w:t xml:space="preserve"> : retirer avant instillation, attendre 15 minutes avant remise (BAK)</w:t>
      </w:r>
    </w:p>
    <w:p>
      <w:pPr>
        <w:pStyle w:val="ListBullet"/>
      </w:pPr>
      <w:r/>
      <w:r>
        <w:rPr>
          <w:b/>
        </w:rPr>
        <w:t>Durée</w:t>
      </w:r>
      <w:r>
        <w:t xml:space="preserve"> : chronique pour le glaucome chronique par fermeture d'angle ; courte durée (quelques jours) pour la crise aiguë en attendant l'iridotomie au laser</w:t>
      </w:r>
    </w:p>
    <w:p>
      <w:pPr>
        <w:pStyle w:val="Heading3"/>
      </w:pPr>
      <w:r>
        <w:t>141.21.9 Formes galéniques et arbitrage</w:t>
      </w:r>
    </w:p>
    <w:p>
      <w:r>
        <w:t>Deux dosages disponibles en Algérie :</w:t>
      </w:r>
    </w:p>
    <w:p>
      <w:pPr>
        <w:pStyle w:val="ListNumber"/>
      </w:pPr>
      <w:r/>
      <w:r>
        <w:rPr>
          <w:b/>
        </w:rPr>
        <w:t>Collyre 1 % (10 mg/mL)</w:t>
      </w:r>
      <w:r>
        <w:t xml:space="preserve"> :</w:t>
      </w:r>
    </w:p>
    <w:p>
      <w:pPr>
        <w:pStyle w:val="ListBullet"/>
      </w:pPr>
      <w:r>
        <w:t>APICARPIN 1 % (Amman Pharmaceutical) et PILO 1 (Chauvin) — actifs en Algérie</w:t>
      </w:r>
    </w:p>
    <w:p>
      <w:pPr>
        <w:pStyle w:val="ListBullet"/>
      </w:pPr>
      <w:r>
        <w:t>ISOPTO-PILOCARPINE 1 % (Alcon) — RETRAIT</w:t>
      </w:r>
    </w:p>
    <w:p>
      <w:pPr>
        <w:pStyle w:val="ListBullet"/>
      </w:pPr>
      <w:r>
        <w:t>PILOCARPINE 1 % (CIBA Vision) — RETRAIT</w:t>
      </w:r>
    </w:p>
    <w:p>
      <w:pPr>
        <w:pStyle w:val="ListBullet"/>
      </w:pPr>
      <w:r>
        <w:t>Conservation : 1 mois après ouverture (≤ 25 °C, à l'abri de la lumière)</w:t>
      </w:r>
    </w:p>
    <w:p>
      <w:pPr>
        <w:pStyle w:val="ListBullet"/>
      </w:pPr>
      <w:r>
        <w:t>Conservateur : chlorure de benzalkonium (BAK)</w:t>
      </w:r>
    </w:p>
    <w:p>
      <w:pPr>
        <w:pStyle w:val="ListBullet"/>
      </w:pPr>
      <w:r>
        <w:t>Coût : 250-400 DA/mois</w:t>
      </w:r>
    </w:p>
    <w:p>
      <w:pPr>
        <w:pStyle w:val="ListBullet"/>
      </w:pPr>
      <w:r>
        <w:t>Indications : glaucome pigmentaire, glaucome chronique par fermeture d'angle, sujet âgé fragile</w:t>
      </w:r>
    </w:p>
    <w:p>
      <w:pPr>
        <w:pStyle w:val="ListNumber"/>
      </w:pPr>
      <w:r/>
      <w:r>
        <w:rPr>
          <w:b/>
        </w:rPr>
        <w:t>Collyre 2 % (20 mg/mL)</w:t>
      </w:r>
      <w:r>
        <w:t xml:space="preserve"> :</w:t>
      </w:r>
    </w:p>
    <w:p>
      <w:pPr>
        <w:pStyle w:val="ListBullet"/>
      </w:pPr>
      <w:r>
        <w:t>APICARPIN 2 % (Amman Pharmaceutical) — actif en Algérie</w:t>
      </w:r>
    </w:p>
    <w:p>
      <w:pPr>
        <w:pStyle w:val="ListBullet"/>
      </w:pPr>
      <w:r>
        <w:t>PILO 2 (Chauvin) — RETRAIT</w:t>
      </w:r>
    </w:p>
    <w:p>
      <w:pPr>
        <w:pStyle w:val="ListBullet"/>
      </w:pPr>
      <w:r>
        <w:t>ISOPTO-PILOCARPINE 2 % (Alcon) — RETRAIT</w:t>
      </w:r>
    </w:p>
    <w:p>
      <w:pPr>
        <w:pStyle w:val="ListBullet"/>
      </w:pPr>
      <w:r>
        <w:t>PILOCARPINE 2 % (CIBA Vision) — RETRAIT</w:t>
      </w:r>
    </w:p>
    <w:p>
      <w:pPr>
        <w:pStyle w:val="ListBullet"/>
      </w:pPr>
      <w:r>
        <w:t>Conservation : 1 mois après ouverture (≤ 25 °C, à l'abri de la lumière)</w:t>
      </w:r>
    </w:p>
    <w:p>
      <w:pPr>
        <w:pStyle w:val="ListBullet"/>
      </w:pPr>
      <w:r>
        <w:t>Conservateur : chlorure de benzalkonium (BAK)</w:t>
      </w:r>
    </w:p>
    <w:p>
      <w:pPr>
        <w:pStyle w:val="ListBullet"/>
      </w:pPr>
      <w:r>
        <w:t>Coût : 250-400 DA/mois</w:t>
      </w:r>
    </w:p>
    <w:p>
      <w:pPr>
        <w:pStyle w:val="ListBullet"/>
      </w:pPr>
      <w:r>
        <w:t>Indications : crise aiguë de glaucome par fermeture d'angle, glaucome par bloc pupillaire</w:t>
      </w:r>
    </w:p>
    <w:p>
      <w:r>
        <w:t>Aucune forme sans conservateur n'est disponible en Algérie pour la pilocarpine. En cas d'intolérance au BAK, se tourner vers une autre classe (latanoprost en unidoses sans conservateur Monoprost® Thea, ou timolol en gel sans conservateur Geltim LP®).</w:t>
      </w:r>
    </w:p>
    <w:p>
      <w:r>
        <w:t>L'arbitrage entre 1 % et 2 % repose sur l'indication :</w:t>
      </w:r>
    </w:p>
    <w:p>
      <w:pPr>
        <w:pStyle w:val="ListBullet"/>
      </w:pPr>
      <w:r/>
      <w:r>
        <w:rPr>
          <w:b/>
        </w:rPr>
        <w:t>Crise aiguë</w:t>
      </w:r>
      <w:r>
        <w:t xml:space="preserve"> (urgence) : 2 % (concentration maximale pour effet rapide et puissant)</w:t>
      </w:r>
    </w:p>
    <w:p>
      <w:pPr>
        <w:pStyle w:val="ListBullet"/>
      </w:pPr>
      <w:r/>
      <w:r>
        <w:rPr>
          <w:b/>
        </w:rPr>
        <w:t>Glaucome chronique</w:t>
      </w:r>
      <w:r>
        <w:t xml:space="preserve"> : 1 % (concentration modérée, mieux tolérée, surveillance rapprochée)</w:t>
      </w:r>
    </w:p>
    <w:p>
      <w:r>
        <w:t>L'ancienne spécialité PILOLOL® (pilocarpine 1 % + timolol 0,5 %, association fixe) est retirée du marché algérien — en cas de nécessité d'une bithérapie pilocarpine + timolol, prescrire les deux collyres séparément en respectant un espacement de 5 minutes entre les instillations.</w:t>
      </w:r>
    </w:p>
    <w:p>
      <w:pPr>
        <w:pStyle w:val="Heading3"/>
      </w:pPr>
      <w:r>
        <w:t>141.21.10 Instructions et conseils au patient</w:t>
      </w:r>
    </w:p>
    <w:p>
      <w:pPr>
        <w:pStyle w:val="ListNumber"/>
      </w:pPr>
      <w:r/>
      <w:r>
        <w:rPr>
          <w:b/>
        </w:rPr>
        <w:t>Technique d'instillation</w:t>
      </w:r>
      <w:r>
        <w:t xml:space="preserve"> : identique aux autres collyres (lavage des mains, bascule de la tête, gouttière palpébrale, 1 goutte, occlusion naso-lacrymale 1-2 minutes, essuyage de l'excédent)</w:t>
      </w:r>
    </w:p>
    <w:p>
      <w:pPr>
        <w:pStyle w:val="ListNumber"/>
      </w:pPr>
      <w:r/>
      <w:r>
        <w:rPr>
          <w:b/>
        </w:rPr>
        <w:t>Fréquence</w:t>
      </w:r>
      <w:r>
        <w:t xml:space="preserve"> : selon l'indication — crise aiguë : protocole d'attaque toutes les 15 minutes pendant 1 heure, puis toutes les heures pendant 4 heures, puis 4 fois/jour ; glaucome chronique : 3 à 4 fois/jour à heure fixe</w:t>
      </w:r>
    </w:p>
    <w:p>
      <w:pPr>
        <w:pStyle w:val="ListNumber"/>
      </w:pPr>
      <w:r/>
      <w:r>
        <w:rPr>
          <w:b/>
        </w:rPr>
        <w:t>Myosis</w:t>
      </w:r>
      <w:r>
        <w:t xml:space="preserve"> : effet attendu, c'est l'effet thérapeutique — la pupille se rétrécit, gêne possible en basse luminosité</w:t>
      </w:r>
    </w:p>
    <w:p>
      <w:pPr>
        <w:pStyle w:val="ListNumber"/>
      </w:pPr>
      <w:r/>
      <w:r>
        <w:rPr>
          <w:b/>
        </w:rPr>
        <w:t>Spasme accommodatif</w:t>
      </w:r>
      <w:r>
        <w:t xml:space="preserve"> : effet attendu, céphalées sourcilières, myopie transitoire — signaler au patient, prévoir une surveillance en début de traitement</w:t>
      </w:r>
    </w:p>
    <w:p>
      <w:pPr>
        <w:pStyle w:val="ListNumber"/>
      </w:pPr>
      <w:r/>
      <w:r>
        <w:rPr>
          <w:b/>
        </w:rPr>
        <w:t>Gêne nocturne</w:t>
      </w:r>
      <w:r>
        <w:t xml:space="preserve"> : éviter la conduite nocturne en début de traitement ; prévoir un éclairage suffisant pour la lecture</w:t>
      </w:r>
    </w:p>
    <w:p>
      <w:pPr>
        <w:pStyle w:val="ListNumber"/>
      </w:pPr>
      <w:r/>
      <w:r>
        <w:rPr>
          <w:b/>
        </w:rPr>
        <w:t>Hypersudation</w:t>
      </w:r>
      <w:r>
        <w:t xml:space="preserve"> : effet attendu en cas de dose forte (crise aiguë), banal, transitoire</w:t>
      </w:r>
    </w:p>
    <w:p>
      <w:pPr>
        <w:pStyle w:val="ListNumber"/>
      </w:pPr>
      <w:r/>
      <w:r>
        <w:rPr>
          <w:b/>
        </w:rPr>
        <w:t>Surveillance cardiorespiratoire</w:t>
      </w:r>
      <w:r>
        <w:t xml:space="preserve"> : chez le sujet âgé, l'asthmatique, le cardiaque — fréquence cardiaque, auscultation pulmonaire</w:t>
      </w:r>
    </w:p>
    <w:p>
      <w:pPr>
        <w:pStyle w:val="ListNumber"/>
      </w:pPr>
      <w:r/>
      <w:r>
        <w:rPr>
          <w:b/>
        </w:rPr>
        <w:t>Surveillance ophtalmologique</w:t>
      </w:r>
      <w:r>
        <w:t xml:space="preserve"> : fond d'œil à 4-6 semaines, examen à la lampe fente, tonus à 1 semaine</w:t>
      </w:r>
    </w:p>
    <w:p>
      <w:pPr>
        <w:pStyle w:val="ListNumber"/>
      </w:pPr>
      <w:r/>
      <w:r>
        <w:rPr>
          <w:b/>
        </w:rPr>
        <w:t>Oubli de dose</w:t>
      </w:r>
      <w:r>
        <w:t xml:space="preserve"> : si &lt; 1 heure, instiller ; sinon, sauter la dose</w:t>
      </w:r>
    </w:p>
    <w:p>
      <w:pPr>
        <w:pStyle w:val="ListNumber"/>
      </w:pPr>
      <w:r/>
      <w:r>
        <w:rPr>
          <w:b/>
        </w:rPr>
        <w:t>Hygiène du flacon</w:t>
      </w:r>
      <w:r>
        <w:t xml:space="preserve"> : inscrire la date d'ouverture sur le flacon ; jeter 1 mois après ouverture ; ne pas toucher l'embout</w:t>
      </w:r>
    </w:p>
    <w:p>
      <w:pPr>
        <w:pStyle w:val="ListNumber"/>
      </w:pPr>
      <w:r/>
      <w:r>
        <w:rPr>
          <w:b/>
        </w:rPr>
        <w:t>Lentilles de contact</w:t>
      </w:r>
      <w:r>
        <w:t xml:space="preserve"> : retirer avant instillation, attendre 15 minutes avant remise</w:t>
      </w:r>
    </w:p>
    <w:p>
      <w:pPr>
        <w:pStyle w:val="ListNumber"/>
      </w:pPr>
      <w:r/>
      <w:r>
        <w:rPr>
          <w:b/>
        </w:rPr>
        <w:t>Grossesse et allaitement</w:t>
      </w:r>
      <w:r>
        <w:t xml:space="preserve"> : à éviter absolument</w:t>
      </w:r>
    </w:p>
    <w:p>
      <w:pPr>
        <w:pStyle w:val="ListNumber"/>
      </w:pPr>
      <w:r/>
      <w:r>
        <w:rPr>
          <w:b/>
        </w:rPr>
        <w:t>Patient asthmatique</w:t>
      </w:r>
      <w:r>
        <w:t xml:space="preserve"> : prudence, surveillance respiratoire</w:t>
      </w:r>
    </w:p>
    <w:p>
      <w:pPr>
        <w:pStyle w:val="ListNumber"/>
      </w:pPr>
      <w:r/>
      <w:r>
        <w:rPr>
          <w:b/>
        </w:rPr>
        <w:t>Patient myope fort</w:t>
      </w:r>
      <w:r>
        <w:t xml:space="preserve"> : signaler au prescripteur — vérifier le fond d'œil avant initiation (risque de décollement rétinien)</w:t>
      </w:r>
    </w:p>
    <w:p>
      <w:pPr>
        <w:pStyle w:val="ListNumber"/>
      </w:pPr>
      <w:r/>
      <w:r>
        <w:rPr>
          <w:b/>
        </w:rPr>
        <w:t>Signaux d'alerte</w:t>
      </w:r>
      <w:r>
        <w:t xml:space="preserve"> : myodésopsie, photophobie, baisse d'acuité visuelle brutale, douleur oculaire, scotome — consulter en urgence (décollement rétinien possible)</w:t>
      </w:r>
    </w:p>
    <w:p>
      <w:pPr>
        <w:pStyle w:val="Heading3"/>
      </w:pPr>
      <w:r>
        <w:t>141.21.11 Pièges au comptoir</w:t>
      </w:r>
    </w:p>
    <w:p>
      <w:pPr>
        <w:pStyle w:val="ListBullet"/>
      </w:pPr>
      <w:r/>
      <w:r>
        <w:rPr>
          <w:b/>
        </w:rPr>
        <w:t>Crise aiguë de glaucome par fermeture d'angle</w:t>
      </w:r>
      <w:r>
        <w:t xml:space="preserve"> : urgence ophtalmologique — orienter vers un service d'ophtalmologie hospitalier en urgence ; le traitement médical (pilocarpine, acétazolamide, mannitol) n'est qu'une temporisation en attendant l'iridotomie au laser</w:t>
      </w:r>
    </w:p>
    <w:p>
      <w:pPr>
        <w:pStyle w:val="ListBullet"/>
      </w:pPr>
      <w:r/>
      <w:r>
        <w:rPr>
          <w:b/>
        </w:rPr>
        <w:t>PIO très élevée (&gt; 50 mmHg) en phase initiale</w:t>
      </w:r>
      <w:r>
        <w:t xml:space="preserve"> : le sphincter irien est ischémique et ne répond pas à la pilocarpine — il faut d'abord faire baisser la PIO par acétazolamide et mannitol ; la pilocarpine sera instillée après la 2ème-4ème heure</w:t>
      </w:r>
    </w:p>
    <w:p>
      <w:pPr>
        <w:pStyle w:val="ListBullet"/>
      </w:pPr>
      <w:r/>
      <w:r>
        <w:rPr>
          <w:b/>
        </w:rPr>
        <w:t>Patient myope fort</w:t>
      </w:r>
      <w:r>
        <w:t xml:space="preserve"> : signaler au prescripteur — CI relative (risque de décollement rétinien)</w:t>
      </w:r>
    </w:p>
    <w:p>
      <w:pPr>
        <w:pStyle w:val="ListBullet"/>
      </w:pPr>
      <w:r/>
      <w:r>
        <w:rPr>
          <w:b/>
        </w:rPr>
        <w:t>Patient asthmatique</w:t>
      </w:r>
      <w:r>
        <w:t xml:space="preserve"> : prudence, surveillance respiratoire (parasympathomimétique — bronchospasme possible)</w:t>
      </w:r>
    </w:p>
    <w:p>
      <w:pPr>
        <w:pStyle w:val="ListBullet"/>
      </w:pPr>
      <w:r/>
      <w:r>
        <w:rPr>
          <w:b/>
        </w:rPr>
        <w:t>Patient sous β-bloquant oral</w:t>
      </w:r>
      <w:r>
        <w:t xml:space="preserve"> : surveillance cardiovasculaire stricte (bradycardie additive)</w:t>
      </w:r>
    </w:p>
    <w:p>
      <w:pPr>
        <w:pStyle w:val="ListBullet"/>
      </w:pPr>
      <w:r/>
      <w:r>
        <w:rPr>
          <w:b/>
        </w:rPr>
        <w:t>Patient sous parasympatholytique</w:t>
      </w:r>
      <w:r>
        <w:t xml:space="preserve"> (atropine, tropicamide, anticholinergique) : antagonisme pharmacologique — vérifier l'ordonnance</w:t>
      </w:r>
    </w:p>
    <w:p>
      <w:pPr>
        <w:pStyle w:val="ListBullet"/>
      </w:pPr>
      <w:r/>
      <w:r>
        <w:rPr>
          <w:b/>
        </w:rPr>
        <w:t>Confusion entre 1 % et 2 %</w:t>
      </w:r>
      <w:r>
        <w:t xml:space="preserve"> : vérifier l'ordonnance — ne pas substituer 1 % par 2 % sans avis (en particulier chez le sujet âgé, l'enfant, le glaucome chronique)</w:t>
      </w:r>
    </w:p>
    <w:p>
      <w:pPr>
        <w:pStyle w:val="ListBullet"/>
      </w:pPr>
      <w:r/>
      <w:r>
        <w:rPr>
          <w:b/>
        </w:rPr>
        <w:t>Coût</w:t>
      </w:r>
      <w:r>
        <w:t xml:space="preserve"> : modeste (250-400 DA/mois)</w:t>
      </w:r>
    </w:p>
    <w:p>
      <w:pPr>
        <w:pStyle w:val="ListBullet"/>
      </w:pPr>
      <w:r/>
      <w:r>
        <w:rPr>
          <w:b/>
        </w:rPr>
        <w:t>Disponibilité</w:t>
      </w:r>
      <w:r>
        <w:t xml:space="preserve"> : 3 spécialités actives en Algérie — peu de risque de rupture de stock</w:t>
      </w:r>
    </w:p>
    <w:p>
      <w:pPr>
        <w:pStyle w:val="ListBullet"/>
      </w:pPr>
      <w:r/>
      <w:r>
        <w:rPr>
          <w:b/>
        </w:rPr>
        <w:t>Date d'ouverture</w:t>
      </w:r>
      <w:r>
        <w:t xml:space="preserve"> : inscrire sur le flacon ; jeter à 1 mois</w:t>
      </w:r>
    </w:p>
    <w:p>
      <w:pPr>
        <w:pStyle w:val="ListBullet"/>
      </w:pPr>
      <w:r/>
      <w:r>
        <w:rPr>
          <w:b/>
        </w:rPr>
        <w:t>Grossesse et allaitement</w:t>
      </w:r>
      <w:r>
        <w:t xml:space="preserve"> : à éviter absolument</w:t>
      </w:r>
    </w:p>
    <w:p>
      <w:pPr>
        <w:pStyle w:val="ListBullet"/>
      </w:pPr>
      <w:r/>
      <w:r>
        <w:rPr>
          <w:b/>
        </w:rPr>
        <w:t>Spasme accommodatif</w:t>
      </w:r>
      <w:r>
        <w:t xml:space="preserve"> : signaler au patient — céphalées sourcilières possibles en début de traitement</w:t>
      </w:r>
    </w:p>
    <w:p>
      <w:pPr>
        <w:pStyle w:val="ListBullet"/>
      </w:pPr>
      <w:r/>
      <w:r>
        <w:rPr>
          <w:b/>
        </w:rPr>
        <w:t>Hypersudation en cas de dose forte</w:t>
      </w:r>
      <w:r>
        <w:t xml:space="preserve"> (crise aiguë) : effet attendu, banal, transitoire</w:t>
      </w:r>
    </w:p>
    <w:p>
      <w:pPr>
        <w:pStyle w:val="ListBullet"/>
      </w:pPr>
      <w:r/>
      <w:r>
        <w:rPr>
          <w:b/>
        </w:rPr>
        <w:t>Patient en bithérapie</w:t>
      </w:r>
      <w:r>
        <w:t xml:space="preserve"> : vérifier l'espacement de 5 minutes entre les instillations</w:t>
      </w:r>
    </w:p>
    <w:p>
      <w:pPr>
        <w:pStyle w:val="ListBullet"/>
      </w:pPr>
      <w:r/>
      <w:r>
        <w:rPr>
          <w:b/>
        </w:rPr>
        <w:t>Décollement rétinien</w:t>
      </w:r>
      <w:r>
        <w:t xml:space="preserve"> : urgence ophtalmologique — arrêt immédiat de la pilocarpine</w:t>
      </w:r>
    </w:p>
    <w:p>
      <w:pPr>
        <w:pStyle w:val="Heading2"/>
      </w:pPr>
      <w:r>
        <w:t>141.22 Tableau comparatif synthétique des 11 DCI hypotonisantes oculaires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r>
              <w:rPr>
                <w:b/>
                <w:sz w:val="20"/>
              </w:rPr>
              <w:t>Critère</w:t>
            </w:r>
          </w:p>
        </w:tc>
        <w:tc>
          <w:tcPr>
            <w:tcW w:type="dxa" w:w="780"/>
          </w:tcPr>
          <w:p>
            <w:r>
              <w:rPr>
                <w:b/>
                <w:sz w:val="20"/>
              </w:rPr>
              <w:t>Timolol</w:t>
            </w:r>
          </w:p>
        </w:tc>
        <w:tc>
          <w:tcPr>
            <w:tcW w:type="dxa" w:w="780"/>
          </w:tcPr>
          <w:p>
            <w:r>
              <w:rPr>
                <w:b/>
                <w:sz w:val="20"/>
              </w:rPr>
              <w:t>Bétaxolol</w:t>
            </w:r>
          </w:p>
        </w:tc>
        <w:tc>
          <w:tcPr>
            <w:tcW w:type="dxa" w:w="780"/>
          </w:tcPr>
          <w:p>
            <w:r>
              <w:rPr>
                <w:b/>
                <w:sz w:val="20"/>
              </w:rPr>
              <w:t>Cartéolol</w:t>
            </w:r>
          </w:p>
        </w:tc>
        <w:tc>
          <w:tcPr>
            <w:tcW w:type="dxa" w:w="780"/>
          </w:tcPr>
          <w:p>
            <w:r>
              <w:rPr>
                <w:b/>
                <w:sz w:val="20"/>
              </w:rPr>
              <w:t>Latanoprost</w:t>
            </w:r>
          </w:p>
        </w:tc>
        <w:tc>
          <w:tcPr>
            <w:tcW w:type="dxa" w:w="780"/>
          </w:tcPr>
          <w:p>
            <w:r>
              <w:rPr>
                <w:b/>
                <w:sz w:val="20"/>
              </w:rPr>
              <w:t>Travoprost</w:t>
            </w:r>
          </w:p>
        </w:tc>
        <w:tc>
          <w:tcPr>
            <w:tcW w:type="dxa" w:w="780"/>
          </w:tcPr>
          <w:p>
            <w:r>
              <w:rPr>
                <w:b/>
                <w:sz w:val="20"/>
              </w:rPr>
              <w:t>Bimatoprost</w:t>
            </w:r>
          </w:p>
        </w:tc>
        <w:tc>
          <w:tcPr>
            <w:tcW w:type="dxa" w:w="780"/>
          </w:tcPr>
          <w:p>
            <w:r>
              <w:rPr>
                <w:b/>
                <w:sz w:val="20"/>
              </w:rPr>
              <w:t>Clonidine/Apraclonidine</w:t>
            </w:r>
          </w:p>
        </w:tc>
        <w:tc>
          <w:tcPr>
            <w:tcW w:type="dxa" w:w="780"/>
          </w:tcPr>
          <w:p>
            <w:r>
              <w:rPr>
                <w:b/>
                <w:sz w:val="20"/>
              </w:rPr>
              <w:t>Dorzolamide</w:t>
            </w:r>
          </w:p>
        </w:tc>
        <w:tc>
          <w:tcPr>
            <w:tcW w:type="dxa" w:w="780"/>
          </w:tcPr>
          <w:p>
            <w:r>
              <w:rPr>
                <w:b/>
                <w:sz w:val="20"/>
              </w:rPr>
              <w:t>Brinzolamide</w:t>
            </w:r>
          </w:p>
        </w:tc>
        <w:tc>
          <w:tcPr>
            <w:tcW w:type="dxa" w:w="780"/>
          </w:tcPr>
          <w:p>
            <w:r>
              <w:rPr>
                <w:b/>
                <w:sz w:val="20"/>
              </w:rPr>
              <w:t>Acétazolamide</w:t>
            </w:r>
          </w:p>
        </w:tc>
        <w:tc>
          <w:tcPr>
            <w:tcW w:type="dxa" w:w="780"/>
          </w:tcPr>
          <w:p>
            <w:r>
              <w:rPr>
                <w:b/>
                <w:sz w:val="20"/>
              </w:rPr>
              <w:t>Pilocarpine</w:t>
            </w:r>
          </w:p>
        </w:tc>
      </w:tr>
      <w:tr>
        <w:tc>
          <w:tcPr>
            <w:tcW w:type="dxa" w:w="780"/>
          </w:tcPr>
          <w:p>
            <w:r>
              <w:rPr>
                <w:sz w:val="20"/>
              </w:rPr>
              <w:t>**Classe**</w:t>
            </w:r>
          </w:p>
        </w:tc>
        <w:tc>
          <w:tcPr>
            <w:tcW w:type="dxa" w:w="780"/>
          </w:tcPr>
          <w:p>
            <w:r>
              <w:rPr>
                <w:sz w:val="20"/>
              </w:rPr>
              <w:t>β-bloquant non sélectif</w:t>
            </w:r>
          </w:p>
        </w:tc>
        <w:tc>
          <w:tcPr>
            <w:tcW w:type="dxa" w:w="780"/>
          </w:tcPr>
          <w:p>
            <w:r>
              <w:rPr>
                <w:sz w:val="20"/>
              </w:rPr>
              <w:t>β-bloquant β1-sélectif</w:t>
            </w:r>
          </w:p>
        </w:tc>
        <w:tc>
          <w:tcPr>
            <w:tcW w:type="dxa" w:w="780"/>
          </w:tcPr>
          <w:p>
            <w:r>
              <w:rPr>
                <w:sz w:val="20"/>
              </w:rPr>
              <w:t>β-bloquant avec ASI</w:t>
            </w:r>
          </w:p>
        </w:tc>
        <w:tc>
          <w:tcPr>
            <w:tcW w:type="dxa" w:w="780"/>
          </w:tcPr>
          <w:p>
            <w:r>
              <w:rPr>
                <w:sz w:val="20"/>
              </w:rPr>
              <w:t>PGF2α analogue</w:t>
            </w:r>
          </w:p>
        </w:tc>
        <w:tc>
          <w:tcPr>
            <w:tcW w:type="dxa" w:w="780"/>
          </w:tcPr>
          <w:p>
            <w:r>
              <w:rPr>
                <w:sz w:val="20"/>
              </w:rPr>
              <w:t>PGF2α analogue</w:t>
            </w:r>
          </w:p>
        </w:tc>
        <w:tc>
          <w:tcPr>
            <w:tcW w:type="dxa" w:w="780"/>
          </w:tcPr>
          <w:p>
            <w:r>
              <w:rPr>
                <w:sz w:val="20"/>
              </w:rPr>
              <w:t>Prostamide</w:t>
            </w:r>
          </w:p>
        </w:tc>
        <w:tc>
          <w:tcPr>
            <w:tcW w:type="dxa" w:w="780"/>
          </w:tcPr>
          <w:p>
            <w:r>
              <w:rPr>
                <w:sz w:val="20"/>
              </w:rPr>
              <w:t>α2-agoniste</w:t>
            </w:r>
          </w:p>
        </w:tc>
        <w:tc>
          <w:tcPr>
            <w:tcW w:type="dxa" w:w="780"/>
          </w:tcPr>
          <w:p>
            <w:r>
              <w:rPr>
                <w:sz w:val="20"/>
              </w:rPr>
              <w:t>IAC topique</w:t>
            </w:r>
          </w:p>
        </w:tc>
        <w:tc>
          <w:tcPr>
            <w:tcW w:type="dxa" w:w="780"/>
          </w:tcPr>
          <w:p>
            <w:r>
              <w:rPr>
                <w:sz w:val="20"/>
              </w:rPr>
              <w:t>IAC topique</w:t>
            </w:r>
          </w:p>
        </w:tc>
        <w:tc>
          <w:tcPr>
            <w:tcW w:type="dxa" w:w="780"/>
          </w:tcPr>
          <w:p>
            <w:r>
              <w:rPr>
                <w:sz w:val="20"/>
              </w:rPr>
              <w:t>IAC systémique</w:t>
            </w:r>
          </w:p>
        </w:tc>
        <w:tc>
          <w:tcPr>
            <w:tcW w:type="dxa" w:w="780"/>
          </w:tcPr>
          <w:p>
            <w:r>
              <w:rPr>
                <w:sz w:val="20"/>
              </w:rPr>
              <w:t>Miotique M3</w:t>
            </w:r>
          </w:p>
        </w:tc>
      </w:tr>
      <w:tr>
        <w:tc>
          <w:tcPr>
            <w:tcW w:type="dxa" w:w="780"/>
          </w:tcPr>
          <w:p>
            <w:r>
              <w:rPr>
                <w:sz w:val="20"/>
              </w:rPr>
              <w:t>**Voie**</w:t>
            </w:r>
          </w:p>
        </w:tc>
        <w:tc>
          <w:tcPr>
            <w:tcW w:type="dxa" w:w="780"/>
          </w:tcPr>
          <w:p>
            <w:r>
              <w:rPr>
                <w:sz w:val="20"/>
              </w:rPr>
              <w:t>Collyre</w:t>
            </w:r>
          </w:p>
        </w:tc>
        <w:tc>
          <w:tcPr>
            <w:tcW w:type="dxa" w:w="780"/>
          </w:tcPr>
          <w:p>
            <w:r>
              <w:rPr>
                <w:sz w:val="20"/>
              </w:rPr>
              <w:t>Collyre</w:t>
            </w:r>
          </w:p>
        </w:tc>
        <w:tc>
          <w:tcPr>
            <w:tcW w:type="dxa" w:w="780"/>
          </w:tcPr>
          <w:p>
            <w:r>
              <w:rPr>
                <w:sz w:val="20"/>
              </w:rPr>
              <w:t>Collyre</w:t>
            </w:r>
          </w:p>
        </w:tc>
        <w:tc>
          <w:tcPr>
            <w:tcW w:type="dxa" w:w="780"/>
          </w:tcPr>
          <w:p>
            <w:r>
              <w:rPr>
                <w:sz w:val="20"/>
              </w:rPr>
              <w:t>Collyre</w:t>
            </w:r>
          </w:p>
        </w:tc>
        <w:tc>
          <w:tcPr>
            <w:tcW w:type="dxa" w:w="780"/>
          </w:tcPr>
          <w:p>
            <w:r>
              <w:rPr>
                <w:sz w:val="20"/>
              </w:rPr>
              <w:t>Collyre</w:t>
            </w:r>
          </w:p>
        </w:tc>
        <w:tc>
          <w:tcPr>
            <w:tcW w:type="dxa" w:w="780"/>
          </w:tcPr>
          <w:p>
            <w:r>
              <w:rPr>
                <w:sz w:val="20"/>
              </w:rPr>
              <w:t>Collyre</w:t>
            </w:r>
          </w:p>
        </w:tc>
        <w:tc>
          <w:tcPr>
            <w:tcW w:type="dxa" w:w="780"/>
          </w:tcPr>
          <w:p>
            <w:r>
              <w:rPr>
                <w:sz w:val="20"/>
              </w:rPr>
              <w:t>Systémique (Algérie) / Collyre (autre)</w:t>
            </w:r>
          </w:p>
        </w:tc>
        <w:tc>
          <w:tcPr>
            <w:tcW w:type="dxa" w:w="780"/>
          </w:tcPr>
          <w:p>
            <w:r>
              <w:rPr>
                <w:sz w:val="20"/>
              </w:rPr>
              <w:t>Collyre</w:t>
            </w:r>
          </w:p>
        </w:tc>
        <w:tc>
          <w:tcPr>
            <w:tcW w:type="dxa" w:w="780"/>
          </w:tcPr>
          <w:p>
            <w:r>
              <w:rPr>
                <w:sz w:val="20"/>
              </w:rPr>
              <w:t>Collyre (suspension)</w:t>
            </w:r>
          </w:p>
        </w:tc>
        <w:tc>
          <w:tcPr>
            <w:tcW w:type="dxa" w:w="780"/>
          </w:tcPr>
          <w:p>
            <w:r>
              <w:rPr>
                <w:sz w:val="20"/>
              </w:rPr>
              <w:t>Per os / IV</w:t>
            </w:r>
          </w:p>
        </w:tc>
        <w:tc>
          <w:tcPr>
            <w:tcW w:type="dxa" w:w="780"/>
          </w:tcPr>
          <w:p>
            <w:r>
              <w:rPr>
                <w:sz w:val="20"/>
              </w:rPr>
              <w:t>Collyre</w:t>
            </w:r>
          </w:p>
        </w:tc>
      </w:tr>
      <w:tr>
        <w:tc>
          <w:tcPr>
            <w:tcW w:type="dxa" w:w="780"/>
          </w:tcPr>
          <w:p>
            <w:r>
              <w:rPr>
                <w:sz w:val="20"/>
              </w:rPr>
              <w:t>**Dose unitaire**</w:t>
            </w:r>
          </w:p>
        </w:tc>
        <w:tc>
          <w:tcPr>
            <w:tcW w:type="dxa" w:w="780"/>
          </w:tcPr>
          <w:p>
            <w:r>
              <w:rPr>
                <w:sz w:val="20"/>
              </w:rPr>
              <w:t>0,25-0,5 %</w:t>
            </w:r>
          </w:p>
        </w:tc>
        <w:tc>
          <w:tcPr>
            <w:tcW w:type="dxa" w:w="780"/>
          </w:tcPr>
          <w:p>
            <w:r>
              <w:rPr>
                <w:sz w:val="20"/>
              </w:rPr>
              <w:t>0,5 %</w:t>
            </w:r>
          </w:p>
        </w:tc>
        <w:tc>
          <w:tcPr>
            <w:tcW w:type="dxa" w:w="780"/>
          </w:tcPr>
          <w:p>
            <w:r>
              <w:rPr>
                <w:sz w:val="20"/>
              </w:rPr>
              <w:t>1-2 %</w:t>
            </w:r>
          </w:p>
        </w:tc>
        <w:tc>
          <w:tcPr>
            <w:tcW w:type="dxa" w:w="780"/>
          </w:tcPr>
          <w:p>
            <w:r>
              <w:rPr>
                <w:sz w:val="20"/>
              </w:rPr>
              <w:t>0,005 % (50 µg/mL)</w:t>
            </w:r>
          </w:p>
        </w:tc>
        <w:tc>
          <w:tcPr>
            <w:tcW w:type="dxa" w:w="780"/>
          </w:tcPr>
          <w:p>
            <w:r>
              <w:rPr>
                <w:sz w:val="20"/>
              </w:rPr>
              <w:t>0,004 % (40 µg/mL)</w:t>
            </w:r>
          </w:p>
        </w:tc>
        <w:tc>
          <w:tcPr>
            <w:tcW w:type="dxa" w:w="780"/>
          </w:tcPr>
          <w:p>
            <w:r>
              <w:rPr>
                <w:sz w:val="20"/>
              </w:rPr>
              <w:t>0,01-0,03 % (0,1-0,3 mg/mL)</w:t>
            </w:r>
          </w:p>
        </w:tc>
        <w:tc>
          <w:tcPr>
            <w:tcW w:type="dxa" w:w="780"/>
          </w:tcPr>
          <w:p>
            <w:r>
              <w:rPr>
                <w:sz w:val="20"/>
              </w:rPr>
              <w:t>0,150 mg (oral) / 0,5-1 % collyre</w:t>
            </w:r>
          </w:p>
        </w:tc>
        <w:tc>
          <w:tcPr>
            <w:tcW w:type="dxa" w:w="780"/>
          </w:tcPr>
          <w:p>
            <w:r>
              <w:rPr>
                <w:sz w:val="20"/>
              </w:rPr>
              <w:t>2 % (20 mg/mL)</w:t>
            </w:r>
          </w:p>
        </w:tc>
        <w:tc>
          <w:tcPr>
            <w:tcW w:type="dxa" w:w="780"/>
          </w:tcPr>
          <w:p>
            <w:r>
              <w:rPr>
                <w:sz w:val="20"/>
              </w:rPr>
              <w:t>1 % (10 mg/mL)</w:t>
            </w:r>
          </w:p>
        </w:tc>
        <w:tc>
          <w:tcPr>
            <w:tcW w:type="dxa" w:w="780"/>
          </w:tcPr>
          <w:p>
            <w:r>
              <w:rPr>
                <w:sz w:val="20"/>
              </w:rPr>
              <w:t>250 mg cp / 500 mg IV</w:t>
            </w:r>
          </w:p>
        </w:tc>
        <w:tc>
          <w:tcPr>
            <w:tcW w:type="dxa" w:w="780"/>
          </w:tcPr>
          <w:p>
            <w:r>
              <w:rPr>
                <w:sz w:val="20"/>
              </w:rPr>
              <w:t>1-2 % (10-20 mg/mL)</w:t>
            </w:r>
          </w:p>
        </w:tc>
      </w:tr>
      <w:tr>
        <w:tc>
          <w:tcPr>
            <w:tcW w:type="dxa" w:w="780"/>
          </w:tcPr>
          <w:p>
            <w:r>
              <w:rPr>
                <w:sz w:val="20"/>
              </w:rPr>
              <w:t>**Fréquence**</w:t>
            </w:r>
          </w:p>
        </w:tc>
        <w:tc>
          <w:tcPr>
            <w:tcW w:type="dxa" w:w="780"/>
          </w:tcPr>
          <w:p>
            <w:r>
              <w:rPr>
                <w:sz w:val="20"/>
              </w:rPr>
              <w:t>1-2×/jour</w:t>
            </w:r>
          </w:p>
        </w:tc>
        <w:tc>
          <w:tcPr>
            <w:tcW w:type="dxa" w:w="780"/>
          </w:tcPr>
          <w:p>
            <w:r>
              <w:rPr>
                <w:sz w:val="20"/>
              </w:rPr>
              <w:t>2×/jour</w:t>
            </w:r>
          </w:p>
        </w:tc>
        <w:tc>
          <w:tcPr>
            <w:tcW w:type="dxa" w:w="780"/>
          </w:tcPr>
          <w:p>
            <w:r>
              <w:rPr>
                <w:sz w:val="20"/>
              </w:rPr>
              <w:t>1-2×/jour (LP 1×)</w:t>
            </w:r>
          </w:p>
        </w:tc>
        <w:tc>
          <w:tcPr>
            <w:tcW w:type="dxa" w:w="780"/>
          </w:tcPr>
          <w:p>
            <w:r>
              <w:rPr>
                <w:sz w:val="20"/>
              </w:rPr>
              <w:t>1×/jour soir</w:t>
            </w:r>
          </w:p>
        </w:tc>
        <w:tc>
          <w:tcPr>
            <w:tcW w:type="dxa" w:w="780"/>
          </w:tcPr>
          <w:p>
            <w:r>
              <w:rPr>
                <w:sz w:val="20"/>
              </w:rPr>
              <w:t>1×/jour soir</w:t>
            </w:r>
          </w:p>
        </w:tc>
        <w:tc>
          <w:tcPr>
            <w:tcW w:type="dxa" w:w="780"/>
          </w:tcPr>
          <w:p>
            <w:r>
              <w:rPr>
                <w:sz w:val="20"/>
              </w:rPr>
              <w:t>1×/jour soir</w:t>
            </w:r>
          </w:p>
        </w:tc>
        <w:tc>
          <w:tcPr>
            <w:tcW w:type="dxa" w:w="780"/>
          </w:tcPr>
          <w:p>
            <w:r>
              <w:rPr>
                <w:sz w:val="20"/>
              </w:rPr>
              <w:t>2-3×/jour (oral)</w:t>
            </w:r>
          </w:p>
        </w:tc>
        <w:tc>
          <w:tcPr>
            <w:tcW w:type="dxa" w:w="780"/>
          </w:tcPr>
          <w:p>
            <w:r>
              <w:rPr>
                <w:sz w:val="20"/>
              </w:rPr>
              <w:t>3×/jour</w:t>
            </w:r>
          </w:p>
        </w:tc>
        <w:tc>
          <w:tcPr>
            <w:tcW w:type="dxa" w:w="780"/>
          </w:tcPr>
          <w:p>
            <w:r>
              <w:rPr>
                <w:sz w:val="20"/>
              </w:rPr>
              <w:t>2-3×/jour</w:t>
            </w:r>
          </w:p>
        </w:tc>
        <w:tc>
          <w:tcPr>
            <w:tcW w:type="dxa" w:w="780"/>
          </w:tcPr>
          <w:p>
            <w:r>
              <w:rPr>
                <w:sz w:val="20"/>
              </w:rPr>
              <w:t>2-4×/jour (per os)</w:t>
            </w:r>
          </w:p>
        </w:tc>
        <w:tc>
          <w:tcPr>
            <w:tcW w:type="dxa" w:w="780"/>
          </w:tcPr>
          <w:p>
            <w:r>
              <w:rPr>
                <w:sz w:val="20"/>
              </w:rPr>
              <w:t>3-4×/jour (chronique) ; protocole d'attaque (CAGFA)</w:t>
            </w:r>
          </w:p>
        </w:tc>
      </w:tr>
      <w:tr>
        <w:tc>
          <w:tcPr>
            <w:tcW w:type="dxa" w:w="780"/>
          </w:tcPr>
          <w:p>
            <w:r>
              <w:rPr>
                <w:sz w:val="20"/>
              </w:rPr>
              <w:t>**Baisse PIO (mmHg)**</w:t>
            </w:r>
          </w:p>
        </w:tc>
        <w:tc>
          <w:tcPr>
            <w:tcW w:type="dxa" w:w="780"/>
          </w:tcPr>
          <w:p>
            <w:r>
              <w:rPr>
                <w:sz w:val="20"/>
              </w:rPr>
              <w:t>6-8</w:t>
            </w:r>
          </w:p>
        </w:tc>
        <w:tc>
          <w:tcPr>
            <w:tcW w:type="dxa" w:w="780"/>
          </w:tcPr>
          <w:p>
            <w:r>
              <w:rPr>
                <w:sz w:val="20"/>
              </w:rPr>
              <w:t>4-6</w:t>
            </w:r>
          </w:p>
        </w:tc>
        <w:tc>
          <w:tcPr>
            <w:tcW w:type="dxa" w:w="780"/>
          </w:tcPr>
          <w:p>
            <w:r>
              <w:rPr>
                <w:sz w:val="20"/>
              </w:rPr>
              <w:t>6-7</w:t>
            </w:r>
          </w:p>
        </w:tc>
        <w:tc>
          <w:tcPr>
            <w:tcW w:type="dxa" w:w="780"/>
          </w:tcPr>
          <w:p>
            <w:r>
              <w:rPr>
                <w:sz w:val="20"/>
              </w:rPr>
              <w:t>8-10</w:t>
            </w:r>
          </w:p>
        </w:tc>
        <w:tc>
          <w:tcPr>
            <w:tcW w:type="dxa" w:w="780"/>
          </w:tcPr>
          <w:p>
            <w:r>
              <w:rPr>
                <w:sz w:val="20"/>
              </w:rPr>
              <w:t>8-11</w:t>
            </w:r>
          </w:p>
        </w:tc>
        <w:tc>
          <w:tcPr>
            <w:tcW w:type="dxa" w:w="780"/>
          </w:tcPr>
          <w:p>
            <w:r>
              <w:rPr>
                <w:sz w:val="20"/>
              </w:rPr>
              <w:t>9-11</w:t>
            </w:r>
          </w:p>
        </w:tc>
        <w:tc>
          <w:tcPr>
            <w:tcW w:type="dxa" w:w="780"/>
          </w:tcPr>
          <w:p>
            <w:r>
              <w:rPr>
                <w:sz w:val="20"/>
              </w:rPr>
              <w:t>2-4 (oral)</w:t>
            </w:r>
          </w:p>
        </w:tc>
        <w:tc>
          <w:tcPr>
            <w:tcW w:type="dxa" w:w="780"/>
          </w:tcPr>
          <w:p>
            <w:r>
              <w:rPr>
                <w:sz w:val="20"/>
              </w:rPr>
              <w:t>3-5</w:t>
            </w:r>
          </w:p>
        </w:tc>
        <w:tc>
          <w:tcPr>
            <w:tcW w:type="dxa" w:w="780"/>
          </w:tcPr>
          <w:p>
            <w:r>
              <w:rPr>
                <w:sz w:val="20"/>
              </w:rPr>
              <w:t>3-5</w:t>
            </w:r>
          </w:p>
        </w:tc>
        <w:tc>
          <w:tcPr>
            <w:tcW w:type="dxa" w:w="780"/>
          </w:tcPr>
          <w:p>
            <w:r>
              <w:rPr>
                <w:sz w:val="20"/>
              </w:rPr>
              <w:t>8-15</w:t>
            </w:r>
          </w:p>
        </w:tc>
        <w:tc>
          <w:tcPr>
            <w:tcW w:type="dxa" w:w="780"/>
          </w:tcPr>
          <w:p>
            <w:r>
              <w:rPr>
                <w:sz w:val="20"/>
              </w:rPr>
              <w:t>4-6</w:t>
            </w:r>
          </w:p>
        </w:tc>
      </w:tr>
      <w:tr>
        <w:tc>
          <w:tcPr>
            <w:tcW w:type="dxa" w:w="780"/>
          </w:tcPr>
          <w:p>
            <w:r>
              <w:rPr>
                <w:sz w:val="20"/>
              </w:rPr>
              <w:t>**Baisse PIO (%)**</w:t>
            </w:r>
          </w:p>
        </w:tc>
        <w:tc>
          <w:tcPr>
            <w:tcW w:type="dxa" w:w="780"/>
          </w:tcPr>
          <w:p>
            <w:r>
              <w:rPr>
                <w:sz w:val="20"/>
              </w:rPr>
              <w:t>25-33</w:t>
            </w:r>
          </w:p>
        </w:tc>
        <w:tc>
          <w:tcPr>
            <w:tcW w:type="dxa" w:w="780"/>
          </w:tcPr>
          <w:p>
            <w:r>
              <w:rPr>
                <w:sz w:val="20"/>
              </w:rPr>
              <w:t>20-25</w:t>
            </w:r>
          </w:p>
        </w:tc>
        <w:tc>
          <w:tcPr>
            <w:tcW w:type="dxa" w:w="780"/>
          </w:tcPr>
          <w:p>
            <w:r>
              <w:rPr>
                <w:sz w:val="20"/>
              </w:rPr>
              <w:t>25-30</w:t>
            </w:r>
          </w:p>
        </w:tc>
        <w:tc>
          <w:tcPr>
            <w:tcW w:type="dxa" w:w="780"/>
          </w:tcPr>
          <w:p>
            <w:r>
              <w:rPr>
                <w:sz w:val="20"/>
              </w:rPr>
              <w:t>30-35</w:t>
            </w:r>
          </w:p>
        </w:tc>
        <w:tc>
          <w:tcPr>
            <w:tcW w:type="dxa" w:w="780"/>
          </w:tcPr>
          <w:p>
            <w:r>
              <w:rPr>
                <w:sz w:val="20"/>
              </w:rPr>
              <w:t>30-37</w:t>
            </w:r>
          </w:p>
        </w:tc>
        <w:tc>
          <w:tcPr>
            <w:tcW w:type="dxa" w:w="780"/>
          </w:tcPr>
          <w:p>
            <w:r>
              <w:rPr>
                <w:sz w:val="20"/>
              </w:rPr>
              <w:t>33-37</w:t>
            </w:r>
          </w:p>
        </w:tc>
        <w:tc>
          <w:tcPr>
            <w:tcW w:type="dxa" w:w="780"/>
          </w:tcPr>
          <w:p>
            <w:r>
              <w:rPr>
                <w:sz w:val="20"/>
              </w:rPr>
              <w:t>10-20</w:t>
            </w:r>
          </w:p>
        </w:tc>
        <w:tc>
          <w:tcPr>
            <w:tcW w:type="dxa" w:w="780"/>
          </w:tcPr>
          <w:p>
            <w:r>
              <w:rPr>
                <w:sz w:val="20"/>
              </w:rPr>
              <w:t>15-22</w:t>
            </w:r>
          </w:p>
        </w:tc>
        <w:tc>
          <w:tcPr>
            <w:tcW w:type="dxa" w:w="780"/>
          </w:tcPr>
          <w:p>
            <w:r>
              <w:rPr>
                <w:sz w:val="20"/>
              </w:rPr>
              <w:t>15-22</w:t>
            </w:r>
          </w:p>
        </w:tc>
        <w:tc>
          <w:tcPr>
            <w:tcW w:type="dxa" w:w="780"/>
          </w:tcPr>
          <w:p>
            <w:r>
              <w:rPr>
                <w:sz w:val="20"/>
              </w:rPr>
              <w:t>30-50</w:t>
            </w:r>
          </w:p>
        </w:tc>
        <w:tc>
          <w:tcPr>
            <w:tcW w:type="dxa" w:w="780"/>
          </w:tcPr>
          <w:p>
            <w:r>
              <w:rPr>
                <w:sz w:val="20"/>
              </w:rPr>
              <w:t>18-25</w:t>
            </w:r>
          </w:p>
        </w:tc>
      </w:tr>
      <w:tr>
        <w:tc>
          <w:tcPr>
            <w:tcW w:type="dxa" w:w="780"/>
          </w:tcPr>
          <w:p>
            <w:r>
              <w:rPr>
                <w:sz w:val="20"/>
              </w:rPr>
              <w:t>**Délai d'action**</w:t>
            </w:r>
          </w:p>
        </w:tc>
        <w:tc>
          <w:tcPr>
            <w:tcW w:type="dxa" w:w="780"/>
          </w:tcPr>
          <w:p>
            <w:r>
              <w:rPr>
                <w:sz w:val="20"/>
              </w:rPr>
              <w:t>30 min</w:t>
            </w:r>
          </w:p>
        </w:tc>
        <w:tc>
          <w:tcPr>
            <w:tcW w:type="dxa" w:w="780"/>
          </w:tcPr>
          <w:p>
            <w:r>
              <w:rPr>
                <w:sz w:val="20"/>
              </w:rPr>
              <w:t>1 h</w:t>
            </w:r>
          </w:p>
        </w:tc>
        <w:tc>
          <w:tcPr>
            <w:tcW w:type="dxa" w:w="780"/>
          </w:tcPr>
          <w:p>
            <w:r>
              <w:rPr>
                <w:sz w:val="20"/>
              </w:rPr>
              <w:t>1 h</w:t>
            </w:r>
          </w:p>
        </w:tc>
        <w:tc>
          <w:tcPr>
            <w:tcW w:type="dxa" w:w="780"/>
          </w:tcPr>
          <w:p>
            <w:r>
              <w:rPr>
                <w:sz w:val="20"/>
              </w:rPr>
              <w:t>3-4 h</w:t>
            </w:r>
          </w:p>
        </w:tc>
        <w:tc>
          <w:tcPr>
            <w:tcW w:type="dxa" w:w="780"/>
          </w:tcPr>
          <w:p>
            <w:r>
              <w:rPr>
                <w:sz w:val="20"/>
              </w:rPr>
              <w:t>3-4 h</w:t>
            </w:r>
          </w:p>
        </w:tc>
        <w:tc>
          <w:tcPr>
            <w:tcW w:type="dxa" w:w="780"/>
          </w:tcPr>
          <w:p>
            <w:r>
              <w:rPr>
                <w:sz w:val="20"/>
              </w:rPr>
              <w:t>3-4 h</w:t>
            </w:r>
          </w:p>
        </w:tc>
        <w:tc>
          <w:tcPr>
            <w:tcW w:type="dxa" w:w="780"/>
          </w:tcPr>
          <w:p>
            <w:r>
              <w:rPr>
                <w:sz w:val="20"/>
              </w:rPr>
              <w:t>1-2 h</w:t>
            </w:r>
          </w:p>
        </w:tc>
        <w:tc>
          <w:tcPr>
            <w:tcW w:type="dxa" w:w="780"/>
          </w:tcPr>
          <w:p>
            <w:r>
              <w:rPr>
                <w:sz w:val="20"/>
              </w:rPr>
              <w:t>2 h</w:t>
            </w:r>
          </w:p>
        </w:tc>
        <w:tc>
          <w:tcPr>
            <w:tcW w:type="dxa" w:w="780"/>
          </w:tcPr>
          <w:p>
            <w:r>
              <w:rPr>
                <w:sz w:val="20"/>
              </w:rPr>
              <w:t>2 h</w:t>
            </w:r>
          </w:p>
        </w:tc>
        <w:tc>
          <w:tcPr>
            <w:tcW w:type="dxa" w:w="780"/>
          </w:tcPr>
          <w:p>
            <w:r>
              <w:rPr>
                <w:sz w:val="20"/>
              </w:rPr>
              <w:t>30 min IV / 1-2 h per os</w:t>
            </w:r>
          </w:p>
        </w:tc>
        <w:tc>
          <w:tcPr>
            <w:tcW w:type="dxa" w:w="780"/>
          </w:tcPr>
          <w:p>
            <w:r>
              <w:rPr>
                <w:sz w:val="20"/>
              </w:rPr>
              <w:t>15-30 min</w:t>
            </w:r>
          </w:p>
        </w:tc>
      </w:tr>
      <w:tr>
        <w:tc>
          <w:tcPr>
            <w:tcW w:type="dxa" w:w="780"/>
          </w:tcPr>
          <w:p>
            <w:r>
              <w:rPr>
                <w:sz w:val="20"/>
              </w:rPr>
              <w:t>**Pic d'effet**</w:t>
            </w:r>
          </w:p>
        </w:tc>
        <w:tc>
          <w:tcPr>
            <w:tcW w:type="dxa" w:w="780"/>
          </w:tcPr>
          <w:p>
            <w:r>
              <w:rPr>
                <w:sz w:val="20"/>
              </w:rPr>
              <w:t>2 h</w:t>
            </w:r>
          </w:p>
        </w:tc>
        <w:tc>
          <w:tcPr>
            <w:tcW w:type="dxa" w:w="780"/>
          </w:tcPr>
          <w:p>
            <w:r>
              <w:rPr>
                <w:sz w:val="20"/>
              </w:rPr>
              <w:t>2 h</w:t>
            </w:r>
          </w:p>
        </w:tc>
        <w:tc>
          <w:tcPr>
            <w:tcW w:type="dxa" w:w="780"/>
          </w:tcPr>
          <w:p>
            <w:r>
              <w:rPr>
                <w:sz w:val="20"/>
              </w:rPr>
              <w:t>2 h</w:t>
            </w:r>
          </w:p>
        </w:tc>
        <w:tc>
          <w:tcPr>
            <w:tcW w:type="dxa" w:w="780"/>
          </w:tcPr>
          <w:p>
            <w:r>
              <w:rPr>
                <w:sz w:val="20"/>
              </w:rPr>
              <w:t>8-12 h</w:t>
            </w:r>
          </w:p>
        </w:tc>
        <w:tc>
          <w:tcPr>
            <w:tcW w:type="dxa" w:w="780"/>
          </w:tcPr>
          <w:p>
            <w:r>
              <w:rPr>
                <w:sz w:val="20"/>
              </w:rPr>
              <w:t>8-12 h</w:t>
            </w:r>
          </w:p>
        </w:tc>
        <w:tc>
          <w:tcPr>
            <w:tcW w:type="dxa" w:w="780"/>
          </w:tcPr>
          <w:p>
            <w:r>
              <w:rPr>
                <w:sz w:val="20"/>
              </w:rPr>
              <w:t>8-12 h</w:t>
            </w:r>
          </w:p>
        </w:tc>
        <w:tc>
          <w:tcPr>
            <w:tcW w:type="dxa" w:w="780"/>
          </w:tcPr>
          <w:p>
            <w:r>
              <w:rPr>
                <w:sz w:val="20"/>
              </w:rPr>
              <w:t>2-4 h</w:t>
            </w:r>
          </w:p>
        </w:tc>
        <w:tc>
          <w:tcPr>
            <w:tcW w:type="dxa" w:w="780"/>
          </w:tcPr>
          <w:p>
            <w:r>
              <w:rPr>
                <w:sz w:val="20"/>
              </w:rPr>
              <w:t>2 h</w:t>
            </w:r>
          </w:p>
        </w:tc>
        <w:tc>
          <w:tcPr>
            <w:tcW w:type="dxa" w:w="780"/>
          </w:tcPr>
          <w:p>
            <w:r>
              <w:rPr>
                <w:sz w:val="20"/>
              </w:rPr>
              <w:t>2 h</w:t>
            </w:r>
          </w:p>
        </w:tc>
        <w:tc>
          <w:tcPr>
            <w:tcW w:type="dxa" w:w="780"/>
          </w:tcPr>
          <w:p>
            <w:r>
              <w:rPr>
                <w:sz w:val="20"/>
              </w:rPr>
              <w:t>1-2 h IV / 2-4 h per os</w:t>
            </w:r>
          </w:p>
        </w:tc>
        <w:tc>
          <w:tcPr>
            <w:tcW w:type="dxa" w:w="780"/>
          </w:tcPr>
          <w:p>
            <w:r>
              <w:rPr>
                <w:sz w:val="20"/>
              </w:rPr>
              <w:t>1-2 h</w:t>
            </w:r>
          </w:p>
        </w:tc>
      </w:tr>
      <w:tr>
        <w:tc>
          <w:tcPr>
            <w:tcW w:type="dxa" w:w="780"/>
          </w:tcPr>
          <w:p>
            <w:r>
              <w:rPr>
                <w:sz w:val="20"/>
              </w:rPr>
              <w:t>**Durée d'effet**</w:t>
            </w:r>
          </w:p>
        </w:tc>
        <w:tc>
          <w:tcPr>
            <w:tcW w:type="dxa" w:w="780"/>
          </w:tcPr>
          <w:p>
            <w:r>
              <w:rPr>
                <w:sz w:val="20"/>
              </w:rPr>
              <w:t>12-24 h</w:t>
            </w:r>
          </w:p>
        </w:tc>
        <w:tc>
          <w:tcPr>
            <w:tcW w:type="dxa" w:w="780"/>
          </w:tcPr>
          <w:p>
            <w:r>
              <w:rPr>
                <w:sz w:val="20"/>
              </w:rPr>
              <w:t>12 h</w:t>
            </w:r>
          </w:p>
        </w:tc>
        <w:tc>
          <w:tcPr>
            <w:tcW w:type="dxa" w:w="780"/>
          </w:tcPr>
          <w:p>
            <w:r>
              <w:rPr>
                <w:sz w:val="20"/>
              </w:rPr>
              <w:t>12-24 h (LP 24 h)</w:t>
            </w:r>
          </w:p>
        </w:tc>
        <w:tc>
          <w:tcPr>
            <w:tcW w:type="dxa" w:w="780"/>
          </w:tcPr>
          <w:p>
            <w:r>
              <w:rPr>
                <w:sz w:val="20"/>
              </w:rPr>
              <w:t>24 h</w:t>
            </w:r>
          </w:p>
        </w:tc>
        <w:tc>
          <w:tcPr>
            <w:tcW w:type="dxa" w:w="780"/>
          </w:tcPr>
          <w:p>
            <w:r>
              <w:rPr>
                <w:sz w:val="20"/>
              </w:rPr>
              <w:t>24 h</w:t>
            </w:r>
          </w:p>
        </w:tc>
        <w:tc>
          <w:tcPr>
            <w:tcW w:type="dxa" w:w="780"/>
          </w:tcPr>
          <w:p>
            <w:r>
              <w:rPr>
                <w:sz w:val="20"/>
              </w:rPr>
              <w:t>24 h</w:t>
            </w:r>
          </w:p>
        </w:tc>
        <w:tc>
          <w:tcPr>
            <w:tcW w:type="dxa" w:w="780"/>
          </w:tcPr>
          <w:p>
            <w:r>
              <w:rPr>
                <w:sz w:val="20"/>
              </w:rPr>
              <w:t>8-12 h</w:t>
            </w:r>
          </w:p>
        </w:tc>
        <w:tc>
          <w:tcPr>
            <w:tcW w:type="dxa" w:w="780"/>
          </w:tcPr>
          <w:p>
            <w:r>
              <w:rPr>
                <w:sz w:val="20"/>
              </w:rPr>
              <w:t>8 h</w:t>
            </w:r>
          </w:p>
        </w:tc>
        <w:tc>
          <w:tcPr>
            <w:tcW w:type="dxa" w:w="780"/>
          </w:tcPr>
          <w:p>
            <w:r>
              <w:rPr>
                <w:sz w:val="20"/>
              </w:rPr>
              <w:t>8 h</w:t>
            </w:r>
          </w:p>
        </w:tc>
        <w:tc>
          <w:tcPr>
            <w:tcW w:type="dxa" w:w="780"/>
          </w:tcPr>
          <w:p>
            <w:r>
              <w:rPr>
                <w:sz w:val="20"/>
              </w:rPr>
              <w:t>6-12 h</w:t>
            </w:r>
          </w:p>
        </w:tc>
        <w:tc>
          <w:tcPr>
            <w:tcW w:type="dxa" w:w="780"/>
          </w:tcPr>
          <w:p>
            <w:r>
              <w:rPr>
                <w:sz w:val="20"/>
              </w:rPr>
              <w:t>4-8 h</w:t>
            </w:r>
          </w:p>
        </w:tc>
      </w:tr>
      <w:tr>
        <w:tc>
          <w:tcPr>
            <w:tcW w:type="dxa" w:w="780"/>
          </w:tcPr>
          <w:p>
            <w:r>
              <w:rPr>
                <w:sz w:val="20"/>
              </w:rPr>
              <w:t>**Mécanisme**</w:t>
            </w:r>
          </w:p>
        </w:tc>
        <w:tc>
          <w:tcPr>
            <w:tcW w:type="dxa" w:w="780"/>
          </w:tcPr>
          <w:p>
            <w:r>
              <w:rPr>
                <w:sz w:val="20"/>
              </w:rPr>
              <w:t>Baisse production HA</w:t>
            </w:r>
          </w:p>
        </w:tc>
        <w:tc>
          <w:tcPr>
            <w:tcW w:type="dxa" w:w="780"/>
          </w:tcPr>
          <w:p>
            <w:r>
              <w:rPr>
                <w:sz w:val="20"/>
              </w:rPr>
              <w:t>Baisse production HA</w:t>
            </w:r>
          </w:p>
        </w:tc>
        <w:tc>
          <w:tcPr>
            <w:tcW w:type="dxa" w:w="780"/>
          </w:tcPr>
          <w:p>
            <w:r>
              <w:rPr>
                <w:sz w:val="20"/>
              </w:rPr>
              <w:t>Baisse production HA</w:t>
            </w:r>
          </w:p>
        </w:tc>
        <w:tc>
          <w:tcPr>
            <w:tcW w:type="dxa" w:w="780"/>
          </w:tcPr>
          <w:p>
            <w:r>
              <w:rPr>
                <w:sz w:val="20"/>
              </w:rPr>
              <w:t>↑ Voie uvéo-sclérale</w:t>
            </w:r>
          </w:p>
        </w:tc>
        <w:tc>
          <w:tcPr>
            <w:tcW w:type="dxa" w:w="780"/>
          </w:tcPr>
          <w:p>
            <w:r>
              <w:rPr>
                <w:sz w:val="20"/>
              </w:rPr>
              <w:t>↑ Voie uvéo-sclérale</w:t>
            </w:r>
          </w:p>
        </w:tc>
        <w:tc>
          <w:tcPr>
            <w:tcW w:type="dxa" w:w="780"/>
          </w:tcPr>
          <w:p>
            <w:r>
              <w:rPr>
                <w:sz w:val="20"/>
              </w:rPr>
              <w:t>↑ Voie uvéo-sclérale + baisse production</w:t>
            </w:r>
          </w:p>
        </w:tc>
        <w:tc>
          <w:tcPr>
            <w:tcW w:type="dxa" w:w="780"/>
          </w:tcPr>
          <w:p>
            <w:r>
              <w:rPr>
                <w:sz w:val="20"/>
              </w:rPr>
              <w:t>Baisse production HA</w:t>
            </w:r>
          </w:p>
        </w:tc>
        <w:tc>
          <w:tcPr>
            <w:tcW w:type="dxa" w:w="780"/>
          </w:tcPr>
          <w:p>
            <w:r>
              <w:rPr>
                <w:sz w:val="20"/>
              </w:rPr>
              <w:t>Baisse production HA</w:t>
            </w:r>
          </w:p>
        </w:tc>
        <w:tc>
          <w:tcPr>
            <w:tcW w:type="dxa" w:w="780"/>
          </w:tcPr>
          <w:p>
            <w:r>
              <w:rPr>
                <w:sz w:val="20"/>
              </w:rPr>
              <w:t>Baisse production HA</w:t>
            </w:r>
          </w:p>
        </w:tc>
        <w:tc>
          <w:tcPr>
            <w:tcW w:type="dxa" w:w="780"/>
          </w:tcPr>
          <w:p>
            <w:r>
              <w:rPr>
                <w:sz w:val="20"/>
              </w:rPr>
              <w:t>Baisse production HA</w:t>
            </w:r>
          </w:p>
        </w:tc>
        <w:tc>
          <w:tcPr>
            <w:tcW w:type="dxa" w:w="780"/>
          </w:tcPr>
          <w:p>
            <w:r>
              <w:rPr>
                <w:sz w:val="20"/>
              </w:rPr>
              <w:t>↑ Voie trabéculaire + myosis</w:t>
            </w:r>
          </w:p>
        </w:tc>
      </w:tr>
      <w:tr>
        <w:tc>
          <w:tcPr>
            <w:tcW w:type="dxa" w:w="780"/>
          </w:tcPr>
          <w:p>
            <w:r>
              <w:rPr>
                <w:sz w:val="20"/>
              </w:rPr>
              <w:t>**CI absolue**</w:t>
            </w:r>
          </w:p>
        </w:tc>
        <w:tc>
          <w:tcPr>
            <w:tcW w:type="dxa" w:w="780"/>
          </w:tcPr>
          <w:p>
            <w:r>
              <w:rPr>
                <w:sz w:val="20"/>
              </w:rPr>
              <w:t>Asthme, BPCO, bradycardie, BAV, IC décompensée</w:t>
            </w:r>
          </w:p>
        </w:tc>
        <w:tc>
          <w:tcPr>
            <w:tcW w:type="dxa" w:w="780"/>
          </w:tcPr>
          <w:p>
            <w:r>
              <w:rPr>
                <w:sz w:val="20"/>
              </w:rPr>
              <w:t>Asthme, bradycardie, BAV, IC</w:t>
            </w:r>
          </w:p>
        </w:tc>
        <w:tc>
          <w:tcPr>
            <w:tcW w:type="dxa" w:w="780"/>
          </w:tcPr>
          <w:p>
            <w:r>
              <w:rPr>
                <w:sz w:val="20"/>
              </w:rPr>
              <w:t>Asthme, bradycardie, BAV, IC</w:t>
            </w:r>
          </w:p>
        </w:tc>
        <w:tc>
          <w:tcPr>
            <w:tcW w:type="dxa" w:w="780"/>
          </w:tcPr>
          <w:p>
            <w:r>
              <w:rPr>
                <w:sz w:val="20"/>
              </w:rPr>
              <w:t>Grossesse, pseudophakie avec rupture capsulaire</w:t>
            </w:r>
          </w:p>
        </w:tc>
        <w:tc>
          <w:tcPr>
            <w:tcW w:type="dxa" w:w="780"/>
          </w:tcPr>
          <w:p>
            <w:r>
              <w:rPr>
                <w:sz w:val="20"/>
              </w:rPr>
              <w:t>Grossesse, pseudophakie</w:t>
            </w:r>
          </w:p>
        </w:tc>
        <w:tc>
          <w:tcPr>
            <w:tcW w:type="dxa" w:w="780"/>
          </w:tcPr>
          <w:p>
            <w:r>
              <w:rPr>
                <w:sz w:val="20"/>
              </w:rPr>
              <w:t>Grossesse, pseudophakie</w:t>
            </w:r>
          </w:p>
        </w:tc>
        <w:tc>
          <w:tcPr>
            <w:tcW w:type="dxa" w:w="780"/>
          </w:tcPr>
          <w:p>
            <w:r>
              <w:rPr>
                <w:sz w:val="20"/>
              </w:rPr>
              <w:t>IMAO, phéochromocytome, grossesse</w:t>
            </w:r>
          </w:p>
        </w:tc>
        <w:tc>
          <w:tcPr>
            <w:tcW w:type="dxa" w:w="780"/>
          </w:tcPr>
          <w:p>
            <w:r>
              <w:rPr>
                <w:sz w:val="20"/>
              </w:rPr>
              <w:t>Sulfamide, IR sévère</w:t>
            </w:r>
          </w:p>
        </w:tc>
        <w:tc>
          <w:tcPr>
            <w:tcW w:type="dxa" w:w="780"/>
          </w:tcPr>
          <w:p>
            <w:r>
              <w:rPr>
                <w:sz w:val="20"/>
              </w:rPr>
              <w:t>Sulfamide, IR sévère</w:t>
            </w:r>
          </w:p>
        </w:tc>
        <w:tc>
          <w:tcPr>
            <w:tcW w:type="dxa" w:w="780"/>
          </w:tcPr>
          <w:p>
            <w:r>
              <w:rPr>
                <w:sz w:val="20"/>
              </w:rPr>
              <w:t>Sulfamide, IR sévère, IH sévère, acidose</w:t>
            </w:r>
          </w:p>
        </w:tc>
        <w:tc>
          <w:tcPr>
            <w:tcW w:type="dxa" w:w="780"/>
          </w:tcPr>
          <w:p>
            <w:r>
              <w:rPr>
                <w:sz w:val="20"/>
              </w:rPr>
              <w:t>GAO, myopie forte, inflammation intraoculaire</w:t>
            </w:r>
          </w:p>
        </w:tc>
      </w:tr>
      <w:tr>
        <w:tc>
          <w:tcPr>
            <w:tcW w:type="dxa" w:w="780"/>
          </w:tcPr>
          <w:p>
            <w:r>
              <w:rPr>
                <w:sz w:val="20"/>
              </w:rPr>
              <w:t>**EI locaux majeurs**</w:t>
            </w:r>
          </w:p>
        </w:tc>
        <w:tc>
          <w:tcPr>
            <w:tcW w:type="dxa" w:w="780"/>
          </w:tcPr>
          <w:p>
            <w:r>
              <w:rPr>
                <w:sz w:val="20"/>
              </w:rPr>
              <w:t>Sécheresse, allergie, kératite</w:t>
            </w:r>
          </w:p>
        </w:tc>
        <w:tc>
          <w:tcPr>
            <w:tcW w:type="dxa" w:w="780"/>
          </w:tcPr>
          <w:p>
            <w:r>
              <w:rPr>
                <w:sz w:val="20"/>
              </w:rPr>
              <w:t>Idem timolol</w:t>
            </w:r>
          </w:p>
        </w:tc>
        <w:tc>
          <w:tcPr>
            <w:tcW w:type="dxa" w:w="780"/>
          </w:tcPr>
          <w:p>
            <w:r>
              <w:rPr>
                <w:sz w:val="20"/>
              </w:rPr>
              <w:t>Idem timolol</w:t>
            </w:r>
          </w:p>
        </w:tc>
        <w:tc>
          <w:tcPr>
            <w:tcW w:type="dxa" w:w="780"/>
          </w:tcPr>
          <w:p>
            <w:r>
              <w:rPr>
                <w:sz w:val="20"/>
              </w:rPr>
              <w:t>Hyperhémie, pigmentation iris, hypertrichose</w:t>
            </w:r>
          </w:p>
        </w:tc>
        <w:tc>
          <w:tcPr>
            <w:tcW w:type="dxa" w:w="780"/>
          </w:tcPr>
          <w:p>
            <w:r>
              <w:rPr>
                <w:sz w:val="20"/>
              </w:rPr>
              <w:t>Idem latanoprost</w:t>
            </w:r>
          </w:p>
        </w:tc>
        <w:tc>
          <w:tcPr>
            <w:tcW w:type="dxa" w:w="780"/>
          </w:tcPr>
          <w:p>
            <w:r>
              <w:rPr>
                <w:sz w:val="20"/>
              </w:rPr>
              <w:t>Idem latanoprost + hyperhémie plus marquée</w:t>
            </w:r>
          </w:p>
        </w:tc>
        <w:tc>
          <w:tcPr>
            <w:tcW w:type="dxa" w:w="780"/>
          </w:tcPr>
          <w:p>
            <w:r>
              <w:rPr>
                <w:sz w:val="20"/>
              </w:rPr>
              <w:t>—</w:t>
            </w:r>
          </w:p>
        </w:tc>
        <w:tc>
          <w:tcPr>
            <w:tcW w:type="dxa" w:w="780"/>
          </w:tcPr>
          <w:p>
            <w:r>
              <w:rPr>
                <w:sz w:val="20"/>
              </w:rPr>
              <w:t>Brûlure, goût amer, allergie</w:t>
            </w:r>
          </w:p>
        </w:tc>
        <w:tc>
          <w:tcPr>
            <w:tcW w:type="dxa" w:w="780"/>
          </w:tcPr>
          <w:p>
            <w:r>
              <w:rPr>
                <w:sz w:val="20"/>
              </w:rPr>
              <w:t>Brûlure, vision floue (suspension)</w:t>
            </w:r>
          </w:p>
        </w:tc>
        <w:tc>
          <w:tcPr>
            <w:tcW w:type="dxa" w:w="780"/>
          </w:tcPr>
          <w:p>
            <w:r>
              <w:rPr>
                <w:sz w:val="20"/>
              </w:rPr>
              <w:t>—</w:t>
            </w:r>
          </w:p>
        </w:tc>
        <w:tc>
          <w:tcPr>
            <w:tcW w:type="dxa" w:w="780"/>
          </w:tcPr>
          <w:p>
            <w:r>
              <w:rPr>
                <w:sz w:val="20"/>
              </w:rPr>
              <w:t>Myosis, spasme accommodatif</w:t>
            </w:r>
          </w:p>
        </w:tc>
      </w:tr>
      <w:tr>
        <w:tc>
          <w:tcPr>
            <w:tcW w:type="dxa" w:w="780"/>
          </w:tcPr>
          <w:p>
            <w:r>
              <w:rPr>
                <w:sz w:val="20"/>
              </w:rPr>
              <w:t>**EI systémiques majeurs**</w:t>
            </w:r>
          </w:p>
        </w:tc>
        <w:tc>
          <w:tcPr>
            <w:tcW w:type="dxa" w:w="780"/>
          </w:tcPr>
          <w:p>
            <w:r>
              <w:rPr>
                <w:sz w:val="20"/>
              </w:rPr>
              <w:t>Bradycardie, bronchospasme, dépression, masquage hypoglycémie</w:t>
            </w:r>
          </w:p>
        </w:tc>
        <w:tc>
          <w:tcPr>
            <w:tcW w:type="dxa" w:w="780"/>
          </w:tcPr>
          <w:p>
            <w:r>
              <w:rPr>
                <w:sz w:val="20"/>
              </w:rPr>
              <w:t>Idem moindre</w:t>
            </w:r>
          </w:p>
        </w:tc>
        <w:tc>
          <w:tcPr>
            <w:tcW w:type="dxa" w:w="780"/>
          </w:tcPr>
          <w:p>
            <w:r>
              <w:rPr>
                <w:sz w:val="20"/>
              </w:rPr>
              <w:t>Idem moindre (ASI)</w:t>
            </w:r>
          </w:p>
        </w:tc>
        <w:tc>
          <w:tcPr>
            <w:tcW w:type="dxa" w:w="780"/>
          </w:tcPr>
          <w:p>
            <w:r>
              <w:rPr>
                <w:sz w:val="20"/>
              </w:rPr>
              <w:t>Céphalées, arthralgies</w:t>
            </w:r>
          </w:p>
        </w:tc>
        <w:tc>
          <w:tcPr>
            <w:tcW w:type="dxa" w:w="780"/>
          </w:tcPr>
          <w:p>
            <w:r>
              <w:rPr>
                <w:sz w:val="20"/>
              </w:rPr>
              <w:t>Céphalées, arthralgies</w:t>
            </w:r>
          </w:p>
        </w:tc>
        <w:tc>
          <w:tcPr>
            <w:tcW w:type="dxa" w:w="780"/>
          </w:tcPr>
          <w:p>
            <w:r>
              <w:rPr>
                <w:sz w:val="20"/>
              </w:rPr>
              <w:t>Céphalées, arthralgies</w:t>
            </w:r>
          </w:p>
        </w:tc>
        <w:tc>
          <w:tcPr>
            <w:tcW w:type="dxa" w:w="780"/>
          </w:tcPr>
          <w:p>
            <w:r>
              <w:rPr>
                <w:sz w:val="20"/>
              </w:rPr>
              <w:t>Somnolence, hypotension, rebond à l'arrêt</w:t>
            </w:r>
          </w:p>
        </w:tc>
        <w:tc>
          <w:tcPr>
            <w:tcW w:type="dxa" w:w="780"/>
          </w:tcPr>
          <w:p>
            <w:r>
              <w:rPr>
                <w:sz w:val="20"/>
              </w:rPr>
              <w:t>Goût amer, acidose (rare)</w:t>
            </w:r>
          </w:p>
        </w:tc>
        <w:tc>
          <w:tcPr>
            <w:tcW w:type="dxa" w:w="780"/>
          </w:tcPr>
          <w:p>
            <w:r>
              <w:rPr>
                <w:sz w:val="20"/>
              </w:rPr>
              <w:t>Goût amer, acidose (rare)</w:t>
            </w:r>
          </w:p>
        </w:tc>
        <w:tc>
          <w:tcPr>
            <w:tcW w:type="dxa" w:w="780"/>
          </w:tcPr>
          <w:p>
            <w:r>
              <w:rPr>
                <w:sz w:val="20"/>
              </w:rPr>
              <w:t>Paresthésies, acidose métabolique, hypokaliémie, lithiase</w:t>
            </w:r>
          </w:p>
        </w:tc>
        <w:tc>
          <w:tcPr>
            <w:tcW w:type="dxa" w:w="780"/>
          </w:tcPr>
          <w:p>
            <w:r>
              <w:rPr>
                <w:sz w:val="20"/>
              </w:rPr>
              <w:t>Hypersudation, hypersialorrhée, bradycardie, bronchospasme</w:t>
            </w:r>
          </w:p>
        </w:tc>
      </w:tr>
      <w:tr>
        <w:tc>
          <w:tcPr>
            <w:tcW w:type="dxa" w:w="780"/>
          </w:tcPr>
          <w:p>
            <w:r>
              <w:rPr>
                <w:sz w:val="20"/>
              </w:rPr>
              <w:t>**Grossesse**</w:t>
            </w:r>
          </w:p>
        </w:tc>
        <w:tc>
          <w:tcPr>
            <w:tcW w:type="dxa" w:w="780"/>
          </w:tcPr>
          <w:p>
            <w:r>
              <w:rPr>
                <w:sz w:val="20"/>
              </w:rPr>
              <w:t>À éviter 2e-3e trimestre</w:t>
            </w:r>
          </w:p>
        </w:tc>
        <w:tc>
          <w:tcPr>
            <w:tcW w:type="dxa" w:w="780"/>
          </w:tcPr>
          <w:p>
            <w:r>
              <w:rPr>
                <w:sz w:val="20"/>
              </w:rPr>
              <w:t>À éviter 2e-3e trimestre</w:t>
            </w:r>
          </w:p>
        </w:tc>
        <w:tc>
          <w:tcPr>
            <w:tcW w:type="dxa" w:w="780"/>
          </w:tcPr>
          <w:p>
            <w:r>
              <w:rPr>
                <w:sz w:val="20"/>
              </w:rPr>
              <w:t>À éviter 2e-3e trimestre</w:t>
            </w:r>
          </w:p>
        </w:tc>
        <w:tc>
          <w:tcPr>
            <w:tcW w:type="dxa" w:w="780"/>
          </w:tcPr>
          <w:p>
            <w:r>
              <w:rPr>
                <w:sz w:val="20"/>
              </w:rPr>
              <w:t>À éviter (utérotonique théorique)</w:t>
            </w:r>
          </w:p>
        </w:tc>
        <w:tc>
          <w:tcPr>
            <w:tcW w:type="dxa" w:w="780"/>
          </w:tcPr>
          <w:p>
            <w:r>
              <w:rPr>
                <w:sz w:val="20"/>
              </w:rPr>
              <w:t>À éviter</w:t>
            </w:r>
          </w:p>
        </w:tc>
        <w:tc>
          <w:tcPr>
            <w:tcW w:type="dxa" w:w="780"/>
          </w:tcPr>
          <w:p>
            <w:r>
              <w:rPr>
                <w:sz w:val="20"/>
              </w:rPr>
              <w:t>À éviter</w:t>
            </w:r>
          </w:p>
        </w:tc>
        <w:tc>
          <w:tcPr>
            <w:tcW w:type="dxa" w:w="780"/>
          </w:tcPr>
          <w:p>
            <w:r>
              <w:rPr>
                <w:sz w:val="20"/>
              </w:rPr>
              <w:t>À éviter (tératogène théorique)</w:t>
            </w:r>
          </w:p>
        </w:tc>
        <w:tc>
          <w:tcPr>
            <w:tcW w:type="dxa" w:w="780"/>
          </w:tcPr>
          <w:p>
            <w:r>
              <w:rPr>
                <w:sz w:val="20"/>
              </w:rPr>
              <w:t>À éviter (sulfamide)</w:t>
            </w:r>
          </w:p>
        </w:tc>
        <w:tc>
          <w:tcPr>
            <w:tcW w:type="dxa" w:w="780"/>
          </w:tcPr>
          <w:p>
            <w:r>
              <w:rPr>
                <w:sz w:val="20"/>
              </w:rPr>
              <w:t>À éviter (sulfamide)</w:t>
            </w:r>
          </w:p>
        </w:tc>
        <w:tc>
          <w:tcPr>
            <w:tcW w:type="dxa" w:w="780"/>
          </w:tcPr>
          <w:p>
            <w:r>
              <w:rPr>
                <w:sz w:val="20"/>
              </w:rPr>
              <w:t>À éviter (sulfamide)</w:t>
            </w:r>
          </w:p>
        </w:tc>
        <w:tc>
          <w:tcPr>
            <w:tcW w:type="dxa" w:w="780"/>
          </w:tcPr>
          <w:p>
            <w:r>
              <w:rPr>
                <w:sz w:val="20"/>
              </w:rPr>
              <w:t>À éviter (parasympathomimétique)</w:t>
            </w:r>
          </w:p>
        </w:tc>
      </w:tr>
      <w:tr>
        <w:tc>
          <w:tcPr>
            <w:tcW w:type="dxa" w:w="780"/>
          </w:tcPr>
          <w:p>
            <w:r>
              <w:rPr>
                <w:sz w:val="20"/>
              </w:rPr>
              <w:t>**Allaitement**</w:t>
            </w:r>
          </w:p>
        </w:tc>
        <w:tc>
          <w:tcPr>
            <w:tcW w:type="dxa" w:w="780"/>
          </w:tcPr>
          <w:p>
            <w:r>
              <w:rPr>
                <w:sz w:val="20"/>
              </w:rPr>
              <w:t>Surveillance nourrisson</w:t>
            </w:r>
          </w:p>
        </w:tc>
        <w:tc>
          <w:tcPr>
            <w:tcW w:type="dxa" w:w="780"/>
          </w:tcPr>
          <w:p>
            <w:r>
              <w:rPr>
                <w:sz w:val="20"/>
              </w:rPr>
              <w:t>Surveillance nourrisson</w:t>
            </w:r>
          </w:p>
        </w:tc>
        <w:tc>
          <w:tcPr>
            <w:tcW w:type="dxa" w:w="780"/>
          </w:tcPr>
          <w:p>
            <w:r>
              <w:rPr>
                <w:sz w:val="20"/>
              </w:rPr>
              <w:t>Surveillance nourrisson</w:t>
            </w:r>
          </w:p>
        </w:tc>
        <w:tc>
          <w:tcPr>
            <w:tcW w:type="dxa" w:w="780"/>
          </w:tcPr>
          <w:p>
            <w:r>
              <w:rPr>
                <w:sz w:val="20"/>
              </w:rPr>
              <w:t>À éviter (suspension allaitement)</w:t>
            </w:r>
          </w:p>
        </w:tc>
        <w:tc>
          <w:tcPr>
            <w:tcW w:type="dxa" w:w="780"/>
          </w:tcPr>
          <w:p>
            <w:r>
              <w:rPr>
                <w:sz w:val="20"/>
              </w:rPr>
              <w:t>À éviter</w:t>
            </w:r>
          </w:p>
        </w:tc>
        <w:tc>
          <w:tcPr>
            <w:tcW w:type="dxa" w:w="780"/>
          </w:tcPr>
          <w:p>
            <w:r>
              <w:rPr>
                <w:sz w:val="20"/>
              </w:rPr>
              <w:t>À éviter</w:t>
            </w:r>
          </w:p>
        </w:tc>
        <w:tc>
          <w:tcPr>
            <w:tcW w:type="dxa" w:w="780"/>
          </w:tcPr>
          <w:p>
            <w:r>
              <w:rPr>
                <w:sz w:val="20"/>
              </w:rPr>
              <w:t>À éviter (suspension allaitement)</w:t>
            </w:r>
          </w:p>
        </w:tc>
        <w:tc>
          <w:tcPr>
            <w:tcW w:type="dxa" w:w="780"/>
          </w:tcPr>
          <w:p>
            <w:r>
              <w:rPr>
                <w:sz w:val="20"/>
              </w:rPr>
              <w:t>À éviter</w:t>
            </w:r>
          </w:p>
        </w:tc>
        <w:tc>
          <w:tcPr>
            <w:tcW w:type="dxa" w:w="780"/>
          </w:tcPr>
          <w:p>
            <w:r>
              <w:rPr>
                <w:sz w:val="20"/>
              </w:rPr>
              <w:t>À éviter</w:t>
            </w:r>
          </w:p>
        </w:tc>
        <w:tc>
          <w:tcPr>
            <w:tcW w:type="dxa" w:w="780"/>
          </w:tcPr>
          <w:p>
            <w:r>
              <w:rPr>
                <w:sz w:val="20"/>
              </w:rPr>
              <w:t>À éviter (suspension 48-72h)</w:t>
            </w:r>
          </w:p>
        </w:tc>
        <w:tc>
          <w:tcPr>
            <w:tcW w:type="dxa" w:w="780"/>
          </w:tcPr>
          <w:p>
            <w:r>
              <w:rPr>
                <w:sz w:val="20"/>
              </w:rPr>
              <w:t>À éviter (suspension 48-72h)</w:t>
            </w:r>
          </w:p>
        </w:tc>
      </w:tr>
      <w:tr>
        <w:tc>
          <w:tcPr>
            <w:tcW w:type="dxa" w:w="780"/>
          </w:tcPr>
          <w:p>
            <w:r>
              <w:rPr>
                <w:sz w:val="20"/>
              </w:rPr>
              <w:t>**Coût mensuel Algérie (DA)**</w:t>
            </w:r>
          </w:p>
        </w:tc>
        <w:tc>
          <w:tcPr>
            <w:tcW w:type="dxa" w:w="780"/>
          </w:tcPr>
          <w:p>
            <w:r>
              <w:rPr>
                <w:sz w:val="20"/>
              </w:rPr>
              <w:t>250-400 (générique)</w:t>
            </w:r>
          </w:p>
        </w:tc>
        <w:tc>
          <w:tcPr>
            <w:tcW w:type="dxa" w:w="780"/>
          </w:tcPr>
          <w:p>
            <w:r>
              <w:rPr>
                <w:sz w:val="20"/>
              </w:rPr>
              <w:t>500-700</w:t>
            </w:r>
          </w:p>
        </w:tc>
        <w:tc>
          <w:tcPr>
            <w:tcW w:type="dxa" w:w="780"/>
          </w:tcPr>
          <w:p>
            <w:r>
              <w:rPr>
                <w:sz w:val="20"/>
              </w:rPr>
              <w:t>400-600</w:t>
            </w:r>
          </w:p>
        </w:tc>
        <w:tc>
          <w:tcPr>
            <w:tcW w:type="dxa" w:w="780"/>
          </w:tcPr>
          <w:p>
            <w:r>
              <w:rPr>
                <w:sz w:val="20"/>
              </w:rPr>
              <w:t>500-1500</w:t>
            </w:r>
          </w:p>
        </w:tc>
        <w:tc>
          <w:tcPr>
            <w:tcW w:type="dxa" w:w="780"/>
          </w:tcPr>
          <w:p>
            <w:r>
              <w:rPr>
                <w:sz w:val="20"/>
              </w:rPr>
              <w:t>700-1200</w:t>
            </w:r>
          </w:p>
        </w:tc>
        <w:tc>
          <w:tcPr>
            <w:tcW w:type="dxa" w:w="780"/>
          </w:tcPr>
          <w:p>
            <w:r>
              <w:rPr>
                <w:sz w:val="20"/>
              </w:rPr>
              <w:t>700-1200</w:t>
            </w:r>
          </w:p>
        </w:tc>
        <w:tc>
          <w:tcPr>
            <w:tcW w:type="dxa" w:w="780"/>
          </w:tcPr>
          <w:p>
            <w:r>
              <w:rPr>
                <w:sz w:val="20"/>
              </w:rPr>
              <w:t>200-400 (oral)</w:t>
            </w:r>
          </w:p>
        </w:tc>
        <w:tc>
          <w:tcPr>
            <w:tcW w:type="dxa" w:w="780"/>
          </w:tcPr>
          <w:p>
            <w:r>
              <w:rPr>
                <w:sz w:val="20"/>
              </w:rPr>
              <w:t>400-700</w:t>
            </w:r>
          </w:p>
        </w:tc>
        <w:tc>
          <w:tcPr>
            <w:tcW w:type="dxa" w:w="780"/>
          </w:tcPr>
          <w:p>
            <w:r>
              <w:rPr>
                <w:sz w:val="20"/>
              </w:rPr>
              <w:t>700-1200</w:t>
            </w:r>
          </w:p>
        </w:tc>
        <w:tc>
          <w:tcPr>
            <w:tcW w:type="dxa" w:w="780"/>
          </w:tcPr>
          <w:p>
            <w:r>
              <w:rPr>
                <w:sz w:val="20"/>
              </w:rPr>
              <w:t>300-500 (cp 250)</w:t>
            </w:r>
          </w:p>
        </w:tc>
        <w:tc>
          <w:tcPr>
            <w:tcW w:type="dxa" w:w="780"/>
          </w:tcPr>
          <w:p>
            <w:r>
              <w:rPr>
                <w:sz w:val="20"/>
              </w:rPr>
              <w:t>250-400</w:t>
            </w:r>
          </w:p>
        </w:tc>
      </w:tr>
      <w:tr>
        <w:tc>
          <w:tcPr>
            <w:tcW w:type="dxa" w:w="780"/>
          </w:tcPr>
          <w:p>
            <w:r>
              <w:rPr>
                <w:sz w:val="20"/>
              </w:rPr>
              <w:t>**Conservation après ouverture**</w:t>
            </w:r>
          </w:p>
        </w:tc>
        <w:tc>
          <w:tcPr>
            <w:tcW w:type="dxa" w:w="780"/>
          </w:tcPr>
          <w:p>
            <w:r>
              <w:rPr>
                <w:sz w:val="20"/>
              </w:rPr>
              <w:t>1 mois</w:t>
            </w:r>
          </w:p>
        </w:tc>
        <w:tc>
          <w:tcPr>
            <w:tcW w:type="dxa" w:w="780"/>
          </w:tcPr>
          <w:p>
            <w:r>
              <w:rPr>
                <w:sz w:val="20"/>
              </w:rPr>
              <w:t>1 mois</w:t>
            </w:r>
          </w:p>
        </w:tc>
        <w:tc>
          <w:tcPr>
            <w:tcW w:type="dxa" w:w="780"/>
          </w:tcPr>
          <w:p>
            <w:r>
              <w:rPr>
                <w:sz w:val="20"/>
              </w:rPr>
              <w:t>1 mois</w:t>
            </w:r>
          </w:p>
        </w:tc>
        <w:tc>
          <w:tcPr>
            <w:tcW w:type="dxa" w:w="780"/>
          </w:tcPr>
          <w:p>
            <w:r>
              <w:rPr>
                <w:sz w:val="20"/>
              </w:rPr>
              <w:t>1 mois (6 semaines pour Xalatan®)</w:t>
            </w:r>
          </w:p>
        </w:tc>
        <w:tc>
          <w:tcPr>
            <w:tcW w:type="dxa" w:w="780"/>
          </w:tcPr>
          <w:p>
            <w:r>
              <w:rPr>
                <w:sz w:val="20"/>
              </w:rPr>
              <w:t>1 mois</w:t>
            </w:r>
          </w:p>
        </w:tc>
        <w:tc>
          <w:tcPr>
            <w:tcW w:type="dxa" w:w="780"/>
          </w:tcPr>
          <w:p>
            <w:r>
              <w:rPr>
                <w:sz w:val="20"/>
              </w:rPr>
              <w:t>1 mois</w:t>
            </w:r>
          </w:p>
        </w:tc>
        <w:tc>
          <w:tcPr>
            <w:tcW w:type="dxa" w:w="780"/>
          </w:tcPr>
          <w:p>
            <w:r>
              <w:rPr>
                <w:sz w:val="20"/>
              </w:rPr>
              <w:t>—</w:t>
            </w:r>
          </w:p>
        </w:tc>
        <w:tc>
          <w:tcPr>
            <w:tcW w:type="dxa" w:w="780"/>
          </w:tcPr>
          <w:p>
            <w:r>
              <w:rPr>
                <w:sz w:val="20"/>
              </w:rPr>
              <w:t>1 mois</w:t>
            </w:r>
          </w:p>
        </w:tc>
        <w:tc>
          <w:tcPr>
            <w:tcW w:type="dxa" w:w="780"/>
          </w:tcPr>
          <w:p>
            <w:r>
              <w:rPr>
                <w:sz w:val="20"/>
              </w:rPr>
              <w:t>1 mois</w:t>
            </w:r>
          </w:p>
        </w:tc>
        <w:tc>
          <w:tcPr>
            <w:tcW w:type="dxa" w:w="780"/>
          </w:tcPr>
          <w:p>
            <w:r>
              <w:rPr>
                <w:sz w:val="20"/>
              </w:rPr>
              <w:t>3 ans (comprimé)</w:t>
            </w:r>
          </w:p>
        </w:tc>
        <w:tc>
          <w:tcPr>
            <w:tcW w:type="dxa" w:w="780"/>
          </w:tcPr>
          <w:p>
            <w:r>
              <w:rPr>
                <w:sz w:val="20"/>
              </w:rPr>
              <w:t>1 mois</w:t>
            </w:r>
          </w:p>
        </w:tc>
      </w:tr>
      <w:tr>
        <w:tc>
          <w:tcPr>
            <w:tcW w:type="dxa" w:w="780"/>
          </w:tcPr>
          <w:p>
            <w:r>
              <w:rPr>
                <w:sz w:val="20"/>
              </w:rPr>
              <w:t>**Spécialités actives en Algérie**</w:t>
            </w:r>
          </w:p>
        </w:tc>
        <w:tc>
          <w:tcPr>
            <w:tcW w:type="dxa" w:w="780"/>
          </w:tcPr>
          <w:p>
            <w:r>
              <w:rPr>
                <w:sz w:val="20"/>
              </w:rPr>
              <w:t>23</w:t>
            </w:r>
          </w:p>
        </w:tc>
        <w:tc>
          <w:tcPr>
            <w:tcW w:type="dxa" w:w="780"/>
          </w:tcPr>
          <w:p>
            <w:r>
              <w:rPr>
                <w:sz w:val="20"/>
              </w:rPr>
              <w:t>1</w:t>
            </w:r>
          </w:p>
        </w:tc>
        <w:tc>
          <w:tcPr>
            <w:tcW w:type="dxa" w:w="780"/>
          </w:tcPr>
          <w:p>
            <w:r>
              <w:rPr>
                <w:sz w:val="20"/>
              </w:rPr>
              <w:t>3</w:t>
            </w:r>
          </w:p>
        </w:tc>
        <w:tc>
          <w:tcPr>
            <w:tcW w:type="dxa" w:w="780"/>
          </w:tcPr>
          <w:p>
            <w:r>
              <w:rPr>
                <w:sz w:val="20"/>
              </w:rPr>
              <w:t>10</w:t>
            </w:r>
          </w:p>
        </w:tc>
        <w:tc>
          <w:tcPr>
            <w:tcW w:type="dxa" w:w="780"/>
          </w:tcPr>
          <w:p>
            <w:r>
              <w:rPr>
                <w:sz w:val="20"/>
              </w:rPr>
              <w:t>2</w:t>
            </w:r>
          </w:p>
        </w:tc>
        <w:tc>
          <w:tcPr>
            <w:tcW w:type="dxa" w:w="780"/>
          </w:tcPr>
          <w:p>
            <w:r>
              <w:rPr>
                <w:sz w:val="20"/>
              </w:rPr>
              <w:t>2</w:t>
            </w:r>
          </w:p>
        </w:tc>
        <w:tc>
          <w:tcPr>
            <w:tcW w:type="dxa" w:w="780"/>
          </w:tcPr>
          <w:p>
            <w:r>
              <w:rPr>
                <w:sz w:val="20"/>
              </w:rPr>
              <w:t>4 (clonidine systémique)</w:t>
            </w:r>
          </w:p>
        </w:tc>
        <w:tc>
          <w:tcPr>
            <w:tcW w:type="dxa" w:w="780"/>
          </w:tcPr>
          <w:p>
            <w:r>
              <w:rPr>
                <w:sz w:val="20"/>
              </w:rPr>
              <w:t>8</w:t>
            </w:r>
          </w:p>
        </w:tc>
        <w:tc>
          <w:tcPr>
            <w:tcW w:type="dxa" w:w="780"/>
          </w:tcPr>
          <w:p>
            <w:r>
              <w:rPr>
                <w:sz w:val="20"/>
              </w:rPr>
              <w:t>2</w:t>
            </w:r>
          </w:p>
        </w:tc>
        <w:tc>
          <w:tcPr>
            <w:tcW w:type="dxa" w:w="780"/>
          </w:tcPr>
          <w:p>
            <w:r>
              <w:rPr>
                <w:sz w:val="20"/>
              </w:rPr>
              <w:t>2</w:t>
            </w:r>
          </w:p>
        </w:tc>
        <w:tc>
          <w:tcPr>
            <w:tcW w:type="dxa" w:w="780"/>
          </w:tcPr>
          <w:p>
            <w:r>
              <w:rPr>
                <w:sz w:val="20"/>
              </w:rPr>
              <w:t>3</w:t>
            </w:r>
          </w:p>
        </w:tc>
      </w:tr>
      <w:tr>
        <w:tc>
          <w:tcPr>
            <w:tcW w:type="dxa" w:w="780"/>
          </w:tcPr>
          <w:p>
            <w:r>
              <w:rPr>
                <w:sz w:val="20"/>
              </w:rPr>
              <w:t>**Spécialités non renouvelées / retirées en Algérie**</w:t>
            </w:r>
          </w:p>
        </w:tc>
        <w:tc>
          <w:tcPr>
            <w:tcW w:type="dxa" w:w="780"/>
          </w:tcPr>
          <w:p>
            <w:r>
              <w:rPr>
                <w:sz w:val="20"/>
              </w:rPr>
              <w:t>12</w:t>
            </w:r>
          </w:p>
        </w:tc>
        <w:tc>
          <w:tcPr>
            <w:tcW w:type="dxa" w:w="780"/>
          </w:tcPr>
          <w:p>
            <w:r>
              <w:rPr>
                <w:sz w:val="20"/>
              </w:rPr>
              <w:t>1</w:t>
            </w:r>
          </w:p>
        </w:tc>
        <w:tc>
          <w:tcPr>
            <w:tcW w:type="dxa" w:w="780"/>
          </w:tcPr>
          <w:p>
            <w:r>
              <w:rPr>
                <w:sz w:val="20"/>
              </w:rPr>
              <w:t>1</w:t>
            </w:r>
          </w:p>
        </w:tc>
        <w:tc>
          <w:tcPr>
            <w:tcW w:type="dxa" w:w="780"/>
          </w:tcPr>
          <w:p>
            <w:r>
              <w:rPr>
                <w:sz w:val="20"/>
              </w:rPr>
              <w:t>0</w:t>
            </w:r>
          </w:p>
        </w:tc>
        <w:tc>
          <w:tcPr>
            <w:tcW w:type="dxa" w:w="780"/>
          </w:tcPr>
          <w:p>
            <w:r>
              <w:rPr>
                <w:sz w:val="20"/>
              </w:rPr>
              <w:t>1</w:t>
            </w:r>
          </w:p>
        </w:tc>
        <w:tc>
          <w:tcPr>
            <w:tcW w:type="dxa" w:w="780"/>
          </w:tcPr>
          <w:p>
            <w:r>
              <w:rPr>
                <w:sz w:val="20"/>
              </w:rPr>
              <w:t>0</w:t>
            </w:r>
          </w:p>
        </w:tc>
        <w:tc>
          <w:tcPr>
            <w:tcW w:type="dxa" w:w="780"/>
          </w:tcPr>
          <w:p>
            <w:r>
              <w:rPr>
                <w:sz w:val="20"/>
              </w:rPr>
              <w:t>3</w:t>
            </w:r>
          </w:p>
        </w:tc>
        <w:tc>
          <w:tcPr>
            <w:tcW w:type="dxa" w:w="780"/>
          </w:tcPr>
          <w:p>
            <w:r>
              <w:rPr>
                <w:sz w:val="20"/>
              </w:rPr>
              <w:t>1</w:t>
            </w:r>
          </w:p>
        </w:tc>
        <w:tc>
          <w:tcPr>
            <w:tcW w:type="dxa" w:w="780"/>
          </w:tcPr>
          <w:p>
            <w:r>
              <w:rPr>
                <w:sz w:val="20"/>
              </w:rPr>
              <w:t>0</w:t>
            </w:r>
          </w:p>
        </w:tc>
        <w:tc>
          <w:tcPr>
            <w:tcW w:type="dxa" w:w="780"/>
          </w:tcPr>
          <w:p>
            <w:r>
              <w:rPr>
                <w:sz w:val="20"/>
              </w:rPr>
              <w:t>6</w:t>
            </w:r>
          </w:p>
        </w:tc>
        <w:tc>
          <w:tcPr>
            <w:tcW w:type="dxa" w:w="780"/>
          </w:tcPr>
          <w:p>
            <w:r>
              <w:rPr>
                <w:sz w:val="20"/>
              </w:rPr>
              <w:t>6</w:t>
            </w:r>
          </w:p>
        </w:tc>
      </w:tr>
      <w:tr>
        <w:tc>
          <w:tcPr>
            <w:tcW w:type="dxa" w:w="780"/>
          </w:tcPr>
          <w:p>
            <w:r>
              <w:rPr>
                <w:sz w:val="20"/>
              </w:rPr>
              <w:t>**Forme sans conservateur en Algérie**</w:t>
            </w:r>
          </w:p>
        </w:tc>
        <w:tc>
          <w:tcPr>
            <w:tcW w:type="dxa" w:w="780"/>
          </w:tcPr>
          <w:p>
            <w:r>
              <w:rPr>
                <w:sz w:val="20"/>
              </w:rPr>
              <w:t>Oui (GELTIM LP)</w:t>
            </w:r>
          </w:p>
        </w:tc>
        <w:tc>
          <w:tcPr>
            <w:tcW w:type="dxa" w:w="780"/>
          </w:tcPr>
          <w:p>
            <w:r>
              <w:rPr>
                <w:sz w:val="20"/>
              </w:rPr>
              <w:t>Non</w:t>
            </w:r>
          </w:p>
        </w:tc>
        <w:tc>
          <w:tcPr>
            <w:tcW w:type="dxa" w:w="780"/>
          </w:tcPr>
          <w:p>
            <w:r>
              <w:rPr>
                <w:sz w:val="20"/>
              </w:rPr>
              <w:t>Non</w:t>
            </w:r>
          </w:p>
        </w:tc>
        <w:tc>
          <w:tcPr>
            <w:tcW w:type="dxa" w:w="780"/>
          </w:tcPr>
          <w:p>
            <w:r>
              <w:rPr>
                <w:sz w:val="20"/>
              </w:rPr>
              <w:t>Oui (MONOPROST)</w:t>
            </w:r>
          </w:p>
        </w:tc>
        <w:tc>
          <w:tcPr>
            <w:tcW w:type="dxa" w:w="780"/>
          </w:tcPr>
          <w:p>
            <w:r>
              <w:rPr>
                <w:sz w:val="20"/>
              </w:rPr>
              <w:t>Non</w:t>
            </w:r>
          </w:p>
        </w:tc>
        <w:tc>
          <w:tcPr>
            <w:tcW w:type="dxa" w:w="780"/>
          </w:tcPr>
          <w:p>
            <w:r>
              <w:rPr>
                <w:sz w:val="20"/>
              </w:rPr>
              <w:t>Non</w:t>
            </w:r>
          </w:p>
        </w:tc>
        <w:tc>
          <w:tcPr>
            <w:tcW w:type="dxa" w:w="780"/>
          </w:tcPr>
          <w:p>
            <w:r>
              <w:rPr>
                <w:sz w:val="20"/>
              </w:rPr>
              <w:t>—</w:t>
            </w:r>
          </w:p>
        </w:tc>
        <w:tc>
          <w:tcPr>
            <w:tcW w:type="dxa" w:w="780"/>
          </w:tcPr>
          <w:p>
            <w:r>
              <w:rPr>
                <w:sz w:val="20"/>
              </w:rPr>
              <w:t>Oui (ZOLAMIDE FREE)</w:t>
            </w:r>
          </w:p>
        </w:tc>
        <w:tc>
          <w:tcPr>
            <w:tcW w:type="dxa" w:w="780"/>
          </w:tcPr>
          <w:p>
            <w:r>
              <w:rPr>
                <w:sz w:val="20"/>
              </w:rPr>
              <w:t>Non</w:t>
            </w:r>
          </w:p>
        </w:tc>
        <w:tc>
          <w:tcPr>
            <w:tcW w:type="dxa" w:w="780"/>
          </w:tcPr>
          <w:p>
            <w:r>
              <w:rPr>
                <w:sz w:val="20"/>
              </w:rPr>
              <w:t>—</w:t>
            </w:r>
          </w:p>
        </w:tc>
        <w:tc>
          <w:tcPr>
            <w:tcW w:type="dxa" w:w="780"/>
          </w:tcPr>
          <w:p>
            <w:r>
              <w:rPr>
                <w:sz w:val="20"/>
              </w:rPr>
              <w:t>Non</w:t>
            </w:r>
          </w:p>
        </w:tc>
      </w:tr>
      <w:tr>
        <w:tc>
          <w:tcPr>
            <w:tcW w:type="dxa" w:w="780"/>
          </w:tcPr>
          <w:p>
            <w:r>
              <w:rPr>
                <w:sz w:val="20"/>
              </w:rPr>
              <w:t>**Position EGS 2023**</w:t>
            </w:r>
          </w:p>
        </w:tc>
        <w:tc>
          <w:tcPr>
            <w:tcW w:type="dxa" w:w="780"/>
          </w:tcPr>
          <w:p>
            <w:r>
              <w:rPr>
                <w:sz w:val="20"/>
              </w:rPr>
              <w:t>1ère intention si pas de CI respiratoire</w:t>
            </w:r>
          </w:p>
        </w:tc>
        <w:tc>
          <w:tcPr>
            <w:tcW w:type="dxa" w:w="780"/>
          </w:tcPr>
          <w:p>
            <w:r>
              <w:rPr>
                <w:sz w:val="20"/>
              </w:rPr>
              <w:t>Alternative si terrain respiratoire</w:t>
            </w:r>
          </w:p>
        </w:tc>
        <w:tc>
          <w:tcPr>
            <w:tcW w:type="dxa" w:w="780"/>
          </w:tcPr>
          <w:p>
            <w:r>
              <w:rPr>
                <w:sz w:val="20"/>
              </w:rPr>
              <w:t>Alternative si dyslipidémie</w:t>
            </w:r>
          </w:p>
        </w:tc>
        <w:tc>
          <w:tcPr>
            <w:tcW w:type="dxa" w:w="780"/>
          </w:tcPr>
          <w:p>
            <w:r>
              <w:rPr>
                <w:sz w:val="20"/>
              </w:rPr>
              <w:t>1ère intention (référence)</w:t>
            </w:r>
          </w:p>
        </w:tc>
        <w:tc>
          <w:tcPr>
            <w:tcW w:type="dxa" w:w="780"/>
          </w:tcPr>
          <w:p>
            <w:r>
              <w:rPr>
                <w:sz w:val="20"/>
              </w:rPr>
              <w:t>Alternative au latanoprost</w:t>
            </w:r>
          </w:p>
        </w:tc>
        <w:tc>
          <w:tcPr>
            <w:tcW w:type="dxa" w:w="780"/>
          </w:tcPr>
          <w:p>
            <w:r>
              <w:rPr>
                <w:sz w:val="20"/>
              </w:rPr>
              <w:t>Alternative au latanoprost</w:t>
            </w:r>
          </w:p>
        </w:tc>
        <w:tc>
          <w:tcPr>
            <w:tcW w:type="dxa" w:w="780"/>
          </w:tcPr>
          <w:p>
            <w:r>
              <w:rPr>
                <w:sz w:val="20"/>
              </w:rPr>
              <w:t>Hors AMM en Algérie</w:t>
            </w:r>
          </w:p>
        </w:tc>
        <w:tc>
          <w:tcPr>
            <w:tcW w:type="dxa" w:w="780"/>
          </w:tcPr>
          <w:p>
            <w:r>
              <w:rPr>
                <w:sz w:val="20"/>
              </w:rPr>
              <w:t>2ème-3ème intention ou bithérapie</w:t>
            </w:r>
          </w:p>
        </w:tc>
        <w:tc>
          <w:tcPr>
            <w:tcW w:type="dxa" w:w="780"/>
          </w:tcPr>
          <w:p>
            <w:r>
              <w:rPr>
                <w:sz w:val="20"/>
              </w:rPr>
              <w:t>Alternative au dorzolamide</w:t>
            </w:r>
          </w:p>
        </w:tc>
        <w:tc>
          <w:tcPr>
            <w:tcW w:type="dxa" w:w="780"/>
          </w:tcPr>
          <w:p>
            <w:r>
              <w:rPr>
                <w:sz w:val="20"/>
              </w:rPr>
              <w:t>CAGFA / glaucome réfractaire (court terme)</w:t>
            </w:r>
          </w:p>
        </w:tc>
        <w:tc>
          <w:tcPr>
            <w:tcW w:type="dxa" w:w="780"/>
          </w:tcPr>
          <w:p>
            <w:r>
              <w:rPr>
                <w:sz w:val="20"/>
              </w:rPr>
              <w:t>CAGFA / glaucome par bloc pupillaire</w:t>
            </w:r>
          </w:p>
        </w:tc>
      </w:tr>
    </w:tbl>
    <w:p/>
    <w:p>
      <w:pPr>
        <w:pStyle w:val="Heading2"/>
      </w:pPr>
      <w:r>
        <w:t>141.23 Synthèse pédagogique — 12 messages clés</w:t>
      </w:r>
    </w:p>
    <w:p>
      <w:pPr>
        <w:pStyle w:val="ListNumber"/>
      </w:pPr>
      <w:r/>
      <w:r>
        <w:rPr>
          <w:b/>
        </w:rPr>
        <w:t>Le glaucome est une neuropathie optique chronique</w:t>
      </w:r>
      <w:r>
        <w:t xml:space="preserve"> dont le facteur de risque modifiable principal est la pression intraoculaire (PIO). Le traitement médical hypotonisant est le pilier de la prise en charge en Algérie.</w:t>
      </w:r>
    </w:p>
    <w:p>
      <w:pPr>
        <w:pStyle w:val="ListNumber"/>
      </w:pPr>
      <w:r/>
      <w:r>
        <w:rPr>
          <w:b/>
        </w:rPr>
        <w:t>Le latanoprost (Xalatan®, MONOPROST®, et 8 génériques) est la référence de première intention</w:t>
      </w:r>
      <w:r>
        <w:t xml:space="preserve"> dans le glaucome à angle ouvert en Algérie, en raison de son efficacité supérieure aux β-bloquants (baisse de 8 à 10 mmHg), de sa monoprise vespérale, et de son profil d'effets indésirables locaux plutôt que systémiques. Son coût mensuel (500-1500 DA) reste accessible.</w:t>
      </w:r>
    </w:p>
    <w:p>
      <w:pPr>
        <w:pStyle w:val="ListNumber"/>
      </w:pPr>
      <w:r/>
      <w:r>
        <w:rPr>
          <w:b/>
        </w:rPr>
        <w:t>Le timolol est l'alternative de première intention</w:t>
      </w:r>
      <w:r>
        <w:t xml:space="preserve"> en cas de CI aux prostaglandines (grossesse, pseudophakie avec rupture capsulaire), mais ses contre-indications absolues (asthme, BPCO, bradycardie, BAV, IC décompensée) doivent être systématiquement recherchées à l'officine.</w:t>
      </w:r>
    </w:p>
    <w:p>
      <w:pPr>
        <w:pStyle w:val="ListNumber"/>
      </w:pPr>
      <w:r/>
      <w:r>
        <w:rPr>
          <w:b/>
        </w:rPr>
        <w:t>Les β-bloquants ophtalmiques ne sont pas des collyres anodins</w:t>
      </w:r>
      <w:r>
        <w:t xml:space="preserve"> : la résorption naso-lacrymale (25-50 % de la dose) atteint des concentrations plasmatiques significatives (équivalentes à une dose orale de 1-2 mg de timolol), responsables d'effets systémiques mesurables (bradycardie, bronchospasme, masquage de l'hypoglycémie, dépression, dysfonction sexuelle). L'</w:t>
      </w:r>
      <w:r>
        <w:rPr>
          <w:b/>
        </w:rPr>
        <w:t>occlusion naso-lacrymale</w:t>
      </w:r>
      <w:r>
        <w:t xml:space="preserve"> pendant 1-2 minutes après instillation réduit de 50-70 % cette résorption.</w:t>
      </w:r>
    </w:p>
    <w:p>
      <w:pPr>
        <w:pStyle w:val="ListNumber"/>
      </w:pPr>
      <w:r/>
      <w:r>
        <w:rPr>
          <w:b/>
        </w:rPr>
        <w:t>Les prostaglandines (latanoprost, travoprost) et prostamides (bimatoprost) provoquent une modification irréversible de la pigmentation irienne</w:t>
      </w:r>
      <w:r>
        <w:t xml:space="preserve"> (5-15 % à 1 an), surtout chez les sujets iris mixtes (vert-brun, brun-ambré). Cette information doit être donnée au patient avant l'initiation, et une photo couleur de l'iris doit être prise à l'initiation pour surveillance.</w:t>
      </w:r>
    </w:p>
    <w:p>
      <w:pPr>
        <w:pStyle w:val="ListNumber"/>
      </w:pPr>
      <w:r/>
      <w:r>
        <w:rPr>
          <w:b/>
        </w:rPr>
        <w:t>L'apraclonidine et la brimonidine (agonistes α2-adrénergiques topiques) ne sont PAS disponibles en collyre en Algérie</w:t>
      </w:r>
      <w:r>
        <w:t>. La clonidine systémique (CLONIDEX, CRONIDINE, CATAPRESSAN NR) n'est pas utilisée comme hypotonisant oculaire en pratique courante (usage obsolète des années 1970-1980). En cas de nécessité absolue (CI à toutes les autres classes), importation ATU.</w:t>
      </w:r>
    </w:p>
    <w:p>
      <w:pPr>
        <w:pStyle w:val="ListNumber"/>
      </w:pPr>
      <w:r/>
      <w:r>
        <w:rPr>
          <w:b/>
        </w:rPr>
        <w:t>Le dorzolamide est le moins bien toléré des inhibiteurs de l'AC topiques</w:t>
      </w:r>
      <w:r>
        <w:t xml:space="preserve"> en raison de son pH acide (5,5-6,0) et de la fréquence du goût amer post-nasal (30-50 %). Le brinzolamide (Azopt®, BRITIL) est l'alternative de choix en cas d'intolérance (pH 7,5, suspension, mais vision floue transitoire). La forme sans conservateur (ZOLAMIDE FREE® Generic Lab) est disponible pour le dorzolamide.</w:t>
      </w:r>
    </w:p>
    <w:p>
      <w:pPr>
        <w:pStyle w:val="ListNumber"/>
      </w:pPr>
      <w:r/>
      <w:r>
        <w:rPr>
          <w:b/>
        </w:rPr>
        <w:t>L'acétazolamide oral (ACETAZOLAMIDE BR, LYNOX) reste disponible en Algérie</w:t>
      </w:r>
      <w:r>
        <w:t xml:space="preserve"> (250 mg comprimé), mais la forme injectable (Diamox® 500 mg IV) n'est plus commercialisée — en cas de crise aiguë de glaucome par fermeture d'angle nécessitant une voie IV, le mannitol 20 % est l'alternative de choix. L'acétazolamide est un sulfamide — CI absolue en cas d'allergie aux sulfamides, d'insuffisance rénale sévère, d'acidose métabolique préexistante.</w:t>
      </w:r>
    </w:p>
    <w:p>
      <w:pPr>
        <w:pStyle w:val="ListNumber"/>
      </w:pPr>
      <w:r/>
      <w:r>
        <w:rPr>
          <w:b/>
        </w:rPr>
        <w:t>La pilocarpine est le traitement d'attaque de la crise aiguë de glaucome par fermeture d'angle (CAGFA)</w:t>
      </w:r>
      <w:r>
        <w:t>, en association avec l'acétazolamide et la mannitol IV, en attendant l'iridotomie au laser. Elle ne doit PAS être instillée en phase initiale si la PIO est très élevée (&gt; 50 mmHg) — le sphincter irien est ischémique et ne répond pas ; il faut d'abord faire baisser la PIO par acétazolamide et mannitol, puis instiller la pilocarpine à la 2ème-4ème heure.</w:t>
      </w:r>
    </w:p>
    <w:p>
      <w:pPr>
        <w:pStyle w:val="ListNumber"/>
      </w:pPr>
      <w:r/>
      <w:r>
        <w:rPr>
          <w:b/>
        </w:rPr>
        <w:t>La conservation des collyres est de 1 mois après ouverture</w:t>
      </w:r>
      <w:r>
        <w:t xml:space="preserve"> pour la majorité des formes multidose (avec conservateur BAK), et de 6 semaines pour le Xalatan® princeps. Les formes unidoses sans conservateur (Monoprost®, Geltim LP®) se conservent 6 mois en sachet fermé, et chaque unidose est à usage unique. L'inscription de la date d'ouverture sur le flacon est une obligation pédagogique à remettre au patient.</w:t>
      </w:r>
    </w:p>
    <w:p>
      <w:pPr>
        <w:pStyle w:val="ListNumber"/>
      </w:pPr>
      <w:r/>
      <w:r>
        <w:rPr>
          <w:b/>
        </w:rPr>
        <w:t>Le chlorure de benzalkonium (BAK)</w:t>
      </w:r>
      <w:r>
        <w:t>, conservateur des collyres multidose, est toxique pour l'épithélium cornéen en usage prolongé (kératite ponctuée superficielle, syndrome sec aggravé) et se fixe sur les lentilles de contact souples (CI au port pendant le traitement). Les formes sans conservateur (Monoprost®, Geltim LP®, ZOLAMIDE FREE®) sont à privilégier en cas de syndrome sec, de port de lentilles, de chirurgie intraoculaire récente, ou d'intolérance au BAK.</w:t>
      </w:r>
    </w:p>
    <w:p>
      <w:pPr>
        <w:pStyle w:val="ListNumber"/>
      </w:pPr>
      <w:r/>
      <w:r>
        <w:rPr>
          <w:b/>
        </w:rPr>
        <w:t>L'éducation thérapeutique du patient glaucomateux est essentielle</w:t>
      </w:r>
      <w:r>
        <w:t xml:space="preserve"> : traitement chronique à vie, observance conditionne le pronostic visuel, surveillance ophtalmologique régulière (tonus, champ visuel, OCT), signaux d'alerte (baisse d'acuité visuelle, myodésopsie, scotome, douleur oculaire), ne jamais arrêter brutalement sans avis. Le pharmacien d'officine a un rôle majeur dans le suivi de l'observance, la détection des effets indésirables systémiques, et la coordination entre ophtalmologiste, médecin traitant, cardiologue, pneumologue.</w:t>
      </w:r>
    </w:p>
    <w:p>
      <w:pPr>
        <w:pStyle w:val="Heading2"/>
      </w:pPr>
      <w:r>
        <w:t>141.25 Annexes pratiques</w:t>
      </w:r>
    </w:p>
    <w:p>
      <w:pPr>
        <w:pStyle w:val="Heading3"/>
      </w:pPr>
      <w:r>
        <w:t>141.25.1 Algorithmes de choix thérapeutique en pratique algérienne</w:t>
      </w:r>
    </w:p>
    <w:p>
      <w:r/>
      <w:r>
        <w:rPr>
          <w:b/>
        </w:rPr>
        <w:t>Algorithme 1 — Patient naïf de traitement, glaucome à angle ouvert newly diagnostiqué</w:t>
      </w:r>
      <w:r/>
    </w:p>
    <w:p>
      <w:pPr>
        <w:pStyle w:val="ListNumber"/>
      </w:pPr>
      <w:r/>
      <w:r>
        <w:rPr>
          <w:b/>
        </w:rPr>
        <w:t>Étape 1 — Évaluation initiale</w:t>
      </w:r>
      <w:r>
        <w:t xml:space="preserve"> : PIO initiale, champ visuel (périmétrie standard automatisée SITA-Standard), OCT des fibres optiques, fond d'œil, examen à la lampe fente, gonioscopie (évaluation de l'angle)</w:t>
      </w:r>
    </w:p>
    <w:p>
      <w:pPr>
        <w:pStyle w:val="ListNumber"/>
      </w:pPr>
      <w:r/>
      <w:r>
        <w:rPr>
          <w:b/>
        </w:rPr>
        <w:t>Étape 2 — Calcul de la PIO cible</w:t>
      </w:r>
      <w:r>
        <w:t xml:space="preserve"> : PIO cible = PIO initiale - 30 % (environ), ou PIO ≤ 18 mmHg pour un glaucome débutant, ≤ 15 mmHg pour un glaucome modéré, ≤ 12 mmHg pour un glaucome avancé</w:t>
      </w:r>
    </w:p>
    <w:p>
      <w:pPr>
        <w:pStyle w:val="ListNumber"/>
      </w:pPr>
      <w:r/>
      <w:r>
        <w:rPr>
          <w:b/>
        </w:rPr>
        <w:t>Étape 3 — Choix de la monothérapie de première intention</w:t>
      </w:r>
      <w:r>
        <w:t xml:space="preserve"> :</w:t>
      </w:r>
    </w:p>
    <w:p>
      <w:pPr>
        <w:pStyle w:val="ListBullet"/>
      </w:pPr>
      <w:r>
        <w:t xml:space="preserve">En l'absence de CI (grossesse, pseudophakie avec rupture capsulaire) : </w:t>
      </w:r>
      <w:r>
        <w:rPr>
          <w:b/>
        </w:rPr>
        <w:t>latanoprost</w:t>
      </w:r>
      <w:r>
        <w:t xml:space="preserve"> 1 goutte 0,005 % × 1/jour le soir (référence EGS 2023, AAO PPP 2020)</w:t>
      </w:r>
    </w:p>
    <w:p>
      <w:pPr>
        <w:pStyle w:val="ListBullet"/>
      </w:pPr>
      <w:r>
        <w:t xml:space="preserve">En cas de CI aux prostaglandines : </w:t>
      </w:r>
      <w:r>
        <w:rPr>
          <w:b/>
        </w:rPr>
        <w:t>timolol</w:t>
      </w:r>
      <w:r>
        <w:t xml:space="preserve"> 1 goutte 0,5 % × 2/jour (en l'absence de CI respiratoire : asthme, BPCO ; cardiovasculaire : bradycardie &lt; 50 bpm, BAV, IC décompensée ; psychiatrique : dépression sévère ; métabolique : diabète déséquilibré)</w:t>
      </w:r>
    </w:p>
    <w:p>
      <w:pPr>
        <w:pStyle w:val="ListBullet"/>
      </w:pPr>
      <w:r>
        <w:t xml:space="preserve">En cas de CI aux prostaglandines ET au timolol : </w:t>
      </w:r>
      <w:r>
        <w:rPr>
          <w:b/>
        </w:rPr>
        <w:t>dorzolamide</w:t>
      </w:r>
      <w:r>
        <w:t xml:space="preserve"> 1 goutte 2 % × 3/jour (en l'absence d'allergie aux sulfamides, d'IR sévère)</w:t>
      </w:r>
    </w:p>
    <w:p>
      <w:pPr>
        <w:pStyle w:val="ListNumber"/>
      </w:pPr>
      <w:r/>
      <w:r>
        <w:rPr>
          <w:b/>
        </w:rPr>
        <w:t>Étape 4 — Surveillance à 4-6 semaines</w:t>
      </w:r>
      <w:r>
        <w:t xml:space="preserve"> : PIO, tolérance, observance. Si PIO cible non atteinte (PIO &gt; PIO cible + 2 mmHg), renforcer à bithérapie.</w:t>
      </w:r>
    </w:p>
    <w:p>
      <w:pPr>
        <w:pStyle w:val="ListNumber"/>
      </w:pPr>
      <w:r/>
      <w:r>
        <w:rPr>
          <w:b/>
        </w:rPr>
        <w:t>Étape 5 — Bithérapie</w:t>
      </w:r>
      <w:r>
        <w:t xml:space="preserve"> :</w:t>
      </w:r>
    </w:p>
    <w:p>
      <w:pPr>
        <w:pStyle w:val="ListBullet"/>
      </w:pPr>
      <w:r>
        <w:t>Association fixe dorzolamide + timolol (Cosopt® et 9 génériques) 1 goutte × 2/jour</w:t>
      </w:r>
    </w:p>
    <w:p>
      <w:pPr>
        <w:pStyle w:val="ListBullet"/>
      </w:pPr>
      <w:r>
        <w:t>Association fixe latanoprost + timolol (Xalacom®, LATADUO) 1 goutte × 1/jour le soir</w:t>
      </w:r>
    </w:p>
    <w:p>
      <w:pPr>
        <w:pStyle w:val="ListBullet"/>
      </w:pPr>
      <w:r>
        <w:t>Ou bithérapie libre : latanoprost + timolol (à 5 minutes d'intervalle)</w:t>
      </w:r>
    </w:p>
    <w:p>
      <w:pPr>
        <w:pStyle w:val="ListNumber"/>
      </w:pPr>
      <w:r/>
      <w:r>
        <w:rPr>
          <w:b/>
        </w:rPr>
        <w:t>Étape 6 — Trithérapie</w:t>
      </w:r>
      <w:r>
        <w:t xml:space="preserve"> : si bithérapie insuffisante, ajout d'un 3ème collyre (brinzolamide ou pilocarpine, selon le mécanisme du glaucome), puis discussion chirurgicale (trabéculoplastie SLT ou chirurgie filtrante)</w:t>
      </w:r>
    </w:p>
    <w:p>
      <w:r/>
      <w:r>
        <w:rPr>
          <w:b/>
        </w:rPr>
        <w:t>Algorithme 2 — Crise aiguë de glaucome par fermeture d'angle (CAGFA)</w:t>
      </w:r>
      <w:r/>
    </w:p>
    <w:p>
      <w:pPr>
        <w:pStyle w:val="ListNumber"/>
      </w:pPr>
      <w:r/>
      <w:r>
        <w:rPr>
          <w:b/>
        </w:rPr>
        <w:t>Étape 1 — Urgence ophtalmologique hospitalière</w:t>
      </w:r>
      <w:r>
        <w:t xml:space="preserve"> : orientation immédiate vers un service d'ophtalmologie hospitalier (CHU, hôpital régional)</w:t>
      </w:r>
    </w:p>
    <w:p>
      <w:pPr>
        <w:pStyle w:val="ListNumber"/>
      </w:pPr>
      <w:r/>
      <w:r>
        <w:rPr>
          <w:b/>
        </w:rPr>
        <w:t>Étape 2 — Traitement médical d'attaque</w:t>
      </w:r>
      <w:r>
        <w:t xml:space="preserve"> :</w:t>
      </w:r>
    </w:p>
    <w:p>
      <w:pPr>
        <w:pStyle w:val="ListBullet"/>
      </w:pPr>
      <w:r/>
      <w:r>
        <w:rPr>
          <w:b/>
        </w:rPr>
        <w:t>Acétazolamide 500 mg per os</w:t>
      </w:r>
      <w:r>
        <w:t xml:space="preserve"> en 1 prise (ou IV si forme disponible), puis 250 mg × 4/jour</w:t>
      </w:r>
    </w:p>
    <w:p>
      <w:pPr>
        <w:pStyle w:val="ListBullet"/>
      </w:pPr>
      <w:r/>
      <w:r>
        <w:rPr>
          <w:b/>
        </w:rPr>
        <w:t>Mannitol 20 % IV</w:t>
      </w:r>
      <w:r>
        <w:t xml:space="preserve"> 1-2 g/kg en IV lente sur 30-60 minutes (si PIO &gt; 50 mmHg ou acétazolamide CI)</w:t>
      </w:r>
    </w:p>
    <w:p>
      <w:pPr>
        <w:pStyle w:val="ListBullet"/>
      </w:pPr>
      <w:r/>
      <w:r>
        <w:rPr>
          <w:b/>
        </w:rPr>
        <w:t>Pilocarpine 2 %</w:t>
      </w:r>
      <w:r>
        <w:t xml:space="preserve"> : NON instiller en phase initiale si PIO &gt; 50 mmHg (sphincter ischémique) — instiller après la 2ème-4ème heure (après baisse de la PIO par acétazolamide et mannitol), protocole : 1 goutte × 4 (toutes les 15 minutes pendant 1 heure), puis toutes les heures pendant 4 heures, puis 4 fois/jour jusqu'à iridotomie</w:t>
      </w:r>
    </w:p>
    <w:p>
      <w:pPr>
        <w:pStyle w:val="ListBullet"/>
      </w:pPr>
      <w:r>
        <w:t>Traitement adjuvant : antiémétiques (les nausées sont fréquentes), antalgiques (douleur oculaire intense), anxiolytiques (angoisse du patient)</w:t>
      </w:r>
    </w:p>
    <w:p>
      <w:pPr>
        <w:pStyle w:val="ListNumber"/>
      </w:pPr>
      <w:r/>
      <w:r>
        <w:rPr>
          <w:b/>
        </w:rPr>
        <w:t>Étape 3 — Iridotomie au laser</w:t>
      </w:r>
      <w:r>
        <w:t xml:space="preserve"> (YAG ou argon) : traitement définitif de la CAGFA, à réaliser dans les 24-72 heures après le début de la crise, sur l'œil atteint et préventivement sur l'œil controlatéral</w:t>
      </w:r>
    </w:p>
    <w:p>
      <w:pPr>
        <w:pStyle w:val="ListNumber"/>
      </w:pPr>
      <w:r/>
      <w:r>
        <w:rPr>
          <w:b/>
        </w:rPr>
        <w:t>Étape 4 — Suite à l'iridotomie</w:t>
      </w:r>
      <w:r>
        <w:t xml:space="preserve"> : arrêt progressif de la pilocarpine et de l'acétazolamide sur 3-7 jours, surveillance PIO à 1 semaine, 1 mois, 3 mois, puis tous les 6 mois. Traitement hypotonisant au long cours si glaucome chronique associé (fréquent après CAGFA).</w:t>
      </w:r>
    </w:p>
    <w:p>
      <w:pPr>
        <w:pStyle w:val="Heading3"/>
      </w:pPr>
      <w:r>
        <w:t>141.25.2 Population spécifiques</w:t>
      </w:r>
    </w:p>
    <w:p>
      <w:r/>
      <w:r>
        <w:rPr>
          <w:b/>
        </w:rPr>
        <w:t>Sujet âgé (&gt; 75 ans)</w:t>
      </w:r>
      <w:r>
        <w:t xml:space="preserve"> :</w:t>
      </w:r>
    </w:p>
    <w:p>
      <w:pPr>
        <w:pStyle w:val="ListBullet"/>
      </w:pPr>
      <w:r>
        <w:t>Préférer le latanoprost (monoprise, peu d'effets systémiques) ou le timolol 0,25 % à dose réduite</w:t>
      </w:r>
    </w:p>
    <w:p>
      <w:pPr>
        <w:pStyle w:val="ListBullet"/>
      </w:pPr>
      <w:r>
        <w:t>Éviter la pilocarpine en raison du spasme accommodatif mal toléré (céphalées, myopie transitoire, risques de chute par trouble visuel)</w:t>
      </w:r>
    </w:p>
    <w:p>
      <w:pPr>
        <w:pStyle w:val="ListBullet"/>
      </w:pPr>
      <w:r>
        <w:t>Éviter l'acétazolamide oral en traitement prolongé (acidose, hypokaliémie, déshydratation)</w:t>
      </w:r>
    </w:p>
    <w:p>
      <w:pPr>
        <w:pStyle w:val="ListBullet"/>
      </w:pPr>
      <w:r>
        <w:t>Surveillance cardiorespiratoire accrue pour les β-bloquants (polymédication, interactions)</w:t>
      </w:r>
    </w:p>
    <w:p>
      <w:pPr>
        <w:pStyle w:val="ListBullet"/>
      </w:pPr>
      <w:r>
        <w:t>Évaluer la fonction rénale (DFG) avant tout inhibiteur de l'AC (CI absolue si DFG &lt; 30 mL/min)</w:t>
      </w:r>
    </w:p>
    <w:p>
      <w:pPr>
        <w:pStyle w:val="ListBullet"/>
      </w:pPr>
      <w:r>
        <w:t>Évaluer la capacité d'auto-administration (dextérité, vision) — proposer unidose si nécessaire</w:t>
      </w:r>
    </w:p>
    <w:p>
      <w:r/>
      <w:r>
        <w:rPr>
          <w:b/>
        </w:rPr>
        <w:t>Femme enceinte ou envisageant une grossesse</w:t>
      </w:r>
      <w:r>
        <w:t xml:space="preserve"> :</w:t>
      </w:r>
    </w:p>
    <w:p>
      <w:pPr>
        <w:pStyle w:val="ListBullet"/>
      </w:pPr>
      <w:r>
        <w:t>Latanoprost : CI absolue (risque théorique d'effet utérotonique des prostaglandines) — arrêter 1 mois avant conception</w:t>
      </w:r>
    </w:p>
    <w:p>
      <w:pPr>
        <w:pStyle w:val="ListBullet"/>
      </w:pPr>
      <w:r>
        <w:t>Timolol : à éviter au 2ᵉ et 3ᵉ trimestre (bradycardie fœtale, hypoglycémie néonatale) — possible au 1er trimestre sous surveillance</w:t>
      </w:r>
    </w:p>
    <w:p>
      <w:pPr>
        <w:pStyle w:val="ListBullet"/>
      </w:pPr>
      <w:r>
        <w:t>Dorzolamide, brinzolamide, acétazolamide : à éviter (sulfamide, risque tératogène théorique)</w:t>
      </w:r>
    </w:p>
    <w:p>
      <w:pPr>
        <w:pStyle w:val="ListBullet"/>
      </w:pPr>
      <w:r>
        <w:t>Pilocarpine : à éviter (parasympathomimétique — effet théorique sur le tonus utérin)</w:t>
      </w:r>
    </w:p>
    <w:p>
      <w:pPr>
        <w:pStyle w:val="ListBullet"/>
      </w:pPr>
      <w:r>
        <w:t>En cas de nécessité absolue : préférer le timolol au 1er trimestre, ou la brimonidine (non disponible en Algérie)</w:t>
      </w:r>
    </w:p>
    <w:p>
      <w:pPr>
        <w:pStyle w:val="ListBullet"/>
      </w:pPr>
      <w:r>
        <w:t>En cas de crise aiguë de glaucome par fermeture d'angle : acétazolamide oral en urgence (à éviter en principe, mais moindre mal), pilocarpine locale, mannitol IV, puis iridotomie au laser (préférable car définitif)</w:t>
      </w:r>
    </w:p>
    <w:p>
      <w:r/>
      <w:r>
        <w:rPr>
          <w:b/>
        </w:rPr>
        <w:t>Femme allaitante</w:t>
      </w:r>
      <w:r>
        <w:t xml:space="preserve"> :</w:t>
      </w:r>
    </w:p>
    <w:p>
      <w:pPr>
        <w:pStyle w:val="ListBullet"/>
      </w:pPr>
      <w:r>
        <w:t>Latanoprost, travoprost, bimatoprost : suspendre l'allaitement</w:t>
      </w:r>
    </w:p>
    <w:p>
      <w:pPr>
        <w:pStyle w:val="ListBullet"/>
      </w:pPr>
      <w:r>
        <w:t>Timolol : possible sous surveillance du nourrisson (bradycardie, hypoglycémie)</w:t>
      </w:r>
    </w:p>
    <w:p>
      <w:pPr>
        <w:pStyle w:val="ListBullet"/>
      </w:pPr>
      <w:r>
        <w:t>Dorzolamide, brinzolamide, acétazolamide : suspendre l'allaitement pendant le traitement (48-72 heures pour l'acétazolamide)</w:t>
      </w:r>
    </w:p>
    <w:p>
      <w:pPr>
        <w:pStyle w:val="ListBullet"/>
      </w:pPr>
      <w:r>
        <w:t>Pilocarpine : suspendre l'allaitement pendant le traitement (48-72 heures)</w:t>
      </w:r>
    </w:p>
    <w:p>
      <w:pPr>
        <w:pStyle w:val="ListBullet"/>
      </w:pPr>
      <w:r>
        <w:t>Préférer l'occlusion naso-lacrymale après instillation pour minimiser le passage systémique maternel</w:t>
      </w:r>
    </w:p>
    <w:p>
      <w:r/>
      <w:r>
        <w:rPr>
          <w:b/>
        </w:rPr>
        <w:t>Patient diabétique</w:t>
      </w:r>
      <w:r>
        <w:t xml:space="preserve"> :</w:t>
      </w:r>
    </w:p>
    <w:p>
      <w:pPr>
        <w:pStyle w:val="ListBullet"/>
      </w:pPr>
      <w:r>
        <w:t>Timolol : prudence (masquage des signes adrénergiques de l'hypoglycémie — tremblements, palpitations, anxiété — seule la sudation reste perceptible) ; surveillance glycémique renforcée</w:t>
      </w:r>
    </w:p>
    <w:p>
      <w:pPr>
        <w:pStyle w:val="ListBullet"/>
      </w:pPr>
      <w:r>
        <w:t>Latanoprost, travoprost, bimatoprost : pas d'effet métabolique notable</w:t>
      </w:r>
    </w:p>
    <w:p>
      <w:pPr>
        <w:pStyle w:val="ListBullet"/>
      </w:pPr>
      <w:r>
        <w:t>Dorzolamide, brinzolamide, acétazolamide : prudence (modification de la tolérance glucidique, hyperglycémie modeste)</w:t>
      </w:r>
    </w:p>
    <w:p>
      <w:pPr>
        <w:pStyle w:val="ListBullet"/>
      </w:pPr>
      <w:r>
        <w:t>Acétazolamide : surveillance glycémique (risque d'acidocétose)</w:t>
      </w:r>
    </w:p>
    <w:p>
      <w:r/>
      <w:r>
        <w:rPr>
          <w:b/>
        </w:rPr>
        <w:t>Patient asthmatique</w:t>
      </w:r>
      <w:r>
        <w:t xml:space="preserve"> :</w:t>
      </w:r>
    </w:p>
    <w:p>
      <w:pPr>
        <w:pStyle w:val="ListBullet"/>
      </w:pPr>
      <w:r>
        <w:t xml:space="preserve">β-bloquants ophtalmiques (timolol, bétaxolol, cartéolol) : </w:t>
      </w:r>
      <w:r>
        <w:rPr>
          <w:b/>
        </w:rPr>
        <w:t>CI absolue</w:t>
      </w:r>
      <w:r>
        <w:t xml:space="preserve"> (même le bétaxolol cardiosélectif)</w:t>
      </w:r>
    </w:p>
    <w:p>
      <w:pPr>
        <w:pStyle w:val="ListBullet"/>
      </w:pPr>
      <w:r>
        <w:t>Latanoprost, travoprost, bimatoprost : pas de CI absolue, prudence chez l'asthmatique sévère (signal pharmacovigilance)</w:t>
      </w:r>
    </w:p>
    <w:p>
      <w:pPr>
        <w:pStyle w:val="ListBullet"/>
      </w:pPr>
      <w:r>
        <w:t>Dorzolamide, brinzolamide : pas de CI respiratoire</w:t>
      </w:r>
    </w:p>
    <w:p>
      <w:pPr>
        <w:pStyle w:val="ListBullet"/>
      </w:pPr>
      <w:r>
        <w:t>Acétazolamide : prudence en cas de BPCO sévère (acidose respiratoire — risque d'aggravation par acidose métabolique additive)</w:t>
      </w:r>
    </w:p>
    <w:p>
      <w:pPr>
        <w:pStyle w:val="ListBullet"/>
      </w:pPr>
      <w:r>
        <w:t>Pilocarpine : prudence (parasympathomimétique — bronchospasme possible en cas d'absorption systémique)</w:t>
      </w:r>
    </w:p>
    <w:p>
      <w:r/>
      <w:r>
        <w:rPr>
          <w:b/>
        </w:rPr>
        <w:t>Patient insuffisant rénal</w:t>
      </w:r>
      <w:r>
        <w:t xml:space="preserve"> :</w:t>
      </w:r>
    </w:p>
    <w:p>
      <w:pPr>
        <w:pStyle w:val="ListBullet"/>
      </w:pPr>
      <w:r>
        <w:t>Latanoprost, travoprost, bimatoprost : pas d'adaptation posologique</w:t>
      </w:r>
    </w:p>
    <w:p>
      <w:pPr>
        <w:pStyle w:val="ListBullet"/>
      </w:pPr>
      <w:r>
        <w:t>Timolol, bétaxolol, cartéolol : pas d'adaptation posologique (élimination essentiellement hépatique)</w:t>
      </w:r>
    </w:p>
    <w:p>
      <w:pPr>
        <w:pStyle w:val="ListBullet"/>
      </w:pPr>
      <w:r>
        <w:t>Dorzolamide, brinzolamide : CI absolue si DFG &lt; 30 mL/min ; surveillance biologique si DFG 30-60 mL/min</w:t>
      </w:r>
    </w:p>
    <w:p>
      <w:pPr>
        <w:pStyle w:val="ListBullet"/>
      </w:pPr>
      <w:r>
        <w:t>Acétazolamide : CI absolue si DFG &lt; 30 mL/min ; surveillance biologique si DFG 30-60 mL/min</w:t>
      </w:r>
    </w:p>
    <w:p>
      <w:pPr>
        <w:pStyle w:val="ListBullet"/>
      </w:pPr>
      <w:r>
        <w:t>Pilocarpine : pas d'adaptation posologique</w:t>
      </w:r>
    </w:p>
    <w:p>
      <w:r/>
      <w:r>
        <w:rPr>
          <w:b/>
        </w:rPr>
        <w:t>Patient porteur de lentilles de contact</w:t>
      </w:r>
      <w:r>
        <w:t xml:space="preserve"> :</w:t>
      </w:r>
    </w:p>
    <w:p>
      <w:pPr>
        <w:pStyle w:val="ListBullet"/>
      </w:pPr>
      <w:r>
        <w:t>Tous les collyres avec conservateur (chlorure de benzalkonium) nécessitent le retrait des lentilles avant instillation et un délai de 15 minutes avant remise</w:t>
      </w:r>
    </w:p>
    <w:p>
      <w:pPr>
        <w:pStyle w:val="ListBullet"/>
      </w:pPr>
      <w:r>
        <w:t>Préférer les formes sans conservateur : GELTIM LP® (timolol gel unidose), MONOPROST® (latanoprost unidose), ZOLAMIDE FREE® (dorzolamide sans BAK)</w:t>
      </w:r>
    </w:p>
    <w:p>
      <w:pPr>
        <w:pStyle w:val="Heading3"/>
      </w:pPr>
      <w:r>
        <w:t>141.25.3 Pharmaco-économie et observance</w:t>
      </w:r>
    </w:p>
    <w:p>
      <w:r>
        <w:t>Le coût mensuel d'un traitement hypotonisant oculaire en Algérie varie considérablement selon la classe et la spécialité :</w:t>
      </w:r>
    </w:p>
    <w:p>
      <w:pPr>
        <w:pStyle w:val="ListBullet"/>
      </w:pPr>
      <w:r/>
      <w:r>
        <w:rPr>
          <w:b/>
        </w:rPr>
        <w:t>Collyre générique timolol 0,5 %</w:t>
      </w:r>
      <w:r>
        <w:t xml:space="preserve"> : 250-400 DA/mois (250-400 DA/2 flacons 5 mL)</w:t>
      </w:r>
    </w:p>
    <w:p>
      <w:pPr>
        <w:pStyle w:val="ListBullet"/>
      </w:pPr>
      <w:r/>
      <w:r>
        <w:rPr>
          <w:b/>
        </w:rPr>
        <w:t>Collyre timolol princeps (Timoptol®) ou GELTIM LP®</w:t>
      </w:r>
      <w:r>
        <w:t xml:space="preserve"> : 800-1200 DA/mois</w:t>
      </w:r>
    </w:p>
    <w:p>
      <w:pPr>
        <w:pStyle w:val="ListBullet"/>
      </w:pPr>
      <w:r/>
      <w:r>
        <w:rPr>
          <w:b/>
        </w:rPr>
        <w:t>Collyre bétaxolol BERTOCIL®</w:t>
      </w:r>
      <w:r>
        <w:t xml:space="preserve"> : 500-700 DA/mois</w:t>
      </w:r>
    </w:p>
    <w:p>
      <w:pPr>
        <w:pStyle w:val="ListBullet"/>
      </w:pPr>
      <w:r/>
      <w:r>
        <w:rPr>
          <w:b/>
        </w:rPr>
        <w:t>Collyre cartéolol CARTEOL® ou CATEOL LP®</w:t>
      </w:r>
      <w:r>
        <w:t xml:space="preserve"> : 400-600 DA/mois</w:t>
      </w:r>
    </w:p>
    <w:p>
      <w:pPr>
        <w:pStyle w:val="ListBullet"/>
      </w:pPr>
      <w:r/>
      <w:r>
        <w:rPr>
          <w:b/>
        </w:rPr>
        <w:t>Collyre latanoprost générique (BIOLATAN, GLAUSOPT, LATANEKS, LATASOPT, LATAZ, XALAPROST)</w:t>
      </w:r>
      <w:r>
        <w:t xml:space="preserve"> : 500-900 DA/mois</w:t>
      </w:r>
    </w:p>
    <w:p>
      <w:pPr>
        <w:pStyle w:val="ListBullet"/>
      </w:pPr>
      <w:r/>
      <w:r>
        <w:rPr>
          <w:b/>
        </w:rPr>
        <w:t>Collyre latanoprost princeps (XALATAN®)</w:t>
      </w:r>
      <w:r>
        <w:t xml:space="preserve"> : 1200-1800 DA/mois</w:t>
      </w:r>
    </w:p>
    <w:p>
      <w:pPr>
        <w:pStyle w:val="ListBullet"/>
      </w:pPr>
      <w:r/>
      <w:r>
        <w:rPr>
          <w:b/>
        </w:rPr>
        <w:t>Collyre latanoprost sans conservateur (MONOPROST®)</w:t>
      </w:r>
      <w:r>
        <w:t xml:space="preserve"> : 1200-1800 DA/mois</w:t>
      </w:r>
    </w:p>
    <w:p>
      <w:pPr>
        <w:pStyle w:val="ListBullet"/>
      </w:pPr>
      <w:r/>
      <w:r>
        <w:rPr>
          <w:b/>
        </w:rPr>
        <w:t>Collyre travoprost (TRAVADIS, TRAVOST)</w:t>
      </w:r>
      <w:r>
        <w:t xml:space="preserve"> : 700-1200 DA/mois</w:t>
      </w:r>
    </w:p>
    <w:p>
      <w:pPr>
        <w:pStyle w:val="ListBullet"/>
      </w:pPr>
      <w:r/>
      <w:r>
        <w:rPr>
          <w:b/>
        </w:rPr>
        <w:t>Collyre bimatoprost (LUMERA 0,01 % ou 0,03 %)</w:t>
      </w:r>
      <w:r>
        <w:t xml:space="preserve"> : 700-1200 DA/mois</w:t>
      </w:r>
    </w:p>
    <w:p>
      <w:pPr>
        <w:pStyle w:val="ListBullet"/>
      </w:pPr>
      <w:r/>
      <w:r>
        <w:rPr>
          <w:b/>
        </w:rPr>
        <w:t>Collyre dorzolamide générique</w:t>
      </w:r>
      <w:r>
        <w:t xml:space="preserve"> : 400-700 DA/mois</w:t>
      </w:r>
    </w:p>
    <w:p>
      <w:pPr>
        <w:pStyle w:val="ListBullet"/>
      </w:pPr>
      <w:r/>
      <w:r>
        <w:rPr>
          <w:b/>
        </w:rPr>
        <w:t>Collyre dorzolamide sans conservateur (ZOLAMIDE FREE®)</w:t>
      </w:r>
      <w:r>
        <w:t xml:space="preserve"> : 500-800 DA/mois</w:t>
      </w:r>
    </w:p>
    <w:p>
      <w:pPr>
        <w:pStyle w:val="ListBullet"/>
      </w:pPr>
      <w:r/>
      <w:r>
        <w:rPr>
          <w:b/>
        </w:rPr>
        <w:t>Collyre brinzolamide (AZOPT®, BRITIL®)</w:t>
      </w:r>
      <w:r>
        <w:t xml:space="preserve"> : 700-1200 DA/mois</w:t>
      </w:r>
    </w:p>
    <w:p>
      <w:pPr>
        <w:pStyle w:val="ListBullet"/>
      </w:pPr>
      <w:r/>
      <w:r>
        <w:rPr>
          <w:b/>
        </w:rPr>
        <w:t>Association fixe dorzolamide + timolol (Cosopt® génériques)</w:t>
      </w:r>
      <w:r>
        <w:t xml:space="preserve"> : 500-900 DA/mois</w:t>
      </w:r>
    </w:p>
    <w:p>
      <w:pPr>
        <w:pStyle w:val="ListBullet"/>
      </w:pPr>
      <w:r/>
      <w:r>
        <w:rPr>
          <w:b/>
        </w:rPr>
        <w:t>Association fixe latanoprost + timolol (XALACOM®, LATADUO)</w:t>
      </w:r>
      <w:r>
        <w:t xml:space="preserve"> : 900-1500 DA/mois</w:t>
      </w:r>
    </w:p>
    <w:p>
      <w:pPr>
        <w:pStyle w:val="ListBullet"/>
      </w:pPr>
      <w:r/>
      <w:r>
        <w:rPr>
          <w:b/>
        </w:rPr>
        <w:t>Acétazolamide oral 250 mg</w:t>
      </w:r>
      <w:r>
        <w:t xml:space="preserve"> : 300-500 DA/boîte de 20 comprimés</w:t>
      </w:r>
    </w:p>
    <w:p>
      <w:pPr>
        <w:pStyle w:val="ListBullet"/>
      </w:pPr>
      <w:r/>
      <w:r>
        <w:rPr>
          <w:b/>
        </w:rPr>
        <w:t>Pilocarpine 1 % ou 2 %</w:t>
      </w:r>
      <w:r>
        <w:t xml:space="preserve"> : 250-400 DA/mois</w:t>
      </w:r>
    </w:p>
    <w:p>
      <w:r>
        <w:t>L'observance est un facteur clé du pronostic visuel. Les principaux facteurs d'inobservance sont :</w:t>
      </w:r>
    </w:p>
    <w:p>
      <w:pPr>
        <w:pStyle w:val="ListBullet"/>
      </w:pPr>
      <w:r>
        <w:t>Coût (surtout pour les prostaglandines princeps et les formes sans conservateur)</w:t>
      </w:r>
    </w:p>
    <w:p>
      <w:pPr>
        <w:pStyle w:val="ListBullet"/>
      </w:pPr>
      <w:r>
        <w:t>Fréquence d'administration (la monoprise vespérale des prostaglandines est un avantage majeur)</w:t>
      </w:r>
    </w:p>
    <w:p>
      <w:pPr>
        <w:pStyle w:val="ListBullet"/>
      </w:pPr>
      <w:r>
        <w:t>Effets indésirables locaux (brûlure, hyperhémie, goût amer)</w:t>
      </w:r>
    </w:p>
    <w:p>
      <w:pPr>
        <w:pStyle w:val="ListBullet"/>
      </w:pPr>
      <w:r>
        <w:t>Effets indésirables systémiques (bradycardie, dépression pour les β-bloquants)</w:t>
      </w:r>
    </w:p>
    <w:p>
      <w:pPr>
        <w:pStyle w:val="ListBullet"/>
      </w:pPr>
      <w:r>
        <w:t>Modification de la pigmentation irienne (effet anxiogène pour les prostaglandines)</w:t>
      </w:r>
    </w:p>
    <w:p>
      <w:pPr>
        <w:pStyle w:val="ListBullet"/>
      </w:pPr>
      <w:r>
        <w:t>Manque d'information du patient (chronicité du traitement, signaux d'alerte)</w:t>
      </w:r>
    </w:p>
    <w:p>
      <w:pPr>
        <w:pStyle w:val="ListBullet"/>
      </w:pPr>
      <w:r>
        <w:t>Difficulté d'auto-administration (sujet âgé, dextérité, vision)</w:t>
      </w:r>
    </w:p>
    <w:p>
      <w:pPr>
        <w:pStyle w:val="ListBullet"/>
      </w:pPr>
      <w:r>
        <w:t>Ruptures de stock (problème fréquent en Algérie pour certaines spécialités)</w:t>
      </w:r>
    </w:p>
    <w:p>
      <w:r>
        <w:t>L'éducation thérapeutique par le pharmacien d'officine est essentielle : information sur la chronicité du traitement, signaux d'alerte, surveillance ophtalmologique régulière, gestion des oublis, hygiène du flacon (inscription de la date d'ouverture, jeter à 1 mois), occlusion naso-lacrymale. Une fiche patient standardisée peut être remise à chaque dispensation.</w:t>
      </w:r>
    </w:p>
    <w:p>
      <w:pPr>
        <w:pStyle w:val="Heading3"/>
      </w:pPr>
      <w:r>
        <w:t>141.25.4 Cas cliniques illustratifs</w:t>
      </w:r>
    </w:p>
    <w:p>
      <w:r/>
      <w:r>
        <w:rPr>
          <w:b/>
        </w:rPr>
        <w:t>Cas clinique 1 — Glaucome débutant chez un sujet actif de 55 ans</w:t>
      </w:r>
      <w:r/>
    </w:p>
    <w:p>
      <w:r>
        <w:t>M. A.B., 55 ans, employé de bureau, consulte pour contrôle ophtalmologique de routine. Découverte d'une PIO à 26 mmHg (œil droit) et 24 mmHg (œil gauche), avec début d'excavation papillaire à l'OCT (RNFL moyenne 80 µm) et scotome arciforme débutant au champ visuel. Pas d'antécédent médical notable, pas de traitement systémique. Pas d'asthme, pas de bradycardise, pas de dépression.</w:t>
      </w:r>
    </w:p>
    <w:p>
      <w:r/>
      <w:r>
        <w:rPr>
          <w:b/>
        </w:rPr>
        <w:t>Discussion thérapeutique</w:t>
      </w:r>
      <w:r>
        <w:t xml:space="preserve"> :</w:t>
      </w:r>
    </w:p>
    <w:p>
      <w:pPr>
        <w:pStyle w:val="ListBullet"/>
      </w:pPr>
      <w:r>
        <w:t>Diagnostic : glaucome à angle ouvert débutant</w:t>
      </w:r>
    </w:p>
    <w:p>
      <w:pPr>
        <w:pStyle w:val="ListBullet"/>
      </w:pPr>
      <w:r>
        <w:t>PIO cible : 26 × 0,7 = 18 mmHg (baisse de 30 %)</w:t>
      </w:r>
    </w:p>
    <w:p>
      <w:pPr>
        <w:pStyle w:val="ListBullet"/>
      </w:pPr>
      <w:r>
        <w:t xml:space="preserve">Choix de première intention : </w:t>
      </w:r>
      <w:r>
        <w:rPr>
          <w:b/>
        </w:rPr>
        <w:t>latanoprost 0,005 %</w:t>
      </w:r>
      <w:r>
        <w:t xml:space="preserve"> 1 goutte × 1/jour le soir (référence EGS 2023, monoprise vespérale, profil de tolérance favorable)</w:t>
      </w:r>
    </w:p>
    <w:p>
      <w:pPr>
        <w:pStyle w:val="ListBullet"/>
      </w:pPr>
      <w:r>
        <w:t>Information du patient : hyperhémie initiale transitoire, modification possible de la pigmentation irienne (irréversible), hypertrichose ciliaire</w:t>
      </w:r>
    </w:p>
    <w:p>
      <w:pPr>
        <w:pStyle w:val="ListBullet"/>
      </w:pPr>
      <w:r>
        <w:t>Surveillance : consultation à 4-6 semaines (PIO, tolérance), puis tous les 6 mois (PIO, champ visuel, OCT)</w:t>
      </w:r>
    </w:p>
    <w:p>
      <w:pPr>
        <w:pStyle w:val="ListBullet"/>
      </w:pPr>
      <w:r>
        <w:t>Coût mensuel : 500-900 DA (générique) ou 1200-1800 DA (Xalatan princeps)</w:t>
      </w:r>
    </w:p>
    <w:p>
      <w:pPr>
        <w:pStyle w:val="ListBullet"/>
      </w:pPr>
      <w:r>
        <w:t>Éducation thérapeutique : occlusion naso-lacrymale, hygiène du flacon (jeter à 1 mois), ne jamais arrêter brutalement</w:t>
      </w:r>
    </w:p>
    <w:p>
      <w:r/>
      <w:r>
        <w:rPr>
          <w:b/>
        </w:rPr>
        <w:t>Cas clinique 2 — Glaucome chez une patiente asthmatique de 65 ans</w:t>
      </w:r>
      <w:r/>
    </w:p>
    <w:p>
      <w:r>
        <w:t>Mme F.K., 65 ans, ménopausée, présente un glaucome à angle ouvert modéré (PIO 28 mmHg, scotome arciforme modéré). Asthme allergique persistant léger à modéré, traité par budésonide/formotérol inhalé. Pas d'antécédent cardiovasculaire.</w:t>
      </w:r>
    </w:p>
    <w:p>
      <w:r/>
      <w:r>
        <w:rPr>
          <w:b/>
        </w:rPr>
        <w:t>Discussion thérapeutique</w:t>
      </w:r>
      <w:r>
        <w:t xml:space="preserve"> :</w:t>
      </w:r>
    </w:p>
    <w:p>
      <w:pPr>
        <w:pStyle w:val="ListBullet"/>
      </w:pPr>
      <w:r>
        <w:t>CI absolue aux β-bloquants ophtalmiques (timolol, bétaxolol, cartéolol) — risque de bronchospasme sévère</w:t>
      </w:r>
    </w:p>
    <w:p>
      <w:pPr>
        <w:pStyle w:val="ListBullet"/>
      </w:pPr>
      <w:r>
        <w:t xml:space="preserve">Choix de première intention : </w:t>
      </w:r>
      <w:r>
        <w:rPr>
          <w:b/>
        </w:rPr>
        <w:t>latanoprost 0,005 %</w:t>
      </w:r>
      <w:r>
        <w:t xml:space="preserve"> 1 goutte × 1/jour le soir (efficacité supérieure, profil respiratoire favorable)</w:t>
      </w:r>
    </w:p>
    <w:p>
      <w:pPr>
        <w:pStyle w:val="ListBullet"/>
      </w:pPr>
      <w:r>
        <w:t xml:space="preserve">Si latanoprost insuffisant à 6 semaines : </w:t>
      </w:r>
      <w:r>
        <w:rPr>
          <w:b/>
        </w:rPr>
        <w:t>dorzolamide 2 %</w:t>
      </w:r>
      <w:r>
        <w:t xml:space="preserve"> 1 goutte × 3/jour en association (pas de CI respiratoire)</w:t>
      </w:r>
    </w:p>
    <w:p>
      <w:pPr>
        <w:pStyle w:val="ListBullet"/>
      </w:pPr>
      <w:r>
        <w:t>Surveillance : consultation à 4-6 semaines (PIO, tolérance), surveillance respiratoire (peak flow, symptômes asthmatiques)</w:t>
      </w:r>
    </w:p>
    <w:p>
      <w:pPr>
        <w:pStyle w:val="ListBullet"/>
      </w:pPr>
      <w:r>
        <w:t>Éviter : timolol (CI absolue), bétaxolol (CI absolue chez l'asthmatique), cartéolol (CI absolue)</w:t>
      </w:r>
    </w:p>
    <w:p>
      <w:r/>
      <w:r>
        <w:rPr>
          <w:b/>
        </w:rPr>
        <w:t>Cas clinique 3 — Crise aiguë de glaucome par fermeture d'angle chez une femme de 70 ans</w:t>
      </w:r>
      <w:r/>
    </w:p>
    <w:p>
      <w:r>
        <w:t>Mme Y.M., 70 ans, consulte en urgence pour douleur oculaire gauche intense, baisse brutale d'acuité visuelle, nausées, vomissements. Examen : PIO gauche à 60 mmHg, cornée œdémateuse, chambre antérieure étroite, mydriase semi-fixée. Diagnostic : crise aiguë de glaucome par fermeture d'angle (CAGFA).</w:t>
      </w:r>
    </w:p>
    <w:p>
      <w:r/>
      <w:r>
        <w:rPr>
          <w:b/>
        </w:rPr>
        <w:t>Prise en charge</w:t>
      </w:r>
      <w:r>
        <w:t xml:space="preserve"> :</w:t>
      </w:r>
    </w:p>
    <w:p>
      <w:pPr>
        <w:pStyle w:val="ListBullet"/>
      </w:pPr>
      <w:r>
        <w:t>Hospitalisation urgente en service d'ophtalmologie</w:t>
      </w:r>
    </w:p>
    <w:p>
      <w:pPr>
        <w:pStyle w:val="ListBullet"/>
      </w:pPr>
      <w:r>
        <w:t>Traitement médical d'attaque :</w:t>
      </w:r>
    </w:p>
    <w:p>
      <w:pPr>
        <w:pStyle w:val="ListBullet"/>
      </w:pPr>
      <w:r/>
      <w:r>
        <w:rPr>
          <w:b/>
        </w:rPr>
        <w:t>Acétazolamide 500 mg per os</w:t>
      </w:r>
      <w:r>
        <w:t xml:space="preserve"> en 1 prise immédiate, puis 250 mg × 4/jour (toutes les 6 heures)</w:t>
      </w:r>
    </w:p>
    <w:p>
      <w:pPr>
        <w:pStyle w:val="ListBullet"/>
      </w:pPr>
      <w:r/>
      <w:r>
        <w:rPr>
          <w:b/>
        </w:rPr>
        <w:t>Mannitol 20 % IV</w:t>
      </w:r>
      <w:r>
        <w:t xml:space="preserve"> 1 g/kg en IV lente sur 30-60 minutes (si PIO &gt; 50 mmHg)</w:t>
      </w:r>
    </w:p>
    <w:p>
      <w:pPr>
        <w:pStyle w:val="ListBullet"/>
      </w:pPr>
      <w:r/>
      <w:r>
        <w:rPr>
          <w:b/>
        </w:rPr>
        <w:t>Pilocarpine 2 %</w:t>
      </w:r>
      <w:r>
        <w:t xml:space="preserve"> : NON instiller immédiatement (sphincter irien ischémique à 60 mmHg) — instiller après la 2ème-4ème heure (après baisse de la PIO &lt; 40 mmHg), protocole : 1 goutte × 4 (toutes les 15 minutes pendant 1 heure), puis toutes les heures pendant 4 heures, puis 4 fois/jour jusqu'à iridotomie</w:t>
      </w:r>
    </w:p>
    <w:p>
      <w:pPr>
        <w:pStyle w:val="ListBullet"/>
      </w:pPr>
      <w:r>
        <w:t>Traitement adjuvant : antiémétiques (métoclopramide 10 mg IV), antalgiques (paracétamol 1 g IV)</w:t>
      </w:r>
    </w:p>
    <w:p>
      <w:pPr>
        <w:pStyle w:val="ListBullet"/>
      </w:pPr>
      <w:r>
        <w:t>Iridotomie au laser YAG à H+24-72 heures (œil gauche atteint + œil droit préventif)</w:t>
      </w:r>
    </w:p>
    <w:p>
      <w:pPr>
        <w:pStyle w:val="ListBullet"/>
      </w:pPr>
      <w:r>
        <w:t>Surveillance : PIO toutes les 2 heures pendant 24 heures, puis 4 fois/jour jusqu'à iridotomie</w:t>
      </w:r>
    </w:p>
    <w:p>
      <w:pPr>
        <w:pStyle w:val="ListBullet"/>
      </w:pPr>
      <w:r>
        <w:t>Arrêt progressif de la pilocarpine et de l'acétazolamide sur 3-7 jours après iridotomie</w:t>
      </w:r>
    </w:p>
    <w:p>
      <w:r/>
      <w:r>
        <w:rPr>
          <w:b/>
        </w:rPr>
        <w:t>Cas clinique 4 — Patient glaucomateux d'âge moyen sous β-bloquant oral</w:t>
      </w:r>
      <w:r/>
    </w:p>
    <w:p>
      <w:r>
        <w:t>M. K.M., 60 ans, hypertendu sous bisoprolol 5 mg/jour depuis 5 ans, présente un glaucome à angle ouvert débutant (PIO 25 mmHg). Pas d'asthme, pas de bradycardise, pas de dépression.</w:t>
      </w:r>
    </w:p>
    <w:p>
      <w:r/>
      <w:r>
        <w:rPr>
          <w:b/>
        </w:rPr>
        <w:t>Discussion thérapeutique</w:t>
      </w:r>
      <w:r>
        <w:t xml:space="preserve"> :</w:t>
      </w:r>
    </w:p>
    <w:p>
      <w:pPr>
        <w:pStyle w:val="ListBullet"/>
      </w:pPr>
      <w:r>
        <w:t xml:space="preserve">Choix de première intention : </w:t>
      </w:r>
      <w:r>
        <w:rPr>
          <w:b/>
        </w:rPr>
        <w:t>latanoprost 0,005 %</w:t>
      </w:r>
      <w:r>
        <w:t xml:space="preserve"> 1 goutte × 1/jour le soir (préféré au timolol en raison du bisoprolol oral — risque d'additive bradycardisante)</w:t>
      </w:r>
    </w:p>
    <w:p>
      <w:pPr>
        <w:pStyle w:val="ListBullet"/>
      </w:pPr>
      <w:r>
        <w:t xml:space="preserve">Si latanoprost insuffisant à 6 semaines : préférer </w:t>
      </w:r>
      <w:r>
        <w:rPr>
          <w:b/>
        </w:rPr>
        <w:t>dorzolamide</w:t>
      </w:r>
      <w:r>
        <w:t xml:space="preserve"> plutôt que le timolol (en raison du bisoprolol oral)</w:t>
      </w:r>
    </w:p>
    <w:p>
      <w:pPr>
        <w:pStyle w:val="ListBullet"/>
      </w:pPr>
      <w:r>
        <w:t>Surveillance : fréquence cardiaque avant et après instauration, surveillance ECG si trouble de conduction</w:t>
      </w:r>
    </w:p>
    <w:p>
      <w:pPr>
        <w:pStyle w:val="ListBullet"/>
      </w:pPr>
      <w:r>
        <w:t>Éviter : timolol (additive bradycardisante avec le bisoprolol), bétaxolol (même problème), cartéolol (même problème)</w:t>
      </w:r>
    </w:p>
    <w:p>
      <w:r/>
      <w:r>
        <w:rPr>
          <w:b/>
        </w:rPr>
        <w:t>Cas clinique 5 — Femme enceinte glaucomateuse</w:t>
      </w:r>
      <w:r/>
    </w:p>
    <w:p>
      <w:r>
        <w:t>Mme S.B., 32 ans, glaucomateuse connue depuis 5 ans, sous latanoprost 0,005 % × 1/jour le soir (PIO stable à 16 mmHg). Désir de grossesse.</w:t>
      </w:r>
    </w:p>
    <w:p>
      <w:r/>
      <w:r>
        <w:rPr>
          <w:b/>
        </w:rPr>
        <w:t>Discussion thérapeutique</w:t>
      </w:r>
      <w:r>
        <w:t xml:space="preserve"> :</w:t>
      </w:r>
    </w:p>
    <w:p>
      <w:pPr>
        <w:pStyle w:val="ListBullet"/>
      </w:pPr>
      <w:r>
        <w:t>Arrêt du latanoprost 1 mois avant la conception (CI absolue pendant la grossesse — prostaglandine, effet utérotonique théorique)</w:t>
      </w:r>
    </w:p>
    <w:p>
      <w:pPr>
        <w:pStyle w:val="ListBullet"/>
      </w:pPr>
      <w:r>
        <w:t xml:space="preserve">Alternative pendant la grossesse : </w:t>
      </w:r>
      <w:r>
        <w:rPr>
          <w:b/>
        </w:rPr>
        <w:t>timolol 0,25 % × 2/jour</w:t>
      </w:r>
      <w:r>
        <w:t xml:space="preserve"> au 1er trimestre (sous surveillance), à éviter au 2ᵉ et 3ᵉ trimestre (bradycardie fœtale)</w:t>
      </w:r>
    </w:p>
    <w:p>
      <w:pPr>
        <w:pStyle w:val="ListBullet"/>
      </w:pPr>
      <w:r>
        <w:t>Au 2ᵉ et 3ᵉ trimestre : discuter la dorzolamide (sulfamide, mais à éviter par prudence) ou la brimonidine (non disponible en Algérie)</w:t>
      </w:r>
    </w:p>
    <w:p>
      <w:pPr>
        <w:pStyle w:val="ListBullet"/>
      </w:pPr>
      <w:r>
        <w:t>Surveillance : consultation ophtalmologique mensuelle pendant la grossesse, surveillance de la PIO, du champ visuel</w:t>
      </w:r>
    </w:p>
    <w:p>
      <w:pPr>
        <w:pStyle w:val="ListBullet"/>
      </w:pPr>
      <w:r>
        <w:t>Reprise du latanoprost après l'accouchement si la patiente n'allaite pas ; si allaitement, suspendre l'allaitement pendant le latanoprost (à éviter par prudence)</w:t>
      </w:r>
    </w:p>
    <w:p>
      <w:pPr>
        <w:pStyle w:val="ListBullet"/>
      </w:pPr>
      <w:r>
        <w:t>Coordination ophtalmologue / gynécologue-obstétricien / pédiatre</w:t>
      </w:r>
    </w:p>
    <w:p>
      <w:pPr>
        <w:pStyle w:val="Heading3"/>
      </w:pPr>
      <w:r>
        <w:t>141.25.5 Précautions de conservation et d'utilisation des collyres</w:t>
      </w:r>
    </w:p>
    <w:p>
      <w:r/>
      <w:r>
        <w:rPr>
          <w:b/>
        </w:rPr>
        <w:t>Conservation</w:t>
      </w:r>
      <w:r>
        <w:t xml:space="preserve"> :</w:t>
      </w:r>
    </w:p>
    <w:p>
      <w:pPr>
        <w:pStyle w:val="ListBullet"/>
      </w:pPr>
      <w:r>
        <w:t>Température ambiante ≤ 25 °C, à l'abri de la lumière, à l'abri de l'humidité</w:t>
      </w:r>
    </w:p>
    <w:p>
      <w:pPr>
        <w:pStyle w:val="ListBullet"/>
      </w:pPr>
      <w:r>
        <w:t>Ne pas congeler</w:t>
      </w:r>
    </w:p>
    <w:p>
      <w:pPr>
        <w:pStyle w:val="ListBullet"/>
      </w:pPr>
      <w:r>
        <w:t>Vérifier la date d'expiration avant dispensation</w:t>
      </w:r>
    </w:p>
    <w:p>
      <w:pPr>
        <w:pStyle w:val="ListBullet"/>
      </w:pPr>
      <w:r>
        <w:t>Inscrire la date d'ouverture sur le flacon avec un feutre indélébile</w:t>
      </w:r>
    </w:p>
    <w:p>
      <w:pPr>
        <w:pStyle w:val="ListBullet"/>
      </w:pPr>
      <w:r>
        <w:t>Jeter 1 mois après ouverture pour la majorité des formes multidose</w:t>
      </w:r>
    </w:p>
    <w:p>
      <w:pPr>
        <w:pStyle w:val="ListBullet"/>
      </w:pPr>
      <w:r>
        <w:t>Jeter à la date de péremption pour les formes unidoses (généralement 6 mois en sachet fermé)</w:t>
      </w:r>
    </w:p>
    <w:p>
      <w:pPr>
        <w:pStyle w:val="ListBullet"/>
      </w:pPr>
      <w:r>
        <w:t>Ne pas utiliser si la solution change d'aspect (trouble, particules, coloration)</w:t>
      </w:r>
    </w:p>
    <w:p>
      <w:r/>
      <w:r>
        <w:rPr>
          <w:b/>
        </w:rPr>
        <w:t>Risque de contamination bactérienne</w:t>
      </w:r>
      <w:r>
        <w:t xml:space="preserve"> :</w:t>
      </w:r>
    </w:p>
    <w:p>
      <w:pPr>
        <w:pStyle w:val="ListBullet"/>
      </w:pPr>
      <w:r>
        <w:t>Le flacon multidose ouvert peut être contaminé par les doigts, les cils, les paupières, l'air ambiant</w:t>
      </w:r>
    </w:p>
    <w:p>
      <w:pPr>
        <w:pStyle w:val="ListBullet"/>
      </w:pPr>
      <w:r>
        <w:t>Le chlorure de benzalkonium (BAK) conserveur limite la prolifération bactérienne, mais n'est pas stérilisant</w:t>
      </w:r>
    </w:p>
    <w:p>
      <w:pPr>
        <w:pStyle w:val="ListBullet"/>
      </w:pPr>
      <w:r>
        <w:t>Ne jamais toucher l'embout du flacon avec les doigts, l'œil, ou toute surface</w:t>
      </w:r>
    </w:p>
    <w:p>
      <w:pPr>
        <w:pStyle w:val="ListBullet"/>
      </w:pPr>
      <w:r>
        <w:t>Refermer immédiatement après usage</w:t>
      </w:r>
    </w:p>
    <w:p>
      <w:pPr>
        <w:pStyle w:val="ListBullet"/>
      </w:pPr>
      <w:r>
        <w:t>En cas de contamination suspectée (solution trouble, particules), jeter le flacon</w:t>
      </w:r>
    </w:p>
    <w:p>
      <w:pPr>
        <w:pStyle w:val="ListBullet"/>
      </w:pPr>
      <w:r>
        <w:t>Préférer les formes unidoses sans conservateur en cas de chirurgie intraoculaire récente, de kératite préexistante, de port de lentilles, ou chez le patient immunodéprimé</w:t>
      </w:r>
    </w:p>
    <w:p>
      <w:r/>
      <w:r>
        <w:rPr>
          <w:b/>
        </w:rPr>
        <w:t>Précautions d'administration</w:t>
      </w:r>
      <w:r>
        <w:t xml:space="preserve"> :</w:t>
      </w:r>
    </w:p>
    <w:p>
      <w:pPr>
        <w:pStyle w:val="ListBullet"/>
      </w:pPr>
      <w:r>
        <w:t>Se laver les mains avant et après instillation</w:t>
      </w:r>
    </w:p>
    <w:p>
      <w:pPr>
        <w:pStyle w:val="ListBullet"/>
      </w:pPr>
      <w:r>
        <w:t>Ne pas partager le flacon avec un autre patient (risque de contamination croisée)</w:t>
      </w:r>
    </w:p>
    <w:p>
      <w:pPr>
        <w:pStyle w:val="ListBullet"/>
      </w:pPr>
      <w:r>
        <w:t>Si deux collyres sont prescrits, espacer les instillations d'au moins 5 minutes (le premier est lavé par le second)</w:t>
      </w:r>
    </w:p>
    <w:p>
      <w:pPr>
        <w:pStyle w:val="ListBullet"/>
      </w:pPr>
      <w:r>
        <w:t>Si un collyre et une pommade ophtalmique sont prescrits, instiller le collyre en premier, attendre 10 minutes, puis appliquer la pommade</w:t>
      </w:r>
    </w:p>
    <w:p>
      <w:pPr>
        <w:pStyle w:val="ListBullet"/>
      </w:pPr>
      <w:r>
        <w:t>Ne pas rincer l'œil après instillation (risque de lavage du médicament)</w:t>
      </w:r>
    </w:p>
    <w:p>
      <w:pPr>
        <w:pStyle w:val="ListBullet"/>
      </w:pPr>
      <w:r>
        <w:t>Ne pas utiliser de l'eau du robinet pour rincer l'œil (risque bactérien, notamment Acanthamoeba)</w:t>
      </w:r>
    </w:p>
    <w:p>
      <w:r/>
      <w:r>
        <w:rPr>
          <w:b/>
        </w:rPr>
        <w:t>Précautions particulières</w:t>
      </w:r>
      <w:r>
        <w:t xml:space="preserve"> :</w:t>
      </w:r>
    </w:p>
    <w:p>
      <w:pPr>
        <w:pStyle w:val="ListBullet"/>
      </w:pPr>
      <w:r>
        <w:t>Chez le patient porteur de lentilles de contact : retirer les lentilles avant instillation, attendre 15 minutes avant remise (le BAK se fixe sur les lentilles souples)</w:t>
      </w:r>
    </w:p>
    <w:p>
      <w:pPr>
        <w:pStyle w:val="ListBullet"/>
      </w:pPr>
      <w:r>
        <w:t>Chez le patient immunodéprimé : préférer les formes unidoses sans conservateur</w:t>
      </w:r>
    </w:p>
    <w:p>
      <w:pPr>
        <w:pStyle w:val="ListBullet"/>
      </w:pPr>
      <w:r>
        <w:t>Chez le patient en post-chirurgie intraoculaire : préférer les formes unidoses sans conservateur, surveillance ophtalmologique rapprochée</w:t>
      </w:r>
    </w:p>
    <w:p>
      <w:pPr>
        <w:pStyle w:val="ListBullet"/>
      </w:pPr>
      <w:r>
        <w:t>Chez le patient présentant un syndrome sec : préférer les formes unidoses sans conservateur, supplémentation lacrymale (larmes artificielles sans conservateur, 4-6 fois/jour)</w:t>
      </w:r>
    </w:p>
    <w:p>
      <w:pPr>
        <w:pStyle w:val="Heading2"/>
      </w:pPr>
      <w:r>
        <w:t>141.26 Références bibliographiques</w:t>
      </w:r>
    </w:p>
    <w:p>
      <w:pPr>
        <w:pStyle w:val="ListNumber"/>
      </w:pPr>
      <w:r>
        <w:t>European Glaucoma Society. *EGS Guidelines: Terminology and Guidelines for Glaucoma*. 4th edition. Savona: Publicomm; 2023. ISBN 978-88-88581-34-1.</w:t>
      </w:r>
    </w:p>
    <w:p>
      <w:pPr>
        <w:pStyle w:val="ListNumber"/>
      </w:pPr>
      <w:r>
        <w:t>American Academy of Ophthalmology. *Primary Open-Angle Glaucoma Preferred Practice Pattern*. San Francisco: AAO; 2020.</w:t>
      </w:r>
    </w:p>
    <w:p>
      <w:pPr>
        <w:pStyle w:val="ListNumber"/>
      </w:pPr>
      <w:r>
        <w:t>American Academy of Ophthalmology. *Primary Angle-Closure Glaucoma Preferred Practice Pattern*. San Francisco: AAO; 2020.</w:t>
      </w:r>
    </w:p>
    <w:p>
      <w:pPr>
        <w:pStyle w:val="ListNumber"/>
      </w:pPr>
      <w:r>
        <w:t>Institut National de la Santé et de la Recherche Médicale (INSERM). *Glaucomes*. Collection Expertise collective. Paris: INSERM; 2018.</w:t>
      </w:r>
    </w:p>
    <w:p>
      <w:pPr>
        <w:pStyle w:val="ListNumber"/>
      </w:pPr>
      <w:r>
        <w:t>Haute Autorité de Santé (HAS). *Guide — Affection de longue durée : Glaucome chronique*. Saint-Denis: HAS; 2014.</w:t>
      </w:r>
    </w:p>
    <w:p>
      <w:pPr>
        <w:pStyle w:val="ListNumber"/>
      </w:pPr>
      <w:r>
        <w:t>Agence Nationale de Sécurité du Médicament et des Produits de Santé (ANSM). *Résumés des caractéristiques du produit (RCP)* des spécialités pharmaceutiques disponibles en France. Saint-Denis: ANSM; mis à jour 2024.</w:t>
      </w:r>
    </w:p>
    <w:p>
      <w:pPr>
        <w:pStyle w:val="ListNumber"/>
      </w:pPr>
      <w:r>
        <w:t>VIDAL. *Dictionnaire des médicaments*. Issy-les-Moulineaux: VIDAL; 2024.</w:t>
      </w:r>
    </w:p>
    <w:p>
      <w:pPr>
        <w:pStyle w:val="ListNumber"/>
      </w:pPr>
      <w:r>
        <w:t>Centre de Renseignement sur les Agents Tératogènes (CRAT). *Base de données sur les médicaments pendant la grossesse et l'allaitement*. Hôpital Armand-Trousseau, Paris. Disponible sur : https://www.lecrat.fr</w:t>
      </w:r>
    </w:p>
    <w:p>
      <w:pPr>
        <w:pStyle w:val="ListNumber"/>
      </w:pPr>
      <w:r>
        <w:t>Thériaque. *Banque de données sur les médicaments*. Paris: Centre national d'information sur le médicament (CNIM). Disponible sur : https://www.theriaque.org</w:t>
      </w:r>
    </w:p>
    <w:p>
      <w:pPr>
        <w:pStyle w:val="ListNumber"/>
      </w:pPr>
      <w:r>
        <w:t>UpToDate. *Glaucoma* (multiple topics). Waltham, MA: Wolters Kluwer; 2024.</w:t>
      </w:r>
    </w:p>
    <w:p>
      <w:pPr>
        <w:pStyle w:val="ListNumber"/>
      </w:pPr>
      <w:r>
        <w:t>European Medicines Agency (EMA). *European Public Assessment Reports (EPAR)* des molécules ophtalmologiques. Amsterdam: EMA.</w:t>
      </w:r>
    </w:p>
    <w:p>
      <w:pPr>
        <w:pStyle w:val="ListNumber"/>
      </w:pPr>
      <w:r>
        <w:t>Nomenclature nationale des médicaments — Algérie. *Liste des spécialités pharmaceutiques disponibles en Algérie*. Alger: Ministère de la Santé; Avril 2026.</w:t>
      </w:r>
    </w:p>
    <w:p>
      <w:pPr>
        <w:pStyle w:val="ListNumber"/>
      </w:pPr>
      <w:r>
        <w:t>Société Française du Glaucome (SFG). *Recommandations de bonne pratique clinique*. Paris: SFG; 2023.</w:t>
      </w:r>
    </w:p>
    <w:p>
      <w:pPr>
        <w:pStyle w:val="ListNumber"/>
      </w:pPr>
      <w:r>
        <w:t>Société Algérienne d'Ophtalmologie (SAO). *Recommandations nationales sur la prise en charge du glaucome en Algérie*. Alger: SAO; 2022.</w:t>
      </w:r>
    </w:p>
    <w:p>
      <w:pPr>
        <w:pStyle w:val="ListNumber"/>
      </w:pPr>
      <w:r>
        <w:t>Institut National de Santé Publique (INSP) Algérie. *Enquêtes épidémiologiques sur la prévalence du glaucome en Algérie 2007-2024*. Alger: INSP.</w:t>
      </w:r>
    </w:p>
    <w:p>
      <w:pPr>
        <w:pStyle w:val="ListNumber"/>
      </w:pPr>
      <w:r>
        <w:t>World Health Organization (WHO). *World Report on Vision*. Geneva: WHO; 2019.</w:t>
      </w:r>
    </w:p>
    <w:p>
      <w:pPr>
        <w:pStyle w:val="ListNumber"/>
      </w:pPr>
      <w:r>
        <w:t>Centre d'Évaluation et de Recherche sur les Médicaments (CRAT, Hôpital Armand-Trousseau, Paris). *Données de pharmacovigilance des hypotonisants oculaires pendant la grossesse et l'allaitement*. 2020-2024.</w:t>
      </w:r>
    </w:p>
    <w:p>
      <w:pPr>
        <w:pStyle w:val="ListNumber"/>
      </w:pPr>
      <w:r>
        <w:t>Becker B. *The mechanism of the fall in intraocular pressure induced by the carbonic anhydrase inhibitor, Diamox*. Am J Ophthalmol. 1955; 39(2): 313-322.</w:t>
      </w:r>
    </w:p>
    <w:p>
      <w:pPr>
        <w:pStyle w:val="ListNumber"/>
      </w:pPr>
      <w:r>
        <w:t>Phillips CI, Howitt G, Rowlands DJ. *Propranolol as ocular hypotensive agent*. Br J Ophthalmol. 1967; 51(4): 222-226.</w:t>
      </w:r>
    </w:p>
    <w:p>
      <w:pPr>
        <w:pStyle w:val="ListNumber"/>
      </w:pPr>
      <w:r>
        <w:t>Alm A, Stjernschantz J. *Effects on intraocular pressure and side effects of 0.005% latanoprost applied once daily, evening or morning. A comparison with timolol*. Ophthalmology. 1995; 102(12): 1743-1752.</w:t>
      </w:r>
    </w:p>
    <w:p>
      <w:pPr>
        <w:pStyle w:val="ListNumber"/>
      </w:pPr>
      <w:r>
        <w:t>Netland PA, Landry T, Sullivan EK, et al. *Travoprost compared with latanoprost in the treatment of open-angle glaucoma or ocular hypertension*. Am J Ophthalmol. 2001; 132(4): 472-484.</w:t>
      </w:r>
    </w:p>
    <w:p>
      <w:pPr>
        <w:pStyle w:val="ListNumber"/>
      </w:pPr>
      <w:r>
        <w:t>Cantor LB. *Bimatoprost: a member of a new class of agents, the prostamides, for glaucoma management*. Expert Opin Investig Drugs. 2002; 11(11): 1613-1622.</w:t>
      </w:r>
    </w:p>
    <w:p>
      <w:pPr>
        <w:pStyle w:val="ListNumber"/>
      </w:pPr>
      <w:r>
        <w:t>Schiffman RM, Jacobsen G, Whitaker JP. *Latanoprost versus timolol: a meta-analysis of randomized controlled trials*. Surv Ophthalmol. 2002; 47(Suppl 1): S115-S122.</w:t>
      </w:r>
    </w:p>
    <w:p>
      <w:pPr>
        <w:pStyle w:val="ListNumber"/>
      </w:pPr>
      <w:r>
        <w:t>Khaw PT, Shah P, Elkington AR. *Glaucoma — 1: Diagnosis*. BMJ. 2004; 328(7431): 97-100.</w:t>
      </w:r>
    </w:p>
    <w:p>
      <w:pPr>
        <w:pStyle w:val="ListNumber"/>
      </w:pPr>
      <w:r>
        <w:t>Weinreb RN, Aung T, Medeiros FA. *The pathophysiology and treatment of glaucoma: a review*. JAMA. 2014; 311(18): 1901-1911.</w:t>
      </w:r>
    </w:p>
    <w:p>
      <w:pPr>
        <w:pStyle w:val="ListNumber"/>
      </w:pPr>
      <w:r>
        <w:t>Heijl A, Leske MC, Bengtsson B, et al. *Reduction of intraocular pressure and glaucoma progression: results from the Early Manifest Glaucoma Trial*. Arch Ophthalmol. 2002; 120(10): 1268-1279.</w:t>
      </w:r>
    </w:p>
    <w:p>
      <w:pPr>
        <w:pStyle w:val="ListNumber"/>
      </w:pPr>
      <w:r>
        <w:t>Kass MA, Heuer DK, Higginbotham EJ, et al. *The Ocular Hypertension Treatment Study: a randomized trial determines that topical ocular hypotensive medication delays or prevents the onset of primary open-angle glaucoma*. Arch Ophthalmol. 2002; 120(6): 701-713.</w:t>
      </w:r>
    </w:p>
    <w:p>
      <w:pPr>
        <w:pStyle w:val="ListNumber"/>
      </w:pPr>
      <w:r>
        <w:t>Leske MC, Heijl A, Hussein M, et al. *Factors for glaucoma progression and the effect of treatment: the early manifest glaucoma trial*. Arch Ophthalmol. 2003; 121(1): 48-56.</w:t>
      </w:r>
    </w:p>
    <w:p>
      <w:pPr>
        <w:pStyle w:val="ListNumber"/>
      </w:pPr>
      <w:r>
        <w:t>Musch DC, Gillespie BW, Lichter PR, et al. *Visual field progression in the Collaborative Initial Glaucoma Treatment Study (CIGTS)*. Am J Ophthalmol. 2009; 148(5): 701-707.</w:t>
      </w:r>
    </w:p>
    <w:p>
      <w:pPr>
        <w:pStyle w:val="ListNumber"/>
      </w:pPr>
      <w:r>
        <w:t>Garway-Heath DF, Crabb DP, Bunce C, et al. *Latanoprost for open-angle glaucoma (UKGTS): a randomised, multicentre, placebo-controlled trial*. Lancet. 2015; 385(9975): 1295-1304.</w:t>
      </w:r>
    </w:p>
    <w:p>
      <w:pPr>
        <w:pStyle w:val="Heading2"/>
      </w:pPr>
      <w:r>
        <w:t>141.27 Conclusion du chapitre 141 — Clôture du Fascicule XV (chapitre 141/5)</w:t>
      </w:r>
    </w:p>
    <w:p>
      <w:r>
        <w:t>Le chapitre 141 — Glaucome et hypotensifs oculaires — a détaillé 11 DCI hypotonisantes oculaires disponibles en Algérie, réparties sur 9 sous-classes pharmacologiques : β-bloquants topiques (timolol, bétaxolol, cartéolol), analogues des prostaglandines F2α (latanoprost, travoprost), analogues des prostamides (bimatoprost), agonistes α2-adrénergiques (clonidine systémique — apraclonidine et brimonidine non disponibles en Algérie), inhibiteurs de l'anhydrase carbonique topiques (dorzolamide, brinzolamide), inhibiteurs de l'anhydrase carbonique systémiques (acétazolamide), et miotiques parasymphathomimétiques (pilocarpine).</w:t>
      </w:r>
    </w:p>
    <w:p>
      <w:r>
        <w:t>Chaque DCI a été présentée selon une structure standardisée en 12 sections : catégories thérapeutiques, médicaments disponibles en Algérie (tableau exhaustif), mécanisme d'action détaillé, profil pharmacologique (indications, contre-indications, effets indésirables), prévention et gestion des EI, interactions médicamenteuses, grossesse et allaitement (CRAT), posologie, formes galéniques et arbitrage, instructions et conseils au patient, et pièges au comptoir. Les sources mobilisées sont VIDAL, ANSM, Thériaque, CRAT, EGS (European Glaucoma Society, 4ᵉ édition 2023), AAO PPP (American Academy of Ophthalmology Preferred Practice Pattern 2020), HAS 2014, et UpToDate.</w:t>
      </w:r>
    </w:p>
    <w:p>
      <w:r>
        <w:t>Le positionnement thérapeutique en Algérie reflète les recommandations internationales : le latanoprost est la référence de première intention du glaucome à angle ouvert (sauf CI : grossesse, pseudophakie avec rupture capsulaire), suivi du timolol en alternative (sauf CI respiratoire ou cardiovasculaire). Les inhibiteurs de l'AC topiques (dorzolamide, brinzolamide) sont principalement utilisés en bithérapie (association fixe dorzolamide + timolol). L'acétazolamide oral et la pilocarpine sont réservés aux situations d'urgence (crise aiguë de glaucome par fermeture d'angle). Les agonistes α2-adrénergiques topiques ne sont PAS disponibles en Algérie, nécessitant une importation ATU en cas de nécessité absolue.</w:t>
      </w:r>
    </w:p>
    <w:p>
      <w:r>
        <w:t>La diversité des spécialités disponibles en Algérie (78 spécialités actives recensées pour les 11 DCI de ce chapitre) reflète une offre thérapeutique mature, mais le pharmacien d'officina doit être vigilant sur la disponibilité (ruptures de stock fréquentes pour certaines spécialités comme le bétaxolol BERTOCIL® ou le travoprost TRAVADIS®), sur le coût (variant de 250 à 1800 DA/mois selon la molécule et la marque), et sur la tolérance individuelle. L'éducation thérapeutique du patient glaucomateux est essentielle, car le traitement est chronique à vie, l'observance conditionne le pronostic visuel, et les effets indésirables systémiques (en particulier des β-bloquants) peuvent être graves si non dépistés.</w:t>
      </w:r>
    </w:p>
    <w:p>
      <w:r>
        <w:t>Ce chapitre ouvre le Fascicule XV — Ophtalmologie, qui comportera 5 chapitres traitant de l'ensemble des médicaments ophtalmologiques disponibles en Algérie : glaucome et hypotensifs oculaires (chapitre 141), antiallergiques et corticoïdes ophtalmologiques (chapitre 142), anti-inflammatoires non stéroïdiens et anesthésiques ophtalmologiques (chapitre 143), mydriatiques et cycloplégiques, anti-VEGF intravitréens (chapitre 144), et larmes artificielles, vasoprotecteurs et autres ophtalmologiques (chapitre 145). L'ensemble constituera un référentiel opérationnel pour le pharmacien d'officine, l'ophtalmologiste, et l'interne en pharmacologie clinique, ancré dans la pratique algérienne et aligné avec les recommandations internationales.</w:t>
      </w:r>
    </w:p>
    <w:p>
      <w:pPr>
        <w:pStyle w:val="Heading1"/>
      </w:pPr>
      <w:r>
        <w:t>Chapitre 142 — Antiallergiques et corticoïdes ophtalmiques</w:t>
      </w:r>
    </w:p>
    <w:p>
      <w:pPr>
        <w:pStyle w:val="Heading2"/>
      </w:pPr>
      <w:r>
        <w:t>142.1 Introduction générale</w:t>
      </w:r>
    </w:p>
    <w:p>
      <w:r>
        <w:t xml:space="preserve">La pharmacologie ophtalmologique représente, au sein du Fascicule XV, l'un des domaines les plus exigeants de la pratique clinique quotidienne : la surface oculaire et les structures intraoculaires sont en effet à la fois d'accès topique direct (par instillation de collyre dans le cul-de-sac conjonctival inférieur), et extrêmement vulnérables aux effets indésirables iatrogènes — qu'il s'agisse de l'élévation de la pression intraoculaire (PIO) induite par les corticoïdes, de l'aggravation d'une kératite herpétique, ou de la survenue d'une cataracte sous-capsulaire postérieure. Les antiallergiques et corticoïdes ophtalmiques, regroupés au sein du présent chapitre 142, constituent la pierre angulaire du traitement des </w:t>
      </w:r>
      <w:r>
        <w:rPr>
          <w:b/>
        </w:rPr>
        <w:t>conjonctivites allergiques</w:t>
      </w:r>
      <w:r>
        <w:t xml:space="preserve">, des </w:t>
      </w:r>
      <w:r>
        <w:rPr>
          <w:b/>
        </w:rPr>
        <w:t>inflammations intraoculaires</w:t>
      </w:r>
      <w:r>
        <w:t xml:space="preserve"> (uvéites antérieures, post-chirurgie), et du contrôle inflammatoire post-opératoire après chirurgie réfractive, anti-cataracte, vitréorétinienne ou antiglaucomateuse. La nomenclature algérienne des médicaments (Avril 2026) recense </w:t>
      </w:r>
      <w:r>
        <w:rPr>
          <w:b/>
        </w:rPr>
        <w:t>8 DCIs</w:t>
      </w:r>
      <w:r>
        <w:t xml:space="preserve"> réparties en trois sous-classes pharmacologiques : trois antihistaminiques H1 ophtalmiques (olopatadine, azélastine, lévocabastine), un inhibiteur des mastocytes à double action antihistaminique H1 (kétotifène), et quatre corticoïdes ophtalmiques (dexaméthasone, prednisolone, fluorométholone, rimexolone). Ensemble, ces molécules couvrent l'intégralité du spectre thérapeutique de la maladie inflammatoire et allergique oculaire — de la simple conjonctivite allergique saisonnière traitée en une instillation quotidienne d'olopatadine, jusqu'à l'œdème maculaire diabétique réfractaire traité par implant intravitréen de dexaméthasone à 700 µg.</w:t>
      </w:r>
    </w:p>
    <w:p>
      <w:r>
        <w:t>La conjonctivite allergique constitue, sur le plan épidémiologique, l'une des affections oculaires les plus fréquentes en pratique médicale courante : elle touche jusqu'à 20 à 25 % de la population générale selon les enquêtes ISAAC, avec une prévalence en progression constante dans les pays industrialisés et émergents, en lien avec la pollution atmosphérique, le réchauffement climatique (allongement des saisons polliniques) et l'urbanisation. En Algérie, la conjonctivite allergique saisonnière (pollens d'olivier, de cupressacées, de graminées au printemps ; d'armoise et de pariétaire en été et automne) représente un motif de consultation quotidienne en ophtalmologie et en médecine générale, particulièrement chez l'enfant et l'adulte jeune. Les formes sévères — kératoconjonctivite vernale (KCV) de l'enfant et de l'adolescent masculin, kératoconjonctivite atopique (KCA) de l'adulte atopique — nécessitent une prise en charge spécialisée et un arsenal thérapeutique hiérarchisé allant des antihistaminiques topiques aux corticoïdes, en passant par les inhibiteurs des mastocytes et les immunosuppresseurs topiques (ciclosporine, tacrolimus).</w:t>
      </w:r>
    </w:p>
    <w:p>
      <w:r>
        <w:t xml:space="preserve">Les </w:t>
      </w:r>
      <w:r>
        <w:rPr>
          <w:b/>
        </w:rPr>
        <w:t>corticoïdes ophtalmiques</w:t>
      </w:r>
      <w:r>
        <w:t xml:space="preserve"> méritent une mention particulière quant à leur iatrogénicité spécifique : ils exposent, par leur action sur le trabéculum cornéoscléral (augmentation de la résistance à l'écoulement de l'humeur aqueuse) et sur le cristallin (modification de la transparence des fibres équatoriales), à deux complications majeures — le </w:t>
      </w:r>
      <w:r>
        <w:rPr>
          <w:b/>
        </w:rPr>
        <w:t>glaucome cortico-induit</w:t>
      </w:r>
      <w:r>
        <w:t xml:space="preserve"> et la </w:t>
      </w:r>
      <w:r>
        <w:rPr>
          <w:b/>
        </w:rPr>
        <w:t>cataracte sous-capsulaire postérieure</w:t>
      </w:r>
      <w:r>
        <w:t xml:space="preserve"> — qui peuvent compromettre définitivement la fonction visuelle en cas de prescription non surveillée. La vérification systématique de la pression intraoculaire avant prescription, à 2 semaines, à 6 semaines, puis tous les 2 à 3 mois en cas de traitement prolongé, constitue une règle d'or absolue. La contre-indication formelle au traitement corticoïde local en cas de kératite herpétique active (risque d'ulcère géant, de perforation cornéenne, d'extension stromale) doit être connue de tout prescripteur. Ces règles, parfaitement établies sur le plan international (recommandations de l'American Academy of Ophthalmology, de la Société Française d'Ophtalmologie, du Royal College of Ophthalmologists), sont systématiquement rappelées dans les résumés des caractéristiques du produit (RCP) et figurent dans la nomenclature algérienne comme mises en garde essentielles.</w:t>
      </w:r>
    </w:p>
    <w:p>
      <w:r>
        <w:t>Le présent chapitre, à vocation strictement pédagogique et clinique, s'adresse aux étudiants en pharmacie et en médecine, aux pharmaciens d'officine et aux ophtalmologistes en formation. Il adopte la structure standardisée des chapitres du Fascicule XV : introduction générale, sous-classes pharmacologiques avec leurs généralités, fiches DCI détaillées (12 sections par fiche), tableau comparatif synoptique et conclusion. Les sources mobilisées sont les RCP officiels de l'ANSM (Agence Nationale de Sécurité du Médicament et des Produits de Santé), la base Thériaque du Centre National Hospitalier d'Information sur le Médicament (CNHIM), le Vidal, les données du CRAT (Centre de Renseignement sur les Agents Tératogènes), les recommandations de la Société Française d'Ophtalmologie, les guidelines de l'European Academy of Allergy and Clinical Immunology (EAACI), et la nomenclature algérienne des médicaments Avril 2026 pour les données de disponibilité commerciale. Chaque fiche DCI comporte les rubriques réglementaires suivantes : Liste des catégories, Médicaments disponibles en Algérie (tableau commercial), Sous-classe et Mécanisme d'action, Profil Pharmacologique (indications AMM, contre-indications, spectre d'action), Effets Indésirables, Prévention et Gestion des Effets Indésirables, Interactions Importantes, Grossesse et Allaitement, Posologie et Mode d'administration, Arbitrage et Bénéfices des Formes Galéniques, Instructions et Conseils au Patient, Notes/Règles d'Or/Pièges au Comptoir. L'objectif est d'offrir à l'étudiant et au praticien un outil de référence utilisable au quotidien en officine comme en consultation.</w:t>
      </w:r>
    </w:p>
    <w:p>
      <w:pPr>
        <w:pStyle w:val="Heading2"/>
      </w:pPr>
      <w:r>
        <w:t>142.2 Sous-classe : Antiallergiques — Antihistaminiques H1 ophtalmiques</w:t>
      </w:r>
    </w:p>
    <w:p>
      <w:pPr>
        <w:pStyle w:val="Heading3"/>
      </w:pPr>
      <w:r>
        <w:t>142.2.1 Généralités de la sous-classe</w:t>
      </w:r>
    </w:p>
    <w:p>
      <w:r>
        <w:t>Les antihistaminiques H1 ophtalmiques constituent la première ligne thérapeutique de la conjonctivite allergique saisonnière et perannuelle, formes cliniques les plus fréquentes (95 % des conjonctivites allergiques vues en consultation). Leur prescription repose sur une logique physiopathologique claire : la réaction allergique de type I (immédiate, médiée par les IgE) déclenchée au niveau de la conjonctive par le contact avec l'allergène (pollen, acariens, poils d'animaux, moisissures, protéines animales) aboutit à la dégranulation des mastocytes conjonctivaux et à la libération massive d'histamine dans le tissu conjonctival. L'histamine se fixe alors sur les récepteurs H1 exprimés à la surface des fibres musculaires lisses vasculaires (vasodilatation, augmentation de la perméabilité capillaire → rougeur et œdème conjonctival), des terminaisons nerveuses sensitives pruritoceptives (prurit oculaire), et des cellules calciciformes conjonctivales (hypersecrétion mucique → larmoiement). Le blocage sélectif des récepteurs H1 par un antihistaminique topique oculaire coupe donc le symptôme au plus près de son effecteur terminal, sans effet systémique notable (biodisponibilité systémique &lt; 1 % par voie lacrymo-nasale).</w:t>
      </w:r>
    </w:p>
    <w:p>
      <w:r>
        <w:t>Trois molécules sont disponibles en Algérie dans cette sous-classe : l'olopatadine (collyre 1 mg/mL), l'azélastine (qui n'existe dans la nomenclature algérienne qu'en forme nasale — NASALAST de Biopharm — mais dont l'usage ophtalmique international est bien établi), et la lévocabastine (collyre 0,5 mg/mL). Toutes trois partagent les caractéristiques communes suivantes : (i) administrées en instillation oculaire unique ou biquotidienne ; (ii) délai d'action rapide (10 à 30 minutes) ; (iii) durée d'action de 8 à 16 heures autorisant une mono- ou bi-instillation quotidienne ; (iv) bonne tolérance locale (sensation de brûlure transitoire, goût amer pharyngé par drainage lacrymo-nasal) ; (v) innocence systémique complète (absence d'effet anticholinergique, sédatif ou cardiovasculaire) ; (vi) prescription en Liste I ou Liste II selon la molécule. L'olopatadine, molecule de référence internationale (OPATANOL princeps Alcon), possède en outre une activité inhibitrice des mastocytes additionnelle qui en fait la molécule de choix pour le traitement prolongé des conjonctivites allergiques perannuelles.</w:t>
      </w:r>
    </w:p>
    <w:p>
      <w:r>
        <w:t>Le choix entre les trois molécules se discute principalement sur la base de la sévérité des symptômes, de la fréquence d'instillation souhaitée, de la tolérance locale individuelle, de la disponibilité commerciale et du coût. L'olopatadine (1 instillation/jour) offre la meilleure commodité d'observance mais reste la plus coûteuse ; la lévocabastine (2 instillations/jour) reste une alternative intéressante en seconde intention ; l'azélastine ophtalmique n'est pas strictement disponible sous forme collyre dans la nomenclature algérienne (la spécialité NASALAST est en fait une solution pour pulvérisation nasale), ce qui en limite l'usage ophtalmique en pratique clinique courante en Algérie et explique le recours à l'olopatadine comme molécule de référence. Le pharmacien d'officine joue un rôle-clé dans l'éducation à l'instillation (technique de l'instillation, respect du délai entre deux collyres, durée d'utilisation après ouverture), dans le repérage des signes d'alerte (douleur oculaire, baisse d'acuité visuelle, photophobie intense) orientant vers une consultation ophtalmologique spécialisée, et dans la vérification de l'absence de contre-indication (glaucome à angle étroit non contrôlé, port de lentilles de contact souples hydrophiles pendant l'instillation).</w:t>
      </w:r>
    </w:p>
    <w:p>
      <w:pPr>
        <w:pStyle w:val="Heading3"/>
      </w:pPr>
      <w:r>
        <w:t>142.2.2 DCI : Olopatadine (usage ophtalmique)</w:t>
      </w:r>
    </w:p>
    <w:p>
      <w:r/>
      <w:r>
        <w:rPr>
          <w:b/>
        </w:rPr>
        <w:t>Liste des Catégories :</w:t>
      </w:r>
      <w:r>
        <w:t xml:space="preserve"> Liste I.</w:t>
      </w:r>
    </w:p>
    <w:p>
      <w:r>
        <w:t>L'olopatadine est un antihistaminique H1 de deuxième génération à activité inhibitrice mastocytaire additionnelle, utilisé par voie ophtalmique depuis sa commercialisation par Alcon sous le nom OPATANOL® aux États-Unis en 1996 et en Europe à la fin des années 1990. La molécule, dérivée du dibenzoxépine tricyclique modifié (cis-(Z)-11-(3-diméthylaminopropylidène)-6,11-dihydrodibenz[b,e]oxépine-2-acide carboxylique), a été conçue pour combiner deux actions pharmacologiques complémentaires sur la réaction allergique conjonctivale : un blocage sélectif de haute affinité (Ki = 32 nM) des récepteurs H1, comparable à celui de la cétirizine ou de la loratadine systémiques, et une inhibition de la dégranulation mastocytaire (baisse du taux d'histamine, de tryptase, et des leucotriènes C4 et D4 libérés après activation IgE), supérieure à celle des antihistaminiques H1 purs comme la lévocabastine. Cette double action en fait la molécule de référence internationale pour le traitement des conjonctivites allergiques saisonnières et perannuelles modérées à sévères. En Algérie, l'olopatadine est disponible sous quatre spécialités commerciales actives au dosage unique de 1 mg/mL (0,1 %) en flacon de 5 mL : OPATANOL (Alcon UK Ltd, princeps), OPATEK (Biothera), OPTICIS (Generic Lab), et PALLADA (World Medecine Limited). Toutes sont classées en Liste I et délivrées sur ordonnance. Le pharmacien d'officine joue un rôle-clé dans la vérification de la prescription médicale obligatoire, dans l'éducation à la technique d'instillation (respect de l'hygiène de l'embout, du délai de 5 minutes entre deux collyres, de la durée d'utilisation après ouverture de 4 semaines), et dans le repérage des signes d'alerte nécessitant une consultation ophtalmologique spécialisée.</w:t>
      </w:r>
    </w:p>
    <w:p>
      <w:r/>
      <w:r>
        <w:rPr>
          <w:b/>
        </w:rPr>
        <w:t>Médicaments disponibles en Algérie (tableau commercial)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OPATANOL</w:t>
            </w:r>
          </w:p>
        </w:tc>
        <w:tc>
          <w:tcPr>
            <w:tcW w:type="dxa" w:w="1559"/>
          </w:tcPr>
          <w:p>
            <w:r>
              <w:rPr>
                <w:sz w:val="20"/>
              </w:rPr>
              <w:t>ALCON UK LTD</w:t>
            </w:r>
          </w:p>
        </w:tc>
        <w:tc>
          <w:tcPr>
            <w:tcW w:type="dxa" w:w="1559"/>
          </w:tcPr>
          <w:p>
            <w:r>
              <w:rPr>
                <w:sz w:val="20"/>
              </w:rPr>
              <w:t>Collyre en solution 1 mg/mL (0,1 %)</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r>
        <w:tc>
          <w:tcPr>
            <w:tcW w:type="dxa" w:w="1559"/>
          </w:tcPr>
          <w:p>
            <w:r>
              <w:rPr>
                <w:sz w:val="20"/>
              </w:rPr>
              <w:t>OPATEK</w:t>
            </w:r>
          </w:p>
        </w:tc>
        <w:tc>
          <w:tcPr>
            <w:tcW w:type="dxa" w:w="1559"/>
          </w:tcPr>
          <w:p>
            <w:r>
              <w:rPr>
                <w:sz w:val="20"/>
              </w:rPr>
              <w:t>BIOTHERA</w:t>
            </w:r>
          </w:p>
        </w:tc>
        <w:tc>
          <w:tcPr>
            <w:tcW w:type="dxa" w:w="1559"/>
          </w:tcPr>
          <w:p>
            <w:r>
              <w:rPr>
                <w:sz w:val="20"/>
              </w:rPr>
              <w:t>Collyre en solution stérile 1 mg/mL (0,1 %)</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r>
        <w:tc>
          <w:tcPr>
            <w:tcW w:type="dxa" w:w="1559"/>
          </w:tcPr>
          <w:p>
            <w:r>
              <w:rPr>
                <w:sz w:val="20"/>
              </w:rPr>
              <w:t>OPTICIS</w:t>
            </w:r>
          </w:p>
        </w:tc>
        <w:tc>
          <w:tcPr>
            <w:tcW w:type="dxa" w:w="1559"/>
          </w:tcPr>
          <w:p>
            <w:r>
              <w:rPr>
                <w:sz w:val="20"/>
              </w:rPr>
              <w:t>GENERIC LAB</w:t>
            </w:r>
          </w:p>
        </w:tc>
        <w:tc>
          <w:tcPr>
            <w:tcW w:type="dxa" w:w="1559"/>
          </w:tcPr>
          <w:p>
            <w:r>
              <w:rPr>
                <w:sz w:val="20"/>
              </w:rPr>
              <w:t>Collyre en solution 1 mg/mL (0,1 %)</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r>
        <w:tc>
          <w:tcPr>
            <w:tcW w:type="dxa" w:w="1559"/>
          </w:tcPr>
          <w:p>
            <w:r>
              <w:rPr>
                <w:sz w:val="20"/>
              </w:rPr>
              <w:t>PALLADA</w:t>
            </w:r>
          </w:p>
        </w:tc>
        <w:tc>
          <w:tcPr>
            <w:tcW w:type="dxa" w:w="1559"/>
          </w:tcPr>
          <w:p>
            <w:r>
              <w:rPr>
                <w:sz w:val="20"/>
              </w:rPr>
              <w:t>WORLD MEDECINE LIMITED</w:t>
            </w:r>
          </w:p>
        </w:tc>
        <w:tc>
          <w:tcPr>
            <w:tcW w:type="dxa" w:w="1559"/>
          </w:tcPr>
          <w:p>
            <w:r>
              <w:rPr>
                <w:sz w:val="20"/>
              </w:rPr>
              <w:t>Collyre en solution 1 mg/mL (0,1 %)</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bl>
    <w:p/>
    <w:p>
      <w:r>
        <w:t>La disponibilité commerciale de l'olopatadine ophtalmique en Algérie repose sur quatre spécialités actives au dosage unique de 1 mg/mL (équivalent 0,1 %), conditionnées en flacon de 5 mL. À la posologie standard d'une instillation par jour, un flacon de 5 mL offre une autonomie de traitement d'environ 3 semaines à 1 mois (selon la taille de la goutte délivrée par l'embout compte-gouttes, généralement 30 à 35 µL). La spécialité princeps OPATANOL (Alcon UK Ltd) est largement prescrite et bénéficie d'une reconnaissance de marque importante chez les ophtalmologistes algériens ; les génériques (OPATEK, OPTICIS, PALLADA) offrent une alternative économique, avec une équivalence biopharmaceutique démontrée mais des variations mineures possibles dans le système de délivrance (ergonomie du flacon, profil de goutte, conservateur utilisé). Tous les conditionnements sont en flacon multidose de 5 mL avec conservation à température ambiante (≤ 25 °C) et durée d'utilisation après ouverture limitée à 4 semaines en raison du risque de contamination microbienne. À noter l'absence de présentation unidose sans conservateur, qui existe pourtant pour OPATANOL dans d'autres marchés européens (unit-dose destinée aux patients porteurs de lentilles de contact et aux sensibilisations aux conservateurs) ; cette absence impose une attention particulière chez les patients sensibles au chlorure de benzalkonium, présent dans la formulation multidose classique.</w:t>
      </w:r>
    </w:p>
    <w:p>
      <w:r/>
      <w:r>
        <w:rPr>
          <w:b/>
        </w:rPr>
        <w:t>Sous-classe et Mécanisme d'action :</w:t>
      </w:r>
      <w:r/>
    </w:p>
    <w:p>
      <w:pPr>
        <w:pStyle w:val="ListBullet"/>
      </w:pPr>
      <w:r>
        <w:t>Sous-classe : Antihistaminique H1 ophtalmique de deuxième génération à activité inhibitrice mastocytaire additionnelle. Liste I.</w:t>
      </w:r>
    </w:p>
    <w:p>
      <w:pPr>
        <w:pStyle w:val="ListBullet"/>
      </w:pPr>
      <w:r>
        <w:t xml:space="preserve">Mécanisme d'action : L'olopatadine, molécule amphiphile faiblement lipophile (logP ≈ 2,6), traverse le film lacrymal et diffuse à travers l'épithélium conjonctival jusqu'aux cellules cibles (mastocytes conjonctivaux et limbiques, terminaisons nerveuses sensitives, fibres musculaires lisses vasculaires, cellules endothéliales capillaires, lymphocytes T et éosinophiles recrutés en cas d'allergie chronique). Elle exerce une </w:t>
      </w:r>
      <w:r>
        <w:rPr>
          <w:b/>
        </w:rPr>
        <w:t>double action pharmacologique</w:t>
      </w:r>
      <w:r>
        <w:t xml:space="preserve"> : (i) </w:t>
      </w:r>
      <w:r>
        <w:rPr>
          <w:b/>
        </w:rPr>
        <w:t>antagonisme compétitif sélectif des récepteurs H1</w:t>
      </w:r>
      <w:r>
        <w:t xml:space="preserve"> (Ki = 32 nM), sans affinité notable pour les récepteurs H2, H3, α1, α2, β1, β2, muscariniques, dopaminergiques ou sérotoninergiques — ce qui explique l'absence d'effet anticholinergique (sécheresse oculaire), d'effet sédatif (somnolence) et d'effet cardiovasculaire (allongement du QT) ; (ii) </w:t>
      </w:r>
      <w:r>
        <w:rPr>
          <w:b/>
        </w:rPr>
        <w:t>inhibition de la dégranulation mastocytaire</w:t>
      </w:r>
      <w:r>
        <w:t xml:space="preserve"> par un mécanisme moléculaire encore partiellement élucidé impliquant une stabilisation des canaux calciques voltage-dépendants et une inhibition de la phosphorylation de la protéine STAT6, réduisant ainsi la libération d'histamine, de tryptase β, de leucotriènes C4 et D4, de prostaglandine D2 et du facteur activateur des plaquettes (PAF) par les mastocytes activés par les IgE. L'effet antiprurigineux et antilarmoyant se manifeste en 30 à 60 minutes (début d'action), atteint son maximum à 2 heures, et persiste pendant au moins 8 heures, autorisant une administration unique quotidienne (qui distingue l'olopatadine de la lévocabastine, biquotidienne). La biodisponibilité systémique est faible (&lt; 1,5 % par voie lacrymo-nasale) ; la fraction absorbée est métabolisée par le cytochrome CYP3A4 et UGT1A4 en métabolites inactifs (N-desméthylolopatadine, olopatadine N-oxyde), éliminés par voie rénale (60 à 70 %) et fécale (30 %). La demi-vie plasmatique est de 8 à 12 heures, sans accumulation à l'état d'équilibre. Le passage transplacentaire et dans le lait maternel est négligeable aux posologies ophtalmiques usuelles.</w:t>
      </w:r>
    </w:p>
    <w:p>
      <w:r/>
      <w:r>
        <w:rPr>
          <w:b/>
        </w:rPr>
        <w:t>Profil Pharmacologique :</w:t>
      </w:r>
      <w:r/>
    </w:p>
    <w:p>
      <w:pPr>
        <w:pStyle w:val="ListBullet"/>
      </w:pPr>
      <w:r>
        <w:t xml:space="preserve">Indications AMM adultes et enfants : (1) </w:t>
      </w:r>
      <w:r>
        <w:rPr>
          <w:b/>
        </w:rPr>
        <w:t>Conjonctivite allergique saisonnière</w:t>
      </w:r>
      <w:r>
        <w:t xml:space="preserve"> chez l'adulte et l'enfant à partir de 3 ans (parfois 1 an selon les pays) — traitement symptomatique du prurit oculaire, de la rougeur conjonctivale, du larmoiement et de l'œdème palpébral ; traitement de fond pendant toute la saison pollinique (4 à 12 semaines). (2) </w:t>
      </w:r>
      <w:r>
        <w:rPr>
          <w:b/>
        </w:rPr>
        <w:t>Conjonctivite allergique perannuelle</w:t>
      </w:r>
      <w:r>
        <w:t xml:space="preserve"> chez l'adulte et l'enfant à partir de 3 ans — traitement continu prolongé (plusieurs mois à années) des allergies aux acariens, aux phanères d'animaux, aux moisissures domestiques. (3) </w:t>
      </w:r>
      <w:r>
        <w:rPr>
          <w:b/>
        </w:rPr>
        <w:t>Conjonctivite allergique aux lentilles de contact</w:t>
      </w:r>
      <w:r>
        <w:t xml:space="preserve"> (giant papillary conjunctivitis ou GPC) en traitement d'appoint, en association au retrait temporaire des lentilles et au passage à des lentilles journalières à usage unique. (4) En pratique courante, traitement des poussées de kératoconjonctivite vernale (KCV) modérée en association à un corticoïde topique de courte durée, et prévention des poussées saisonnières par instauration 2 à 4 semaines avant le début prévu de la saison pollinique.</w:t>
      </w:r>
    </w:p>
    <w:p>
      <w:pPr>
        <w:pStyle w:val="ListBullet"/>
      </w:pPr>
      <w:r>
        <w:t xml:space="preserve">Contre-indications : Hypersensibilité à l'olopatadine ou à l'un des excipients (chlorure de benzalkonium, phosphate disodique, chlorure de sodium, acide citrique monohydraté, edetate disodique, polysorbate 80, eau purifiée) ; </w:t>
      </w:r>
      <w:r>
        <w:rPr>
          <w:b/>
        </w:rPr>
        <w:t>port de lentilles de contact souples hydrophiles</w:t>
      </w:r>
      <w:r>
        <w:t xml:space="preserve"> pendant l'instillation (le chlorure de benzalkonium peut se fixer sur les polymères de silicone-hydrogel et provoquer une kératopathie, un décollement épithélial récurrent ou une coloration irréversible de la lentille — retirer les lentilles avant instillation et ne les remettre qu'après un délai minimal de 15 minutes) ; enfant de moins de 3 ans (selon AMM, en raison de l'absence de données d'innocuité à cet âge).</w:t>
      </w:r>
    </w:p>
    <w:p>
      <w:pPr>
        <w:pStyle w:val="ListBullet"/>
      </w:pPr>
      <w:r>
        <w:t>Spectre d'action : L'olopatadine n'a aucune activité antibiotique, antifongique ou antivirale. Son action est strictement symptomatique de la réaction allergique de type I. Elle n'a pas d'effet sur les conjonctivites bactériennes, virales, toxiques, médicamenteuses ou sèches, et n'est pas un traitement substitutif de la corticothérapie locale dans les formes sévères (KCV, KCA) où elle constitue un traitement d'appoint mais ne suffit pas à contrôler l'inflammation.</w:t>
      </w:r>
    </w:p>
    <w:p>
      <w:r/>
      <w:r>
        <w:rPr>
          <w:b/>
        </w:rPr>
        <w:t>Effets Indésirables :</w:t>
      </w:r>
      <w:r/>
    </w:p>
    <w:p>
      <w:pPr>
        <w:pStyle w:val="ListBullet"/>
      </w:pPr>
      <w:r/>
      <w:r>
        <w:rPr>
          <w:b/>
        </w:rPr>
        <w:t>Locaux précoces</w:t>
      </w:r>
      <w:r>
        <w:t xml:space="preserve"> (premières minutes à premières semaines) : sensation de brûlure transitoire à l'instillation (5 à 10 %), picotements, irritation conjonctivale, hyperhémie conjonctivale paradoxale transitoire (1 à 3 %), sécheresse oculaire, sensation de corps étranger, larmoiement réflexe, vision floue transitoire (30 secondes à 2 minutes après instillation en raison de la diffusion du collyre sur la cornée), blépharite transitoire.</w:t>
      </w:r>
    </w:p>
    <w:p>
      <w:pPr>
        <w:pStyle w:val="ListBullet"/>
      </w:pPr>
      <w:r/>
      <w:r>
        <w:rPr>
          <w:b/>
        </w:rPr>
        <w:t>Locaux tardifs</w:t>
      </w:r>
      <w:r>
        <w:t xml:space="preserve"> (au-delà de 2 semaines d'utilisation continue) : rarement kératite ponctuée superficielle (KPS) par toxicité épithéliale du chlorure de benzalkonium (à surveiller en cas de traitement prolongé &gt; 1 mois), blépharite chronique, conjonctivite toxique, exceptionnels cas de dermite de contact palpébrale.</w:t>
      </w:r>
    </w:p>
    <w:p>
      <w:pPr>
        <w:pStyle w:val="ListBullet"/>
      </w:pPr>
      <w:r/>
      <w:r>
        <w:rPr>
          <w:b/>
        </w:rPr>
        <w:t>Systémiques</w:t>
      </w:r>
      <w:r>
        <w:t xml:space="preserve"> (exceptionnels) : céphalées (1 à 2 %), asthénie, très rarement réactions allergiques systémiques (urticaire, œdème de Quincke, anaphylaxie — moins de 1/10 000 cas), exceptionnels cas de somnolence légère (par passage systémique minime mais non nul, à signaler chez les conducteurs de véhicules et les opérateurs de machines dangereuses).</w:t>
      </w:r>
    </w:p>
    <w:p>
      <w:pPr>
        <w:pStyle w:val="ListBullet"/>
      </w:pPr>
      <w:r/>
      <w:r>
        <w:rPr>
          <w:b/>
        </w:rPr>
        <w:t>Effets paradoxaux</w:t>
      </w:r>
      <w:r>
        <w:t xml:space="preserve"> : aggravation transitoire du prurit en début de traitement (réaction d'irritation locale), exceptionnels cas d'aggravation paradoxale de la rougeur conjonctivale justifiant l'arrêt et le changement de molécule.</w:t>
      </w:r>
    </w:p>
    <w:p>
      <w:pPr>
        <w:pStyle w:val="ListBullet"/>
      </w:pPr>
      <w:r/>
      <w:r>
        <w:rPr>
          <w:b/>
        </w:rPr>
        <w:t>Effets liés au conservateur</w:t>
      </w:r>
      <w:r>
        <w:t xml:space="preserve"> : le chlorure de benzalkonium présent dans la formulation multidose classique est responsable à long terme (&gt; 1 mois d'usage quotidien) d'une toxicité épithéliale cornéenne (lyse des cellules épithéliales, altération des jonctions serrées, décompensation de la surface oculaire) — d'où l'intérêt des formulations unidoses sans conservateur pour les traitements prolongés.</w:t>
      </w:r>
    </w:p>
    <w:p>
      <w:r/>
      <w:r>
        <w:rPr>
          <w:b/>
        </w:rPr>
        <w:t>Prévention et Gestion des Effets Indésirables :</w:t>
      </w:r>
      <w:r/>
    </w:p>
    <w:p>
      <w:pPr>
        <w:pStyle w:val="ListBullet"/>
      </w:pPr>
      <w:r>
        <w:t xml:space="preserve">Mesures préventives : </w:t>
      </w:r>
      <w:r>
        <w:rPr>
          <w:b/>
        </w:rPr>
        <w:t>Éducation systématique à la technique d'instillation</w:t>
      </w:r>
      <w:r>
        <w:t xml:space="preserve"> : (1) se laver soigneusement les mains au savon avant l'instillation ; (2) vérifier l'absence de détérioration du flacon et la date de péremption ; (3) agiter légèrement le flacon avant emploi si la formulation l'exige (selon le RCP) ; (4) pencher la tête légèrement en arrière ; (5) tirer délicatement la paupière inférieure vers le bas pour former un cul-de-sac conjonctival ; (7) approcher l'embout du flacon de l'œil sans toucher l'œil, les paupières ou les cils (risque de contamination microbienne du flacon) ; (8) presser le flacon pour déposer une goutte unique dans le cul-de-sac conjonctival inférieur ; (9) relâcher la paupière et cligner doucement plusieurs fois pour répartir le collyre ; (10) essuyer l'excédent avec un mouchoir propre à usage unique ; (11) refermer hermétiquement le flacon ; (12) attendre au moins 5 minutes avant l'instillation d'un autre collyre éventuel (pour éviter le lessivage lacrymal du premier collyre par le second). </w:t>
      </w:r>
      <w:r>
        <w:rPr>
          <w:b/>
        </w:rPr>
        <w:t>Retrait des lentilles de contact</w:t>
      </w:r>
      <w:r>
        <w:t xml:space="preserve"> avant instillation et remise après 15 minutes minimum. </w:t>
      </w:r>
      <w:r>
        <w:rPr>
          <w:b/>
        </w:rPr>
        <w:t>Conservation au réfrigérateur non obligatoire</w:t>
      </w:r>
      <w:r>
        <w:t xml:space="preserve"> (≤ 25 °C suffisent) ; ne pas congeler ; protéger de la lumière directe. </w:t>
      </w:r>
      <w:r>
        <w:rPr>
          <w:b/>
        </w:rPr>
        <w:t>Durée d'utilisation après ouverture</w:t>
      </w:r>
      <w:r>
        <w:t xml:space="preserve"> : 4 semaines maximum (au-delà, risque de contamination microbienne justifiant le jet du flacon même s'il reste du produit). En cas de traitement prolongé &gt; 1 mois, surveillance ophtalmologique périodique pour dépistage de la toxicité épithéliale cornéenne liée au chlorure de benzalkonium.</w:t>
      </w:r>
    </w:p>
    <w:p>
      <w:pPr>
        <w:pStyle w:val="ListBullet"/>
      </w:pPr>
      <w:r>
        <w:t>Conduite à tenir : En cas de sensation de brûlure excessive et persistante (au-delà de 1 minute), arrêt du traitement et consultation pour vérification de l'absence de kératite sous-jacente ; en cas de surinfection bactérienne (sécrétions purulentes jaunâtres, conjonctivite fibrineuse), arrêt et antibiothérapie locale ; en cas d'aggravation des symptômes à 7 jours, consultation pour réévaluation diagnostique (conjonctivite virale ? bactérienne ? sèche ? kératite ?). En cas de réaction allergique systémique, arrêt immédiat, antihistaminique systémique et consultation aux urgences.</w:t>
      </w:r>
    </w:p>
    <w:p>
      <w:r/>
      <w:r>
        <w:rPr>
          <w:b/>
        </w:rPr>
        <w:t>Interactions Importantes :</w:t>
      </w:r>
      <w:r/>
    </w:p>
    <w:p>
      <w:pPr>
        <w:pStyle w:val="ListBullet"/>
      </w:pPr>
      <w:r/>
      <w:r>
        <w:rPr>
          <w:b/>
        </w:rPr>
        <w:t>Autres collyres</w:t>
      </w:r>
      <w:r>
        <w:t xml:space="preserve"> : instillation à au moins 5 minutes d'intervalle (règle générale) pour éviter le lessivage lacrymal ; l'ordre d'instillation recommandé est : collyre myotique/glaucomateux → antihistaminique → corticoïde → larmes artificielles (du plus petit volume au plus grand volume).</w:t>
      </w:r>
    </w:p>
    <w:p>
      <w:pPr>
        <w:pStyle w:val="ListBullet"/>
      </w:pPr>
      <w:r/>
      <w:r>
        <w:rPr>
          <w:b/>
        </w:rPr>
        <w:t>Lentilles de contact</w:t>
      </w:r>
      <w:r>
        <w:t xml:space="preserve"> : retrait obligatoire avant instillation et remise après 15 minutes (le chlorure de benzalkonium peut se fixer sur le polymère de la lentille et provoquer une kératopathie chronique).</w:t>
      </w:r>
    </w:p>
    <w:p>
      <w:pPr>
        <w:pStyle w:val="ListBullet"/>
      </w:pPr>
      <w:r/>
      <w:r>
        <w:rPr>
          <w:b/>
        </w:rPr>
        <w:t>Antihistaminiques systémiques</w:t>
      </w:r>
      <w:r>
        <w:t xml:space="preserve"> (cétirizine, loratadine, desloratadine, fexofénadine, bilastine) : pas d'interaction pharmacocinétique, mais potentialisation pharmacodynamique possible de l'effet antihistaminique (à surveiller en cas de conduite automobile). Aucune restriction d'usage.</w:t>
      </w:r>
    </w:p>
    <w:p>
      <w:pPr>
        <w:pStyle w:val="ListBullet"/>
      </w:pPr>
      <w:r/>
      <w:r>
        <w:rPr>
          <w:b/>
        </w:rPr>
        <w:t>Inhibiteurs du CYP3A4</w:t>
      </w:r>
      <w:r>
        <w:t xml:space="preserve"> (kétoconazole, itraconazole, clarithromycine, ritonavir) : pas d'interaction cliniquement significative (la biodisponibilité systémique est négligeable).</w:t>
      </w:r>
    </w:p>
    <w:p>
      <w:pPr>
        <w:pStyle w:val="ListBullet"/>
      </w:pPr>
      <w:r/>
      <w:r>
        <w:rPr>
          <w:b/>
        </w:rPr>
        <w:t>Alcool, dépresseurs du SNC</w:t>
      </w:r>
      <w:r>
        <w:t xml:space="preserve"> : pas d'interaction notable (absence d'effet sédatif intrinsèque aux posologies ophtalmiques).</w:t>
      </w:r>
    </w:p>
    <w:p>
      <w:pPr>
        <w:pStyle w:val="ListBullet"/>
      </w:pPr>
      <w:r/>
      <w:r>
        <w:rPr>
          <w:b/>
        </w:rPr>
        <w:t>Profil d'innocuité global</w:t>
      </w:r>
      <w:r>
        <w:t xml:space="preserve"> : pas d'interaction médicamenteuse cliniquement significative documentée aux posologies ophtalmiques usuelles.</w:t>
      </w:r>
    </w:p>
    <w:p>
      <w:r/>
      <w:r>
        <w:rPr>
          <w:b/>
        </w:rPr>
        <w:t>Grossesse et Allaitement :</w:t>
      </w:r>
      <w:r/>
    </w:p>
    <w:p>
      <w:pPr>
        <w:pStyle w:val="ListBullet"/>
      </w:pPr>
      <w:r>
        <w:t xml:space="preserve">Grossesse : L'olopatadine est classée par le CRAT comme « </w:t>
      </w:r>
      <w:r>
        <w:rPr>
          <w:b/>
        </w:rPr>
        <w:t>utilisable quel que soit le terme</w:t>
      </w:r>
      <w:r>
        <w:t xml:space="preserve"> » chez la femme enceinte, sur la base d'un recul clinique important (plusieurs milliers de grossesses exposées documentées sans augmentation du risque malformatif), d'une biodisponibilité systémique négligeable (&lt; 1,5 %), et d'études animales rassurantes (absence d'effet tératogène, fœtotoxique ou sur le développement postnatal chez la souris, le rat et le lapin à des doses jusqu'à 770 fois l'exposition ophtalmique humaine). Aux posologies usuelles (1 instillation/jour), aucune surveillance spécifique n'est recommandée. En pratique, l'olopatadine est l'antihistaminique ophtalmique de première intention chez la femme enceinte présentant une conjonctivite allergique modérée à sévère.</w:t>
      </w:r>
    </w:p>
    <w:p>
      <w:pPr>
        <w:pStyle w:val="ListBullet"/>
      </w:pPr>
      <w:r>
        <w:t>Allaitement : Compatible avec l'allaitement ; le passage dans le lait maternel est négligeable (biodisponibilité systémique &lt; 1,5 %, concentration plasmatique très faible). Aucune surveillance spécifique du nourrisson n'est recommandée aux posologies usuelles.</w:t>
      </w:r>
    </w:p>
    <w:p>
      <w:pPr>
        <w:pStyle w:val="ListBullet"/>
      </w:pPr>
      <w:r>
        <w:t>Précisions : L'utilisation de la forme nasale d'olopatadine (Pallada) pendant la grossesse et l'allaitement relève des mêmes règles.</w:t>
      </w:r>
    </w:p>
    <w:p>
      <w:r/>
      <w:r>
        <w:rPr>
          <w:b/>
        </w:rPr>
        <w:t>Posologie et Mode d'administration (Standard) :</w:t>
      </w:r>
      <w:r/>
    </w:p>
    <w:p>
      <w:pPr>
        <w:pStyle w:val="ListBullet"/>
      </w:pPr>
      <w:r>
        <w:t xml:space="preserve">Adulte et enfant à partir de 3 ans : </w:t>
      </w:r>
      <w:r>
        <w:rPr>
          <w:b/>
        </w:rPr>
        <w:t>1 goutte de collyre 1 mg/mL dans chaque œil, une fois par jour</w:t>
      </w:r>
      <w:r>
        <w:t>, le matin ou le soir (l'heure n'a pas d'importance pharmacologique mais doit être fixe pour optimiser l'observance). En cas de symptômes sévères ou de poussée aiguë, augmentation temporaire à 2 instillations par jour (matin et soir à 12 heures d'intervalle) possible pendant les premiers 3 à 7 jours, puis retour à la monothérapie quotidienne dès contrôle des symptômes. Dose maximale recommandée : 2 instillations par jour par œil.</w:t>
      </w:r>
    </w:p>
    <w:p>
      <w:pPr>
        <w:pStyle w:val="ListBullet"/>
      </w:pPr>
      <w:r>
        <w:t>Enfant de 3 à 6 ans : 1 goutte 1 fois par jour, sous surveillance d'un adulte pour la technique d'instillation.</w:t>
      </w:r>
    </w:p>
    <w:p>
      <w:pPr>
        <w:pStyle w:val="ListBullet"/>
      </w:pPr>
      <w:r>
        <w:t>Mode d'administration : (1) hygiène des mains ; (2) retrait des lentilles de contact si applicable ; (3) pencher la tête en arrière ; (4) tirer la paupière inférieure vers le bas ; (5) déposer une goutte unique dans le cul-de-sac conjonctival inférieur sans contact de l'embout avec l'œil, les cils ou les paupières ; (6) cligner doucement plusieurs fois ; (7) essuyer l'excédent ; (8) refermer le flacon ; (9) remise des lentilles après 15 minutes minimum si applicable ; (10) respect d'un délai d'au moins 5 minutes avant tout autre collyre.</w:t>
      </w:r>
    </w:p>
    <w:p>
      <w:pPr>
        <w:pStyle w:val="ListBullet"/>
      </w:pPr>
      <w:r>
        <w:t>Durée de traitement : variable selon l'indication — conjonctivite saisonnière : pendant toute la durée de la saison pollinique (4 à 12 semaines), avec instauration si possible 1 à 2 semaines avant le début attendu de la saison (traitement prophylactique) ; conjonctivite perannuelle : traitement continu prolongé (plusieurs mois à années) avec réévaluation tous les 3 à 6 mois ; poussée aiguë : traitement de 7 à 14 jours en moyenne, prolongeable si nécessaire.</w:t>
      </w:r>
    </w:p>
    <w:p>
      <w:r/>
      <w:r>
        <w:rPr>
          <w:b/>
        </w:rPr>
        <w:t>Arbitrage et Bénéfices des Formes Galéniques :</w:t>
      </w:r>
      <w:r/>
    </w:p>
    <w:p>
      <w:r>
        <w:t>L'olopatadine ophtalmique n'existe en Algérie qu'en une seule forme galénique (collyre en solution à 1 mg/mL) et un seul dosage en flacon multidose de 5 mL. L'arbitrage porte donc principalement sur le choix de la spécialité commerciale : princeps OPATANOL (Alcon UK Ltd) ou générique (OPATEK, OPTICIS, PALLADA). Tous contiennent la même concentration d'olopatadine (1 mg/mL) et des excipients similaires (chlorure de benzalkonium comme conservateur, phosphate disodique, chlorure de sodium, acide citrique, edetate disodique, polysorbate 80, eau purifiée). Les différences portent sur le système de délivrance (ergonomie du flacon, type d'embout compte-gouttes, profil de gouttelette, force d'actuation) et sur le coût (le générique étant généralement 20 à 40 % moins cher que le princeps). Le pharmacien peut proposer une substitution du princeps par un générique avec l'accord du patient, en rappelant que l'équivalence biopharmaceutique est démontrée mais que des variations individuelles de tolérance (irritation locale, profil de pulvérisation) sont possibles. À noter que dans d'autres marchés (Europe, États-Unis), l'olopatadine existe en formulation unidose sans conservateur (OPATANOL unit-dose) particulièrement intéressante pour les patients porteurs de lentilles de contact, les sensibilisés au chlorure de benzalkonium, et les traitements prolongés au-delà de 1 mois — cette présentation n'est pas disponible dans la nomenclature algérienne, ce qui impose une attention particulière chez ces patients (recours éventuel à la lévocabastine si elle est disponible en unidose, ou surveillance rapprochée de la surface oculaire).</w:t>
      </w:r>
    </w:p>
    <w:p>
      <w:r/>
      <w:r>
        <w:rPr>
          <w:b/>
        </w:rPr>
        <w:t>Instructions et Conseils au Patient :</w:t>
      </w:r>
      <w:r/>
    </w:p>
    <w:p>
      <w:pPr>
        <w:pStyle w:val="ListBullet"/>
      </w:pPr>
      <w:r>
        <w:t xml:space="preserve">Communication au comptoir : Insister sur le </w:t>
      </w:r>
      <w:r>
        <w:rPr>
          <w:b/>
        </w:rPr>
        <w:t>délai d'action rapide</w:t>
      </w:r>
      <w:r>
        <w:t xml:space="preserve"> (« vous allez sentir un soulagement du prurit en 30 à 60 minutes »), sur la </w:t>
      </w:r>
      <w:r>
        <w:rPr>
          <w:b/>
        </w:rPr>
        <w:t>nécessité d'une administration quotidienne régulière</w:t>
      </w:r>
      <w:r>
        <w:t xml:space="preserve"> (« ne l'arrêtez pas dès que vous allez mieux, continuez pendant toute la saison pollinique »), sur la </w:t>
      </w:r>
      <w:r>
        <w:rPr>
          <w:b/>
        </w:rPr>
        <w:t>technique d'instillation</w:t>
      </w:r>
      <w:r>
        <w:t xml:space="preserve"> (« penchez la tête en arrière, tirez la paupière inférieure vers le bas, déposez une seule goutte sans toucher l'œil »), sur le </w:t>
      </w:r>
      <w:r>
        <w:rPr>
          <w:b/>
        </w:rPr>
        <w:t>respect du délai de 5 minutes entre deux collyres</w:t>
      </w:r>
      <w:r>
        <w:t xml:space="preserve"> si vous en prenez plusieurs, sur le </w:t>
      </w:r>
      <w:r>
        <w:rPr>
          <w:b/>
        </w:rPr>
        <w:t>retrait des lentilles de contact</w:t>
      </w:r>
      <w:r>
        <w:t xml:space="preserve"> avant instillation et la remise après 15 minutes, sur la </w:t>
      </w:r>
      <w:r>
        <w:rPr>
          <w:b/>
        </w:rPr>
        <w:t>durée d'utilisation après ouverture de 4 semaines</w:t>
      </w:r>
      <w:r>
        <w:t xml:space="preserve"> (« ne gardez pas le flacon plus d'un mois, jetez-le même s'il reste du produit »), sur la </w:t>
      </w:r>
      <w:r>
        <w:rPr>
          <w:b/>
        </w:rPr>
        <w:t>conservation à température ambiante</w:t>
      </w:r>
      <w:r>
        <w:t xml:space="preserve"> (≤ 25 °C, ne pas congeler, protéger de la lumière).</w:t>
      </w:r>
    </w:p>
    <w:p>
      <w:pPr>
        <w:pStyle w:val="ListBullet"/>
      </w:pPr>
      <w:r>
        <w:t>Mode d'utilisation pratique : Démonstration au comptoir avec un flacon-test si possible ; remise d'une notice simplifiée ; vérification de la technique par le patient à la première dispensation. Ne pas partager le flacon entre plusieurs personnes (risque de contamination croisée).</w:t>
      </w:r>
    </w:p>
    <w:p>
      <w:pPr>
        <w:pStyle w:val="ListBullet"/>
      </w:pPr>
      <w:r>
        <w:t>Information sur les signes d'alerte : douleur oculaire intense, baisse d'acuité visuelle, photophobie majeure, sécrétions purulentes, œdème palpébral important, non-amélioration à 7 jours → arrêt et consultation ophtalmologique urgente. Sensation de brûlure transitoire en début de traitement est fréquente et non inquiétante ; goût amer en arrière-gorge après instillation est normal (drainage lacrymo-nasal).</w:t>
      </w:r>
    </w:p>
    <w:p>
      <w:r/>
      <w:r>
        <w:rPr>
          <w:b/>
        </w:rPr>
        <w:t>Notes, Règles d'Or &amp; Pièges au Comptoir :</w:t>
      </w:r>
      <w:r/>
    </w:p>
    <w:p>
      <w:pPr>
        <w:pStyle w:val="ListBullet"/>
      </w:pPr>
      <w:r>
        <w:t>Piège classique du patient qui revient à l'officine 3 jours après la délivrance en disant « ça ne marche pas » → l'effet antihistaminique est rapide (30 à 60 minutes) mais l'effet inhibiteur mastocytaire met quelques jours à s'installer ; il faut continuer et réévaluer à 7 jours.</w:t>
      </w:r>
    </w:p>
    <w:p>
      <w:pPr>
        <w:pStyle w:val="ListBullet"/>
      </w:pPr>
      <w:r>
        <w:t>Piège du patient qui utilise l'olopatadine sur une conjonctivite non allergique (bactérienne, virale, sèche, médicamenteuse) → inefficacité attendue, diagnostic à revoir.</w:t>
      </w:r>
    </w:p>
    <w:p>
      <w:pPr>
        <w:pStyle w:val="ListBullet"/>
      </w:pPr>
      <w:r>
        <w:t>Piège du patient porteur de lentilles de contact qui installe le collyre sans retirer les lentilles → risque de fixation du chlorure de benzalkonium sur la lentille avec kératopathie chronique.</w:t>
      </w:r>
    </w:p>
    <w:p>
      <w:pPr>
        <w:pStyle w:val="ListBullet"/>
      </w:pPr>
      <w:r>
        <w:t>Piège du flacon ouvert depuis plus de 4 semaines → contamination microbienne possible, jeter le flacon même s'il reste du produit.</w:t>
      </w:r>
    </w:p>
    <w:p>
      <w:pPr>
        <w:pStyle w:val="ListBullet"/>
      </w:pPr>
      <w:r>
        <w:t>Piège de l'instillation simultanée de plusieurs collyres sans respect du délai de 5 minutes → lessivage lacrymal du premier collyre par le second et perte d'efficacité.</w:t>
      </w:r>
    </w:p>
    <w:p>
      <w:pPr>
        <w:pStyle w:val="ListBullet"/>
      </w:pPr>
      <w:r>
        <w:t>Règle d'or : « Olopatadine = 1 goutte 1 fois par jour ; retrait des lentilles ; 5 minutes entre deux collyres ; flacon jeté à 4 semaines ; traitement prolongé pendant toute la saison pollinique ».</w:t>
      </w:r>
    </w:p>
    <w:p>
      <w:pPr>
        <w:pStyle w:val="ListBullet"/>
      </w:pPr>
      <w:r>
        <w:t>Préparation et Conservation : Flacon fermé, à température ambiante (≤ 25 °C), à l'abri de la lumière et de l'humidité. Ne pas utiliser au-delà de la date de péremption. Jeter 4 semaines après la première utilisation. Ne pas exposer à des températures extrêmes.</w:t>
      </w:r>
    </w:p>
    <w:p>
      <w:pPr>
        <w:pStyle w:val="ListBullet"/>
      </w:pPr>
      <w:r>
        <w:t>Piège de substitution : La substitution du princeps (OPATANOL) par un générique (OPATEK, OPTICIS, PALLADA) doit être expliquée au patient (même principe actif, même dosage, mais système de pompe potentiellement différent). Ne pas substituer sans accord du patient.</w:t>
      </w:r>
    </w:p>
    <w:p>
      <w:pPr>
        <w:pStyle w:val="Heading3"/>
      </w:pPr>
      <w:r>
        <w:t>142.2.3 DCI : Azélastine (usage ophtalmique)</w:t>
      </w:r>
    </w:p>
    <w:p>
      <w:r/>
      <w:r>
        <w:rPr>
          <w:b/>
        </w:rPr>
        <w:t>Liste des Catégories :</w:t>
      </w:r>
      <w:r>
        <w:t xml:space="preserve"> Liste I.</w:t>
      </w:r>
    </w:p>
    <w:p>
      <w:r>
        <w:t>L'azélastine est un antihistaminique H1 de deuxième génération à activité inhibitrice mastocytaire additionnelle, dérivé de la phthalazinone (4-(4-chlorobenzyl)-2-(hexahydro-1-méthyl-1H-azépin-4-yl)-1(2H)-phthalazinone), développé à l'origine par ASTA Medica (Frankfurt, Allemagne) au début des années 1980 et commercialisé en forme ophtalmique sous le nom d'OPTILON® (Allemagne, 1994), ALLERGODIL® (France, 1997, laboratoires MEDA) puis ASTELIN® (états-unien). La molécule a été conçue pour combiner, à l'instar de l'olopatadine mais avec une structure chimique distincte, un blocage sélectif de haute affinité (Ki ≈ 8 nM, soit 4 fois supérieur à l'olopatadine) des récepteurs H1, et une inhibition de la dégranulation mastocytaire et de la libération des leucotriènes (LTB4, LTC4, LTD4) par les mastocytes activés. Son profil pharmacologique inclut également une inhibition de l'expression des molécules d'adhésion (ICAM-1) sur l'épithélium conjonctival, ce qui réduit le recrutement des éosinophiles et des lymphocytes T lors de la phase tardive de la réaction allergique. L'azélastine ophtalmique est largement utilisée en Europe et aux États-Unis dans le traitement des conjonctivites allergiques saisonnières et perannuelles, à la posologie de 1 instillation biquotidienne (matin et soir). En Algérie, la nomenclature des médicaments Avril 2026 ne recense pas de spécialité commercialisée d'azélastine strictement ophtalmique (collyre) ; la seule spécialité disponible est NASALAST (Biopharm), commercialisée comme solution pour pulvérisation nasale (le libellé « SOL. INJ (I.M/I.V) » figurant dans la nomenclature source apparaît être une anomalie de classification administrative, la spécialité étant en pratique une solution nasale dosée à 0,1 % d'azélastine base, en flacon de 120 mL avec applicateur nasal). Cette particularité de disponibilité explique le recours en pratique clinique algérienne à l'olopatadine comme antihistaminique ophtalmique de référence, et l'usage éventuel hors AMM de la solution nasale d'azélastine par instillation oculaire (non recommandé en l'absence de formulation stérile et adaptée au pH oculaire). Le présent chapitre décrit la molécule selon les références internationales (RCP ALLERGODIL, Vidal, ANSM) pour information pharmacologique complète, en précisant la non-disponibilité de la forme ophtalmique en Algérie et le recours à l'olopatadine comme alternative thérapeutique de première intention.</w:t>
      </w:r>
    </w:p>
    <w:p>
      <w:r/>
      <w:r>
        <w:rPr>
          <w:b/>
        </w:rPr>
        <w:t>Médicaments disponibles en Algérie (tableau commercial)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NASALAST</w:t>
            </w:r>
          </w:p>
        </w:tc>
        <w:tc>
          <w:tcPr>
            <w:tcW w:type="dxa" w:w="1559"/>
          </w:tcPr>
          <w:p>
            <w:r>
              <w:rPr>
                <w:sz w:val="20"/>
              </w:rPr>
              <w:t>BIOPHARM</w:t>
            </w:r>
          </w:p>
        </w:tc>
        <w:tc>
          <w:tcPr>
            <w:tcW w:type="dxa" w:w="1559"/>
          </w:tcPr>
          <w:p>
            <w:r>
              <w:rPr>
                <w:sz w:val="20"/>
              </w:rPr>
              <w:t>Solution nasale 0,1 % d'azélastine base (0,14 mL délivre 0,127 mg)</w:t>
            </w:r>
          </w:p>
        </w:tc>
        <w:tc>
          <w:tcPr>
            <w:tcW w:type="dxa" w:w="1559"/>
          </w:tcPr>
          <w:p>
            <w:r>
              <w:rPr>
                <w:sz w:val="20"/>
              </w:rPr>
              <w:t>Flacon de 120 mL avec applicateur nasal</w:t>
            </w:r>
          </w:p>
        </w:tc>
        <w:tc>
          <w:tcPr>
            <w:tcW w:type="dxa" w:w="1559"/>
          </w:tcPr>
          <w:p>
            <w:r>
              <w:rPr>
                <w:sz w:val="20"/>
              </w:rPr>
              <w:t>Liste I</w:t>
            </w:r>
          </w:p>
        </w:tc>
        <w:tc>
          <w:tcPr>
            <w:tcW w:type="dxa" w:w="1559"/>
          </w:tcPr>
          <w:p>
            <w:r>
              <w:rPr>
                <w:sz w:val="20"/>
              </w:rPr>
              <w:t>Actif</w:t>
            </w:r>
          </w:p>
        </w:tc>
      </w:tr>
    </w:tbl>
    <w:p/>
    <w:p>
      <w:r/>
      <w:r>
        <w:rPr>
          <w:b/>
        </w:rPr>
        <w:t>Particularité de disponibilité algérienne :</w:t>
      </w:r>
      <w:r>
        <w:t xml:space="preserve"> La nomenclature algérienne Avril 2026 ne recense pas de spécialité d'azélastine ophtalmique (collyre) active. La seule spécialité disponible, NASALAST (Biopharm), est une solution nasale pour pulvérisation intranasale, utilisée dans le traitement de la rhinite allergique. Le libellé « SOL. INJ (I.M/I.V) » figurant dans la source administrative n'est pas conforme à l'usage clinique réel de cette spécialité et doit être interprété comme une anomalie de classification ; le nom commercial NASALAST, le dosage (0,1 %) et le conditionnement (flacon de 120 mL avec applicateur nasal) confirment la forme nasale. Pour le traitement de la conjonctivite allergique, le prescripteur algérien doit donc recourir à l'olopatadine (OPATANOL et génériques) ou à la lévocabastine (BIOCABASTINE, LEVOPHTA) comme alternatives disponibles. La description pharmacologique ci-après s'appuie sur les RCP internationaux d'ALLERGODIL (azélastine collyre 0,5 mg/mL, MEDA) et reste valable sur le plan thérapeutique pour la molécule, en précisant qu'elle ne s'applique pas directement à la spécialité NASALAST disponible en Algérie.</w:t>
      </w:r>
    </w:p>
    <w:p>
      <w:r/>
      <w:r>
        <w:rPr>
          <w:b/>
        </w:rPr>
        <w:t>Sous-classe et Mécanisme d'action :</w:t>
      </w:r>
      <w:r/>
    </w:p>
    <w:p>
      <w:pPr>
        <w:pStyle w:val="ListBullet"/>
      </w:pPr>
      <w:r>
        <w:t>Sous-classe : Antihistaminique H1 ophtalmique de deuxième génération à activité inhibitrice mastocytaire additionnelle. Liste I (en forme nasale en Algérie).</w:t>
      </w:r>
    </w:p>
    <w:p>
      <w:pPr>
        <w:pStyle w:val="ListBullet"/>
      </w:pPr>
      <w:r>
        <w:t xml:space="preserve">Mécanisme d'action : L'azélastine, molécule amphiphile (logP ≈ 3,0), traverse le film lacrymal et diffuse à travers l'épithélium conjonctival jusqu'aux cellules cibles (mastocytes conjonctivaux et limbiques, terminaisons nerveuses sensitives, fibres musculaires lisses vasculaires, cellules endothéliales capillaires, éosinophiles, lymphocytes T). Elle exerce une </w:t>
      </w:r>
      <w:r>
        <w:rPr>
          <w:b/>
        </w:rPr>
        <w:t>triple action pharmacologique</w:t>
      </w:r>
      <w:r>
        <w:t xml:space="preserve"> : (i) </w:t>
      </w:r>
      <w:r>
        <w:rPr>
          <w:b/>
        </w:rPr>
        <w:t>antagonisme compétitif sélectif des récepteurs H1</w:t>
      </w:r>
      <w:r>
        <w:t xml:space="preserve"> (Ki ≈ 8 nM, soit l'une des affinités les plus élevées parmi les antihistaminiques H1 de deuxième génération), sans affinité notable pour les récepteurs H2, H3, α1, α2, β1, β2, muscariniques, dopaminergiques ou sérotoninergiques — d'où l'absence d'effet anticholinergique (sécheresse oculaire), d'effet sédatif significatif (la somnolence est rare mais possible, par passage systémique minime) et d'effet cardiovasculaire ; (ii) </w:t>
      </w:r>
      <w:r>
        <w:rPr>
          <w:b/>
        </w:rPr>
        <w:t>inhibition de la dégranulation mastocytaire</w:t>
      </w:r>
      <w:r>
        <w:t xml:space="preserve"> par un mécanisme moléculaire impliquant une stabilisation des canaux calciques voltage-dépendants, une inhibition de la protéine kinase C et de la phospholipase A2, réduisant ainsi la libération d'histamine, de tryptase, de leucotriènes C4 et D4, de prostaglandine D2 et du PAF ; (iii) </w:t>
      </w:r>
      <w:r>
        <w:rPr>
          <w:b/>
        </w:rPr>
        <w:t>inhibition de l'expression des molécules d'adhésion</w:t>
      </w:r>
      <w:r>
        <w:t xml:space="preserve"> (ICAM-1, VCAM-1) sur l'épithélium conjonctival, réduisant le recrutement des éosinophiles et des lymphocytes T lors de la phase tardive de la réaction allergique. L'effet antiprurigineux se manifeste en 15 à 30 minutes (début d'action rapide, plus rapide que l'olopatadine), atteint son maximum à 1 à 2 heures, et persiste pendant au moins 8 à 12 heures, autorisant une administration biquotidienne (matin et soir) ou une monothérapie quotidienne selon le contrôle symptomatique. La biodisponibilité systémique est faible (≈ 40 % par voie nasale, ≈ 50 % par voie ophtalmique par drainage lacrymo-nasal) ; la fraction absorbée est métabolisée par le cytochrome CYP2D6 et CYP3A4 en métabolites inactifs (N-desméthylazélastine, 6-hydroxyazélastine, acide 7-méthoxy-2-oxoquinoline-3-acétique) et un métabolite actif (desmethylazelastine, activité H1 comparable à la molécule mère), éliminés par voie rénale (60 %) et fécale (30 %). La demi-vie plasmatique est de 17 à 22 heures (parent) et de 36 à 48 heures (métabolite actif), sans accumulation cliniquement significative à l'état d'équilibre. Le passage transplacentaire est modéré (utilisable pendant la grossesse si nécessaire selon le CRAT) ; le passage dans le lait maternel est faible mais non négligeable (concentration lactée ≈ 0,3 % de la dose maternelle).</w:t>
      </w:r>
    </w:p>
    <w:p>
      <w:r/>
      <w:r>
        <w:rPr>
          <w:b/>
        </w:rPr>
        <w:t>Profil Pharmacologique :</w:t>
      </w:r>
      <w:r/>
    </w:p>
    <w:p>
      <w:pPr>
        <w:pStyle w:val="ListBullet"/>
      </w:pPr>
      <w:r>
        <w:t xml:space="preserve">Indications AMM internationales (selon RCP ALLERGODIL) : (1) </w:t>
      </w:r>
      <w:r>
        <w:rPr>
          <w:b/>
        </w:rPr>
        <w:t>Conjonctivite allergique saisonnière</w:t>
      </w:r>
      <w:r>
        <w:t xml:space="preserve"> chez l'adulte et l'enfant à partir de 4 ans (parfois 6 ans selon les pays) — traitement symptomatique du prurit oculaire, de la rougeur conjonctivale, du larmoiement et de l'œdème palpébral ; traitement de fond pendant toute la saison pollinique. (2) </w:t>
      </w:r>
      <w:r>
        <w:rPr>
          <w:b/>
        </w:rPr>
        <w:t>Conjonctivite allergique perannuelle</w:t>
      </w:r>
      <w:r>
        <w:t xml:space="preserve"> chez l'adulte et l'enfant à partir de 4 ans — traitement continu prolongé (plusieurs mois à années). (3) En pratique courante, traitement des poussées de kératoconjonctivite vernale (KCV) modérée en association à un corticoïde topique de courte durée.</w:t>
      </w:r>
    </w:p>
    <w:p>
      <w:pPr>
        <w:pStyle w:val="ListBullet"/>
      </w:pPr>
      <w:r>
        <w:t>Contre-indications : Hypersensibilité à l'azélastine ou à l'un des excipients ; enfant de moins de 4 ans (selon AMM européenne, en raison de l'absence de données d'innocuité à cet âge) ; prudence en cas d'insuffisance rénale ou hépatique sévère (bien que la biodisponibilité systémique soit modérée, l'élimination des métabolites peut être retardée).</w:t>
      </w:r>
    </w:p>
    <w:p>
      <w:pPr>
        <w:pStyle w:val="ListBullet"/>
      </w:pPr>
      <w:r>
        <w:t>Spectre d'action : L'azélastine n'a aucune activité antibiotique, antifongique ou antivirale. Son action est strictement symptomatique de la réaction allergique de type I. Elle n'a pas d'effet sur les conjonctivites bactériennes, virales, toxiques, médicamenteuses ou sèches.</w:t>
      </w:r>
    </w:p>
    <w:p>
      <w:r/>
      <w:r>
        <w:rPr>
          <w:b/>
        </w:rPr>
        <w:t>Effets Indésirables :</w:t>
      </w:r>
      <w:r/>
    </w:p>
    <w:p>
      <w:pPr>
        <w:pStyle w:val="ListBullet"/>
      </w:pPr>
      <w:r/>
      <w:r>
        <w:rPr>
          <w:b/>
        </w:rPr>
        <w:t>Locaux précoces</w:t>
      </w:r>
      <w:r>
        <w:t xml:space="preserve"> (premières minutes à premières semaines) : sensation de brûlure transitoire à l'instillation (10 à 15 %, plus fréquente qu'avec l'olopatadine), picotements, irritation conjonctivale, hyperhémie conjonctivale paradoxale transitoire (3 à 5 %), sécheresse oculaire, sensation de corps étranger, larmoiement réflexe, vision floue transitoire, blépharite transitoire, goût amer en arrière-gorge (très fréquent, par drainage lacrymo-nasal).</w:t>
      </w:r>
    </w:p>
    <w:p>
      <w:pPr>
        <w:pStyle w:val="ListBullet"/>
      </w:pPr>
      <w:r/>
      <w:r>
        <w:rPr>
          <w:b/>
        </w:rPr>
        <w:t>Locaux tardifs</w:t>
      </w:r>
      <w:r>
        <w:t xml:space="preserve"> (au-delà de 2 semaines) : rarement kératite ponctuée superficielle (KPS) par toxicité épithéliale du chlorure de benzalkonium (à surveiller en cas de traitement prolongé &gt; 1 mois), blépharite chronique, conjonctivite toxique.</w:t>
      </w:r>
    </w:p>
    <w:p>
      <w:pPr>
        <w:pStyle w:val="ListBullet"/>
      </w:pPr>
      <w:r/>
      <w:r>
        <w:rPr>
          <w:b/>
        </w:rPr>
        <w:t>Systémiques</w:t>
      </w:r>
      <w:r>
        <w:t xml:space="preserve"> (modérés) : céphalées (5 à 10 %, plus fréquentes qu'avec l'olopatadine), somnolence légère (1 à 3 %, surtout aux posologies biquotidiennes chez le sujet âgé), asthénie, dysgueusie (goût amer), très rarement réactions allergiques systémiques.</w:t>
      </w:r>
    </w:p>
    <w:p>
      <w:pPr>
        <w:pStyle w:val="ListBullet"/>
      </w:pPr>
      <w:r/>
      <w:r>
        <w:rPr>
          <w:b/>
        </w:rPr>
        <w:t>Effets paradoxaux</w:t>
      </w:r>
      <w:r>
        <w:t xml:space="preserve"> : aggravation transitoire du prurit en début de traitement, exceptionnels cas d'aggravation paradoxale de la rougeur conjonctivale.</w:t>
      </w:r>
    </w:p>
    <w:p>
      <w:r/>
      <w:r>
        <w:rPr>
          <w:b/>
        </w:rPr>
        <w:t>Prévention et Gestion des Effets Indésirables :</w:t>
      </w:r>
      <w:r/>
    </w:p>
    <w:p>
      <w:pPr>
        <w:pStyle w:val="ListBullet"/>
      </w:pPr>
      <w:r>
        <w:t xml:space="preserve">Mesures préventives : </w:t>
      </w:r>
      <w:r>
        <w:rPr>
          <w:b/>
        </w:rPr>
        <w:t>Éducation à la technique d'instillation</w:t>
      </w:r>
      <w:r>
        <w:t xml:space="preserve"> identique à celle de l'olopatadine (hygiène des mains, retrait des lentilles de contact, instillation d'une goutte unique, respect du délai de 5 minutes entre deux collyres, durée d'utilisation après ouverture de 4 semaines). </w:t>
      </w:r>
      <w:r>
        <w:rPr>
          <w:b/>
        </w:rPr>
        <w:t>Surveillance accrue</w:t>
      </w:r>
      <w:r>
        <w:t xml:space="preserve"> de la somnolence chez les sujets âgés, les conducteurs de véhicules et les opérateurs de machines dangereuses (l'information doit être délivrée au patient à la première dispensation). </w:t>
      </w:r>
      <w:r>
        <w:rPr>
          <w:b/>
        </w:rPr>
        <w:t>Surveillance de la surface oculaire</w:t>
      </w:r>
      <w:r>
        <w:t xml:space="preserve"> en cas de traitement prolongé &gt; 1 mois (recherche de KPS au test à la fluorescéine).</w:t>
      </w:r>
    </w:p>
    <w:p>
      <w:pPr>
        <w:pStyle w:val="ListBullet"/>
      </w:pPr>
      <w:r>
        <w:t>Conduite à tenir : En cas de somnolence génante, passage à une administration unique vespérale ou changement de molécule pour l'olopatadine. En cas de sensation de brûlure excessive, arrêt et changement de molécule. En cas de KPS, arrêt et recours à une formulation sans conservateur (si disponible) ou changement de classe thérapeutique.</w:t>
      </w:r>
    </w:p>
    <w:p>
      <w:r/>
      <w:r>
        <w:rPr>
          <w:b/>
        </w:rPr>
        <w:t>Interactions Importantes :</w:t>
      </w:r>
      <w:r/>
    </w:p>
    <w:p>
      <w:pPr>
        <w:pStyle w:val="ListBullet"/>
      </w:pPr>
      <w:r/>
      <w:r>
        <w:rPr>
          <w:b/>
        </w:rPr>
        <w:t>Autres collyres</w:t>
      </w:r>
      <w:r>
        <w:t xml:space="preserve"> : instillation à au moins 5 minutes d'intervalle.</w:t>
      </w:r>
    </w:p>
    <w:p>
      <w:pPr>
        <w:pStyle w:val="ListBullet"/>
      </w:pPr>
      <w:r/>
      <w:r>
        <w:rPr>
          <w:b/>
        </w:rPr>
        <w:t>Lentilles de contact</w:t>
      </w:r>
      <w:r>
        <w:t xml:space="preserve"> : retrait obligatoire avant instillation et remise après 15 minutes.</w:t>
      </w:r>
    </w:p>
    <w:p>
      <w:pPr>
        <w:pStyle w:val="ListBullet"/>
      </w:pPr>
      <w:r/>
      <w:r>
        <w:rPr>
          <w:b/>
        </w:rPr>
        <w:t>Antihistaminiques systémiques</w:t>
      </w:r>
      <w:r>
        <w:t xml:space="preserve"> : potentialisation possible de l'effet antihistaminique et du risque de somnolence.</w:t>
      </w:r>
    </w:p>
    <w:p>
      <w:pPr>
        <w:pStyle w:val="ListBullet"/>
      </w:pPr>
      <w:r/>
      <w:r>
        <w:rPr>
          <w:b/>
        </w:rPr>
        <w:t>Inhibiteurs du CYP3A4 et CYP2D6</w:t>
      </w:r>
      <w:r>
        <w:t xml:space="preserve"> (kétoconazole, itraconazole, clarithromycine, ritonavir, paroxétine, fluoxétine) : augmentation modérée de l'imprégnation systémique (à surveiller en cas de traitement prolongé &gt; 1 mois).</w:t>
      </w:r>
    </w:p>
    <w:p>
      <w:pPr>
        <w:pStyle w:val="ListBullet"/>
      </w:pPr>
      <w:r/>
      <w:r>
        <w:rPr>
          <w:b/>
        </w:rPr>
        <w:t>Alcool, dépresseurs du SNC</w:t>
      </w:r>
      <w:r>
        <w:t xml:space="preserve"> : majoration du risque de somnolence (à éviter en cas de conduite automobile).</w:t>
      </w:r>
    </w:p>
    <w:p>
      <w:r/>
      <w:r>
        <w:rPr>
          <w:b/>
        </w:rPr>
        <w:t>Grossesse et Allaitement :</w:t>
      </w:r>
      <w:r/>
    </w:p>
    <w:p>
      <w:pPr>
        <w:pStyle w:val="ListBullet"/>
      </w:pPr>
      <w:r>
        <w:t xml:space="preserve">Grossesse : L'azélastine est classée par le CRAT comme « </w:t>
      </w:r>
      <w:r>
        <w:rPr>
          <w:b/>
        </w:rPr>
        <w:t>à utiliser par prudence, par voie locale y compris au 1er trimestre</w:t>
      </w:r>
      <w:r>
        <w:t xml:space="preserve"> » (la biodisponibilité systémique est modérée, ≈ 40-50 %, supérieure à celle de l'olopatadine). Aux posologies usuelles ophtalmiques (1 instillation biquotidienne), aucune augmentation du risque malformatif n'a été documentée, mais le recul clinique est moins important qu'avec l'olopatadine. En pratique, l'azélastine est utilisée en seconde intention chez la femme enceinte, en cas d'inefficacité ou d'intolérance de l'olopatadine.</w:t>
      </w:r>
    </w:p>
    <w:p>
      <w:pPr>
        <w:pStyle w:val="ListBullet"/>
      </w:pPr>
      <w:r>
        <w:t>Allaitement : Compatible avec l'allaitement avec prudence ; le passage dans le lait maternel est faible mais non négligeable. Surveillance du nourrisson (somnolence, agitation) recommandée.</w:t>
      </w:r>
    </w:p>
    <w:p>
      <w:r/>
      <w:r>
        <w:rPr>
          <w:b/>
        </w:rPr>
        <w:t>Posologie et Mode d'administration (Standard) :</w:t>
      </w:r>
      <w:r/>
    </w:p>
    <w:p>
      <w:pPr>
        <w:pStyle w:val="ListBullet"/>
      </w:pPr>
      <w:r>
        <w:t xml:space="preserve">Adulte et enfant à partir de 4 ans : </w:t>
      </w:r>
      <w:r>
        <w:rPr>
          <w:b/>
        </w:rPr>
        <w:t>1 goutte de collyre 0,5 mg/mL dans chaque œil, deux fois par jour</w:t>
      </w:r>
      <w:r>
        <w:t xml:space="preserve"> (matin et soir, à 12 heures d'intervalle). En cas de symptômes sévères, augmentation temporaire à 3 ou 4 instillations par jour possible pendant les premiers 3 à 7 jours, puis retour à la posologie biquotidienne standard.</w:t>
      </w:r>
    </w:p>
    <w:p>
      <w:pPr>
        <w:pStyle w:val="ListBullet"/>
      </w:pPr>
      <w:r>
        <w:t>Mode d'administration : identique à l'olopatadine (hygiène des mains, retrait des lentilles, instillation d'une goutte unique, respect du délai de 5 minutes entre deux collyres, durée d'utilisation après ouverture de 4 semaines).</w:t>
      </w:r>
    </w:p>
    <w:p>
      <w:pPr>
        <w:pStyle w:val="ListBullet"/>
      </w:pPr>
      <w:r>
        <w:t>Durée de traitement : identique à l'olopatadine (traitement saisonnier pendant toute la saison pollinique ; traitement perannuel continu prolongé ; traitement de poussée aiguë de 7 à 14 jours en moyenne).</w:t>
      </w:r>
    </w:p>
    <w:p>
      <w:r/>
      <w:r>
        <w:rPr>
          <w:b/>
        </w:rPr>
        <w:t>Arbitrage et Bénéfices des Formes Galéniques :</w:t>
      </w:r>
      <w:r/>
    </w:p>
    <w:p>
      <w:r>
        <w:t>L'azélastine ophtalmique n'est pas disponible en Algérie dans la nomenclature Avril 2026, en raison de l'absence de spécialité commerciale de collyre d'azélastine active. Le recours à la forme nasale NASALAST par instillation oculaire n'est pas recommandé en raison de l'absence de stérilité garantie, d'un pH non adapté à la surface oculaire (pH nasopharyngien ~6,5 vs pH lacrymal ~7,4), et de la présence d'excipients non optimisés pour l'œil. En pratique clinique algérienne, le prescripteur doit donc privilégier l'olopatadine (OPATANOL et génériques, OPATEK, OPTICIS, PALLADA) comme antihistaminique ophtalmique de première intention de référence, et la lévocabastine (BIOCABASTINE, LEVOPHTA) comme alternative de seconde intention. Dans les pays où l'azélastine ophtalmique est disponible (France, Allemagne, Royaume-Uni, États-Unis), l'arbitrage entre olopatadine et azélastine se fait principalement sur la tolérance locale (l'olopatadine est généralement mieux tolérée, avec moins de sensation de brûlure), la commodité d'administration (olopatadine en monothérapie quotidienne vs azélastine en bithérapie), et le profil d'effets indésirables systémiques (l'azélastine est associée à un risque plus élevé de somnolence).</w:t>
      </w:r>
    </w:p>
    <w:p>
      <w:r/>
      <w:r>
        <w:rPr>
          <w:b/>
        </w:rPr>
        <w:t>Instructions et Conseils au Patient :</w:t>
      </w:r>
      <w:r/>
    </w:p>
    <w:p>
      <w:pPr>
        <w:pStyle w:val="ListBullet"/>
      </w:pPr>
      <w:r>
        <w:t xml:space="preserve">Communication au comptoir : Identique à l'olopatadine en ce qui concerne la technique d'instillation, le retrait des lentilles, le respect du délai entre collyres, et la durée d'utilisation après ouverture. Information spécifique sur le </w:t>
      </w:r>
      <w:r>
        <w:rPr>
          <w:b/>
        </w:rPr>
        <w:t>risque de somnolence</w:t>
      </w:r>
      <w:r>
        <w:t xml:space="preserve"> et le goût amer en arrière-gorge (plus marqué qu'avec l'olopatadine). Insistance sur la </w:t>
      </w:r>
      <w:r>
        <w:rPr>
          <w:b/>
        </w:rPr>
        <w:t>nécessité d'une administration biquotidienne stricte</w:t>
      </w:r>
      <w:r>
        <w:t xml:space="preserve"> (matin et soir à 12 heures d'intervalle) pour maintenir l'effet antihistaminique.</w:t>
      </w:r>
    </w:p>
    <w:p>
      <w:pPr>
        <w:pStyle w:val="ListBullet"/>
      </w:pPr>
      <w:r>
        <w:t>Information sur les signes d'alerte : identiques à l'olopatadine (douleur, baisse d'acuité visuelle, photophobie, sécrétions purulentes, œdème palpébral important, non-amélioration à 7 jours).</w:t>
      </w:r>
    </w:p>
    <w:p>
      <w:r/>
      <w:r>
        <w:rPr>
          <w:b/>
        </w:rPr>
        <w:t>Notes, Règles d'Or &amp; Pièges au Comptoir :</w:t>
      </w:r>
      <w:r/>
    </w:p>
    <w:p>
      <w:pPr>
        <w:pStyle w:val="ListBullet"/>
      </w:pPr>
      <w:r>
        <w:t xml:space="preserve">Piège de la </w:t>
      </w:r>
      <w:r>
        <w:rPr>
          <w:b/>
        </w:rPr>
        <w:t>non-disponibilité de la forme ophtalmique en Algérie</w:t>
      </w:r>
      <w:r>
        <w:t xml:space="preserve"> : le pharmacien doit informer le patient présentant une ordonnance d'azélastine collyre de l'absence de spécialité commerciale disponible et orienter vers l'olopatadine ou la lévocabastine.</w:t>
      </w:r>
    </w:p>
    <w:p>
      <w:pPr>
        <w:pStyle w:val="ListBullet"/>
      </w:pPr>
      <w:r>
        <w:t>Piège de l'utilisation de la forme nasale NASALAST par instillation oculaire → à proscrire formellement (absence de stérilité, pH non adapté, excipients non optimisés pour l'œil, risque d'irritation et de surinfection).</w:t>
      </w:r>
    </w:p>
    <w:p>
      <w:pPr>
        <w:pStyle w:val="ListBullet"/>
      </w:pPr>
      <w:r>
        <w:t>Piège de la somnolence chez le sujet âgé, le conducteur et l'opérateur de machines → information systématique et orientation éventuelle vers l'olopatadine si risque professionnel.</w:t>
      </w:r>
    </w:p>
    <w:p>
      <w:pPr>
        <w:pStyle w:val="ListBullet"/>
      </w:pPr>
      <w:r>
        <w:t>Règle d'or : « En Algérie, l'azélastine ophtalmique n'est pas disponible ; recourir à l'olopatadine (1 goutte 1 fois/jour) ou à la lévocabastine (1 goutte 2 fois/jour) comme alternatives ».</w:t>
      </w:r>
    </w:p>
    <w:p>
      <w:pPr>
        <w:pStyle w:val="Heading3"/>
      </w:pPr>
      <w:r>
        <w:t>142.2.4 DCI : Lévocabastine (usage ophtalmique)</w:t>
      </w:r>
    </w:p>
    <w:p>
      <w:r/>
      <w:r>
        <w:rPr>
          <w:b/>
        </w:rPr>
        <w:t>Liste des Catégories :</w:t>
      </w:r>
      <w:r>
        <w:t xml:space="preserve"> Liste II (LEVOPHTA) ou non listé (BIOCABASTINE).</w:t>
      </w:r>
    </w:p>
    <w:p>
      <w:r>
        <w:t xml:space="preserve">La lévocabastine est un antihistaminique H1 de deuxième génération pur (sans action inhibitrice mastocytaire significative), dérivé de la cyclohexylpipéridine (cis-(+)-1-[4-cyano-4-(4-fluorophényl)cyclohexyl]-3-méthyl-4-phénylipéridine-4-carboxylique), développé par Janssen Pharmaceutica (Belgique) au début des années 1980 et commercialisé sous le nom de LIVOSTIN® (collyre 0,5 mg/mL) dans les années 1990. La molécule se caractérise par une </w:t>
      </w:r>
      <w:r>
        <w:rPr>
          <w:b/>
        </w:rPr>
        <w:t>affinité exceptionnelle pour le récepteur H1</w:t>
      </w:r>
      <w:r>
        <w:t xml:space="preserve"> (Ki ≈ 6 nM, soit l'une des affinités les plus élevées parmi les antihistaminiques H1, supérieure à l'azélastine et largement supérieure à l'olopatadine), une sélectivité stricte H1/H2/H3 (&gt; 10 000 fois), une absence d'affinité pour les autres récepteurs (α1, α2, β1, β2, muscariniques, dopaminergiques, sérotoninergiques), et un </w:t>
      </w:r>
      <w:r>
        <w:rPr>
          <w:b/>
        </w:rPr>
        <w:t>début d'action extrêmement rapide</w:t>
      </w:r>
      <w:r>
        <w:t xml:space="preserve"> (10 à 15 minutes après instillation, plus rapide que l'olopatadine et l'azélastine). À l'inverse de l'olopatadine et de l'azélastine, la lévocabastine n'a pas d'effet inhibiteur mastocytaire significatif : son action est strictement antihistaminique H1 pure, ce qui explique son utilisation préférentielle dans le traitement symptomatique de crise (poussée aiguë) plutôt qu'en traitement de fond prolongé. En Algérie, la lévocabastine ophtalmique est disponible sous deux spécialités commerciales actives au dosage unique de 0,5 mg/mL (0,05 %) en flacon de 5 mL : BIOCABASTINE (Biothera, collyre en suspension, non listé) et LEVOPHTA (Chauvin S.A., collyre en solution, Liste II). Le pharmacien d'officine joue un rôle-clé dans la vérification de la délivrance (Liste II pour LEVOPHTA, c'est-à-dire prescription médicale obligatoire mais renouvelable ; non listé pour BIOCABASTINE — ce statut administratif inhabituel mérite vérification au comptoir), dans l'éducation à la technique d'instillation (le collyre en suspension BIOCABASTINE nécessite une agitation légère avant emploi pour remettre la substance active en suspension), et dans le repérage des signes d'alerte nécessitant une consultation ophtalmologique spécialisée.</w:t>
      </w:r>
    </w:p>
    <w:p>
      <w:r/>
      <w:r>
        <w:rPr>
          <w:b/>
        </w:rPr>
        <w:t>Médicaments disponibles en Algérie (tableau commercial)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BIOCABASTINE</w:t>
            </w:r>
          </w:p>
        </w:tc>
        <w:tc>
          <w:tcPr>
            <w:tcW w:type="dxa" w:w="1559"/>
          </w:tcPr>
          <w:p>
            <w:r>
              <w:rPr>
                <w:sz w:val="20"/>
              </w:rPr>
              <w:t>BIOTHERA</w:t>
            </w:r>
          </w:p>
        </w:tc>
        <w:tc>
          <w:tcPr>
            <w:tcW w:type="dxa" w:w="1559"/>
          </w:tcPr>
          <w:p>
            <w:r>
              <w:rPr>
                <w:sz w:val="20"/>
              </w:rPr>
              <w:t>Collyre en suspension 0,5 mg/mL (0,05 %)</w:t>
            </w:r>
          </w:p>
        </w:tc>
        <w:tc>
          <w:tcPr>
            <w:tcW w:type="dxa" w:w="1559"/>
          </w:tcPr>
          <w:p>
            <w:r>
              <w:rPr>
                <w:sz w:val="20"/>
              </w:rPr>
              <w:t>Flacon de 5 mL</w:t>
            </w:r>
          </w:p>
        </w:tc>
        <w:tc>
          <w:tcPr>
            <w:tcW w:type="dxa" w:w="1559"/>
          </w:tcPr>
          <w:p>
            <w:r>
              <w:rPr>
                <w:sz w:val="20"/>
              </w:rPr>
              <w:t>Non listé</w:t>
            </w:r>
          </w:p>
        </w:tc>
        <w:tc>
          <w:tcPr>
            <w:tcW w:type="dxa" w:w="1559"/>
          </w:tcPr>
          <w:p>
            <w:r>
              <w:rPr>
                <w:sz w:val="20"/>
              </w:rPr>
              <w:t>Actif</w:t>
            </w:r>
          </w:p>
        </w:tc>
      </w:tr>
      <w:tr>
        <w:tc>
          <w:tcPr>
            <w:tcW w:type="dxa" w:w="1559"/>
          </w:tcPr>
          <w:p>
            <w:r>
              <w:rPr>
                <w:sz w:val="20"/>
              </w:rPr>
              <w:t>LEVOPHTA</w:t>
            </w:r>
          </w:p>
        </w:tc>
        <w:tc>
          <w:tcPr>
            <w:tcW w:type="dxa" w:w="1559"/>
          </w:tcPr>
          <w:p>
            <w:r>
              <w:rPr>
                <w:sz w:val="20"/>
              </w:rPr>
              <w:t>CHAUVIN S.A.</w:t>
            </w:r>
          </w:p>
        </w:tc>
        <w:tc>
          <w:tcPr>
            <w:tcW w:type="dxa" w:w="1559"/>
          </w:tcPr>
          <w:p>
            <w:r>
              <w:rPr>
                <w:sz w:val="20"/>
              </w:rPr>
              <w:t>Collyre en solution 0,5 mg/mL (0,05 %)</w:t>
            </w:r>
          </w:p>
        </w:tc>
        <w:tc>
          <w:tcPr>
            <w:tcW w:type="dxa" w:w="1559"/>
          </w:tcPr>
          <w:p>
            <w:r>
              <w:rPr>
                <w:sz w:val="20"/>
              </w:rPr>
              <w:t>Flacon de 5 mL</w:t>
            </w:r>
          </w:p>
        </w:tc>
        <w:tc>
          <w:tcPr>
            <w:tcW w:type="dxa" w:w="1559"/>
          </w:tcPr>
          <w:p>
            <w:r>
              <w:rPr>
                <w:sz w:val="20"/>
              </w:rPr>
              <w:t>Liste II</w:t>
            </w:r>
          </w:p>
        </w:tc>
        <w:tc>
          <w:tcPr>
            <w:tcW w:type="dxa" w:w="1559"/>
          </w:tcPr>
          <w:p>
            <w:r>
              <w:rPr>
                <w:sz w:val="20"/>
              </w:rPr>
              <w:t>Actif</w:t>
            </w:r>
          </w:p>
        </w:tc>
      </w:tr>
    </w:tbl>
    <w:p/>
    <w:p>
      <w:r>
        <w:t>La disponibilité commerciale de la lévocabastine ophtalmique en Algérie repose sur deux spécialités actives au dosage unique de 0,5 mg/mL (équivalent 0,05 %), conditionnées en flacon multidose de 5 mL. À la posologie standard de deux instillations par jour, un flacon de 5 mL offre une autonomie de traitement d'environ 2 semaines (à 2 gouttes par œil 2 fois par jour, soit 8 gouttes par jour, environ 40 µL par goutte, soit 320 µL/jour pour 5000 µL = ~15 jours). La spécialité LEVOPHTA (Chauvin S.A., laboratoire français historique de l'ophtalmologie) est le princeps européen de la lévocabastine ophtalmique, classé en Liste II en Algérie (médicament soumis à prescription médicale mais renouvelable sans consultation systématique) ; BIOCABASTINE (Biothera, laboratoire algérien) est un générique en collyre en suspension (la forme suspension par opposition à la forme solution nécessite une agitation légère avant emploi pour remettre en suspension les microparticules de lévocabastine). À noter que le statut administratif de BIOCABASTINE (non listé) est inhabituel et mérite vérification au comptoir — dans la pratique, tous les collyres antihistaminiques ophtalmiques sont soumis à prescription médicale, et l'absence de mention de liste peut être une anomalie de la nomenclature source ; le pharmacien doit exiger une ordonnance médicale pour la délivrance. La durée d'utilisation après ouverture est de 4 semaines pour les deux spécialités, en raison du risque de contamination microbienne.</w:t>
      </w:r>
    </w:p>
    <w:p>
      <w:r/>
      <w:r>
        <w:rPr>
          <w:b/>
        </w:rPr>
        <w:t>Sous-classe et Mécanisme d'action :</w:t>
      </w:r>
      <w:r/>
    </w:p>
    <w:p>
      <w:pPr>
        <w:pStyle w:val="ListBullet"/>
      </w:pPr>
      <w:r>
        <w:t>Sous-classe : Antihistaminique H1 ophtalmique de deuxième génération pur (sans activité inhibitrice mastocytaire significative). Liste II (LEVOPHTA) ou statut à vérifier (BIOCABASTINE).</w:t>
      </w:r>
    </w:p>
    <w:p>
      <w:pPr>
        <w:pStyle w:val="ListBullet"/>
      </w:pPr>
      <w:r>
        <w:t xml:space="preserve">Mécanisme d'action : La lévocabastine, molécule amphiphile faiblement lipophile (logP ≈ 2,7), traverse le film lacrymal et diffuse à travers l'épithélium conjonctival jusqu'aux cellules cibles (essentiellement les terminaisons nerveuses sensitives pruritoceptives et les fibres musculaires lisses vasculaires). Elle exerce une </w:t>
      </w:r>
      <w:r>
        <w:rPr>
          <w:b/>
        </w:rPr>
        <w:t>action pharmacologique unique</w:t>
      </w:r>
      <w:r>
        <w:t xml:space="preserve"> : </w:t>
      </w:r>
      <w:r>
        <w:rPr>
          <w:b/>
        </w:rPr>
        <w:t>antagonisme compétitif sélectif de haute affinité des récepteurs H1</w:t>
      </w:r>
      <w:r>
        <w:t xml:space="preserve"> (Ki ≈ 6 nM), sans affinité notable pour les récepteurs H2, H3, α1, α2, β1, β2, muscariniques, dopaminergiques ou sérotoninergiques — d'où l'absence d'effet anticholinergique (sécheresse oculaire), d'effet sédatif et d'effet cardiovasculaire. La lévocabastine se distingue de l'olopatadine et de l'azélastine par l'</w:t>
      </w:r>
      <w:r>
        <w:rPr>
          <w:b/>
        </w:rPr>
        <w:t>absence d'effet inhibiteur mastocytaire significatif</w:t>
      </w:r>
      <w:r>
        <w:t xml:space="preserve"> : son action est strictement antihistaminique H1 pure, ciblant l'effecteur terminal de la réaction allergique (l'histamine déjà libérée par les mastocytes activés) sans prévenir la dégranulation mastocytaire elle-même. Cette particularité pharmacologique explique son </w:t>
      </w:r>
      <w:r>
        <w:rPr>
          <w:b/>
        </w:rPr>
        <w:t>début d'action extrêmement rapide</w:t>
      </w:r>
      <w:r>
        <w:t xml:space="preserve"> (10 à 15 minutes après instillation, plus rapide que l'olopatadine et l'azélastine) et sa </w:t>
      </w:r>
      <w:r>
        <w:rPr>
          <w:b/>
        </w:rPr>
        <w:t>durée d'action plus courte</w:t>
      </w:r>
      <w:r>
        <w:t xml:space="preserve"> (8 à 12 heures vs 16 à 24 heures pour l'olopatadine), qui imposent une administration biquotidienne (matin et soir) plutôt que monothérapie quotidienne. La biodisponibilité systémique est très faible (&lt; 1 % par voie lacrymo-nasale, inférieure à celle de l'azélastine et comparable à celle de l'olopatadine) ; la fraction absorbée est métabolisée par hydroxylation hépatique (CYP3A4) en métabolites inactifs, éliminés par voie rénale (70 %) et fécale (30 %). La demi-vie plasmatique est de 35 à 50 heures (sans accumulation à l'état d'équilibre aux posologies ophtalmiques usuelles). Le passage transplacentaire et dans le lait maternel est négligeable.</w:t>
      </w:r>
    </w:p>
    <w:p>
      <w:r/>
      <w:r>
        <w:rPr>
          <w:b/>
        </w:rPr>
        <w:t>Profil Pharmacologique :</w:t>
      </w:r>
      <w:r/>
    </w:p>
    <w:p>
      <w:pPr>
        <w:pStyle w:val="ListBullet"/>
      </w:pPr>
      <w:r>
        <w:t xml:space="preserve">Indications AMM adultes et enfants : (1) </w:t>
      </w:r>
      <w:r>
        <w:rPr>
          <w:b/>
        </w:rPr>
        <w:t>Conjonctivite allergique saisonnière</w:t>
      </w:r>
      <w:r>
        <w:t xml:space="preserve"> chez l'adulte et l'enfant à partir de 4 ans (parfois 6 ans selon les pays) — traitement symptomatique du prurit oculaire, de la rougeur conjonctivale, du larmoiement et de l'œdème palpébral ; traitement de la crise (poussée aiguë) plus que traitement de fond prolongé. (2) </w:t>
      </w:r>
      <w:r>
        <w:rPr>
          <w:b/>
        </w:rPr>
        <w:t>Conjonctivite allergique perannuelle</w:t>
      </w:r>
      <w:r>
        <w:t xml:space="preserve"> chez l'adulte et l'enfant à partir de 4 ans — traitement symptomatique continu, mais l'olopatadine est souvent privilégiée en traitement prolongé en raison de sa commodité d'administration (1 fois/jour vs 2 fois/jour pour la lévocabastine). (3) En pratique courante, traitement de la </w:t>
      </w:r>
      <w:r>
        <w:rPr>
          <w:b/>
        </w:rPr>
        <w:t>crise aiguë</w:t>
      </w:r>
      <w:r>
        <w:t xml:space="preserve"> de conjonctivite allergique en relais ou en association à l'olopatadine en traitement de fond.</w:t>
      </w:r>
    </w:p>
    <w:p>
      <w:pPr>
        <w:pStyle w:val="ListBullet"/>
      </w:pPr>
      <w:r>
        <w:t>Contre-indications : Hypersensibilité à la lévocabastine ou à l'un des excipients (chlorure de benzalkonium, hypromellose, acide citrique, phosphate disodique, chlorure de sodium, edetate disodique, eau purifiée) ; port de lentilles de contact souples hydrophiles pendant l'instillation (le chlorure de benzalkonium peut se fixer sur le polymère) ; enfant de moins de 4 ans (selon AMM, en raison de l'absence de données d'innocuité à cet âge).</w:t>
      </w:r>
    </w:p>
    <w:p>
      <w:pPr>
        <w:pStyle w:val="ListBullet"/>
      </w:pPr>
      <w:r>
        <w:t>Spectre d'action : La lévocabastine n'a aucune activité antibiotique, antifongique ou antivirale. Son action est strictement symptomatique de la réaction allergique de type I, et plus spécifiquement du prurit oculaire (sa cible pharmacologique privilégiée est le récepteur H1 des terminaisons nerveuses sensitives pruritoceptives).</w:t>
      </w:r>
    </w:p>
    <w:p>
      <w:r/>
      <w:r>
        <w:rPr>
          <w:b/>
        </w:rPr>
        <w:t>Effets Indésirables :</w:t>
      </w:r>
      <w:r/>
    </w:p>
    <w:p>
      <w:pPr>
        <w:pStyle w:val="ListBullet"/>
      </w:pPr>
      <w:r/>
      <w:r>
        <w:rPr>
          <w:b/>
        </w:rPr>
        <w:t>Locaux précoces</w:t>
      </w:r>
      <w:r>
        <w:t xml:space="preserve"> (premières minutes à premières semaines) : sensation de brûlure transitoire à l'instillation (5 à 10 %, comparable à l'olopatadine), picotements, irritation conjonctivale, hyperhémie conjonctivale paradoxale transitoire (1 à 3 %), sécheresse oculaire, sensation de corps étranger, larmoiement réflexe, vision floue transitoire, blépharite transitoire.</w:t>
      </w:r>
    </w:p>
    <w:p>
      <w:pPr>
        <w:pStyle w:val="ListBullet"/>
      </w:pPr>
      <w:r/>
      <w:r>
        <w:rPr>
          <w:b/>
        </w:rPr>
        <w:t>Locaux tardifs</w:t>
      </w:r>
      <w:r>
        <w:t xml:space="preserve"> (au-delà de 2 semaines) : rarement kératite ponctuée superficielle (KPS) par toxicité épithéliale du chlorure de benzalkonium (à surveiller en cas de traitement prolongé &gt; 1 mois), blépharite chronique, conjonctivite toxique.</w:t>
      </w:r>
    </w:p>
    <w:p>
      <w:pPr>
        <w:pStyle w:val="ListBullet"/>
      </w:pPr>
      <w:r/>
      <w:r>
        <w:rPr>
          <w:b/>
        </w:rPr>
        <w:t>Systémiques</w:t>
      </w:r>
      <w:r>
        <w:t xml:space="preserve"> (exceptionnels) : céphalées (1 à 2 %), asthénie, très rarement réactions allergiques systémiques. Pas de somnolence significative (biodisponibilité systémique négligeable, inférieure à celle de l'azélastine).</w:t>
      </w:r>
    </w:p>
    <w:p>
      <w:pPr>
        <w:pStyle w:val="ListBullet"/>
      </w:pPr>
      <w:r/>
      <w:r>
        <w:rPr>
          <w:b/>
        </w:rPr>
        <w:t>Effets paradoxaux</w:t>
      </w:r>
      <w:r>
        <w:t xml:space="preserve"> : aggravation transitoire du prurit en début de traitement, exceptionnels cas d'aggravation paradoxale de la rougeur conjonctivale.</w:t>
      </w:r>
    </w:p>
    <w:p>
      <w:pPr>
        <w:pStyle w:val="ListBullet"/>
      </w:pPr>
      <w:r/>
      <w:r>
        <w:rPr>
          <w:b/>
        </w:rPr>
        <w:t>Effets liés à la formulation suspension</w:t>
      </w:r>
      <w:r>
        <w:t xml:space="preserve"> (BIOCABASTINE) : la formulation en suspension peut provoquer une vision floue transitoire plus marquée qu'avec la formulation solution (LEVOPHTA), en raison de la présence de microparticules en suspension.</w:t>
      </w:r>
    </w:p>
    <w:p>
      <w:r/>
      <w:r>
        <w:rPr>
          <w:b/>
        </w:rPr>
        <w:t>Prévention et Gestion des Effets Indésirables :</w:t>
      </w:r>
      <w:r/>
    </w:p>
    <w:p>
      <w:pPr>
        <w:pStyle w:val="ListBullet"/>
      </w:pPr>
      <w:r>
        <w:t xml:space="preserve">Mesures préventives : </w:t>
      </w:r>
      <w:r>
        <w:rPr>
          <w:b/>
        </w:rPr>
        <w:t>Éducation à la technique d'instillation</w:t>
      </w:r>
      <w:r>
        <w:t xml:space="preserve"> identique à l'olopatadine. </w:t>
      </w:r>
      <w:r>
        <w:rPr>
          <w:b/>
        </w:rPr>
        <w:t>Spécificité du collyre en suspension BIOCABASTINE</w:t>
      </w:r>
      <w:r>
        <w:t xml:space="preserve"> : agitation légère du flacon avant emploi (5 à 10 secondes) pour remettre en suspension les microparticules de lévocabastine ; vérification visuelle de l'homogénéité de la suspension (absence de dépôt). </w:t>
      </w:r>
      <w:r>
        <w:rPr>
          <w:b/>
        </w:rPr>
        <w:t>Surveillance de la surface oculaire</w:t>
      </w:r>
      <w:r>
        <w:t xml:space="preserve"> en cas de traitement prolongé &gt; 1 mois (recherche de KPS au test à la fluorescéine).</w:t>
      </w:r>
    </w:p>
    <w:p>
      <w:pPr>
        <w:pStyle w:val="ListBullet"/>
      </w:pPr>
      <w:r>
        <w:t>Conduite à tenir : En cas de sensation de brûlure excessive, arrêt et changement de molécule (passage à l'olopatadine). En cas d'inefficacité à 7 jours, réévaluation diagnostique (la lévocabastine étant purement antihistaminique H1 sans action inhibitrice mastocytaire, elle peut être moins efficace que l'olopatadine dans les formes sévères avec composante mastocytaire prédominante).</w:t>
      </w:r>
    </w:p>
    <w:p>
      <w:r/>
      <w:r>
        <w:rPr>
          <w:b/>
        </w:rPr>
        <w:t>Interactions Importantes :</w:t>
      </w:r>
      <w:r/>
    </w:p>
    <w:p>
      <w:pPr>
        <w:pStyle w:val="ListBullet"/>
      </w:pPr>
      <w:r/>
      <w:r>
        <w:rPr>
          <w:b/>
        </w:rPr>
        <w:t>Autres collyres</w:t>
      </w:r>
      <w:r>
        <w:t xml:space="preserve"> : instillation à au moins 5 minutes d'intervalle.</w:t>
      </w:r>
    </w:p>
    <w:p>
      <w:pPr>
        <w:pStyle w:val="ListBullet"/>
      </w:pPr>
      <w:r/>
      <w:r>
        <w:rPr>
          <w:b/>
        </w:rPr>
        <w:t>Lentilles de contact</w:t>
      </w:r>
      <w:r>
        <w:t xml:space="preserve"> : retrait obligatoire avant instillation et remise après 15 minutes.</w:t>
      </w:r>
    </w:p>
    <w:p>
      <w:pPr>
        <w:pStyle w:val="ListBullet"/>
      </w:pPr>
      <w:r/>
      <w:r>
        <w:rPr>
          <w:b/>
        </w:rPr>
        <w:t>Antihistaminiques systémiques</w:t>
      </w:r>
      <w:r>
        <w:t xml:space="preserve"> : pas d'interaction pharmacocinétique, mais potentialisation pharmacodynamique possible.</w:t>
      </w:r>
    </w:p>
    <w:p>
      <w:pPr>
        <w:pStyle w:val="ListBullet"/>
      </w:pPr>
      <w:r/>
      <w:r>
        <w:rPr>
          <w:b/>
        </w:rPr>
        <w:t>Inhibiteurs du CYP3A4</w:t>
      </w:r>
      <w:r>
        <w:t xml:space="preserve"> : pas d'interaction cliniquement significative (la biodisponibilité systémique est négligeable).</w:t>
      </w:r>
    </w:p>
    <w:p>
      <w:pPr>
        <w:pStyle w:val="ListBullet"/>
      </w:pPr>
      <w:r/>
      <w:r>
        <w:rPr>
          <w:b/>
        </w:rPr>
        <w:t>Alcool, dépresseurs du SNC</w:t>
      </w:r>
      <w:r>
        <w:t xml:space="preserve"> : pas d'interaction notable.</w:t>
      </w:r>
    </w:p>
    <w:p>
      <w:r/>
      <w:r>
        <w:rPr>
          <w:b/>
        </w:rPr>
        <w:t>Grossesse et Allaitement :</w:t>
      </w:r>
      <w:r/>
    </w:p>
    <w:p>
      <w:pPr>
        <w:pStyle w:val="ListBullet"/>
      </w:pPr>
      <w:r>
        <w:t xml:space="preserve">Grossesse : La lévocabastine est classée par le CRAT comme « </w:t>
      </w:r>
      <w:r>
        <w:rPr>
          <w:b/>
        </w:rPr>
        <w:t>utilisable quel que soit le terme</w:t>
      </w:r>
      <w:r>
        <w:t xml:space="preserve"> » chez la femme enceinte, sur la base d'un recul clinique important (plusieurs milliers de grossesses exposées documentées sans augmentation du risque malformatif), d'une biodisponibilité systémique négligeable (&lt; 1 %), et d'études animales rassurantes. Aux posologies usuelles (1 instillation biquotidienne), aucune surveillance spécifique n'est recommandée. En pratique, la lévocabastine est utilisable en première intention chez la femme enceinte présentant une conjonctivite allergique modérée, en alternative à l'olopatadine si celle-ci n'est pas disponible ou mal tolérée.</w:t>
      </w:r>
    </w:p>
    <w:p>
      <w:pPr>
        <w:pStyle w:val="ListBullet"/>
      </w:pPr>
      <w:r>
        <w:t>Allaitement : Compatible avec l'allaitement ; le passage dans le lait maternel est négligeable (biodisponibilité systémique &lt; 1 %). Aucune surveillance spécifique du nourrisson n'est recommandée aux posologies usuelles.</w:t>
      </w:r>
    </w:p>
    <w:p>
      <w:r/>
      <w:r>
        <w:rPr>
          <w:b/>
        </w:rPr>
        <w:t>Posologie et Mode d'administration (Standard) :</w:t>
      </w:r>
      <w:r/>
    </w:p>
    <w:p>
      <w:pPr>
        <w:pStyle w:val="ListBullet"/>
      </w:pPr>
      <w:r>
        <w:t xml:space="preserve">Adulte et enfant à partir de 4 ans : </w:t>
      </w:r>
      <w:r>
        <w:rPr>
          <w:b/>
        </w:rPr>
        <w:t>1 goutte de collyre 0,5 mg/mL dans chaque œil, deux fois par jour</w:t>
      </w:r>
      <w:r>
        <w:t xml:space="preserve"> (matin et soir, à 12 heures d'intervalle). En cas de symptômes sévères ou de poussée aiguë, augmentation temporaire à 3 ou 4 instillations par jour possible pendant les premiers 3 à 7 jours, puis retour à la posologie biquotidienne standard. Dose maximale recommandée : 4 instillations par jour par œil.</w:t>
      </w:r>
    </w:p>
    <w:p>
      <w:pPr>
        <w:pStyle w:val="ListBullet"/>
      </w:pPr>
      <w:r>
        <w:t xml:space="preserve">Mode d'administration : identique à l'olopatadine (hygiène des mains, retrait des lentilles, instillation d'une goutte unique, respect du délai de 5 minutes entre deux collyres, durée d'utilisation après ouverture de 4 semaines). </w:t>
      </w:r>
      <w:r>
        <w:rPr>
          <w:b/>
        </w:rPr>
        <w:t>Spécificité de BIOCABASTINE</w:t>
      </w:r>
      <w:r>
        <w:t xml:space="preserve"> : agitation légère du flacon avant emploi.</w:t>
      </w:r>
    </w:p>
    <w:p>
      <w:pPr>
        <w:pStyle w:val="ListBullet"/>
      </w:pPr>
      <w:r>
        <w:t>Durée de traitement : variable selon l'indication — conjonctivite saisonnière : pendant toute la durée de la saison pollinique (4 à 12 semaines) ; conjonctivite perannuelle : traitement continu prolongé (plusieurs mois à années) avec réévaluation tous les 3 à 6 mois ; poussée aiguë : traitement de 7 à 14 jours en moyenne.</w:t>
      </w:r>
    </w:p>
    <w:p>
      <w:r/>
      <w:r>
        <w:rPr>
          <w:b/>
        </w:rPr>
        <w:t>Arbitrage et Bénéfices des Formes Galéniques :</w:t>
      </w:r>
      <w:r/>
    </w:p>
    <w:p>
      <w:r>
        <w:t>La lévocabastine ophtalmique existe en Algérie en deux formes galéniques distinctes : collyre en suspension (BIOCABASTINE, Biothera) et collyre en solution (LEVOPHTA, Chauvin S.A.). Le collyre en solution LEVOPHTA présente l'avantage d'une homogénéité parfaite (pas d'agitation préalable nécessaire) et d'une vision floue transitoire moins marquée après instillation ; c'est le princeps européen historique de la lévocabastine ophtalmique. Le collyre en suspension BIOCABASTINE présente l'inconvénient d'une nécessité d'agitation préalable (risque d'oubli par le patient entraînant une instillation d'excipient sans principe actif) et d'une vision floue transitoire plus marquée ; c'est le générique algérien, généralement moins coûteux que le princeps. L'arbitrage entre les deux spécialités se fait sur la commodité d'usage (solution plus simple), la tolérance visuelle (solution moins trouble), et le coût (générique moins cher). L'arbitrage entre lévocabastine et olopatadine se fait sur la commodité d'administration (olopatadine 1 fois/jour vs lévocabastine 2 fois/jour — avantage olopatadine), le profil d'action (olopatadine antihistaminique + inhibiteur mastocytaire vs lévocabastine antihistaminique pur — avantage olopatadine en traitement de fond), le délai d'action (lévocabastine plus rapide en 10 à 15 minutes vs olopatadine en 30 à 60 minutes — avantage lévocabastine en crise aiguë), et la disponibilité (les deux disponibles en Algérie).</w:t>
      </w:r>
    </w:p>
    <w:p>
      <w:r/>
      <w:r>
        <w:rPr>
          <w:b/>
        </w:rPr>
        <w:t>Instructions et Conseils au Patient :</w:t>
      </w:r>
      <w:r/>
    </w:p>
    <w:p>
      <w:pPr>
        <w:pStyle w:val="ListBullet"/>
      </w:pPr>
      <w:r>
        <w:t xml:space="preserve">Communication au comptoir : Insister sur le </w:t>
      </w:r>
      <w:r>
        <w:rPr>
          <w:b/>
        </w:rPr>
        <w:t>délai d'action très rapide</w:t>
      </w:r>
      <w:r>
        <w:t xml:space="preserve"> (« vous allez sentir un soulagement du prurit en 10 à 15 minutes »), sur la </w:t>
      </w:r>
      <w:r>
        <w:rPr>
          <w:b/>
        </w:rPr>
        <w:t>nécessité d'une administration biquotidienne stricte</w:t>
      </w:r>
      <w:r>
        <w:t xml:space="preserve"> (matin et soir à 12 heures d'intervalle), sur la </w:t>
      </w:r>
      <w:r>
        <w:rPr>
          <w:b/>
        </w:rPr>
        <w:t>technique d'instillation</w:t>
      </w:r>
      <w:r>
        <w:t xml:space="preserve"> identique à l'olopatadine, sur le </w:t>
      </w:r>
      <w:r>
        <w:rPr>
          <w:b/>
        </w:rPr>
        <w:t>retrait des lentilles de contact</w:t>
      </w:r>
      <w:r>
        <w:t xml:space="preserve"> avant instillation et la remise après 15 minutes, sur la </w:t>
      </w:r>
      <w:r>
        <w:rPr>
          <w:b/>
        </w:rPr>
        <w:t>durée d'utilisation après ouverture de 4 semaines</w:t>
      </w:r>
      <w:r>
        <w:t xml:space="preserve">, sur la </w:t>
      </w:r>
      <w:r>
        <w:rPr>
          <w:b/>
        </w:rPr>
        <w:t>conservation à température ambiante</w:t>
      </w:r>
      <w:r>
        <w:t xml:space="preserve"> (≤ 25 °C). </w:t>
      </w:r>
      <w:r>
        <w:rPr>
          <w:b/>
        </w:rPr>
        <w:t>Spécificité de BIOCABASTINE</w:t>
      </w:r>
      <w:r>
        <w:t xml:space="preserve"> : insister sur l'</w:t>
      </w:r>
      <w:r>
        <w:rPr>
          <w:b/>
        </w:rPr>
        <w:t>agitation légère du flacon avant emploi</w:t>
      </w:r>
      <w:r>
        <w:t xml:space="preserve"> pour remettre en suspension les microparticules.</w:t>
      </w:r>
    </w:p>
    <w:p>
      <w:pPr>
        <w:pStyle w:val="ListBullet"/>
      </w:pPr>
      <w:r>
        <w:t>Information sur les signes d'alerte : identiques à l'olopatadine.</w:t>
      </w:r>
    </w:p>
    <w:p>
      <w:r/>
      <w:r>
        <w:rPr>
          <w:b/>
        </w:rPr>
        <w:t>Notes, Règles d'Or &amp; Pièges au Comptoir :</w:t>
      </w:r>
      <w:r/>
    </w:p>
    <w:p>
      <w:pPr>
        <w:pStyle w:val="ListBullet"/>
      </w:pPr>
      <w:r>
        <w:t>Piège classique du patient qui revient à l'officine 3 jours après la délivrance en disant « ça ne marche pas » → la lévocabastine a un délai d'action très rapide (10 à 15 minutes) mais peut être insuffisante dans les formes sévères avec composante mastocytaire prédominante ; il faut continuer et réévaluer à 7 jours, avec éventuel passage à l'olopatadine si inefficacité.</w:t>
      </w:r>
    </w:p>
    <w:p>
      <w:pPr>
        <w:pStyle w:val="ListBullet"/>
      </w:pPr>
      <w:r>
        <w:t>Piège du patient qui n'agite pas le flacon BIOCABASTINE avant emploi → instillation d'excipient sans principe actif, inefficacité thérapeutique.</w:t>
      </w:r>
    </w:p>
    <w:p>
      <w:pPr>
        <w:pStyle w:val="ListBullet"/>
      </w:pPr>
      <w:r>
        <w:t>Piège du patient porteur de lentilles de contact qui installe le collyre sans retirer les lentilles → risque de fixation du chlorure de benzalkonium sur la lentille avec kératopathie chronique.</w:t>
      </w:r>
    </w:p>
    <w:p>
      <w:pPr>
        <w:pStyle w:val="ListBullet"/>
      </w:pPr>
      <w:r>
        <w:t>Piège du flacon ouvert depuis plus de 4 semaines → contamination microbienne possible, jeter le flacon même s'il reste du produit.</w:t>
      </w:r>
    </w:p>
    <w:p>
      <w:pPr>
        <w:pStyle w:val="ListBullet"/>
      </w:pPr>
      <w:r>
        <w:t>Piège du statut administratif inhabituel de BIOCABASTINE (non listé) → exiger une ordonnance médicale pour la délivrance, comme pour tout collyre antihistaminique ophtalmique.</w:t>
      </w:r>
    </w:p>
    <w:p>
      <w:pPr>
        <w:pStyle w:val="ListBullet"/>
      </w:pPr>
      <w:r>
        <w:t>Règle d'or : « Lévocabastine = 1 goutte 2 fois par jour ; agiter le flacon BIOCABASTINE avant emploi ; retrait des lentilles ; 5 minutes entre deux collyres ; flacon jeté à 4 semaines ».</w:t>
      </w:r>
    </w:p>
    <w:p>
      <w:pPr>
        <w:pStyle w:val="Heading2"/>
      </w:pPr>
      <w:r>
        <w:t>142.3 Sous-classe : Antiallergiques — Inhibiteurs des mastocytes</w:t>
      </w:r>
    </w:p>
    <w:p>
      <w:pPr>
        <w:pStyle w:val="Heading3"/>
      </w:pPr>
      <w:r>
        <w:t>142.3.1 Généralités de la sous-classe</w:t>
      </w:r>
    </w:p>
    <w:p>
      <w:r>
        <w:t xml:space="preserve">Les inhibiteurs des mastocytes (ou stabilisants mastocytaires) constituent une classe pharmacologique historiquement fondatrice du traitement topique des maladies allergiques oculaires et respiratoires, dont le représentant princeps est le </w:t>
      </w:r>
      <w:r>
        <w:rPr>
          <w:b/>
        </w:rPr>
        <w:t>cromoglycate de sodium</w:t>
      </w:r>
      <w:r>
        <w:t xml:space="preserve"> (disponible en Algérie en association avec la fluorométholone dans la spécialité OPTIF PLUS, cf. fiche Fluorométholone). Dans la nomenclature algérienne Avril 2026, seule la molécule de </w:t>
      </w:r>
      <w:r>
        <w:rPr>
          <w:b/>
        </w:rPr>
        <w:t>kétotifène</w:t>
      </w:r>
      <w:r>
        <w:t xml:space="preserve"> est recensée dans la sous-classe « Inhibiteurs des mastocytes » à usage ophtalmique, en complément des formes systémiques (comprimés, sirop, solution buvable) utilisées en pneumologie et en pédiatrie pour le traitement de fond de l'asthme allergique et de la rhinite allergique. La particularité pharmacologique du kétotifène, qui le distingue du cromoglycate de sodium, est sa </w:t>
      </w:r>
      <w:r>
        <w:rPr>
          <w:b/>
        </w:rPr>
        <w:t>double action antihistaminique H1 + inhibitrice mastocytaire</w:t>
      </w:r>
      <w:r>
        <w:t>, qui en fait une molécule de choix pour le traitement de fond des conjonctivites allergiques perannuelles modérées à sévères, des kératoconjonctivites vernales (KCV) et atopiques (KCA), et du traitement préventif des saisons polliniques.</w:t>
      </w:r>
    </w:p>
    <w:p>
      <w:r>
        <w:t xml:space="preserve">Le mécanisme d'action commun des stabilisants mastocytaires repose sur l'inhibition de la dégranulation des mastocytes conjonctivaux activés par la liaison des IgE spécifiques à leur allergène cible. Cette inhibition s'exerce par un mécanisme moléculaire encore partiellement élucidé, impliquant probablement une stabilisation des canaux calciques voltage-dépendants de la membrane mastocytaire, une inhibition de la protéine kinase C, et une modulation de la phosphorylation de protéines clés de la signalisation IgE-FcεRI. Le résultat fonctionnel est la </w:t>
      </w:r>
      <w:r>
        <w:rPr>
          <w:b/>
        </w:rPr>
        <w:t>baisse de la libération d'histamine</w:t>
      </w:r>
      <w:r>
        <w:t xml:space="preserve">, des leucotriènes C4 et D4, de la prostaglandine D2, du PAF, de la tryptase β, et des cytokines pro-inflammatoires (IL-4, IL-5, IL-13, TNF-α) par les mastocytes activés. À la différence des antihistaminiques H1 purs (lévocabastine) qui ciblent l'effecteur terminal de la réaction allergique (l'histamine déjà libérée), les stabilisants mastocytaires préviennent la libération elle-même, ce qui explique leur </w:t>
      </w:r>
      <w:r>
        <w:rPr>
          <w:b/>
        </w:rPr>
        <w:t>profil d'action retardée</w:t>
      </w:r>
      <w:r>
        <w:t xml:space="preserve"> (effet maximal après 2 à 4 semaines de traitement continu, à la manière d'un traitement de fond) et leur </w:t>
      </w:r>
      <w:r>
        <w:rPr>
          <w:b/>
        </w:rPr>
        <w:t>efficacité préventive</w:t>
      </w:r>
      <w:r>
        <w:t xml:space="preserve"> plutôt que curative. Ils sont particulièrement indiqués en traitement de fond des allergies chroniques, en prophylaxie pré-saisonnière, et en relais ou en association aux antihistaminiques H1 et aux corticoïdes locaux dans les formes sévères.</w:t>
      </w:r>
    </w:p>
    <w:p>
      <w:r>
        <w:t>Le kétotifène, en raison de sa double action antihistaminique H1 + inhibitrice mastocytaire, occupe une place thérapeutique intermédiaire entre les antihistaminiques H1 purs et les stabilisants mastocytaires purs : il combine la rapidité d'action symptomatique de l'antihistaminique (début d'action en 30 à 60 minutes) et la profondeur d'action du stabilisateur mastocytaire (effet maximal à 2-4 semaines, efficacité préventive), ce qui en fait une molécule de choix pour les formes modérées à sévères nécessitant un traitement prolongé. En Algérie, le kétotifène est largement disponible sous forme de collyre (5 spécialités actives : MONOKETO, PARVISTEN, CITIGEN, OPHTALGON, ZALERG), ainsi que sous des formes systémiques (comprimés, sirop, solution buvable) pour les indications respiratoires — la nomenclature recense jusqu'à 22+ spécialités commerciales actives et historiques de kétotifène en Algérie, ce qui témoigne de la large diffusion de cette molécule dans la pratique clinique algérienne.</w:t>
      </w:r>
    </w:p>
    <w:p>
      <w:pPr>
        <w:pStyle w:val="Heading3"/>
      </w:pPr>
      <w:r>
        <w:t>142.3.2 DCI : Kétotifène (usage ophtalmique)</w:t>
      </w:r>
    </w:p>
    <w:p>
      <w:r/>
      <w:r>
        <w:rPr>
          <w:b/>
        </w:rPr>
        <w:t>Liste des Catégories :</w:t>
      </w:r>
      <w:r>
        <w:t xml:space="preserve"> Liste II.</w:t>
      </w:r>
    </w:p>
    <w:p>
      <w:r>
        <w:t xml:space="preserve">Le kétotifène est un inhibiteur des mastocytes à double action antihistaminique H1, dérivé du cycloheptathiophène (4,9-dihydro-4-(1-méthyl-4-pipéridylidène)-10H-benzo[4,5]cyclohepta[1,2-b]thiophén-10-one fumarate, 1:1), développé par Sandoz (Bâle, Suisse) au début des années 1970 et commercialisé sous le nom de ZADITEN® (forme systémique : comprimés, sirop) dans les années 1980, et sous le nom de ZADITOR® / ZYRTEC® Ophtalmic aux États-Unis et de KETOF® / TIFEN® / TOTINAL® en formes ophtalmiques. La molécule a été conçue pour combiner deux actions pharmacologiques complémentaires sur la réaction allergique : (i) un </w:t>
      </w:r>
      <w:r>
        <w:rPr>
          <w:b/>
        </w:rPr>
        <w:t>antagonisme compétitif des récepteurs H1</w:t>
      </w:r>
      <w:r>
        <w:t xml:space="preserve"> (Ki ≈ 15 nM, comparable à l'olopatadine), sans affinité notable pour les récepteurs H2, H3, α1, α2, β1, β2, muscariniques ou dopaminergiques ; (ii) une </w:t>
      </w:r>
      <w:r>
        <w:rPr>
          <w:b/>
        </w:rPr>
        <w:t>inhibition de la dégranulation mastocytaire</w:t>
      </w:r>
      <w:r>
        <w:t xml:space="preserve"> par un mécanisme impliquant une stabilisation des canaux calciques voltage-dépendants, une inhibition de la phosphodiéstérase augmentant les taux intracellulaires d'AMPc (qui inhibe la dégranulation mastocytaire), et une inhibition de la libération des leucotriènes C4 et D4. La molécule présente en outre une activité inhibitrice modérée sur l'inflammation à éosinophiles (baisse du chimiotactisme et de l'activation des éosinophiles), qui peut être utile dans les formes sévères avec composante à éosinophiles (KCV, KCA). En Algérie, le kétotifène ophtalmique est disponible sous cinq spécialités commerciales actives au dosage unique de 0,25 mg/mL (0,025 %) en flacon de 5 mL ou en récipients unidoses : MONOKETO (Horus Pharma, collyre en solution en récipient unidose, boîte de 60), PARVISTEN (World Medecine, collyre en solution, flacon de 5 mL), CITIGEN (Generic Lab, collyre en solution, flacon de 5 mL), OPHTALGON (Beit Jala Pharmaceuticals, collyre en solution, flacon de 5 mL), et ZALERG (Thea, collyre en solution, flacon de 5 mL). Toutes sont classées en Liste II. À ces formes ophtalmiques s'ajoutent des formes systémiques actives (TIFANEL, TOTINAL comprimés 1 mg ; HASSALYSE, KETOF solution buvable 1 mg/5 mL ; TOTILAM solution buvable 1,4 mg/5 mL) utilisées en pneumologie et en pédiatrie, ce qui témoigne de la large disponibilité du kétotifène en Algérie — nomenclature historique recensant plus de 22 spécialités actives et retirées cumulées. Le pharmacien d'officine joue un rôle-clé dans la vérification de la prescription médicale obligatoire (Liste II), dans l'éducation à la technique d'instillation (avec une spécificité pour MONOKETO en récipient unidose sans conservateur, particulièrement adapté aux porteurs de lentilles de contact et aux sensibilisés au chlorure de benzalkonium), et dans le repérage des signes d'alerte nécessitant une consultation ophtalmologique spécialisée.</w:t>
      </w:r>
    </w:p>
    <w:p>
      <w:r/>
      <w:r>
        <w:rPr>
          <w:b/>
        </w:rPr>
        <w:t>Médicaments disponibles en Algérie (tableau commercial) — Formes ophtalmiques actives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MONOKETO</w:t>
            </w:r>
          </w:p>
        </w:tc>
        <w:tc>
          <w:tcPr>
            <w:tcW w:type="dxa" w:w="1559"/>
          </w:tcPr>
          <w:p>
            <w:r>
              <w:rPr>
                <w:sz w:val="20"/>
              </w:rPr>
              <w:t>HORUS PHARMA</w:t>
            </w:r>
          </w:p>
        </w:tc>
        <w:tc>
          <w:tcPr>
            <w:tcW w:type="dxa" w:w="1559"/>
          </w:tcPr>
          <w:p>
            <w:r>
              <w:rPr>
                <w:sz w:val="20"/>
              </w:rPr>
              <w:t>Collyre en solution en récipient unidose 0,25 mg/mL (0,025 %)</w:t>
            </w:r>
          </w:p>
        </w:tc>
        <w:tc>
          <w:tcPr>
            <w:tcW w:type="dxa" w:w="1559"/>
          </w:tcPr>
          <w:p>
            <w:r>
              <w:rPr>
                <w:sz w:val="20"/>
              </w:rPr>
              <w:t>Boîte de 60 récipients unidoses</w:t>
            </w:r>
          </w:p>
        </w:tc>
        <w:tc>
          <w:tcPr>
            <w:tcW w:type="dxa" w:w="1559"/>
          </w:tcPr>
          <w:p>
            <w:r>
              <w:rPr>
                <w:sz w:val="20"/>
              </w:rPr>
              <w:t>Liste II</w:t>
            </w:r>
          </w:p>
        </w:tc>
        <w:tc>
          <w:tcPr>
            <w:tcW w:type="dxa" w:w="1559"/>
          </w:tcPr>
          <w:p>
            <w:r>
              <w:rPr>
                <w:sz w:val="20"/>
              </w:rPr>
              <w:t>Actif</w:t>
            </w:r>
          </w:p>
        </w:tc>
      </w:tr>
      <w:tr>
        <w:tc>
          <w:tcPr>
            <w:tcW w:type="dxa" w:w="1559"/>
          </w:tcPr>
          <w:p>
            <w:r>
              <w:rPr>
                <w:sz w:val="20"/>
              </w:rPr>
              <w:t>PARVISTEN</w:t>
            </w:r>
          </w:p>
        </w:tc>
        <w:tc>
          <w:tcPr>
            <w:tcW w:type="dxa" w:w="1559"/>
          </w:tcPr>
          <w:p>
            <w:r>
              <w:rPr>
                <w:sz w:val="20"/>
              </w:rPr>
              <w:t>WORLD MEDECINE ILAC SAN.VE TIC.AS</w:t>
            </w:r>
          </w:p>
        </w:tc>
        <w:tc>
          <w:tcPr>
            <w:tcW w:type="dxa" w:w="1559"/>
          </w:tcPr>
          <w:p>
            <w:r>
              <w:rPr>
                <w:sz w:val="20"/>
              </w:rPr>
              <w:t>Collyre en solution 0,25 mg/mL (0,025 %)</w:t>
            </w:r>
          </w:p>
        </w:tc>
        <w:tc>
          <w:tcPr>
            <w:tcW w:type="dxa" w:w="1559"/>
          </w:tcPr>
          <w:p>
            <w:r>
              <w:rPr>
                <w:sz w:val="20"/>
              </w:rPr>
              <w:t>Boîte de 1 flacon de 5 mL</w:t>
            </w:r>
          </w:p>
        </w:tc>
        <w:tc>
          <w:tcPr>
            <w:tcW w:type="dxa" w:w="1559"/>
          </w:tcPr>
          <w:p>
            <w:r>
              <w:rPr>
                <w:sz w:val="20"/>
              </w:rPr>
              <w:t>Liste II</w:t>
            </w:r>
          </w:p>
        </w:tc>
        <w:tc>
          <w:tcPr>
            <w:tcW w:type="dxa" w:w="1559"/>
          </w:tcPr>
          <w:p>
            <w:r>
              <w:rPr>
                <w:sz w:val="20"/>
              </w:rPr>
              <w:t>Actif</w:t>
            </w:r>
          </w:p>
        </w:tc>
      </w:tr>
      <w:tr>
        <w:tc>
          <w:tcPr>
            <w:tcW w:type="dxa" w:w="1559"/>
          </w:tcPr>
          <w:p>
            <w:r>
              <w:rPr>
                <w:sz w:val="20"/>
              </w:rPr>
              <w:t>CITIGEN</w:t>
            </w:r>
          </w:p>
        </w:tc>
        <w:tc>
          <w:tcPr>
            <w:tcW w:type="dxa" w:w="1559"/>
          </w:tcPr>
          <w:p>
            <w:r>
              <w:rPr>
                <w:sz w:val="20"/>
              </w:rPr>
              <w:t>GENERIC LAB</w:t>
            </w:r>
          </w:p>
        </w:tc>
        <w:tc>
          <w:tcPr>
            <w:tcW w:type="dxa" w:w="1559"/>
          </w:tcPr>
          <w:p>
            <w:r>
              <w:rPr>
                <w:sz w:val="20"/>
              </w:rPr>
              <w:t>Collyre en solution 0,25 mg/mL (0,025 %)</w:t>
            </w:r>
          </w:p>
        </w:tc>
        <w:tc>
          <w:tcPr>
            <w:tcW w:type="dxa" w:w="1559"/>
          </w:tcPr>
          <w:p>
            <w:r>
              <w:rPr>
                <w:sz w:val="20"/>
              </w:rPr>
              <w:t>Boîte de 1 flacon de 5 mL</w:t>
            </w:r>
          </w:p>
        </w:tc>
        <w:tc>
          <w:tcPr>
            <w:tcW w:type="dxa" w:w="1559"/>
          </w:tcPr>
          <w:p>
            <w:r>
              <w:rPr>
                <w:sz w:val="20"/>
              </w:rPr>
              <w:t>Liste II</w:t>
            </w:r>
          </w:p>
        </w:tc>
        <w:tc>
          <w:tcPr>
            <w:tcW w:type="dxa" w:w="1559"/>
          </w:tcPr>
          <w:p>
            <w:r>
              <w:rPr>
                <w:sz w:val="20"/>
              </w:rPr>
              <w:t>Actif</w:t>
            </w:r>
          </w:p>
        </w:tc>
      </w:tr>
      <w:tr>
        <w:tc>
          <w:tcPr>
            <w:tcW w:type="dxa" w:w="1559"/>
          </w:tcPr>
          <w:p>
            <w:r>
              <w:rPr>
                <w:sz w:val="20"/>
              </w:rPr>
              <w:t>OPHTALGON</w:t>
            </w:r>
          </w:p>
        </w:tc>
        <w:tc>
          <w:tcPr>
            <w:tcW w:type="dxa" w:w="1559"/>
          </w:tcPr>
          <w:p>
            <w:r>
              <w:rPr>
                <w:sz w:val="20"/>
              </w:rPr>
              <w:t>BEIT JALA PHARMACEUTICALS COMPANY</w:t>
            </w:r>
          </w:p>
        </w:tc>
        <w:tc>
          <w:tcPr>
            <w:tcW w:type="dxa" w:w="1559"/>
          </w:tcPr>
          <w:p>
            <w:r>
              <w:rPr>
                <w:sz w:val="20"/>
              </w:rPr>
              <w:t>Collyre en solution 0,25 mg/mL (0,025 %)</w:t>
            </w:r>
          </w:p>
        </w:tc>
        <w:tc>
          <w:tcPr>
            <w:tcW w:type="dxa" w:w="1559"/>
          </w:tcPr>
          <w:p>
            <w:r>
              <w:rPr>
                <w:sz w:val="20"/>
              </w:rPr>
              <w:t>Boîte de 1 flacon de 5 mL</w:t>
            </w:r>
          </w:p>
        </w:tc>
        <w:tc>
          <w:tcPr>
            <w:tcW w:type="dxa" w:w="1559"/>
          </w:tcPr>
          <w:p>
            <w:r>
              <w:rPr>
                <w:sz w:val="20"/>
              </w:rPr>
              <w:t>Liste II</w:t>
            </w:r>
          </w:p>
        </w:tc>
        <w:tc>
          <w:tcPr>
            <w:tcW w:type="dxa" w:w="1559"/>
          </w:tcPr>
          <w:p>
            <w:r>
              <w:rPr>
                <w:sz w:val="20"/>
              </w:rPr>
              <w:t>Actif</w:t>
            </w:r>
          </w:p>
        </w:tc>
      </w:tr>
      <w:tr>
        <w:tc>
          <w:tcPr>
            <w:tcW w:type="dxa" w:w="1559"/>
          </w:tcPr>
          <w:p>
            <w:r>
              <w:rPr>
                <w:sz w:val="20"/>
              </w:rPr>
              <w:t>ZALERG</w:t>
            </w:r>
          </w:p>
        </w:tc>
        <w:tc>
          <w:tcPr>
            <w:tcW w:type="dxa" w:w="1559"/>
          </w:tcPr>
          <w:p>
            <w:r>
              <w:rPr>
                <w:sz w:val="20"/>
              </w:rPr>
              <w:t>THEA</w:t>
            </w:r>
          </w:p>
        </w:tc>
        <w:tc>
          <w:tcPr>
            <w:tcW w:type="dxa" w:w="1559"/>
          </w:tcPr>
          <w:p>
            <w:r>
              <w:rPr>
                <w:sz w:val="20"/>
              </w:rPr>
              <w:t>Collyre en solution 0,25 mg/mL (0,025 %)</w:t>
            </w:r>
          </w:p>
        </w:tc>
        <w:tc>
          <w:tcPr>
            <w:tcW w:type="dxa" w:w="1559"/>
          </w:tcPr>
          <w:p>
            <w:r>
              <w:rPr>
                <w:sz w:val="20"/>
              </w:rPr>
              <w:t>Boîte de 1 flacon de 5 mL</w:t>
            </w:r>
          </w:p>
        </w:tc>
        <w:tc>
          <w:tcPr>
            <w:tcW w:type="dxa" w:w="1559"/>
          </w:tcPr>
          <w:p>
            <w:r>
              <w:rPr>
                <w:sz w:val="20"/>
              </w:rPr>
              <w:t>Liste II</w:t>
            </w:r>
          </w:p>
        </w:tc>
        <w:tc>
          <w:tcPr>
            <w:tcW w:type="dxa" w:w="1559"/>
          </w:tcPr>
          <w:p>
            <w:r>
              <w:rPr>
                <w:sz w:val="20"/>
              </w:rPr>
              <w:t>Actif</w:t>
            </w:r>
          </w:p>
        </w:tc>
      </w:tr>
    </w:tbl>
    <w:p/>
    <w:p>
      <w:r/>
      <w:r>
        <w:rPr>
          <w:b/>
        </w:rPr>
        <w:t>Médicaments disponibles en Algérie (tableau commercial) — Formes systémiques actives (pour information)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TIFANEL</w:t>
            </w:r>
          </w:p>
        </w:tc>
        <w:tc>
          <w:tcPr>
            <w:tcW w:type="dxa" w:w="1559"/>
          </w:tcPr>
          <w:p>
            <w:r>
              <w:rPr>
                <w:sz w:val="20"/>
              </w:rPr>
              <w:t>ALGERIAN GENERICS DEVELOPMENT PHARMA (AGD PHARMA)</w:t>
            </w:r>
          </w:p>
        </w:tc>
        <w:tc>
          <w:tcPr>
            <w:tcW w:type="dxa" w:w="1559"/>
          </w:tcPr>
          <w:p>
            <w:r>
              <w:rPr>
                <w:sz w:val="20"/>
              </w:rPr>
              <w:t>Comprimé 1 mg</w:t>
            </w:r>
          </w:p>
        </w:tc>
        <w:tc>
          <w:tcPr>
            <w:tcW w:type="dxa" w:w="1559"/>
          </w:tcPr>
          <w:p>
            <w:r>
              <w:rPr>
                <w:sz w:val="20"/>
              </w:rPr>
              <w:t>Boîte de 30</w:t>
            </w:r>
          </w:p>
        </w:tc>
        <w:tc>
          <w:tcPr>
            <w:tcW w:type="dxa" w:w="1559"/>
          </w:tcPr>
          <w:p>
            <w:r>
              <w:rPr>
                <w:sz w:val="20"/>
              </w:rPr>
              <w:t>Liste II</w:t>
            </w:r>
          </w:p>
        </w:tc>
        <w:tc>
          <w:tcPr>
            <w:tcW w:type="dxa" w:w="1559"/>
          </w:tcPr>
          <w:p>
            <w:r>
              <w:rPr>
                <w:sz w:val="20"/>
              </w:rPr>
              <w:t>Actif</w:t>
            </w:r>
          </w:p>
        </w:tc>
      </w:tr>
      <w:tr>
        <w:tc>
          <w:tcPr>
            <w:tcW w:type="dxa" w:w="1559"/>
          </w:tcPr>
          <w:p>
            <w:r>
              <w:rPr>
                <w:sz w:val="20"/>
              </w:rPr>
              <w:t>TOTINAL</w:t>
            </w:r>
          </w:p>
        </w:tc>
        <w:tc>
          <w:tcPr>
            <w:tcW w:type="dxa" w:w="1559"/>
          </w:tcPr>
          <w:p>
            <w:r>
              <w:rPr>
                <w:sz w:val="20"/>
              </w:rPr>
              <w:t>HIKMA PHARMA ALGERIA</w:t>
            </w:r>
          </w:p>
        </w:tc>
        <w:tc>
          <w:tcPr>
            <w:tcW w:type="dxa" w:w="1559"/>
          </w:tcPr>
          <w:p>
            <w:r>
              <w:rPr>
                <w:sz w:val="20"/>
              </w:rPr>
              <w:t>Comprimé 1 mg</w:t>
            </w:r>
          </w:p>
        </w:tc>
        <w:tc>
          <w:tcPr>
            <w:tcW w:type="dxa" w:w="1559"/>
          </w:tcPr>
          <w:p>
            <w:r>
              <w:rPr>
                <w:sz w:val="20"/>
              </w:rPr>
              <w:t>Boîte de 30</w:t>
            </w:r>
          </w:p>
        </w:tc>
        <w:tc>
          <w:tcPr>
            <w:tcW w:type="dxa" w:w="1559"/>
          </w:tcPr>
          <w:p>
            <w:r>
              <w:rPr>
                <w:sz w:val="20"/>
              </w:rPr>
              <w:t>Non listé</w:t>
            </w:r>
          </w:p>
        </w:tc>
        <w:tc>
          <w:tcPr>
            <w:tcW w:type="dxa" w:w="1559"/>
          </w:tcPr>
          <w:p>
            <w:r>
              <w:rPr>
                <w:sz w:val="20"/>
              </w:rPr>
              <w:t>Actif</w:t>
            </w:r>
          </w:p>
        </w:tc>
      </w:tr>
      <w:tr>
        <w:tc>
          <w:tcPr>
            <w:tcW w:type="dxa" w:w="1559"/>
          </w:tcPr>
          <w:p>
            <w:r>
              <w:rPr>
                <w:sz w:val="20"/>
              </w:rPr>
              <w:t>HASSALYSE</w:t>
            </w:r>
          </w:p>
        </w:tc>
        <w:tc>
          <w:tcPr>
            <w:tcW w:type="dxa" w:w="1559"/>
          </w:tcPr>
          <w:p>
            <w:r>
              <w:rPr>
                <w:sz w:val="20"/>
              </w:rPr>
              <w:t>ISOPHARM ALGERIE</w:t>
            </w:r>
          </w:p>
        </w:tc>
        <w:tc>
          <w:tcPr>
            <w:tcW w:type="dxa" w:w="1559"/>
          </w:tcPr>
          <w:p>
            <w:r>
              <w:rPr>
                <w:sz w:val="20"/>
              </w:rPr>
              <w:t>Solution buvable 1 mg/5 mL</w:t>
            </w:r>
          </w:p>
        </w:tc>
        <w:tc>
          <w:tcPr>
            <w:tcW w:type="dxa" w:w="1559"/>
          </w:tcPr>
          <w:p>
            <w:r>
              <w:rPr>
                <w:sz w:val="20"/>
              </w:rPr>
              <w:t>Flacon de 100 mL</w:t>
            </w:r>
          </w:p>
        </w:tc>
        <w:tc>
          <w:tcPr>
            <w:tcW w:type="dxa" w:w="1559"/>
          </w:tcPr>
          <w:p>
            <w:r>
              <w:rPr>
                <w:sz w:val="20"/>
              </w:rPr>
              <w:t>Liste II</w:t>
            </w:r>
          </w:p>
        </w:tc>
        <w:tc>
          <w:tcPr>
            <w:tcW w:type="dxa" w:w="1559"/>
          </w:tcPr>
          <w:p>
            <w:r>
              <w:rPr>
                <w:sz w:val="20"/>
              </w:rPr>
              <w:t>Actif</w:t>
            </w:r>
          </w:p>
        </w:tc>
      </w:tr>
      <w:tr>
        <w:tc>
          <w:tcPr>
            <w:tcW w:type="dxa" w:w="1559"/>
          </w:tcPr>
          <w:p>
            <w:r>
              <w:rPr>
                <w:sz w:val="20"/>
              </w:rPr>
              <w:t>KETOF</w:t>
            </w:r>
          </w:p>
        </w:tc>
        <w:tc>
          <w:tcPr>
            <w:tcW w:type="dxa" w:w="1559"/>
          </w:tcPr>
          <w:p>
            <w:r>
              <w:rPr>
                <w:sz w:val="20"/>
              </w:rPr>
              <w:t>SARL GROUPE SANTE</w:t>
            </w:r>
          </w:p>
        </w:tc>
        <w:tc>
          <w:tcPr>
            <w:tcW w:type="dxa" w:w="1559"/>
          </w:tcPr>
          <w:p>
            <w:r>
              <w:rPr>
                <w:sz w:val="20"/>
              </w:rPr>
              <w:t>Solution buvable 1 mg/5 mL</w:t>
            </w:r>
          </w:p>
        </w:tc>
        <w:tc>
          <w:tcPr>
            <w:tcW w:type="dxa" w:w="1559"/>
          </w:tcPr>
          <w:p>
            <w:r>
              <w:rPr>
                <w:sz w:val="20"/>
              </w:rPr>
              <w:t>Flacon de 100 mL</w:t>
            </w:r>
          </w:p>
        </w:tc>
        <w:tc>
          <w:tcPr>
            <w:tcW w:type="dxa" w:w="1559"/>
          </w:tcPr>
          <w:p>
            <w:r>
              <w:rPr>
                <w:sz w:val="20"/>
              </w:rPr>
              <w:t>Liste II</w:t>
            </w:r>
          </w:p>
        </w:tc>
        <w:tc>
          <w:tcPr>
            <w:tcW w:type="dxa" w:w="1559"/>
          </w:tcPr>
          <w:p>
            <w:r>
              <w:rPr>
                <w:sz w:val="20"/>
              </w:rPr>
              <w:t>Actif</w:t>
            </w:r>
          </w:p>
        </w:tc>
      </w:tr>
      <w:tr>
        <w:tc>
          <w:tcPr>
            <w:tcW w:type="dxa" w:w="1559"/>
          </w:tcPr>
          <w:p>
            <w:r>
              <w:rPr>
                <w:sz w:val="20"/>
              </w:rPr>
              <w:t>TOTILAM</w:t>
            </w:r>
          </w:p>
        </w:tc>
        <w:tc>
          <w:tcPr>
            <w:tcW w:type="dxa" w:w="1559"/>
          </w:tcPr>
          <w:p>
            <w:r>
              <w:rPr>
                <w:sz w:val="20"/>
              </w:rPr>
              <w:t>LABORATOIRE ALGERIEN DU MEDICAMENT</w:t>
            </w:r>
          </w:p>
        </w:tc>
        <w:tc>
          <w:tcPr>
            <w:tcW w:type="dxa" w:w="1559"/>
          </w:tcPr>
          <w:p>
            <w:r>
              <w:rPr>
                <w:sz w:val="20"/>
              </w:rPr>
              <w:t>Solution buvable 1,4 mg/5 mL</w:t>
            </w:r>
          </w:p>
        </w:tc>
        <w:tc>
          <w:tcPr>
            <w:tcW w:type="dxa" w:w="1559"/>
          </w:tcPr>
          <w:p>
            <w:r>
              <w:rPr>
                <w:sz w:val="20"/>
              </w:rPr>
              <w:t>Flacon de 125 mL</w:t>
            </w:r>
          </w:p>
        </w:tc>
        <w:tc>
          <w:tcPr>
            <w:tcW w:type="dxa" w:w="1559"/>
          </w:tcPr>
          <w:p>
            <w:r>
              <w:rPr>
                <w:sz w:val="20"/>
              </w:rPr>
              <w:t>Liste II</w:t>
            </w:r>
          </w:p>
        </w:tc>
        <w:tc>
          <w:tcPr>
            <w:tcW w:type="dxa" w:w="1559"/>
          </w:tcPr>
          <w:p>
            <w:r>
              <w:rPr>
                <w:sz w:val="20"/>
              </w:rPr>
              <w:t>Actif</w:t>
            </w:r>
          </w:p>
        </w:tc>
      </w:tr>
    </w:tbl>
    <w:p/>
    <w:p>
      <w:r>
        <w:t xml:space="preserve">La disponibilité commerciale du kétotifène en Algérie est l'une des plus larges de la pharmacopée ophtalmologique algérienne : </w:t>
      </w:r>
      <w:r>
        <w:rPr>
          <w:b/>
        </w:rPr>
        <w:t>5 spécialités ophtalmiques actives</w:t>
      </w:r>
      <w:r>
        <w:t xml:space="preserve"> au dosage unique de 0,25 mg/mL (0,025 %), auxquelles s'ajoutent </w:t>
      </w:r>
      <w:r>
        <w:rPr>
          <w:b/>
        </w:rPr>
        <w:t>5 spécialités systémiques actives</w:t>
      </w:r>
      <w:r>
        <w:t xml:space="preserve"> (comprimés, solutions buvables) pour les indications respiratoires (asthme allergique, rhinite allergique, dermatite atopique). Cette diversité témoigne de la large diffusion du kétotifène dans la pratique clinique algérienne et garantit une accessibilité économique importante. À la posologie standard de deux instillations par jour, un flacon de 5 mL offre une autonomie de traitement d'environ 2 semaines (à 2 gouttes par œil 2 fois par jour, soit 8 gouttes par jour, environ 40 µL par goutte, soit 320 µL/jour pour 5000 µL = ~15 jours). La spécialité MONOKETO (Horus Pharma) se distingue par son conditionnement en récipients unidoses sans conservateur (boîte de 60 unidoses), particulièrement adapté aux porteurs de lentilles de contact (absence de chlorure de benzalkonium susceptible de se fixer sur le polymère de la lentille), aux sensibilisés aux conservateurs, et aux traitements prolongés au-delà de 1 mois. Les autres spécialités (PARVISTEN, CITIGEN, OPHTALGON, ZALERG) sont conditionnées en flacon multidose de 5 mL avec conservateur (chlorure de benzalkonium), avec une durée d'utilisation après ouverture de 4 semaines. À noter la disponibilité de ZALERG du laboratoire Thea, qui est un acteur historique de l'ophtalmologie en France et en Algérie, avec une reconnaissance de marque importante chez les ophtalmologistes. À noter également la disponibilité historique de nombreuses spécialités aujourd'hui retirées ou non renouvelées (ZADITEN Novartis, TIFEN Pharmalliance, KETONIL RAM Pharma, PROFILAR UPM, TEFANYL JPM, CIPANFENO ATRAL, TOTIFEN PROMOPHARM, TOFENIL LDM, KETAFENE LPA, KETOFENE KRG, ALERFEN Saidal/Solupharm), ce qui témoigne de l'histoire riche de cette molécule en Algérie.</w:t>
      </w:r>
    </w:p>
    <w:p>
      <w:r/>
      <w:r>
        <w:rPr>
          <w:b/>
        </w:rPr>
        <w:t>Sous-classe et Mécanisme d'action :</w:t>
      </w:r>
      <w:r/>
    </w:p>
    <w:p>
      <w:pPr>
        <w:pStyle w:val="ListBullet"/>
      </w:pPr>
      <w:r>
        <w:t>Sous-classe : Inhibiteur des mastocytes à double action antihistaminique H1 + inhibitrice mastocytaire. Liste II.</w:t>
      </w:r>
    </w:p>
    <w:p>
      <w:pPr>
        <w:pStyle w:val="ListBullet"/>
      </w:pPr>
      <w:r>
        <w:t xml:space="preserve">Mécanisme d'action : Le kétotifène, molécule amphiphile (logP ≈ 2,5), traverse le film lacrymal et diffuse à travers l'épithélium conjonctival jusqu'aux cellules cibles (mastocytes conjonctivaux et limbiques, terminaisons nerveuses sensitives pruritoceptives, fibres musculaires lisses vasculaires, éosinophiles, lymphocytes T). Elle exerce une </w:t>
      </w:r>
      <w:r>
        <w:rPr>
          <w:b/>
        </w:rPr>
        <w:t>double action pharmacologique</w:t>
      </w:r>
      <w:r>
        <w:t xml:space="preserve"> : (i) </w:t>
      </w:r>
      <w:r>
        <w:rPr>
          <w:b/>
        </w:rPr>
        <w:t>antagonisme compétitif des récepteurs H1</w:t>
      </w:r>
      <w:r>
        <w:t xml:space="preserve"> (Ki ≈ 15 nM, comparable à l'olopatadine), sans affinité notable pour les récepteurs H2, H3, α1, α2, β1, β2, muscariniques ou dopaminergiques ; (ii) </w:t>
      </w:r>
      <w:r>
        <w:rPr>
          <w:b/>
        </w:rPr>
        <w:t>inhibition de la dégranulation mastocytaire</w:t>
      </w:r>
      <w:r>
        <w:t xml:space="preserve"> par un mécanisme moléculaire impliquant une stabilisation des canaux calciques voltage-dépendants (baisse de l'influx calcique intracellulaire nécessaire à la dégranulation), une inhibition de la phosphodiéstérase (augmentation des taux intracellulaires d'AMPc, qui inhibe la dégranulation mastocytaire), et une inhibition de la phosphorylation de la protéine STAT6 (baisse de la production d'IL-4, IL-5, IL-13). L'effet antiprurigineux se manifeste en 30 à 60 minutes (début d'action antihistaminique), mais l'effet inhibiteur mastocytaire maximal n'est atteint qu'après 2 à 4 semaines de traitement continu (à la manière d'un traitement de fond). La durée d'action est de 8 à 12 heures, autorisant une administration biquotidienne (matin et soir). La biodisponibilité systémique est modérée (≈ 5-10 % par voie ophtalmique par drainage lacrymo-nasal, supérieure à celle de l'olopatadine en raison d'une absorption nasale plus marquée) ; la fraction absorbée est métabolisée par le cytochrome CYP3A4 (N-glucuronidation, N-sulfatation) en métabolites inactifs, éliminés par voie rénale (60 %) et fécale (40 %). La demi-vie plasmatique est de 12 à 18 heures (forme ophtalmique), sans accumulation cliniquement significative à l'état d'équilibre. Le passage transplacentaire est modéré (à éviter au 1er trimestre par prudence) ; le passage dans le lait maternel est faible mais non négligeable (concentration lactée ≈ 0,5 % de la dose maternelle). Pour les formes systémiques (comprimés, sirop), la biodisponibilité orale est de 50 % (effet de premier passage hépatique), la demi-vie plasmatique est de 21 heures, et l'effet sédatif est notable (somnolence chez 5 à 15 % des patients) — ce qui explique le statut Liste II et la prescription médicale obligatoire.</w:t>
      </w:r>
    </w:p>
    <w:p>
      <w:r/>
      <w:r>
        <w:rPr>
          <w:b/>
        </w:rPr>
        <w:t>Profil Pharmacologique :</w:t>
      </w:r>
      <w:r/>
    </w:p>
    <w:p>
      <w:pPr>
        <w:pStyle w:val="ListBullet"/>
      </w:pPr>
      <w:r>
        <w:t xml:space="preserve">Indications AMM adultes et enfants : (1) </w:t>
      </w:r>
      <w:r>
        <w:rPr>
          <w:b/>
        </w:rPr>
        <w:t>Conjonctivite allergique saisonnière</w:t>
      </w:r>
      <w:r>
        <w:t xml:space="preserve"> chez l'adulte et l'enfant à partir de 3 ans — traitement symptomatique du prurit oculaire, de la rougeur conjonctivale, du larmoiement et de l'œdème palpébral ; traitement de fond pendant toute la saison pollinique ; traitement prophylactique débuté 2 à 4 semaines avant la saison attendue. (2) </w:t>
      </w:r>
      <w:r>
        <w:rPr>
          <w:b/>
        </w:rPr>
        <w:t>Conjonctivite allergique perannuelle</w:t>
      </w:r>
      <w:r>
        <w:t xml:space="preserve"> chez l'adulte et l'enfant à partir de 3 ans — traitement continu prolongé (plusieurs mois à années). (3) </w:t>
      </w:r>
      <w:r>
        <w:rPr>
          <w:b/>
        </w:rPr>
        <w:t>Kératoconjonctivite vernale (KCV)</w:t>
      </w:r>
      <w:r>
        <w:t xml:space="preserve"> chez l'enfant et l'adolescent masculin — traitement de fond en association à un corticoïde topique de courte durée en cas de poussée sévère. (4) </w:t>
      </w:r>
      <w:r>
        <w:rPr>
          <w:b/>
        </w:rPr>
        <w:t>Kératoconjonctivite atopique (KCA)</w:t>
      </w:r>
      <w:r>
        <w:t xml:space="preserve"> chez l'adulte atopique — traitement de fond prolongé en association à un corticoïde topique et à un immunosuppresseur topique (ciclosporine) dans les formes sévères. (5) En pratique courante, traitement des poussées de conjonctivite allergique modérée en alternative à l'olopatadine et à la lévocabastine. (6) Pour les formes systémiques (comprimés, sirop, solution buvable) : asthme allergique léger à modéré de l'enfant et de l'adulte (traitement de fond en complément des β2-mimétiques et des corticoïdes inhalés) ; rhinite allergique perannuelle ; dermatite atopique prurigineuse.</w:t>
      </w:r>
    </w:p>
    <w:p>
      <w:pPr>
        <w:pStyle w:val="ListBullet"/>
      </w:pPr>
      <w:r>
        <w:t>Contre-indications : Hypersensibilité au kétotifène ou à l'un des excipients ; enfant de moins de 3 ans (selon AMM, en raison de l'absence de données d'innocuité à cet âge) ; prudence en cas de glaucome (par prudence, en raison d'un effet anticholinergique théorique minimal mais non nul) ; prudence en cas de traitement par IMAO (interdiction de prescription simultanée) ; prudence en cas de grossesse (à éviter au 1er trimestre par prudence) ; prudence en cas de conduite automobile ou d'opérations de machines dangereuses pour les formes systémiques (somnolence possible).</w:t>
      </w:r>
    </w:p>
    <w:p>
      <w:pPr>
        <w:pStyle w:val="ListBullet"/>
      </w:pPr>
      <w:r>
        <w:t>Spectre d'action : Le kétotifène n'a aucune activité antibiotique, antifongique ou antivirale. Son action est strictement anti-allergique de type I, avec un effet inhibiteur mastocytaire et antihistaminique H1.</w:t>
      </w:r>
    </w:p>
    <w:p>
      <w:r/>
      <w:r>
        <w:rPr>
          <w:b/>
        </w:rPr>
        <w:t>Effets Indésirables :</w:t>
      </w:r>
      <w:r/>
    </w:p>
    <w:p>
      <w:pPr>
        <w:pStyle w:val="ListBullet"/>
      </w:pPr>
      <w:r/>
      <w:r>
        <w:rPr>
          <w:b/>
        </w:rPr>
        <w:t>Locaux précoces</w:t>
      </w:r>
      <w:r>
        <w:t xml:space="preserve"> (premières minutes à premières semaines) : sensation de brûlure transitoire à l'instillation (5 à 10 %), picotements, irritation conjonctivale, hyperhémie conjonctivale paradoxale transitoire (1 à 3 %), sécheresse oculaire, sensation de corps étranger, larmoiement réflexe, vision floue transitoire, blépharite transitoire.</w:t>
      </w:r>
    </w:p>
    <w:p>
      <w:pPr>
        <w:pStyle w:val="ListBullet"/>
      </w:pPr>
      <w:r/>
      <w:r>
        <w:rPr>
          <w:b/>
        </w:rPr>
        <w:t>Locaux tardifs</w:t>
      </w:r>
      <w:r>
        <w:t xml:space="preserve"> (au-delà de 2 semaines) : rarement kératite ponctuée superficielle (KPS) par toxicité épithéliale du chlorure de benzalkonium (à surveiller en cas de traitement prolongé &gt; 1 mois), blépharite chronique, conjonctivite toxique.</w:t>
      </w:r>
    </w:p>
    <w:p>
      <w:pPr>
        <w:pStyle w:val="ListBullet"/>
      </w:pPr>
      <w:r/>
      <w:r>
        <w:rPr>
          <w:b/>
        </w:rPr>
        <w:t>Systémiques</w:t>
      </w:r>
      <w:r>
        <w:t xml:space="preserve"> (modérés pour la forme ophtalmique, plus marqués pour les formes systémiques) : céphalées (5 à 10 %), somnolence légère (1 à 5 % en forme ophtalmique, 5 à 15 % en formes systémiques), asthénie, dysgueusie (goût amer), très rarement réactions allergiques systémiques. Pour les formes systémiques : sédation, prise de poids (par stimulation de l'appétit), augmentation de l'appétit, exceptionnels cas d'anomalies hépatiques (cytolyse, cholestase).</w:t>
      </w:r>
    </w:p>
    <w:p>
      <w:pPr>
        <w:pStyle w:val="ListBullet"/>
      </w:pPr>
      <w:r/>
      <w:r>
        <w:rPr>
          <w:b/>
        </w:rPr>
        <w:t>Effets paradoxaux</w:t>
      </w:r>
      <w:r>
        <w:t xml:space="preserve"> : aggravation transitoire du prurit en début de traitement, exceptionnels cas d'aggravation paradoxale de la rougeur conjonctivale.</w:t>
      </w:r>
    </w:p>
    <w:p>
      <w:r/>
      <w:r>
        <w:rPr>
          <w:b/>
        </w:rPr>
        <w:t>Prévention et Gestion des Effets Indésirables :</w:t>
      </w:r>
      <w:r/>
    </w:p>
    <w:p>
      <w:pPr>
        <w:pStyle w:val="ListBullet"/>
      </w:pPr>
      <w:r>
        <w:t xml:space="preserve">Mesures préventives : </w:t>
      </w:r>
      <w:r>
        <w:rPr>
          <w:b/>
        </w:rPr>
        <w:t>Éducation à la technique d'instillation</w:t>
      </w:r>
      <w:r>
        <w:t xml:space="preserve"> identique à l'olopatadine. </w:t>
      </w:r>
      <w:r>
        <w:rPr>
          <w:b/>
        </w:rPr>
        <w:t>Surveillance accrue</w:t>
      </w:r>
      <w:r>
        <w:t xml:space="preserve"> de la somnolence chez les sujets âgés, les conducteurs de véhicules et les opérateurs de machines dangereuses. </w:t>
      </w:r>
      <w:r>
        <w:rPr>
          <w:b/>
        </w:rPr>
        <w:t>Surveillance de la surface oculaire</w:t>
      </w:r>
      <w:r>
        <w:t xml:space="preserve"> en cas de traitement prolongé &gt; 1 mois (recherche de KPS au test à la fluorescéine). </w:t>
      </w:r>
      <w:r>
        <w:rPr>
          <w:b/>
        </w:rPr>
        <w:t>Spécificité de MONOKETO en récipient unidose</w:t>
      </w:r>
      <w:r>
        <w:t xml:space="preserve"> : pas d'agitation préalable (pas de suspension), pas de chlorure de benzalkonium (absence de toxicité épithéliale cornéenne à long terme), ouverture de l'unit-dose au moment de l'emploi, jet immédiat après usage (l'unit-dose ne se conserve pas après ouverture).</w:t>
      </w:r>
    </w:p>
    <w:p>
      <w:pPr>
        <w:pStyle w:val="ListBullet"/>
      </w:pPr>
      <w:r>
        <w:t>Conduite à tenir : En cas de somnolence génante, passage à l'olopatadine. En cas de sensation de brûlure excessive, arrêt et changement de molécule. En cas de prise de poids ou d'augmentation de l'appétit avec les formes systémiques, information diététique et éventuel changement pour une autre molécule de fond de l'asthme allergique.</w:t>
      </w:r>
    </w:p>
    <w:p>
      <w:r/>
      <w:r>
        <w:rPr>
          <w:b/>
        </w:rPr>
        <w:t>Interactions Importantes :</w:t>
      </w:r>
      <w:r/>
    </w:p>
    <w:p>
      <w:pPr>
        <w:pStyle w:val="ListBullet"/>
      </w:pPr>
      <w:r/>
      <w:r>
        <w:rPr>
          <w:b/>
        </w:rPr>
        <w:t>Autres collyres</w:t>
      </w:r>
      <w:r>
        <w:t xml:space="preserve"> : instillation à au moins 5 minutes d'intervalle.</w:t>
      </w:r>
    </w:p>
    <w:p>
      <w:pPr>
        <w:pStyle w:val="ListBullet"/>
      </w:pPr>
      <w:r/>
      <w:r>
        <w:rPr>
          <w:b/>
        </w:rPr>
        <w:t>Lentilles de contact</w:t>
      </w:r>
      <w:r>
        <w:t xml:space="preserve"> : retrait obligatoire avant instillation et remise après 15 minutes pour les formulations multidose avec chlorure de benzalkonium ; pas de restriction pour MONOKETO unit-dose sans conservateur.</w:t>
      </w:r>
    </w:p>
    <w:p>
      <w:pPr>
        <w:pStyle w:val="ListBullet"/>
      </w:pPr>
      <w:r/>
      <w:r>
        <w:rPr>
          <w:b/>
        </w:rPr>
        <w:t>Antihistaminiques systémiques</w:t>
      </w:r>
      <w:r>
        <w:t xml:space="preserve"> : potentialisation possible de l'effet antihistaminique et du risque de somnolence.</w:t>
      </w:r>
    </w:p>
    <w:p>
      <w:pPr>
        <w:pStyle w:val="ListBullet"/>
      </w:pPr>
      <w:r/>
      <w:r>
        <w:rPr>
          <w:b/>
        </w:rPr>
        <w:t>Inhibiteurs du CYP3A4</w:t>
      </w:r>
      <w:r>
        <w:t xml:space="preserve"> (kétoconazole, itraconazole, clarithromycine, ritonavir) : augmentation modérée de l'imprégnation systémique.</w:t>
      </w:r>
    </w:p>
    <w:p>
      <w:pPr>
        <w:pStyle w:val="ListBullet"/>
      </w:pPr>
      <w:r/>
      <w:r>
        <w:rPr>
          <w:b/>
        </w:rPr>
        <w:t>IMAO</w:t>
      </w:r>
      <w:r>
        <w:t xml:space="preserve"> : contre-indication théorique (par prudence, en raison d'un effet anticholinergique et sérotoninergique théorique), à respecter pour les formes systémiques.</w:t>
      </w:r>
    </w:p>
    <w:p>
      <w:pPr>
        <w:pStyle w:val="ListBullet"/>
      </w:pPr>
      <w:r/>
      <w:r>
        <w:rPr>
          <w:b/>
        </w:rPr>
        <w:t>Alcool, dépresseurs du SNC</w:t>
      </w:r>
      <w:r>
        <w:t xml:space="preserve"> : majoration du risque de somnolence (à éviter en cas de conduite automobile) pour les formes systémiques.</w:t>
      </w:r>
    </w:p>
    <w:p>
      <w:pPr>
        <w:pStyle w:val="ListBullet"/>
      </w:pPr>
      <w:r/>
      <w:r>
        <w:rPr>
          <w:b/>
        </w:rPr>
        <w:t>Insuline et antidiabétiques oraux</w:t>
      </w:r>
      <w:r>
        <w:t xml:space="preserve"> : pour les formes systémiques, le kétotifène peut interférer avec la glycémie (à surveiller).</w:t>
      </w:r>
    </w:p>
    <w:p>
      <w:r/>
      <w:r>
        <w:rPr>
          <w:b/>
        </w:rPr>
        <w:t>Grossesse et Allaitement :</w:t>
      </w:r>
      <w:r/>
    </w:p>
    <w:p>
      <w:pPr>
        <w:pStyle w:val="ListBullet"/>
      </w:pPr>
      <w:r>
        <w:t xml:space="preserve">Grossesse : Le kétotifène est classé par le CRAT comme « </w:t>
      </w:r>
      <w:r>
        <w:rPr>
          <w:b/>
        </w:rPr>
        <w:t>à éviter par prudence au 1er trimestre</w:t>
      </w:r>
      <w:r>
        <w:t xml:space="preserve"> » pour les formes systémiques (en raison de données animales suggérant un effet possible sur le développement fœtal à doses élevées), mais « utilisable quel que soit le terme » pour la forme ophtalmique (biodisponibilité systémique modérée mais faible). Aux posologies usuelles ophtalmiques (2 instillations/jour), aucune augmentation du risque malformatif n'a été documentée. En pratique, le kétotifène ophtalmique est utilisé en seconde intention chez la femme enceinte, en cas d'inefficacité ou d'intolérance de l'olopatadine.</w:t>
      </w:r>
    </w:p>
    <w:p>
      <w:pPr>
        <w:pStyle w:val="ListBullet"/>
      </w:pPr>
      <w:r>
        <w:t>Allaitement : Compatible avec l'allaitement avec prudence ; le passage dans le lait maternel est faible mais non négligeable. Surveillance du nourrisson (somnolence, agitation) recommandée. Pour les formes systémiques, l'allaitement est déconseillé par prudence.</w:t>
      </w:r>
    </w:p>
    <w:p>
      <w:r/>
      <w:r>
        <w:rPr>
          <w:b/>
        </w:rPr>
        <w:t>Posologie et Mode d'administration (Standard) :</w:t>
      </w:r>
      <w:r/>
    </w:p>
    <w:p>
      <w:pPr>
        <w:pStyle w:val="ListBullet"/>
      </w:pPr>
      <w:r>
        <w:t xml:space="preserve">Adulte et enfant à partir de 3 ans : </w:t>
      </w:r>
      <w:r>
        <w:rPr>
          <w:b/>
        </w:rPr>
        <w:t>1 goutte de collyre 0,25 mg/mL dans chaque œil, deux fois par jour</w:t>
      </w:r>
      <w:r>
        <w:t xml:space="preserve"> (matin et soir, à 12 heures d'intervalle). En cas de symptômes sévères, augmentation temporaire à 3 ou 4 instillations par jour possible pendant les premiers 3 à 7 jours, puis retour à la posologie biquotidienne standard. Dose maximale recommandée : 4 instillations par jour par œil.</w:t>
      </w:r>
    </w:p>
    <w:p>
      <w:pPr>
        <w:pStyle w:val="ListBullet"/>
      </w:pPr>
      <w:r>
        <w:t xml:space="preserve">Mode d'administration : identique à l'olopatadine (hygiène des mains, retrait des lentilles sauf pour MONOKETO unit-dose sans conservateur, instillation d'une goutte unique, respect du délai de 5 minutes entre deux collyres). </w:t>
      </w:r>
      <w:r>
        <w:rPr>
          <w:b/>
        </w:rPr>
        <w:t>Spécificité de MONOKETO unit-dose</w:t>
      </w:r>
      <w:r>
        <w:t xml:space="preserve"> : ouverture de l'unit-dose au moment de l'emploi, instillation immédiate, jet de l'unit-dose après usage (ne pas conserver l'unit-dose ouverte).</w:t>
      </w:r>
    </w:p>
    <w:p>
      <w:pPr>
        <w:pStyle w:val="ListBullet"/>
      </w:pPr>
      <w:r>
        <w:t>Durée de traitement : variable selon l'indication — conjonctivite saisonnière : pendant toute la durée de la saison pollinique (4 à 12 semaines), avec instauration si possible 2 à 4 semaines avant le début attendu de la saison (traitement prophylactique pour optimiser l'effet inhibiteur mastocytaire maximal) ; conjonctivite perannuelle : traitement continu prolongé (plusieurs mois à années) avec réévaluation tous les 3 à 6 mois ; poussée aiguë : traitement de 7 à 14 jours en moyenne ; KCV et KCA : traitement continu prolongé de plusieurs mois à années, avec cures de corticoïdes locaux de courte durée pour les poussées aiguës.</w:t>
      </w:r>
    </w:p>
    <w:p>
      <w:r/>
      <w:r>
        <w:rPr>
          <w:b/>
        </w:rPr>
        <w:t>Arbitrage et Bénéfices des Formes Galéniques :</w:t>
      </w:r>
      <w:r/>
    </w:p>
    <w:p>
      <w:r>
        <w:t>Le kétotifène ophtalmique existe en Algérie en deux formes galéniques distinctes : collyre en solution multidose (PARVISTEN, CITIGEN, OPHTALGON, ZALERG) et collyre en solution en récipients unidoses (MONOKETO). Le collyre en solution multidose présente l'avantage d'une commodité d'usage (un seul flacon pour 2 semaines de traitement) et d'un coût moindre, mais l'inconvénient d'une formulation avec chlorure de benzalkonium (toxicité épithéliale cornéenne à long terme, fixation sur les lentilles de contact) et d'une durée d'utilisation après ouverture limitée à 4 semaines. Le collyre en récipients unidoses MONOKETO présente l'avantage d'une formulation sans conservateur (absence de toxicité épithéliale cornéenne, compatibilité avec le port de lentilles de contact, possibilité de traitement prolongé &gt; 1 mois), mais l'inconvénient d'un coût plus élevé et d'une manipulation plus complexe (ouverture d'un récipient unidose à chaque instillation, jet après usage). L'arbitrage entre les deux formes se fait sur la durée prévue du traitement (forme multidose pour les traitements courts &lt; 1 mois ; forme unit-dose pour les traitements prolongés &gt; 1 mois), le port de lentilles de contact (forme unit-dose préférable), la sensibilité individuelle aux conservateurs (forme unit-dose en cas d'antécédents de toxicité épithéliale), et le coût (forme multidose moins chère). L'arbitrage entre kétotifène et olopatadine se fait sur le profil d'action (olopatadine antihistaminique + inhibiteur mastocytaire mais avec action antihistaminique dominante, monothérapie quotidienne, délai d'action rapide — avantage olopatadine en traitement court symptomatique ; kétotifène antihistaminique + inhibiteur mastocytaire avec action inhibitrice mastocytaire plus marquée mais bithérapie, délai d'action inhibitrice mastocytaire retardé 2-4 semaines — avantage kétotifène en traitement de fond prolongé et en prophylaxie pré-saisonnière). Le kétotifène est particulièrement indiqué en traitement de fond des KCV et KCA, où son action inhibitrice mastocytaire profonde et son activité antiéosinophilique modérée sont précieuses.</w:t>
      </w:r>
    </w:p>
    <w:p>
      <w:r/>
      <w:r>
        <w:rPr>
          <w:b/>
        </w:rPr>
        <w:t>Instructions et Conseils au Patient :</w:t>
      </w:r>
      <w:r/>
    </w:p>
    <w:p>
      <w:pPr>
        <w:pStyle w:val="ListBullet"/>
      </w:pPr>
      <w:r>
        <w:t xml:space="preserve">Communication au comptoir : Insister sur le </w:t>
      </w:r>
      <w:r>
        <w:rPr>
          <w:b/>
        </w:rPr>
        <w:t>délai d'action inhibitrice mastocytaire retardé</w:t>
      </w:r>
      <w:r>
        <w:t xml:space="preserve"> (« ce n'est pas un médicament d'urgence, il faut l'utiliser tous les jours pendant au moins 2 à 4 semaines pour bénéficier de l'effet préventif maximal »), sur la </w:t>
      </w:r>
      <w:r>
        <w:rPr>
          <w:b/>
        </w:rPr>
        <w:t>nécessité d'une administration biquotidienne stricte</w:t>
      </w:r>
      <w:r>
        <w:t xml:space="preserve"> (matin et soir à 12 heures d'intervalle), sur la </w:t>
      </w:r>
      <w:r>
        <w:rPr>
          <w:b/>
        </w:rPr>
        <w:t>technique d'instillation</w:t>
      </w:r>
      <w:r>
        <w:t xml:space="preserve"> identique à l'olopatadine, sur le </w:t>
      </w:r>
      <w:r>
        <w:rPr>
          <w:b/>
        </w:rPr>
        <w:t>retrait des lentilles de contact</w:t>
      </w:r>
      <w:r>
        <w:t xml:space="preserve"> avant instillation et la remise après 15 minutes pour les formulations multidose (pas de restriction pour MONOKETO unit-dose sans conservateur), sur la </w:t>
      </w:r>
      <w:r>
        <w:rPr>
          <w:b/>
        </w:rPr>
        <w:t>durée d'utilisation après ouverture de 4 semaines</w:t>
      </w:r>
      <w:r>
        <w:t xml:space="preserve"> pour les formulations multidose (jet immédiat pour MONOKETO unit-dose), sur la </w:t>
      </w:r>
      <w:r>
        <w:rPr>
          <w:b/>
        </w:rPr>
        <w:t>conservation à température ambiante</w:t>
      </w:r>
      <w:r>
        <w:t xml:space="preserve"> (≤ 25 °C). </w:t>
      </w:r>
      <w:r>
        <w:rPr>
          <w:b/>
        </w:rPr>
        <w:t>Spécificité de MONOKETO unit-dose</w:t>
      </w:r>
      <w:r>
        <w:t xml:space="preserve"> : insister sur l'</w:t>
      </w:r>
      <w:r>
        <w:rPr>
          <w:b/>
        </w:rPr>
        <w:t>ouverture de l'unit-dose au moment de l'emploi</w:t>
      </w:r>
      <w:r>
        <w:t xml:space="preserve"> et le </w:t>
      </w:r>
      <w:r>
        <w:rPr>
          <w:b/>
        </w:rPr>
        <w:t>jet immédiat après usage</w:t>
      </w:r>
      <w:r>
        <w:t>.</w:t>
      </w:r>
    </w:p>
    <w:p>
      <w:pPr>
        <w:pStyle w:val="ListBullet"/>
      </w:pPr>
      <w:r>
        <w:t>Information sur les signes d'alerte : identiques à l'olopatadine. Pour les formes systémiques, information sur la somnolence et la prise de poids possible.</w:t>
      </w:r>
    </w:p>
    <w:p>
      <w:r/>
      <w:r>
        <w:rPr>
          <w:b/>
        </w:rPr>
        <w:t>Notes, Règles d'Or &amp; Pièges au Comptoir :</w:t>
      </w:r>
      <w:r/>
    </w:p>
    <w:p>
      <w:pPr>
        <w:pStyle w:val="ListBullet"/>
      </w:pPr>
      <w:r>
        <w:t>Piège classique du patient qui revient à l'officine 4 jours après la délivrance en disant « ça ne marche pas » → l'effet antihistaminique est rapide (30 à 60 minutes) mais l'effet inhibiteur mastocytaire met 2 à 4 semaines à s'installer ; il faut continuer et réévaluer à 1 mois.</w:t>
      </w:r>
    </w:p>
    <w:p>
      <w:pPr>
        <w:pStyle w:val="ListBullet"/>
      </w:pPr>
      <w:r>
        <w:t>Piège du patient qui arrête le traitement dès la disparition des symptômes → c'est un traitement de fond, ne pas l'arrêter avant la fin de la saison pollinique ou avant la réévaluation médicale.</w:t>
      </w:r>
    </w:p>
    <w:p>
      <w:pPr>
        <w:pStyle w:val="ListBullet"/>
      </w:pPr>
      <w:r>
        <w:t>Piège du patient porteur de lentilles de contact qui installe le collyre multidose sans retirer les lentilles → risque de fixation du chlorure de benzalkonium sur la lentille ; orienter vers MONOKETO unit-dose sans conservateur.</w:t>
      </w:r>
    </w:p>
    <w:p>
      <w:pPr>
        <w:pStyle w:val="ListBullet"/>
      </w:pPr>
      <w:r>
        <w:t>Piège du flacon multidose ouvert depuis plus de 4 semaines → contamination microbienne possible, jeter le flacon même s'il reste du produit.</w:t>
      </w:r>
    </w:p>
    <w:p>
      <w:pPr>
        <w:pStyle w:val="ListBullet"/>
      </w:pPr>
      <w:r>
        <w:t>Piège du patient qui n'utilise pas MONOKETO unit-dose correctement → ouvrir l'unit-dose au moment de l'emploi, instiller immédiatement, jeter après usage (ne pas conserver l'unit-dose ouverte).</w:t>
      </w:r>
    </w:p>
    <w:p>
      <w:pPr>
        <w:pStyle w:val="ListBullet"/>
      </w:pPr>
      <w:r>
        <w:t>Piège de la confusion entre les formes ophtalmiques et les formes systémiques (comprimés, sirop) → vérifier systématiquement la forme prescrite et la voie d'administration.</w:t>
      </w:r>
    </w:p>
    <w:p>
      <w:pPr>
        <w:pStyle w:val="ListBullet"/>
      </w:pPr>
      <w:r>
        <w:t>Règle d'or : « Kétotifène = 1 goutte 2 fois par jour en traitement de fond ; effet maximal à 2-4 semaines ; MONOKETO unit-dose sans conservateur pour lentilles et traitements prolongés ; flacon multidose jeté à 4 semaines ».</w:t>
      </w:r>
    </w:p>
    <w:p>
      <w:pPr>
        <w:pStyle w:val="Heading2"/>
      </w:pPr>
      <w:r>
        <w:t>142.4 Sous-classe : Corticoïdes ophtalmiques</w:t>
      </w:r>
    </w:p>
    <w:p>
      <w:pPr>
        <w:pStyle w:val="Heading3"/>
      </w:pPr>
      <w:r>
        <w:t>142.4.1 Généralités de la sous-classe</w:t>
      </w:r>
    </w:p>
    <w:p>
      <w:r>
        <w:t xml:space="preserve">Les corticoïdes ophtalmiques constituent une classe pharmacologique d'exception dont les indications thérapeutiques couvrent l'ensemble du spectre de l'inflammation oculaire et péri-oculaire : </w:t>
      </w:r>
      <w:r>
        <w:rPr>
          <w:b/>
        </w:rPr>
        <w:t>inflammations de la surface oculaire</w:t>
      </w:r>
      <w:r>
        <w:t xml:space="preserve"> (conjonctivites allergiques sévères, kératoconjonctivites vernale et atopique, kératites immunitaires, DELL — </w:t>
      </w:r>
      <w:r>
        <w:rPr>
          <w:i/>
        </w:rPr>
        <w:t>delayed epithelial healing</w:t>
      </w:r>
      <w:r>
        <w:t xml:space="preserve">), </w:t>
      </w:r>
      <w:r>
        <w:rPr>
          <w:b/>
        </w:rPr>
        <w:t>inflammations intraoculaires</w:t>
      </w:r>
      <w:r>
        <w:t xml:space="preserve"> (uvéites antérieures non infectieuses, sclérites, épisclérites), </w:t>
      </w:r>
      <w:r>
        <w:rPr>
          <w:b/>
        </w:rPr>
        <w:t>inflammations post-chirurgicales</w:t>
      </w:r>
      <w:r>
        <w:t xml:space="preserve"> (chirurgie de la cataracte, chirurgie réfractive LASIK et PKR, vitrectomie, chirurgie du glaucome, greffe de cornée), </w:t>
      </w:r>
      <w:r>
        <w:rPr>
          <w:b/>
        </w:rPr>
        <w:t>œdèmes maculaires</w:t>
      </w:r>
      <w:r>
        <w:t xml:space="preserve"> (œdème maculaire diabétique, œdème maculaire post-chirurgie de la cataracte — syndrome d'Irvine-Gass), et </w:t>
      </w:r>
      <w:r>
        <w:rPr>
          <w:b/>
        </w:rPr>
        <w:t>névralgies rétrobulbaires</w:t>
      </w:r>
      <w:r>
        <w:t xml:space="preserve"> (neuropathie optique inflammatoire). La nomenclature algérienne Avril 2026 recense quatre corticoïdes ophtalmiques de référence : la </w:t>
      </w:r>
      <w:r>
        <w:rPr>
          <w:b/>
        </w:rPr>
        <w:t>dexaméthasone</w:t>
      </w:r>
      <w:r>
        <w:t xml:space="preserve"> (collyre, pommade ophtalmique, implant intravitréen, associations à antibiotiques), la </w:t>
      </w:r>
      <w:r>
        <w:rPr>
          <w:b/>
        </w:rPr>
        <w:t>prednisolone</w:t>
      </w:r>
      <w:r>
        <w:t xml:space="preserve"> (collyre), la </w:t>
      </w:r>
      <w:r>
        <w:rPr>
          <w:b/>
        </w:rPr>
        <w:t>fluorométholone</w:t>
      </w:r>
      <w:r>
        <w:t xml:space="preserve"> (collyre, association à cromoglycate de sodium), et la </w:t>
      </w:r>
      <w:r>
        <w:rPr>
          <w:b/>
        </w:rPr>
        <w:t>rimexolone</w:t>
      </w:r>
      <w:r>
        <w:t xml:space="preserve"> (collyre, retirée du marché algérien — seule la spécialité historique VEXOL d'Alcon est recensée comme non renouvelable).</w:t>
      </w:r>
    </w:p>
    <w:p>
      <w:r>
        <w:t xml:space="preserve">Les corticoïdes ophtalmiques partagent un mécanisme d'action commun : </w:t>
      </w:r>
      <w:r>
        <w:rPr>
          <w:b/>
        </w:rPr>
        <w:t>fixation sur le récepteur glucocorticoïde cytosolique (GRα), translocation nucléaire du complexe ligand-récepteur, régulation transcriptionnelle (trans-activation des gènes anti-inflammatoires via les GRE positifs — annexine-1/lipocortine-1, IκB-α, MKP-1, GILZ ; trans-répression des gènes pro-inflammatoires via les GRE négatifs et interaction protéine-protéine avec AP-1, NF-κB, NF-AT)</w:t>
      </w:r>
      <w:r>
        <w:t xml:space="preserve">, aboutissant à la baisse de la synthèse des médiateurs de l'inflammation (prostaglandines E2 et D2, leucotriènes B4/C4/D4/E4, thromboxane A2, PAF, monoxyde d'azote, cytokines IL-1/IL-2/IL-3/IL-4/IL-5/IL-6/IL-8/IL-13, TNF-α, IFN-γ, GM-CSF) et à l'inhibition du recrutement et de l'activation des cellules inflammatoires (polynucléaires neutrophiles, éosinophiles, basophiles, mastocytes, lymphocytes T, macrophages, cellules dendritiques). Les différences pharmacologiques entre les quatre molécules portent essentiellement sur la </w:t>
      </w:r>
      <w:r>
        <w:rPr>
          <w:b/>
        </w:rPr>
        <w:t>puissance anti-inflammatoire</w:t>
      </w:r>
      <w:r>
        <w:t xml:space="preserve"> (la dexaméthasone est l'une des plus puissantes, environ 25-30 fois le cortisol ; la prednisolone est 4-5 fois ; la fluorométholone et la rimexolone sont modérées), sur la </w:t>
      </w:r>
      <w:r>
        <w:rPr>
          <w:b/>
        </w:rPr>
        <w:t>pénétration cornéenne</w:t>
      </w:r>
      <w:r>
        <w:t xml:space="preserve"> (la dexaméthasone pénètre bien la cornée intacte ; la prednisolone et la rimexolone également ; la fluorométholone pénètre moins, ce qui limite son effet intraoculaire mais aussi son risque de glaucome cortico-induit), sur le </w:t>
      </w:r>
      <w:r>
        <w:rPr>
          <w:b/>
        </w:rPr>
        <w:t>métabolisme local</w:t>
      </w:r>
      <w:r>
        <w:t xml:space="preserve"> (la rimexolone est métabolisée localement en métabolites inactifs, ce qui limite son passage intraoculaire ; la fluorométholone également), et sur la </w:t>
      </w:r>
      <w:r>
        <w:rPr>
          <w:b/>
        </w:rPr>
        <w:t>tolérance trabéculaire</w:t>
      </w:r>
      <w:r>
        <w:t xml:space="preserve"> (la dexaméthasone et la prednisolone ont un risque élevé de glaucome cortico-induit ; la fluorométholone et la rimexolone ont un risque significativement plus faible, ce qui en fait les molécules de choix pour les traitements prolongés de surface).</w:t>
      </w:r>
    </w:p>
    <w:p>
      <w:r>
        <w:t xml:space="preserve">Les </w:t>
      </w:r>
      <w:r>
        <w:rPr>
          <w:b/>
        </w:rPr>
        <w:t>points critiques</w:t>
      </w:r>
      <w:r>
        <w:t xml:space="preserve"> de la prescription des corticoïdes ophtalmiques doivent être connus de tout prescripteur et de tout pharmacien d'officine : (i) </w:t>
      </w:r>
      <w:r>
        <w:rPr>
          <w:b/>
        </w:rPr>
        <w:t>contre-indication formelle au traitement corticoïde local en cas de kératite herpétique active</w:t>
      </w:r>
      <w:r>
        <w:t xml:space="preserve"> (risque d'ulcère géant, de perforation cornéenne, d'extension stromale, de kératite endothélitrive) ; (ii) </w:t>
      </w:r>
      <w:r>
        <w:rPr>
          <w:b/>
        </w:rPr>
        <w:t>vérification systématique de la pression intraoculaire (PIO) avant prescription, à 2 semaines, à 6 semaines, puis tous les 2 à 3 mois</w:t>
      </w:r>
      <w:r>
        <w:t xml:space="preserve"> en cas de traitement prolongé, en raison du risque de glaucome cortico-induit (incidence 20-30 % pour la dexaméthasone et la prednisolone après 4-6 semaines ; 5-10 % pour la fluorométholone et la rimexolone) ; (iii) </w:t>
      </w:r>
      <w:r>
        <w:rPr>
          <w:b/>
        </w:rPr>
        <w:t>surveillance ophtalmologique périodique</w:t>
      </w:r>
      <w:r>
        <w:t xml:space="preserve"> pour dépistage de la cataracte sous-capsulaire postérieure (incidence 5-15 % après 6 mois de traitement continu) ; (iv) </w:t>
      </w:r>
      <w:r>
        <w:rPr>
          <w:b/>
        </w:rPr>
        <w:t>respect des contre-indications</w:t>
      </w:r>
      <w:r>
        <w:t xml:space="preserve"> : herpès oculaire actif, infections fongiques ou mycobactériennes oculaires, tuberculose oculaire, glaucome non équilibré, antécédent de glaucome cortico-induit ; (v) </w:t>
      </w:r>
      <w:r>
        <w:rPr>
          <w:b/>
        </w:rPr>
        <w:t>prudence en cas de port de lentilles de contact</w:t>
      </w:r>
      <w:r>
        <w:t xml:space="preserve"> (retrait pendant l'instillation, remise après 15 minutes, surveillance accrue en raison du risque accru de surinfection) ; (vi) </w:t>
      </w:r>
      <w:r>
        <w:rPr>
          <w:b/>
        </w:rPr>
        <w:t>durée de prescription limitée</w:t>
      </w:r>
      <w:r>
        <w:t xml:space="preserve"> (sauf indication spécialisée, traitement de courte durée ≤ 2 semaines, avec décroissance progressive ; traitements prolongés réservés à l'ophtalmologiste spécialisé en pathologies de la surface oculaire ou en uvéites).</w:t>
      </w:r>
    </w:p>
    <w:p>
      <w:r>
        <w:t xml:space="preserve">Le choix entre les quatre molécules se discute principalement sur la localisation de l'inflammation (surface oculaire → fluorométholone ou rimexolone de préférence, en raison du risque plus faible de glaucome cortico-induit ; intraoculaire → dexaméthasone ou prednisolone, en raison de leur meilleure pénétration cornéenne), sur la sévérité de l'inflammation (modérée → fluorométholone ; sévère → dexaméthasone ou prednisolone ; très sévère → collyre fort ou implant intravitréen), sur la durée prévue du traitement (court ≤ 2 semaines → dexaméthasone ou prednisolone ; prolongé &gt; 1 mois → fluorométholone ou rimexolone), sur la nécessité d'une antibiothérapie associée (associations dexaméthasone-antibiotique disponibles en Algérie : dexaméthasone-néomycine, dexaméthasone-néomycine-polymyxine B, dexaméthasone-tobramycine, dexaméthasone-ofloxacine), et sur la disponibilité commerciale. Le pharmacien d'officine joue un rôle-clé dans la </w:t>
      </w:r>
      <w:r>
        <w:rPr>
          <w:b/>
        </w:rPr>
        <w:t>vérification systématique de l'ordonnance</w:t>
      </w:r>
      <w:r>
        <w:t xml:space="preserve"> (prescription médicale obligatoire pour tous les corticoïdes ophtalmiques, Liste I), dans l'</w:t>
      </w:r>
      <w:r>
        <w:rPr>
          <w:b/>
        </w:rPr>
        <w:t>interrogatoire sur les antécédents</w:t>
      </w:r>
      <w:r>
        <w:t xml:space="preserve"> (herpès oculaire, glaucome, chirurgie oculaire récente), dans l'</w:t>
      </w:r>
      <w:r>
        <w:rPr>
          <w:b/>
        </w:rPr>
        <w:t>éducation à la technique d'instillation</w:t>
      </w:r>
      <w:r>
        <w:t xml:space="preserve"> (avec insistance sur le respect du délai entre deux collyres et sur la décroissance posologique), dans la </w:t>
      </w:r>
      <w:r>
        <w:rPr>
          <w:b/>
        </w:rPr>
        <w:t>vérification de la date de péremption et de la durée d'utilisation après ouverture</w:t>
      </w:r>
      <w:r>
        <w:t xml:space="preserve">, et dans le </w:t>
      </w:r>
      <w:r>
        <w:rPr>
          <w:b/>
        </w:rPr>
        <w:t>repérage des signes d'alerte</w:t>
      </w:r>
      <w:r>
        <w:t xml:space="preserve"> (douleur oculaire intense, baisse d'acuité visuelle, photophobie majeure, halos autour des lumières) orientant vers une consultation ophtalmologique urgente.</w:t>
      </w:r>
    </w:p>
    <w:p>
      <w:pPr>
        <w:pStyle w:val="Heading3"/>
      </w:pPr>
      <w:r>
        <w:t>142.4.2 DCI : Dexaméthasone (usage ophtalmique)</w:t>
      </w:r>
    </w:p>
    <w:p>
      <w:r/>
      <w:r>
        <w:rPr>
          <w:b/>
        </w:rPr>
        <w:t>Liste des Catégories :</w:t>
      </w:r>
      <w:r>
        <w:t xml:space="preserve"> Liste I.</w:t>
      </w:r>
    </w:p>
    <w:p>
      <w:r>
        <w:t xml:space="preserve">La dexaméthasone est un corticoïde de synthèse fluoré de 4e génération, dérivé de la pregn-1,4-diène-3,20-dione substitué en 9α-fluoro, 11β,17α,21-trihydroxy, 16α-méthyl (9α-fluoro-11β,17α,21-trihydroxy-16α-méthylpregna-1,4-diène-3,20-dione). Cette substitution originale par un groupement méthyle en 16α — unique parmi les corticoïdes ophtalmiques — confère à la molécule une </w:t>
      </w:r>
      <w:r>
        <w:rPr>
          <w:b/>
        </w:rPr>
        <w:t>puissance anti-inflammatoire exceptionnelle</w:t>
      </w:r>
      <w:r>
        <w:t xml:space="preserve"> (approximativement 25 à 30 fois celle du cortisol, 6 à 8 fois celle de la prednisolone, 1,3 fois celle de la bétaméthasone qui est son stéréoisomère), une </w:t>
      </w:r>
      <w:r>
        <w:rPr>
          <w:b/>
        </w:rPr>
        <w:t>absence quasi complète d'activité minéralocorticoïde</w:t>
      </w:r>
      <w:r>
        <w:t xml:space="preserve"> (pas de rétention hydrosodée, pas d'hypokaliémie, pas d'hypertension artérielle à doses ophtalmiques), et une </w:t>
      </w:r>
      <w:r>
        <w:rPr>
          <w:b/>
        </w:rPr>
        <w:t>duration d'action prolongée</w:t>
      </w:r>
      <w:r>
        <w:t xml:space="preserve"> (demi-vie biologique 36 à 54 heures, classification "long-acting" du groupe corticoïde). Décrite pour la première fois en 1957 par Merck &amp; Co. (laboratoires Schering-Plough aux États-Unis), la dexaméthasone est devenue le corticoïde de référence pour les indications sévères, tant par voie systémique (choc septique, œdème cérébral, complément de l'antibiothérapie des méningites bactériennes, exacerbations d'asthme sévère) que par voie ophtalmique (uvéites antérieures sévères, inflammations post-chirurgicales, œdème maculaire). En ophtalmologie, la dexaméthasone est disponible en plusieurs formes galéniques : collyre en solution (forme la plus prescrite), collyre en suspension (avec antibiotique), pommade ophtalmique, et </w:t>
      </w:r>
      <w:r>
        <w:rPr>
          <w:b/>
        </w:rPr>
        <w:t>implant intravitréen</w:t>
      </w:r>
      <w:r>
        <w:t xml:space="preserve"> (OZURDEX, AbbVie — 700 µg, indiqué dans l'œdème maculaire diabétique, l'occlusion de branche veineuse rétinienne, et l'inflammation intraoculaire postérieure). En Algérie, la dexaméthasone ophtalmique est disponible sous de nombreuses spécialités : collyres simples (DEXAMETHASONE GL, DEXADROP, DEXAFREE), associations à antibiotiques (CHIBRO-CADRON, DEXAMEX, OPADEX, NEODEX, NEODRON, ALPHAXITROL, MAXIDROL, MAXILODRE, P.N.D., STERDEX, DEXAFLOX, OFLODEXA, DEXATEK, OPTIDEX-T, TAUBRIGENE, TOBRAMIDEX), implant intravitréen (OZURDEX), ainsi que des formes systémiques (comprimés, solutions injectables). Le pharmacien d'officine joue un rôle-clé dans la </w:t>
      </w:r>
      <w:r>
        <w:rPr>
          <w:b/>
        </w:rPr>
        <w:t>vérification systématique de la prescription médicale obligatoire</w:t>
      </w:r>
      <w:r>
        <w:t xml:space="preserve"> (Liste I), dans l'</w:t>
      </w:r>
      <w:r>
        <w:rPr>
          <w:b/>
        </w:rPr>
        <w:t>interrogatoire sur les antécédents</w:t>
      </w:r>
      <w:r>
        <w:t xml:space="preserve"> (herpès oculaire, glaucome, chirurgie oculaire récente), dans l'</w:t>
      </w:r>
      <w:r>
        <w:rPr>
          <w:b/>
        </w:rPr>
        <w:t>éducation à la technique d'instillation</w:t>
      </w:r>
      <w:r>
        <w:t xml:space="preserve"> (avec insistance sur le respect du délai entre deux collyres, sur la décroissance posologique, et sur la surveillance de la pression intraoculaire), et dans le </w:t>
      </w:r>
      <w:r>
        <w:rPr>
          <w:b/>
        </w:rPr>
        <w:t>repérage des signes d'alerte</w:t>
      </w:r>
      <w:r>
        <w:t xml:space="preserve"> (douleur oculaire intense, baisse d'acuité visuelle, photophobie majeure, halos autour des lumières) orientant vers une consultation ophtalmologique urgente.</w:t>
      </w:r>
    </w:p>
    <w:p>
      <w:r/>
      <w:r>
        <w:rPr>
          <w:b/>
        </w:rPr>
        <w:t>Médicaments disponibles en Algérie (tableau commercial) — Formes ophtalmiques actives de la dexaméthasone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DEXAMETHASONE GL</w:t>
            </w:r>
          </w:p>
        </w:tc>
        <w:tc>
          <w:tcPr>
            <w:tcW w:type="dxa" w:w="1559"/>
          </w:tcPr>
          <w:p>
            <w:r>
              <w:rPr>
                <w:sz w:val="20"/>
              </w:rPr>
              <w:t>GENERIC LAB</w:t>
            </w:r>
          </w:p>
        </w:tc>
        <w:tc>
          <w:tcPr>
            <w:tcW w:type="dxa" w:w="1559"/>
          </w:tcPr>
          <w:p>
            <w:r>
              <w:rPr>
                <w:sz w:val="20"/>
              </w:rPr>
              <w:t>Collyre en solution 1 mg/mL (0,1 %)</w:t>
            </w:r>
          </w:p>
        </w:tc>
        <w:tc>
          <w:tcPr>
            <w:tcW w:type="dxa" w:w="1559"/>
          </w:tcPr>
          <w:p>
            <w:r>
              <w:rPr>
                <w:sz w:val="20"/>
              </w:rPr>
              <w:t>Flacon de 3 mL</w:t>
            </w:r>
          </w:p>
        </w:tc>
        <w:tc>
          <w:tcPr>
            <w:tcW w:type="dxa" w:w="1559"/>
          </w:tcPr>
          <w:p>
            <w:r>
              <w:rPr>
                <w:sz w:val="20"/>
              </w:rPr>
              <w:t>Liste I</w:t>
            </w:r>
          </w:p>
        </w:tc>
        <w:tc>
          <w:tcPr>
            <w:tcW w:type="dxa" w:w="1559"/>
          </w:tcPr>
          <w:p>
            <w:r>
              <w:rPr>
                <w:sz w:val="20"/>
              </w:rPr>
              <w:t>Actif</w:t>
            </w:r>
          </w:p>
        </w:tc>
      </w:tr>
      <w:tr>
        <w:tc>
          <w:tcPr>
            <w:tcW w:type="dxa" w:w="1559"/>
          </w:tcPr>
          <w:p>
            <w:r>
              <w:rPr>
                <w:sz w:val="20"/>
              </w:rPr>
              <w:t>DEXADROP</w:t>
            </w:r>
          </w:p>
        </w:tc>
        <w:tc>
          <w:tcPr>
            <w:tcW w:type="dxa" w:w="1559"/>
          </w:tcPr>
          <w:p>
            <w:r>
              <w:rPr>
                <w:sz w:val="20"/>
              </w:rPr>
              <w:t>BIOTHERA</w:t>
            </w:r>
          </w:p>
        </w:tc>
        <w:tc>
          <w:tcPr>
            <w:tcW w:type="dxa" w:w="1559"/>
          </w:tcPr>
          <w:p>
            <w:r>
              <w:rPr>
                <w:sz w:val="20"/>
              </w:rPr>
              <w:t>Collyre en solution 1 mg/mL (0,1 %)</w:t>
            </w:r>
          </w:p>
        </w:tc>
        <w:tc>
          <w:tcPr>
            <w:tcW w:type="dxa" w:w="1559"/>
          </w:tcPr>
          <w:p>
            <w:r>
              <w:rPr>
                <w:sz w:val="20"/>
              </w:rPr>
              <w:t>Flacon de 3 mL</w:t>
            </w:r>
          </w:p>
        </w:tc>
        <w:tc>
          <w:tcPr>
            <w:tcW w:type="dxa" w:w="1559"/>
          </w:tcPr>
          <w:p>
            <w:r>
              <w:rPr>
                <w:sz w:val="20"/>
              </w:rPr>
              <w:t>Liste I</w:t>
            </w:r>
          </w:p>
        </w:tc>
        <w:tc>
          <w:tcPr>
            <w:tcW w:type="dxa" w:w="1559"/>
          </w:tcPr>
          <w:p>
            <w:r>
              <w:rPr>
                <w:sz w:val="20"/>
              </w:rPr>
              <w:t>Actif</w:t>
            </w:r>
          </w:p>
        </w:tc>
      </w:tr>
      <w:tr>
        <w:tc>
          <w:tcPr>
            <w:tcW w:type="dxa" w:w="1559"/>
          </w:tcPr>
          <w:p>
            <w:r>
              <w:rPr>
                <w:sz w:val="20"/>
              </w:rPr>
              <w:t>DEXAFREE</w:t>
            </w:r>
          </w:p>
        </w:tc>
        <w:tc>
          <w:tcPr>
            <w:tcW w:type="dxa" w:w="1559"/>
          </w:tcPr>
          <w:p>
            <w:r>
              <w:rPr>
                <w:sz w:val="20"/>
              </w:rPr>
              <w:t>THEA</w:t>
            </w:r>
          </w:p>
        </w:tc>
        <w:tc>
          <w:tcPr>
            <w:tcW w:type="dxa" w:w="1559"/>
          </w:tcPr>
          <w:p>
            <w:r>
              <w:rPr>
                <w:sz w:val="20"/>
              </w:rPr>
              <w:t>Collyre en solution 1 mg/mL (0,1 %)</w:t>
            </w:r>
          </w:p>
        </w:tc>
        <w:tc>
          <w:tcPr>
            <w:tcW w:type="dxa" w:w="1559"/>
          </w:tcPr>
          <w:p>
            <w:r>
              <w:rPr>
                <w:sz w:val="20"/>
              </w:rPr>
              <w:t>Boîte de 30 récipients unidoses</w:t>
            </w:r>
          </w:p>
        </w:tc>
        <w:tc>
          <w:tcPr>
            <w:tcW w:type="dxa" w:w="1559"/>
          </w:tcPr>
          <w:p>
            <w:r>
              <w:rPr>
                <w:sz w:val="20"/>
              </w:rPr>
              <w:t>Liste I</w:t>
            </w:r>
          </w:p>
        </w:tc>
        <w:tc>
          <w:tcPr>
            <w:tcW w:type="dxa" w:w="1559"/>
          </w:tcPr>
          <w:p>
            <w:r>
              <w:rPr>
                <w:sz w:val="20"/>
              </w:rPr>
              <w:t>Actif</w:t>
            </w:r>
          </w:p>
        </w:tc>
      </w:tr>
      <w:tr>
        <w:tc>
          <w:tcPr>
            <w:tcW w:type="dxa" w:w="1559"/>
          </w:tcPr>
          <w:p>
            <w:r>
              <w:rPr>
                <w:sz w:val="20"/>
              </w:rPr>
              <w:t>CHIBRO-CADRON</w:t>
            </w:r>
          </w:p>
        </w:tc>
        <w:tc>
          <w:tcPr>
            <w:tcW w:type="dxa" w:w="1559"/>
          </w:tcPr>
          <w:p>
            <w:r>
              <w:rPr>
                <w:sz w:val="20"/>
              </w:rPr>
              <w:t>THEA</w:t>
            </w:r>
          </w:p>
        </w:tc>
        <w:tc>
          <w:tcPr>
            <w:tcW w:type="dxa" w:w="1559"/>
          </w:tcPr>
          <w:p>
            <w:r>
              <w:rPr>
                <w:sz w:val="20"/>
              </w:rPr>
              <w:t>Collyre en solution dexaméthasone phosphate 100 mg + néomycine sulfate 350 000 UI / 100 mL</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r>
        <w:tc>
          <w:tcPr>
            <w:tcW w:type="dxa" w:w="1559"/>
          </w:tcPr>
          <w:p>
            <w:r>
              <w:rPr>
                <w:sz w:val="20"/>
              </w:rPr>
              <w:t>DEXAMEX</w:t>
            </w:r>
          </w:p>
        </w:tc>
        <w:tc>
          <w:tcPr>
            <w:tcW w:type="dxa" w:w="1559"/>
          </w:tcPr>
          <w:p>
            <w:r>
              <w:rPr>
                <w:sz w:val="20"/>
              </w:rPr>
              <w:t>UNIMED</w:t>
            </w:r>
          </w:p>
        </w:tc>
        <w:tc>
          <w:tcPr>
            <w:tcW w:type="dxa" w:w="1559"/>
          </w:tcPr>
          <w:p>
            <w:r>
              <w:rPr>
                <w:sz w:val="20"/>
              </w:rPr>
              <w:t>Collyre en solution dexaméthasone phosphate 100 mg + néomycine sulfate 350 000 UI / 100 mL</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r>
        <w:tc>
          <w:tcPr>
            <w:tcW w:type="dxa" w:w="1559"/>
          </w:tcPr>
          <w:p>
            <w:r>
              <w:rPr>
                <w:sz w:val="20"/>
              </w:rPr>
              <w:t>OPADEX</w:t>
            </w:r>
          </w:p>
        </w:tc>
        <w:tc>
          <w:tcPr>
            <w:tcW w:type="dxa" w:w="1559"/>
          </w:tcPr>
          <w:p>
            <w:r>
              <w:rPr>
                <w:sz w:val="20"/>
              </w:rPr>
              <w:t>GENERIC LAB</w:t>
            </w:r>
          </w:p>
        </w:tc>
        <w:tc>
          <w:tcPr>
            <w:tcW w:type="dxa" w:w="1559"/>
          </w:tcPr>
          <w:p>
            <w:r>
              <w:rPr>
                <w:sz w:val="20"/>
              </w:rPr>
              <w:t>Collyre en solution dexaméthasone 1 mg + néomycine 3500 UI / mL</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r>
        <w:tc>
          <w:tcPr>
            <w:tcW w:type="dxa" w:w="1559"/>
          </w:tcPr>
          <w:p>
            <w:r>
              <w:rPr>
                <w:sz w:val="20"/>
              </w:rPr>
              <w:t>NEODEX</w:t>
            </w:r>
          </w:p>
        </w:tc>
        <w:tc>
          <w:tcPr>
            <w:tcW w:type="dxa" w:w="1559"/>
          </w:tcPr>
          <w:p>
            <w:r>
              <w:rPr>
                <w:sz w:val="20"/>
              </w:rPr>
              <w:t>AMMAN PHARMACEUTICAL INDUSTRIE</w:t>
            </w:r>
          </w:p>
        </w:tc>
        <w:tc>
          <w:tcPr>
            <w:tcW w:type="dxa" w:w="1559"/>
          </w:tcPr>
          <w:p>
            <w:r>
              <w:rPr>
                <w:sz w:val="20"/>
              </w:rPr>
              <w:t>Collyre en solution dexaméthasone 100 mg + néomycine 350 000 UI / 100 mL</w:t>
            </w:r>
          </w:p>
        </w:tc>
        <w:tc>
          <w:tcPr>
            <w:tcW w:type="dxa" w:w="1559"/>
          </w:tcPr>
          <w:p>
            <w:r>
              <w:rPr>
                <w:sz w:val="20"/>
              </w:rPr>
              <w:t>Flacon de 10 mL</w:t>
            </w:r>
          </w:p>
        </w:tc>
        <w:tc>
          <w:tcPr>
            <w:tcW w:type="dxa" w:w="1559"/>
          </w:tcPr>
          <w:p>
            <w:r>
              <w:rPr>
                <w:sz w:val="20"/>
              </w:rPr>
              <w:t>Liste I</w:t>
            </w:r>
          </w:p>
        </w:tc>
        <w:tc>
          <w:tcPr>
            <w:tcW w:type="dxa" w:w="1559"/>
          </w:tcPr>
          <w:p>
            <w:r>
              <w:rPr>
                <w:sz w:val="20"/>
              </w:rPr>
              <w:t>Actif</w:t>
            </w:r>
          </w:p>
        </w:tc>
      </w:tr>
      <w:tr>
        <w:tc>
          <w:tcPr>
            <w:tcW w:type="dxa" w:w="1559"/>
          </w:tcPr>
          <w:p>
            <w:r>
              <w:rPr>
                <w:sz w:val="20"/>
              </w:rPr>
              <w:t>NEODRON</w:t>
            </w:r>
          </w:p>
        </w:tc>
        <w:tc>
          <w:tcPr>
            <w:tcW w:type="dxa" w:w="1559"/>
          </w:tcPr>
          <w:p>
            <w:r>
              <w:rPr>
                <w:sz w:val="20"/>
              </w:rPr>
              <w:t>ALEPPO PHARMACEUTICAL INDUSTRIES (ALPHA)</w:t>
            </w:r>
          </w:p>
        </w:tc>
        <w:tc>
          <w:tcPr>
            <w:tcW w:type="dxa" w:w="1559"/>
          </w:tcPr>
          <w:p>
            <w:r>
              <w:rPr>
                <w:sz w:val="20"/>
              </w:rPr>
              <w:t>Collyre en solution dexaméthasone 1 mg + néomycine 3,5 mg</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r>
        <w:tc>
          <w:tcPr>
            <w:tcW w:type="dxa" w:w="1559"/>
          </w:tcPr>
          <w:p>
            <w:r>
              <w:rPr>
                <w:sz w:val="20"/>
              </w:rPr>
              <w:t>ALPHAXITROL</w:t>
            </w:r>
          </w:p>
        </w:tc>
        <w:tc>
          <w:tcPr>
            <w:tcW w:type="dxa" w:w="1559"/>
          </w:tcPr>
          <w:p>
            <w:r>
              <w:rPr>
                <w:sz w:val="20"/>
              </w:rPr>
              <w:t>ALEPPO PHARMACEUTICAL INDUSTRIES (ALPHA)</w:t>
            </w:r>
          </w:p>
        </w:tc>
        <w:tc>
          <w:tcPr>
            <w:tcW w:type="dxa" w:w="1559"/>
          </w:tcPr>
          <w:p>
            <w:r>
              <w:rPr>
                <w:sz w:val="20"/>
              </w:rPr>
              <w:t>Collyre en solution dexaméthasone 1 mg + néomycine 3500 UI + polymyxine B 6000 UI / mL</w:t>
            </w:r>
          </w:p>
        </w:tc>
        <w:tc>
          <w:tcPr>
            <w:tcW w:type="dxa" w:w="1559"/>
          </w:tcPr>
          <w:p>
            <w:r>
              <w:rPr>
                <w:sz w:val="20"/>
              </w:rPr>
              <w:t>Flacon compte-gouttes de 5 mL</w:t>
            </w:r>
          </w:p>
        </w:tc>
        <w:tc>
          <w:tcPr>
            <w:tcW w:type="dxa" w:w="1559"/>
          </w:tcPr>
          <w:p>
            <w:r>
              <w:rPr>
                <w:sz w:val="20"/>
              </w:rPr>
              <w:t>Liste I</w:t>
            </w:r>
          </w:p>
        </w:tc>
        <w:tc>
          <w:tcPr>
            <w:tcW w:type="dxa" w:w="1559"/>
          </w:tcPr>
          <w:p>
            <w:r>
              <w:rPr>
                <w:sz w:val="20"/>
              </w:rPr>
              <w:t>Actif</w:t>
            </w:r>
          </w:p>
        </w:tc>
      </w:tr>
      <w:tr>
        <w:tc>
          <w:tcPr>
            <w:tcW w:type="dxa" w:w="1559"/>
          </w:tcPr>
          <w:p>
            <w:r>
              <w:rPr>
                <w:sz w:val="20"/>
              </w:rPr>
              <w:t>MAXILODRE</w:t>
            </w:r>
          </w:p>
        </w:tc>
        <w:tc>
          <w:tcPr>
            <w:tcW w:type="dxa" w:w="1559"/>
          </w:tcPr>
          <w:p>
            <w:r>
              <w:rPr>
                <w:sz w:val="20"/>
              </w:rPr>
              <w:t>GENCOPHARM</w:t>
            </w:r>
          </w:p>
        </w:tc>
        <w:tc>
          <w:tcPr>
            <w:tcW w:type="dxa" w:w="1559"/>
          </w:tcPr>
          <w:p>
            <w:r>
              <w:rPr>
                <w:sz w:val="20"/>
              </w:rPr>
              <w:t>Collyre en solution dexaméthasone 100 mg + néomycine 350 000 UI + polymyxine B 60 0000 UI / 100 mL</w:t>
            </w:r>
          </w:p>
        </w:tc>
        <w:tc>
          <w:tcPr>
            <w:tcW w:type="dxa" w:w="1559"/>
          </w:tcPr>
          <w:p>
            <w:r>
              <w:rPr>
                <w:sz w:val="20"/>
              </w:rPr>
              <w:t>Flacon compte-gouttes de 3 mL</w:t>
            </w:r>
          </w:p>
        </w:tc>
        <w:tc>
          <w:tcPr>
            <w:tcW w:type="dxa" w:w="1559"/>
          </w:tcPr>
          <w:p>
            <w:r>
              <w:rPr>
                <w:sz w:val="20"/>
              </w:rPr>
              <w:t>Liste I</w:t>
            </w:r>
          </w:p>
        </w:tc>
        <w:tc>
          <w:tcPr>
            <w:tcW w:type="dxa" w:w="1559"/>
          </w:tcPr>
          <w:p>
            <w:r>
              <w:rPr>
                <w:sz w:val="20"/>
              </w:rPr>
              <w:t>Actif</w:t>
            </w:r>
          </w:p>
        </w:tc>
      </w:tr>
      <w:tr>
        <w:tc>
          <w:tcPr>
            <w:tcW w:type="dxa" w:w="1559"/>
          </w:tcPr>
          <w:p>
            <w:r>
              <w:rPr>
                <w:sz w:val="20"/>
              </w:rPr>
              <w:t>P.N.D.</w:t>
            </w:r>
          </w:p>
        </w:tc>
        <w:tc>
          <w:tcPr>
            <w:tcW w:type="dxa" w:w="1559"/>
          </w:tcPr>
          <w:p>
            <w:r>
              <w:rPr>
                <w:sz w:val="20"/>
              </w:rPr>
              <w:t>UNIMED</w:t>
            </w:r>
          </w:p>
        </w:tc>
        <w:tc>
          <w:tcPr>
            <w:tcW w:type="dxa" w:w="1559"/>
          </w:tcPr>
          <w:p>
            <w:r>
              <w:rPr>
                <w:sz w:val="20"/>
              </w:rPr>
              <w:t>Collyre en solution dexaméthasone 100 mg + néomycine 350 000 UI + polymyxine B 600 000 UI / 100 mL</w:t>
            </w:r>
          </w:p>
        </w:tc>
        <w:tc>
          <w:tcPr>
            <w:tcW w:type="dxa" w:w="1559"/>
          </w:tcPr>
          <w:p>
            <w:r>
              <w:rPr>
                <w:sz w:val="20"/>
              </w:rPr>
              <w:t>Flacon de 3 mL</w:t>
            </w:r>
          </w:p>
        </w:tc>
        <w:tc>
          <w:tcPr>
            <w:tcW w:type="dxa" w:w="1559"/>
          </w:tcPr>
          <w:p>
            <w:r>
              <w:rPr>
                <w:sz w:val="20"/>
              </w:rPr>
              <w:t>Liste I</w:t>
            </w:r>
          </w:p>
        </w:tc>
        <w:tc>
          <w:tcPr>
            <w:tcW w:type="dxa" w:w="1559"/>
          </w:tcPr>
          <w:p>
            <w:r>
              <w:rPr>
                <w:sz w:val="20"/>
              </w:rPr>
              <w:t>Actif</w:t>
            </w:r>
          </w:p>
        </w:tc>
      </w:tr>
      <w:tr>
        <w:tc>
          <w:tcPr>
            <w:tcW w:type="dxa" w:w="1559"/>
          </w:tcPr>
          <w:p>
            <w:r>
              <w:rPr>
                <w:sz w:val="20"/>
              </w:rPr>
              <w:t>MAXIDROL</w:t>
            </w:r>
          </w:p>
        </w:tc>
        <w:tc>
          <w:tcPr>
            <w:tcW w:type="dxa" w:w="1559"/>
          </w:tcPr>
          <w:p>
            <w:r>
              <w:rPr>
                <w:sz w:val="20"/>
              </w:rPr>
              <w:t>NOVARTIS PHARMA SCHWEIZ AG</w:t>
            </w:r>
          </w:p>
        </w:tc>
        <w:tc>
          <w:tcPr>
            <w:tcW w:type="dxa" w:w="1559"/>
          </w:tcPr>
          <w:p>
            <w:r>
              <w:rPr>
                <w:sz w:val="20"/>
              </w:rPr>
              <w:t>Pommade ophtalmique dexaméthasone 0,1 g + néomycine 350 000 UI + polymyxine B 600 000 UI / 100 g</w:t>
            </w:r>
          </w:p>
        </w:tc>
        <w:tc>
          <w:tcPr>
            <w:tcW w:type="dxa" w:w="1559"/>
          </w:tcPr>
          <w:p>
            <w:r>
              <w:rPr>
                <w:sz w:val="20"/>
              </w:rPr>
              <w:t>Tube de 3,5 g</w:t>
            </w:r>
          </w:p>
        </w:tc>
        <w:tc>
          <w:tcPr>
            <w:tcW w:type="dxa" w:w="1559"/>
          </w:tcPr>
          <w:p>
            <w:r>
              <w:rPr>
                <w:sz w:val="20"/>
              </w:rPr>
              <w:t>Liste I</w:t>
            </w:r>
          </w:p>
        </w:tc>
        <w:tc>
          <w:tcPr>
            <w:tcW w:type="dxa" w:w="1559"/>
          </w:tcPr>
          <w:p>
            <w:r>
              <w:rPr>
                <w:sz w:val="20"/>
              </w:rPr>
              <w:t>Actif</w:t>
            </w:r>
          </w:p>
        </w:tc>
      </w:tr>
      <w:tr>
        <w:tc>
          <w:tcPr>
            <w:tcW w:type="dxa" w:w="1559"/>
          </w:tcPr>
          <w:p>
            <w:r>
              <w:rPr>
                <w:sz w:val="20"/>
              </w:rPr>
              <w:t>STERDEX</w:t>
            </w:r>
          </w:p>
        </w:tc>
        <w:tc>
          <w:tcPr>
            <w:tcW w:type="dxa" w:w="1559"/>
          </w:tcPr>
          <w:p>
            <w:r>
              <w:rPr>
                <w:sz w:val="20"/>
              </w:rPr>
              <w:t>THEA</w:t>
            </w:r>
          </w:p>
        </w:tc>
        <w:tc>
          <w:tcPr>
            <w:tcW w:type="dxa" w:w="1559"/>
          </w:tcPr>
          <w:p>
            <w:r>
              <w:rPr>
                <w:sz w:val="20"/>
              </w:rPr>
              <w:t>Pommade ophtalmique en récipient unidose dexaméthasone 0,267 mg + oxytétracycline 1,335 mg</w:t>
            </w:r>
          </w:p>
        </w:tc>
        <w:tc>
          <w:tcPr>
            <w:tcW w:type="dxa" w:w="1559"/>
          </w:tcPr>
          <w:p>
            <w:r>
              <w:rPr>
                <w:sz w:val="20"/>
              </w:rPr>
              <w:t>Boîte de 12 capsules</w:t>
            </w:r>
          </w:p>
        </w:tc>
        <w:tc>
          <w:tcPr>
            <w:tcW w:type="dxa" w:w="1559"/>
          </w:tcPr>
          <w:p>
            <w:r>
              <w:rPr>
                <w:sz w:val="20"/>
              </w:rPr>
              <w:t>Liste I</w:t>
            </w:r>
          </w:p>
        </w:tc>
        <w:tc>
          <w:tcPr>
            <w:tcW w:type="dxa" w:w="1559"/>
          </w:tcPr>
          <w:p>
            <w:r>
              <w:rPr>
                <w:sz w:val="20"/>
              </w:rPr>
              <w:t>Actif</w:t>
            </w:r>
          </w:p>
        </w:tc>
      </w:tr>
      <w:tr>
        <w:tc>
          <w:tcPr>
            <w:tcW w:type="dxa" w:w="1559"/>
          </w:tcPr>
          <w:p>
            <w:r>
              <w:rPr>
                <w:sz w:val="20"/>
              </w:rPr>
              <w:t>DEXAFLOX</w:t>
            </w:r>
          </w:p>
        </w:tc>
        <w:tc>
          <w:tcPr>
            <w:tcW w:type="dxa" w:w="1559"/>
          </w:tcPr>
          <w:p>
            <w:r>
              <w:rPr>
                <w:sz w:val="20"/>
              </w:rPr>
              <w:t>JAMJOOM PHARMACEUTICAL INDUSTRY</w:t>
            </w:r>
          </w:p>
        </w:tc>
        <w:tc>
          <w:tcPr>
            <w:tcW w:type="dxa" w:w="1559"/>
          </w:tcPr>
          <w:p>
            <w:r>
              <w:rPr>
                <w:sz w:val="20"/>
              </w:rPr>
              <w:t>Collyre en suspension dexaméthasone 1 mg + ofloxacine 3 mg</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r>
        <w:tc>
          <w:tcPr>
            <w:tcW w:type="dxa" w:w="1559"/>
          </w:tcPr>
          <w:p>
            <w:r>
              <w:rPr>
                <w:sz w:val="20"/>
              </w:rPr>
              <w:t>OFLODEXA</w:t>
            </w:r>
          </w:p>
        </w:tc>
        <w:tc>
          <w:tcPr>
            <w:tcW w:type="dxa" w:w="1559"/>
          </w:tcPr>
          <w:p>
            <w:r>
              <w:rPr>
                <w:sz w:val="20"/>
              </w:rPr>
              <w:t>BIOTHERA</w:t>
            </w:r>
          </w:p>
        </w:tc>
        <w:tc>
          <w:tcPr>
            <w:tcW w:type="dxa" w:w="1559"/>
          </w:tcPr>
          <w:p>
            <w:r>
              <w:rPr>
                <w:sz w:val="20"/>
              </w:rPr>
              <w:t>Collyre en solution dexaméthasone 1 mg + ofloxacine 3 mg</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r>
        <w:tc>
          <w:tcPr>
            <w:tcW w:type="dxa" w:w="1559"/>
          </w:tcPr>
          <w:p>
            <w:r>
              <w:rPr>
                <w:sz w:val="20"/>
              </w:rPr>
              <w:t>DEXATEK</w:t>
            </w:r>
          </w:p>
        </w:tc>
        <w:tc>
          <w:tcPr>
            <w:tcW w:type="dxa" w:w="1559"/>
          </w:tcPr>
          <w:p>
            <w:r>
              <w:rPr>
                <w:sz w:val="20"/>
              </w:rPr>
              <w:t>BIOTHERA</w:t>
            </w:r>
          </w:p>
        </w:tc>
        <w:tc>
          <w:tcPr>
            <w:tcW w:type="dxa" w:w="1559"/>
          </w:tcPr>
          <w:p>
            <w:r>
              <w:rPr>
                <w:sz w:val="20"/>
              </w:rPr>
              <w:t>Collyre tobramycine 0,3 % + dexaméthasone 0,1 %</w:t>
            </w:r>
          </w:p>
        </w:tc>
        <w:tc>
          <w:tcPr>
            <w:tcW w:type="dxa" w:w="1559"/>
          </w:tcPr>
          <w:p>
            <w:r>
              <w:rPr>
                <w:sz w:val="20"/>
              </w:rPr>
              <w:t>Flacon de 5 mL</w:t>
            </w:r>
          </w:p>
        </w:tc>
        <w:tc>
          <w:tcPr>
            <w:tcW w:type="dxa" w:w="1559"/>
          </w:tcPr>
          <w:p>
            <w:r>
              <w:rPr>
                <w:sz w:val="20"/>
              </w:rPr>
              <w:t>Liste II</w:t>
            </w:r>
          </w:p>
        </w:tc>
        <w:tc>
          <w:tcPr>
            <w:tcW w:type="dxa" w:w="1559"/>
          </w:tcPr>
          <w:p>
            <w:r>
              <w:rPr>
                <w:sz w:val="20"/>
              </w:rPr>
              <w:t>Actif</w:t>
            </w:r>
          </w:p>
        </w:tc>
      </w:tr>
      <w:tr>
        <w:tc>
          <w:tcPr>
            <w:tcW w:type="dxa" w:w="1559"/>
          </w:tcPr>
          <w:p>
            <w:r>
              <w:rPr>
                <w:sz w:val="20"/>
              </w:rPr>
              <w:t>OPTIDEX-T</w:t>
            </w:r>
          </w:p>
        </w:tc>
        <w:tc>
          <w:tcPr>
            <w:tcW w:type="dxa" w:w="1559"/>
          </w:tcPr>
          <w:p>
            <w:r>
              <w:rPr>
                <w:sz w:val="20"/>
              </w:rPr>
              <w:t>JAMJOOM ALGERIA LIL DAWA</w:t>
            </w:r>
          </w:p>
        </w:tc>
        <w:tc>
          <w:tcPr>
            <w:tcW w:type="dxa" w:w="1559"/>
          </w:tcPr>
          <w:p>
            <w:r>
              <w:rPr>
                <w:sz w:val="20"/>
              </w:rPr>
              <w:t>Collyre tobramycine 0,3 % + dexaméthasone 0,1 %</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r>
        <w:tc>
          <w:tcPr>
            <w:tcW w:type="dxa" w:w="1559"/>
          </w:tcPr>
          <w:p>
            <w:r>
              <w:rPr>
                <w:sz w:val="20"/>
              </w:rPr>
              <w:t>TAUBRIGENE</w:t>
            </w:r>
          </w:p>
        </w:tc>
        <w:tc>
          <w:tcPr>
            <w:tcW w:type="dxa" w:w="1559"/>
          </w:tcPr>
          <w:p>
            <w:r>
              <w:rPr>
                <w:sz w:val="20"/>
              </w:rPr>
              <w:t>GENERIC LAB</w:t>
            </w:r>
          </w:p>
        </w:tc>
        <w:tc>
          <w:tcPr>
            <w:tcW w:type="dxa" w:w="1559"/>
          </w:tcPr>
          <w:p>
            <w:r>
              <w:rPr>
                <w:sz w:val="20"/>
              </w:rPr>
              <w:t>Collyre tobramycine 0,3 % + dexaméthasone 0,1 %</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r>
        <w:tc>
          <w:tcPr>
            <w:tcW w:type="dxa" w:w="1559"/>
          </w:tcPr>
          <w:p>
            <w:r>
              <w:rPr>
                <w:sz w:val="20"/>
              </w:rPr>
              <w:t>TOBRAMIDEX</w:t>
            </w:r>
          </w:p>
        </w:tc>
        <w:tc>
          <w:tcPr>
            <w:tcW w:type="dxa" w:w="1559"/>
          </w:tcPr>
          <w:p>
            <w:r>
              <w:rPr>
                <w:sz w:val="20"/>
              </w:rPr>
              <w:t>INPHA-MEDIS</w:t>
            </w:r>
          </w:p>
        </w:tc>
        <w:tc>
          <w:tcPr>
            <w:tcW w:type="dxa" w:w="1559"/>
          </w:tcPr>
          <w:p>
            <w:r>
              <w:rPr>
                <w:sz w:val="20"/>
              </w:rPr>
              <w:t>Collyre tobramycine 0,3 % + dexaméthasone 0,1 %</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r>
        <w:tc>
          <w:tcPr>
            <w:tcW w:type="dxa" w:w="1559"/>
          </w:tcPr>
          <w:p>
            <w:r>
              <w:rPr>
                <w:sz w:val="20"/>
              </w:rPr>
              <w:t>OZURDEX</w:t>
            </w:r>
          </w:p>
        </w:tc>
        <w:tc>
          <w:tcPr>
            <w:tcW w:type="dxa" w:w="1559"/>
          </w:tcPr>
          <w:p>
            <w:r>
              <w:rPr>
                <w:sz w:val="20"/>
              </w:rPr>
              <w:t>ABBVIE DEUTSCHLAND GMBH &amp; CO.KG</w:t>
            </w:r>
          </w:p>
        </w:tc>
        <w:tc>
          <w:tcPr>
            <w:tcW w:type="dxa" w:w="1559"/>
          </w:tcPr>
          <w:p>
            <w:r>
              <w:rPr>
                <w:sz w:val="20"/>
              </w:rPr>
              <w:t>Implant intravitréen 700 µg</w:t>
            </w:r>
          </w:p>
        </w:tc>
        <w:tc>
          <w:tcPr>
            <w:tcW w:type="dxa" w:w="1559"/>
          </w:tcPr>
          <w:p>
            <w:r>
              <w:rPr>
                <w:sz w:val="20"/>
              </w:rPr>
              <w:t>Boîte de 1 implant intravitréen + applicateur</w:t>
            </w:r>
          </w:p>
        </w:tc>
        <w:tc>
          <w:tcPr>
            <w:tcW w:type="dxa" w:w="1559"/>
          </w:tcPr>
          <w:p>
            <w:r>
              <w:rPr>
                <w:sz w:val="20"/>
              </w:rPr>
              <w:t>Liste II</w:t>
            </w:r>
          </w:p>
        </w:tc>
        <w:tc>
          <w:tcPr>
            <w:tcW w:type="dxa" w:w="1559"/>
          </w:tcPr>
          <w:p>
            <w:r>
              <w:rPr>
                <w:sz w:val="20"/>
              </w:rPr>
              <w:t>Actif</w:t>
            </w:r>
          </w:p>
        </w:tc>
      </w:tr>
    </w:tbl>
    <w:p/>
    <w:p>
      <w:r/>
      <w:r>
        <w:rPr>
          <w:b/>
        </w:rPr>
        <w:t>Médicaments disponibles en Algérie (tableau commercial) — Formes systémiques actives de la dexaméthasone (pour information)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DESACROVIS</w:t>
            </w:r>
          </w:p>
        </w:tc>
        <w:tc>
          <w:tcPr>
            <w:tcW w:type="dxa" w:w="1559"/>
          </w:tcPr>
          <w:p>
            <w:r>
              <w:rPr>
                <w:sz w:val="20"/>
              </w:rPr>
              <w:t>FARMACEUTICI CROVIS PH.I.L.COM</w:t>
            </w:r>
          </w:p>
        </w:tc>
        <w:tc>
          <w:tcPr>
            <w:tcW w:type="dxa" w:w="1559"/>
          </w:tcPr>
          <w:p>
            <w:r>
              <w:rPr>
                <w:sz w:val="20"/>
              </w:rPr>
              <w:t>Pommade dermique 0,05 %</w:t>
            </w:r>
          </w:p>
        </w:tc>
        <w:tc>
          <w:tcPr>
            <w:tcW w:type="dxa" w:w="1559"/>
          </w:tcPr>
          <w:p>
            <w:r>
              <w:rPr>
                <w:sz w:val="20"/>
              </w:rPr>
              <w:t>Tube de 30 g</w:t>
            </w:r>
          </w:p>
        </w:tc>
        <w:tc>
          <w:tcPr>
            <w:tcW w:type="dxa" w:w="1559"/>
          </w:tcPr>
          <w:p>
            <w:r>
              <w:rPr>
                <w:sz w:val="20"/>
              </w:rPr>
              <w:t>Liste I</w:t>
            </w:r>
          </w:p>
        </w:tc>
        <w:tc>
          <w:tcPr>
            <w:tcW w:type="dxa" w:w="1559"/>
          </w:tcPr>
          <w:p>
            <w:r>
              <w:rPr>
                <w:sz w:val="20"/>
              </w:rPr>
              <w:t>Actif</w:t>
            </w:r>
          </w:p>
        </w:tc>
      </w:tr>
      <w:tr>
        <w:tc>
          <w:tcPr>
            <w:tcW w:type="dxa" w:w="1559"/>
          </w:tcPr>
          <w:p>
            <w:r>
              <w:rPr>
                <w:sz w:val="20"/>
              </w:rPr>
              <w:t>DESACROVIS</w:t>
            </w:r>
          </w:p>
        </w:tc>
        <w:tc>
          <w:tcPr>
            <w:tcW w:type="dxa" w:w="1559"/>
          </w:tcPr>
          <w:p>
            <w:r>
              <w:rPr>
                <w:sz w:val="20"/>
              </w:rPr>
              <w:t>FARMACEUTICI CROVIS PH.I.L.COM</w:t>
            </w:r>
          </w:p>
        </w:tc>
        <w:tc>
          <w:tcPr>
            <w:tcW w:type="dxa" w:w="1559"/>
          </w:tcPr>
          <w:p>
            <w:r>
              <w:rPr>
                <w:sz w:val="20"/>
              </w:rPr>
              <w:t>Comprimé sécable 0,5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DEXAMETHASONE INPHA-MEDIS</w:t>
            </w:r>
          </w:p>
        </w:tc>
        <w:tc>
          <w:tcPr>
            <w:tcW w:type="dxa" w:w="1559"/>
          </w:tcPr>
          <w:p>
            <w:r>
              <w:rPr>
                <w:sz w:val="20"/>
              </w:rPr>
              <w:t>INPHA-MEDIS</w:t>
            </w:r>
          </w:p>
        </w:tc>
        <w:tc>
          <w:tcPr>
            <w:tcW w:type="dxa" w:w="1559"/>
          </w:tcPr>
          <w:p>
            <w:r>
              <w:rPr>
                <w:sz w:val="20"/>
              </w:rPr>
              <w:t>Solution injectable 4 mg/mL</w:t>
            </w:r>
          </w:p>
        </w:tc>
        <w:tc>
          <w:tcPr>
            <w:tcW w:type="dxa" w:w="1559"/>
          </w:tcPr>
          <w:p>
            <w:r>
              <w:rPr>
                <w:sz w:val="20"/>
              </w:rPr>
              <w:t>Boîte de 5 ampoules</w:t>
            </w:r>
          </w:p>
        </w:tc>
        <w:tc>
          <w:tcPr>
            <w:tcW w:type="dxa" w:w="1559"/>
          </w:tcPr>
          <w:p>
            <w:r>
              <w:rPr>
                <w:sz w:val="20"/>
              </w:rPr>
              <w:t>Liste I</w:t>
            </w:r>
          </w:p>
        </w:tc>
        <w:tc>
          <w:tcPr>
            <w:tcW w:type="dxa" w:w="1559"/>
          </w:tcPr>
          <w:p>
            <w:r>
              <w:rPr>
                <w:sz w:val="20"/>
              </w:rPr>
              <w:t>Actif</w:t>
            </w:r>
          </w:p>
        </w:tc>
      </w:tr>
      <w:tr>
        <w:tc>
          <w:tcPr>
            <w:tcW w:type="dxa" w:w="1559"/>
          </w:tcPr>
          <w:p>
            <w:r>
              <w:rPr>
                <w:sz w:val="20"/>
              </w:rPr>
              <w:t>DEXAMETYD</w:t>
            </w:r>
          </w:p>
        </w:tc>
        <w:tc>
          <w:tcPr>
            <w:tcW w:type="dxa" w:w="1559"/>
          </w:tcPr>
          <w:p>
            <w:r>
              <w:rPr>
                <w:sz w:val="20"/>
              </w:rPr>
              <w:t>LES LABORATOIRES FRATER RAZES</w:t>
            </w:r>
          </w:p>
        </w:tc>
        <w:tc>
          <w:tcPr>
            <w:tcW w:type="dxa" w:w="1559"/>
          </w:tcPr>
          <w:p>
            <w:r>
              <w:rPr>
                <w:sz w:val="20"/>
              </w:rPr>
              <w:t>Solution injectable 4 mg/mL</w:t>
            </w:r>
          </w:p>
        </w:tc>
        <w:tc>
          <w:tcPr>
            <w:tcW w:type="dxa" w:w="1559"/>
          </w:tcPr>
          <w:p>
            <w:r>
              <w:rPr>
                <w:sz w:val="20"/>
              </w:rPr>
              <w:t>Boîte de 5 ampoules de 1 mL, 2 mL et 5 mL + Boîte de 50 ampoules</w:t>
            </w:r>
          </w:p>
        </w:tc>
        <w:tc>
          <w:tcPr>
            <w:tcW w:type="dxa" w:w="1559"/>
          </w:tcPr>
          <w:p>
            <w:r>
              <w:rPr>
                <w:sz w:val="20"/>
              </w:rPr>
              <w:t>Liste I</w:t>
            </w:r>
          </w:p>
        </w:tc>
        <w:tc>
          <w:tcPr>
            <w:tcW w:type="dxa" w:w="1559"/>
          </w:tcPr>
          <w:p>
            <w:r>
              <w:rPr>
                <w:sz w:val="20"/>
              </w:rPr>
              <w:t>Actif</w:t>
            </w:r>
          </w:p>
        </w:tc>
      </w:tr>
      <w:tr>
        <w:tc>
          <w:tcPr>
            <w:tcW w:type="dxa" w:w="1559"/>
          </w:tcPr>
          <w:p>
            <w:r>
              <w:rPr>
                <w:sz w:val="20"/>
              </w:rPr>
              <w:t>DEXASONE</w:t>
            </w:r>
          </w:p>
        </w:tc>
        <w:tc>
          <w:tcPr>
            <w:tcW w:type="dxa" w:w="1559"/>
          </w:tcPr>
          <w:p>
            <w:r>
              <w:rPr>
                <w:sz w:val="20"/>
              </w:rPr>
              <w:t>GROUPE SAIDAL</w:t>
            </w:r>
          </w:p>
        </w:tc>
        <w:tc>
          <w:tcPr>
            <w:tcW w:type="dxa" w:w="1559"/>
          </w:tcPr>
          <w:p>
            <w:r>
              <w:rPr>
                <w:sz w:val="20"/>
              </w:rPr>
              <w:t>Solution injectable 4 mg/mL</w:t>
            </w:r>
          </w:p>
        </w:tc>
        <w:tc>
          <w:tcPr>
            <w:tcW w:type="dxa" w:w="1559"/>
          </w:tcPr>
          <w:p>
            <w:r>
              <w:rPr>
                <w:sz w:val="20"/>
              </w:rPr>
              <w:t>Boîte de 5 ampoules de 1 mL</w:t>
            </w:r>
          </w:p>
        </w:tc>
        <w:tc>
          <w:tcPr>
            <w:tcW w:type="dxa" w:w="1559"/>
          </w:tcPr>
          <w:p>
            <w:r>
              <w:rPr>
                <w:sz w:val="20"/>
              </w:rPr>
              <w:t>Liste I</w:t>
            </w:r>
          </w:p>
        </w:tc>
        <w:tc>
          <w:tcPr>
            <w:tcW w:type="dxa" w:w="1559"/>
          </w:tcPr>
          <w:p>
            <w:r>
              <w:rPr>
                <w:sz w:val="20"/>
              </w:rPr>
              <w:t>Actif</w:t>
            </w:r>
          </w:p>
        </w:tc>
      </w:tr>
      <w:tr>
        <w:tc>
          <w:tcPr>
            <w:tcW w:type="dxa" w:w="1559"/>
          </w:tcPr>
          <w:p>
            <w:r>
              <w:rPr>
                <w:sz w:val="20"/>
              </w:rPr>
              <w:t>DEXTHERA</w:t>
            </w:r>
          </w:p>
        </w:tc>
        <w:tc>
          <w:tcPr>
            <w:tcW w:type="dxa" w:w="1559"/>
          </w:tcPr>
          <w:p>
            <w:r>
              <w:rPr>
                <w:sz w:val="20"/>
              </w:rPr>
              <w:t>BIOTHERA</w:t>
            </w:r>
          </w:p>
        </w:tc>
        <w:tc>
          <w:tcPr>
            <w:tcW w:type="dxa" w:w="1559"/>
          </w:tcPr>
          <w:p>
            <w:r>
              <w:rPr>
                <w:sz w:val="20"/>
              </w:rPr>
              <w:t>Solution injectable IV/IM 4 mg/mL</w:t>
            </w:r>
          </w:p>
        </w:tc>
        <w:tc>
          <w:tcPr>
            <w:tcW w:type="dxa" w:w="1559"/>
          </w:tcPr>
          <w:p>
            <w:r>
              <w:rPr>
                <w:sz w:val="20"/>
              </w:rPr>
              <w:t>Boîte de 5 ampoules de 1 mL, 2 mL et 5 mL + Boîte de 50 ampoules</w:t>
            </w:r>
          </w:p>
        </w:tc>
        <w:tc>
          <w:tcPr>
            <w:tcW w:type="dxa" w:w="1559"/>
          </w:tcPr>
          <w:p>
            <w:r>
              <w:rPr>
                <w:sz w:val="20"/>
              </w:rPr>
              <w:t>Liste I</w:t>
            </w:r>
          </w:p>
        </w:tc>
        <w:tc>
          <w:tcPr>
            <w:tcW w:type="dxa" w:w="1559"/>
          </w:tcPr>
          <w:p>
            <w:r>
              <w:rPr>
                <w:sz w:val="20"/>
              </w:rPr>
              <w:t>Actif</w:t>
            </w:r>
          </w:p>
        </w:tc>
      </w:tr>
    </w:tbl>
    <w:p/>
    <w:p>
      <w:r>
        <w:t xml:space="preserve">La disponibilité commerciale de la dexaméthasone ophtalmique en Algérie est l'une des plus larges de la pharmacopée ophtalmologique algérienne : </w:t>
      </w:r>
      <w:r>
        <w:rPr>
          <w:b/>
        </w:rPr>
        <w:t>20 spécialités ophtalmiques actives</w:t>
      </w:r>
      <w:r>
        <w:t xml:space="preserve"> (collyres simples, collyres avec antibiotique, pommade ophtalmique, implant intravitréen), auxquelles s'ajoutent </w:t>
      </w:r>
      <w:r>
        <w:rPr>
          <w:b/>
        </w:rPr>
        <w:t>6 spécialités systémiques actives</w:t>
      </w:r>
      <w:r>
        <w:t xml:space="preserve"> (comprimés, solutions injectables, pommade dermique). Cette diversité témoigne de la large diffusion de la dexaméthasone dans la pratique clinique algérienne et garantit une accessibilité importante. À la posologie standard de 1 à 2 gouttes 4 à 6 fois par jour par œil, un flacon de 5 mL offre une autonomie de traitement de 5 à 7 jours en moyenne (à 6 gouttes par jour par œil, soit 12 gouttes par jour pour les deux yeux, environ 40 µL par goutte, soit 480 µL/jour pour 5000 µL = ~10 jours). Les collyres simples (DEXAMETHASONE GL, DEXADROP, DEXAFREE) sont indiqués dans les inflammations stériles (uvéites antérieures non infectieuses, inflammations post-chirurgicales). Les associations à antibiotique (CHIBRO-CADRON, DEXAMEX, OPADEX, NEODEX, NEODRON avec néomycine ; ALPHAXITROL, MAXILODRE, P.N.D. avec néomycine + polymyxine B ; STERDEX avec oxytétracycline ; DEXAFLOX, OFLODEXA avec ofloxacine ; DEXATEK, OPTIDEX-T, TAUBRIGENE, TOBRAMIDEX avec tobramycine) sont indiquées dans les inflammations avec composante bactérienne (conjonctivites mixtes, blépharites infectieuses, post-chirurgie avec prophylaxie antibiotique). La spécialité DEXAFREE (Thea) se distingue par son conditionnement en récipients unidoses sans conservateur (boîte de 30 unidoses), particulièrement adapté aux porteurs de lentilles de contact, aux sensibilisés au chlorure de benzalkonium, et aux traitements prolongés. L'implant intravitréen OZURDEX (AbbVie Deutschland) est indiqué dans l'œdème maculaire diabétique, l'occlusion de branche veineuse rétinienne, et l'inflammation intraoculaire postérieure ; sa délivrance est strictement réservée à l'ophtalmologiste spécialisé en pathologies rétiniennes, en environnement chirurgical (bloc opératoire, sous anesthésie topique). À noter le statut particulier de DEXATEK (Biothera) classé en Liste II (alors que tous les autres corticoïdes ophtalmiques sont en Liste I) — ce statut administratif inhabituel mérite vérification au comptoir. À noter également la disponibilité historique de nombreuses spécialités aujourd'hui retirées ou non renouvelées (DEXAGRANE Leurquin Mediolanum, MAXIDROL collyre Alcon, etc.), ce qui témoigne de l'histoire riche de cette molécule en Algérie.</w:t>
      </w:r>
    </w:p>
    <w:p>
      <w:r/>
      <w:r>
        <w:rPr>
          <w:b/>
        </w:rPr>
        <w:t>Sous-classe et Mécanisme d'action :</w:t>
      </w:r>
      <w:r/>
    </w:p>
    <w:p>
      <w:pPr>
        <w:pStyle w:val="ListBullet"/>
      </w:pPr>
      <w:r>
        <w:t>Sous-classe : Corticoïde de synthèse fluoré de 4e génération, dérivé pregn-1,4-diène substitué en 9α-fluoro, 16α-méthyl. Liste I (ou Liste II pour OZURDEX et DEXATEK).</w:t>
      </w:r>
    </w:p>
    <w:p>
      <w:pPr>
        <w:pStyle w:val="ListBullet"/>
      </w:pPr>
      <w:r>
        <w:t xml:space="preserve">Mécanisme d'action : La dexaméthasone, molécule amphiphile lipophile (logP ≈ 1,8), traverse le film lacrymal et la cornée (par voie transépithéliale, trans-stromale et trans-endothéliale) pour atteindre les structures intraoculaires (humour aqueuse, corps ciliaire, iris, conjonctive). Elle pénètre dans le cytoplasme des cellules cibles (cellules épithéliales conjonctivales et cornéennes, cellules endothéliales, fibres musculaires lisses de l'iris, cellules ciliaires, macrophages, lymphocytes T, mastocytes, polynucléaires) et se fixe avec une affinité nanomolaire élevée (Kd ≈ 5 nM, soit l'une des affinités les plus élevées pour le récepteur glucocorticoïde, environ 2-3 fois supérieure à celle de la prednisolone) sur le </w:t>
      </w:r>
      <w:r>
        <w:rPr>
          <w:b/>
        </w:rPr>
        <w:t>récepteur glucocorticoïde alpha (GRα) cytosolique</w:t>
      </w:r>
      <w:r>
        <w:t xml:space="preserve">, associé à un complexe de protéines chaperonnes (HSP90, HSP70, immunophilines FKBP51 et FKBP52). La fixation provoque une </w:t>
      </w:r>
      <w:r>
        <w:rPr>
          <w:b/>
        </w:rPr>
        <w:t>transconformation du GRα</w:t>
      </w:r>
      <w:r>
        <w:t xml:space="preserve"> (libération des chaperonnes, exposition du signal de localisation nucléaire, dimérisation), puis sa </w:t>
      </w:r>
      <w:r>
        <w:rPr>
          <w:b/>
        </w:rPr>
        <w:t>translocation nucléaire</w:t>
      </w:r>
      <w:r>
        <w:t xml:space="preserve"> par les pores. Dans le noyau, le complexe dexaméthasone-GRα dimérisé se fixe aux </w:t>
      </w:r>
      <w:r>
        <w:rPr>
          <w:b/>
        </w:rPr>
        <w:t>GRE positifs (pGRE)</w:t>
      </w:r>
      <w:r>
        <w:t xml:space="preserve"> pour activer la transcription des gènes anti-inflammatoires (annexine-1/lipocortine-1 inhibant la phospholipase A2, IκB-α inhibant NF-κB, MKP-1 inhibant MAPK, GILZ inhibant AP-1 et NF-AT) et aux </w:t>
      </w:r>
      <w:r>
        <w:rPr>
          <w:b/>
        </w:rPr>
        <w:t>GRE négatifs (nGRE)</w:t>
      </w:r>
      <w:r>
        <w:t xml:space="preserve"> pour réprimer directement la transcription des gènes pro-inflammatoires (IL-1, IL-2, IL-3, IL-4, IL-5, IL-6, IL-8, IL-13, TNF-α, IFN-γ, GM-CSF, COX-2, iNOS). S'y ajoute une </w:t>
      </w:r>
      <w:r>
        <w:rPr>
          <w:b/>
        </w:rPr>
        <w:t>trans-répression</w:t>
      </w:r>
      <w:r>
        <w:t xml:space="preserve"> par interaction protéine-protéine avec AP-1, NF-κB et NF-AT, sans liaison directe à l'ADN. L'effet anti-inflammatoire local qui en résulte associe : (i) inhibition de la phospholipase A2 → baisse de la synthèse des prostaglandines E2 et D2, des leucotriènes B4, C4, D4 et E4, du thromboxane A2, du PAF ; (ii) inhibition de la COX-2 ; (iii) inhibition de l'iNOS → baisse du monoxyde d'azote ; (iv) inhibition de la migration et de l'activation des polynucléaires, éosinophiles, basophiles, mastocytes, lymphocytes T, macrophages ; (v) inhibition de la présentation antigénique par les cellules dendritiques ; (vi) diminution de l'expression des molécules d'adhésion (ICAM-1, VCAM-1, sélectines E et P) ; (vii) inhibition de la perméabilité vasculaire post-capillaire → baisse de l'œdème conjonctival et de la rougeur. La biodisponibilité systémique par voie ophtalmique est faible à modérée (≈ 5-15 % par drainage lacrymo-nasal, supérieure à celle de l'olopatadine en raison de l'absorption nasale et gastro-intestinale), justifiant la surveillance des effets systémiques en cas de traitement prolongé ou à fortes doses. La fraction absorbée est métabolisée par le cytochrome CYP3A4 (hydroxylation en 6β-hydroxydexaméthasone inactif), éliminée par voie rénale (60 %) et fécale (40 %). La demi-vie plasmatique est de 3 à 5 heures (parent), mais la </w:t>
      </w:r>
      <w:r>
        <w:rPr>
          <w:b/>
        </w:rPr>
        <w:t>demi-vie biologique</w:t>
      </w:r>
      <w:r>
        <w:t xml:space="preserve"> (durée de l'effet anti-inflammatoire) est de 36 à 54 heures, ce qui explique la classification "long-acting" du groupe corticoïde et la possibilité d'administrations à jour alterné pour les traitements prolongés. Le passage transplacentaire est modéré (à éviter au 1er trimestre par prudence) ; le passage dans le lait maternel est faible mais non négligeable (à respecter un délai de 4 heures après l'instillation avant l'allaitement pour les formes systémiques ; négligeable pour les formes ophtalmiques).</w:t>
      </w:r>
    </w:p>
    <w:p>
      <w:r/>
      <w:r>
        <w:rPr>
          <w:b/>
        </w:rPr>
        <w:t>Profil Pharmacologique :</w:t>
      </w:r>
      <w:r/>
    </w:p>
    <w:p>
      <w:pPr>
        <w:pStyle w:val="ListBullet"/>
      </w:pPr>
      <w:r>
        <w:t xml:space="preserve">Indications AMM adultes et enfants : (1) </w:t>
      </w:r>
      <w:r>
        <w:rPr>
          <w:b/>
        </w:rPr>
        <w:t>Inflammations intraoculaires non infectieuses</w:t>
      </w:r>
      <w:r>
        <w:t xml:space="preserve"> — uvéite antérieure aiguë (iritis, iridocyclite), uvéite intermédiaire (pars planite), sclérite, épisclérite résistante aux AINS. (2) </w:t>
      </w:r>
      <w:r>
        <w:rPr>
          <w:b/>
        </w:rPr>
        <w:t>Inflammations de la surface oculaire</w:t>
      </w:r>
      <w:r>
        <w:t xml:space="preserve"> — conjonctivites allergiques sévères résistantes aux antihistaminiques et aux stabilisateurs mastocytaires ; kératoconjonctivite vernale (KCV) en poussée ; kératoconjonctivite atopique (KCA) en poussée ; kératites immunitaires (kératite marginale, kératite limbique). (3) </w:t>
      </w:r>
      <w:r>
        <w:rPr>
          <w:b/>
        </w:rPr>
        <w:t>Inflammations post-chirurgicales</w:t>
      </w:r>
      <w:r>
        <w:t xml:space="preserve"> — chirurgie de la cataracte (prophylaxie de l'œdème maculaire post-opératoire, syndrome d'Irvine-Gass), chirurgie réfractive (LASIK, PKR), vitrectomie, chirurgie du glaucome (trabéculectomie), greffe de cornée (kératoplastie). (4) </w:t>
      </w:r>
      <w:r>
        <w:rPr>
          <w:b/>
        </w:rPr>
        <w:t>Œdèmes maculaires</w:t>
      </w:r>
      <w:r>
        <w:t xml:space="preserve"> — œdème maculaire diabétique (implant intravitréen OZURDEX), œdème maculaire post-occlusion veineuse rétinienne (OZURDEX), syndrome d'Irvine-Gass post-chirurgie de la cataracte (collyre ou implant). (5) </w:t>
      </w:r>
      <w:r>
        <w:rPr>
          <w:b/>
        </w:rPr>
        <w:t>Inflammations post-traumatiques</w:t>
      </w:r>
      <w:r>
        <w:t xml:space="preserve"> — brûlures oculaires chimiques légères à modérées (phase tardive), corps étranger cornéen après ablation. (6) </w:t>
      </w:r>
      <w:r>
        <w:rPr>
          <w:b/>
        </w:rPr>
        <w:t>Associations à antibiotique</w:t>
      </w:r>
      <w:r>
        <w:t xml:space="preserve"> — conjonctivites mixtes (allergique + surinfection bactérienne), blépharites infectieuses, kératites bactériennes en association à l'antibiothérapie spécifique, prophylaxie post-chirurgicale.</w:t>
      </w:r>
    </w:p>
    <w:p>
      <w:pPr>
        <w:pStyle w:val="ListBullet"/>
      </w:pPr>
      <w:r>
        <w:t xml:space="preserve">Contre-indications : </w:t>
      </w:r>
      <w:r>
        <w:rPr>
          <w:b/>
        </w:rPr>
        <w:t>(i) Herpès oculaire actif</w:t>
      </w:r>
      <w:r>
        <w:t xml:space="preserve"> (kératite herpétique épithéliale, stromale ou endothélitrive) — contre-indication formelle absolue en raison du risque d'ulcère géant, de perforation cornéenne, d'extension stromale, de kératite endothélitrive, de zoster ophtalmique disséminé ; </w:t>
      </w:r>
      <w:r>
        <w:rPr>
          <w:b/>
        </w:rPr>
        <w:t>(ii) Infections fongiques oculaires</w:t>
      </w:r>
      <w:r>
        <w:t xml:space="preserve"> (kératite fongique, aspergillose, candidose, fusariose) — contre-indication absolue ; </w:t>
      </w:r>
      <w:r>
        <w:rPr>
          <w:b/>
        </w:rPr>
        <w:t>(iii) Infections mycobactériennes oculaires</w:t>
      </w:r>
      <w:r>
        <w:t xml:space="preserve"> (tuberculose, lèpre) ; </w:t>
      </w:r>
      <w:r>
        <w:rPr>
          <w:b/>
        </w:rPr>
        <w:t>(iv) Glaucome non équilibré</w:t>
      </w:r>
      <w:r>
        <w:t xml:space="preserve"> ou antécédent de glaucome cortico-induit — contre-indication relative, à discuter avec l'ophtalmologiste ; </w:t>
      </w:r>
      <w:r>
        <w:rPr>
          <w:b/>
        </w:rPr>
        <w:t>(v) Hypersensibilité à la dexaméthasone</w:t>
      </w:r>
      <w:r>
        <w:t xml:space="preserve"> ou à l'un des excipients (chlorure de benzalkonium, edetate disodique, phosphates, etc.) ; </w:t>
      </w:r>
      <w:r>
        <w:rPr>
          <w:b/>
        </w:rPr>
        <w:t>(vi) Enfant de moins de 3 ans</w:t>
      </w:r>
      <w:r>
        <w:t xml:space="preserve"> (selon AMM, en raison de l'absence de données d'innocuité à cet âge) ; </w:t>
      </w:r>
      <w:r>
        <w:rPr>
          <w:b/>
        </w:rPr>
        <w:t>(vii) Vaccination récente par vaccin vivant atténué</w:t>
      </w:r>
      <w:r>
        <w:t xml:space="preserve"> (rougeole-oreillons-rubéole, varicelle, fièvre jaune, BCG) dans les 2 semaines précédentes (par prudence, en raison de l'effet immunosuppresseur). Pour les associations à antibiotique, ajouter les contre-indications propres à l'antibiotique (néomycine : hypersensibilité aux aminoglycosides, atteinte vestibulaire ; tobramycine : idem ; ofloxacine : hypersensibilité aux fluoroquinolones, myasthénie).</w:t>
      </w:r>
    </w:p>
    <w:p>
      <w:pPr>
        <w:pStyle w:val="ListBullet"/>
      </w:pPr>
      <w:r>
        <w:t>Spectre d'action : La dexaméthasone n'a aucune activité antibiotique, antifongique ou antivirale propre. Son action immunosuppressive locale impose la vérification préalable de l'absence d'infection active (examen à la lampe à fente avec coloration à la fluorescéine, recherche d'ulcère cornéen, prélèvement bactériologique et mycologique en cas de doute). Dans les associations à antibiotique, l'antibiotique assure la couverture anti-infectieuse.</w:t>
      </w:r>
    </w:p>
    <w:p>
      <w:r/>
      <w:r>
        <w:rPr>
          <w:b/>
        </w:rPr>
        <w:t>Effets Indésirables :</w:t>
      </w:r>
      <w:r/>
    </w:p>
    <w:p>
      <w:pPr>
        <w:pStyle w:val="ListBullet"/>
      </w:pPr>
      <w:r/>
      <w:r>
        <w:rPr>
          <w:b/>
        </w:rPr>
        <w:t>Locaux précoces</w:t>
      </w:r>
      <w:r>
        <w:t xml:space="preserve"> (premières minutes à premières semaines) : sensation de brûlure transitoire à l'instillation (5 à 10 %), picotements, irritation conjonctivale, hyperhémie conjonctivale paradoxale transitoire, sécheresse oculaire, sensation de corps étranger, larmoiement réflexe, vision floue transitoire, blépharite transitoire, mydriase transitoire (exceptionnelle).</w:t>
      </w:r>
    </w:p>
    <w:p>
      <w:pPr>
        <w:pStyle w:val="ListBullet"/>
      </w:pPr>
      <w:r/>
      <w:r>
        <w:rPr>
          <w:b/>
        </w:rPr>
        <w:t>Locaux tardifs</w:t>
      </w:r>
      <w:r>
        <w:t xml:space="preserve"> (au-delà de 2 semaines) — </w:t>
      </w:r>
      <w:r>
        <w:rPr>
          <w:b/>
        </w:rPr>
        <w:t>complications majeures à surveiller impérativement</w:t>
      </w:r>
      <w:r>
        <w:t xml:space="preserve"> : </w:t>
      </w:r>
      <w:r>
        <w:rPr>
          <w:b/>
        </w:rPr>
        <w:t>(a) Glaucome cortico-induit</w:t>
      </w:r>
      <w:r>
        <w:t xml:space="preserve"> — incidence 20-30 % pour la dexaméthasone en collyre au-delà de 2-4 semaines de traitement continu, en raison de l'effet sur le trabéculum cornéoscléral (augmentation de la résistance à l'écoulement de l'humeur aqueuse par accumulation de glycosaminoglycanes et de fibronectine dans le réseau trabéculaire) ; particulièrement fréquent chez les patients corticosensibles (≈ 30 % de la population générale, déterminé génétiquement), chez les glaucomateux connus, et chez les patients ayant un antécédent familial de glaucome ; surveillance impérative de la PIO avant prescription, à 2 semaines, à 6 semaines, puis tous les 2 à 3 mois en cas de traitement prolongé. </w:t>
      </w:r>
      <w:r>
        <w:rPr>
          <w:b/>
        </w:rPr>
        <w:t>(b) Cataracte sous-capsulaire postérieure</w:t>
      </w:r>
      <w:r>
        <w:t xml:space="preserve"> — incidence 5-15 % après 6 mois de traitement continu, en raison de l'altération des fibres équatoriales du cristallin ; particulièrement fréquente chez les sujets âgés ; surveillance ophtalmologique périodique. </w:t>
      </w:r>
      <w:r>
        <w:rPr>
          <w:b/>
        </w:rPr>
        <w:t>(c) Kératite herpétique</w:t>
      </w:r>
      <w:r>
        <w:t xml:space="preserve"> — réactivation ou aggravation d'une infection herpétique oculaire méconnue (forme épithéliale dendritique, stromale, ou endothélitrive), pouvant évoluer vers l'ulcère géant et la perforation cornéenne. </w:t>
      </w:r>
      <w:r>
        <w:rPr>
          <w:b/>
        </w:rPr>
        <w:t>(d) Surinfection bactérienne, fongique ou acanthamibienne</w:t>
      </w:r>
      <w:r>
        <w:t xml:space="preserve"> — en raison de l'effet immunosuppresseur local, favorisant la prolifération microbienne opportuniste (Pseudomonas aeruginosa, Staphylococcus aureus, Staphylococcus epidermidis, Candida albicans, Aspergillus fumigatus, Acanthamoeba) ; particulièrement à craindre en cas de port de lentilles de contact. </w:t>
      </w:r>
      <w:r>
        <w:rPr>
          <w:b/>
        </w:rPr>
        <w:t>(e) Kératopathie ulcéreuse</w:t>
      </w:r>
      <w:r>
        <w:t xml:space="preserve"> — ulcère cornéen, perforation cornéenne, particularly en cas de traitement prolongé sur une surface oculaire fragilisée (syndrome sec sévère, rosacée oculaire). </w:t>
      </w:r>
      <w:r>
        <w:rPr>
          <w:b/>
        </w:rPr>
        <w:t>(f) Retard de cicatrisation cornéenne</w:t>
      </w:r>
      <w:r>
        <w:t xml:space="preserve"> — en raison de l'inhibition de la migration et de la prolifération des cellules épithéliales cornéennes. </w:t>
      </w:r>
      <w:r>
        <w:rPr>
          <w:b/>
        </w:rPr>
        <w:t>(g) Atrophie cutanée palpébrale</w:t>
      </w:r>
      <w:r>
        <w:t xml:space="preserve"> — en cas de traitement prolongé, amincissement de la peau palpébrale, télangiectasies.</w:t>
      </w:r>
    </w:p>
    <w:p>
      <w:pPr>
        <w:pStyle w:val="ListBullet"/>
      </w:pPr>
      <w:r/>
      <w:r>
        <w:rPr>
          <w:b/>
        </w:rPr>
        <w:t>Systémiques</w:t>
      </w:r>
      <w:r>
        <w:t xml:space="preserve"> (rares aux posologies ophtalmiques usuelles, mais à surveiller en cas de traitement prolongé ou à fortes doses) : syndrome de Cushing iatrogène (rare), insuffisance surrénalienne (très rare), hyperglycémie (à surveiller chez le diabétique), hypertension artérielle (rare), hypokaliémie (rare), rétention hydrosodée (rare pour la dexaméthasone en raison de son absence quasi complète d'activité minéralocorticoïde), dyslipidémie (rare), ostéoporose (très rare en usage ophtalmique), troubles neuropsychiatriques (insomnie, euphorie, anxiété, dépression, exceptionnels cas de psychose cortico-induite).</w:t>
      </w:r>
    </w:p>
    <w:p>
      <w:pPr>
        <w:pStyle w:val="ListBullet"/>
      </w:pPr>
      <w:r/>
      <w:r>
        <w:rPr>
          <w:b/>
        </w:rPr>
        <w:t>Effets paradoxaux</w:t>
      </w:r>
      <w:r>
        <w:t xml:space="preserve"> : aggravation paradoxale d'une inflammation initialement méconnue (herpétique, fongique), particulièrement en cas d'instillation sans examen préalable à la lampe à fente.</w:t>
      </w:r>
    </w:p>
    <w:p>
      <w:pPr>
        <w:pStyle w:val="ListBullet"/>
      </w:pPr>
      <w:r/>
      <w:r>
        <w:rPr>
          <w:b/>
        </w:rPr>
        <w:t>Effets liés au conservateur</w:t>
      </w:r>
      <w:r>
        <w:t xml:space="preserve"> : le chlorure de benzalkonium présent dans la formulation multidose classique est responsable à long terme (&gt; 1 mois d'usage quotidien) d'une toxicité épithéliale cornéenne (lyse des cellules épithéliales, altération des jonctions serrées, décompensation de la surface oculaire) — d'où l'intérêt de la formulation DEXAFREE sans conservateur en récipients unidoses pour les traitements prolongés.</w:t>
      </w:r>
    </w:p>
    <w:p>
      <w:r/>
      <w:r>
        <w:rPr>
          <w:b/>
        </w:rPr>
        <w:t>Prévention et Gestion des Effets Indésirables :</w:t>
      </w:r>
      <w:r/>
    </w:p>
    <w:p>
      <w:pPr>
        <w:pStyle w:val="ListBullet"/>
      </w:pPr>
      <w:r>
        <w:t xml:space="preserve">Mesures préventives : </w:t>
      </w:r>
      <w:r>
        <w:rPr>
          <w:b/>
        </w:rPr>
        <w:t>(i) Examen ophtalmologique préalable systématique</w:t>
      </w:r>
      <w:r>
        <w:t xml:space="preserve"> par l'ophtalmologiste avant toute prescription de corticoïde ophtalmique : vérification de l'absence d'ulcère cornéen (test à la fluorescéine), de kératite herpétique, d'infection fongique ou bactérienne, mesure de la PIO de référence, examen du cristallin (cataracte préexistante ?). </w:t>
      </w:r>
      <w:r>
        <w:rPr>
          <w:b/>
        </w:rPr>
        <w:t>(ii) Surveillance systématique de la PIO</w:t>
      </w:r>
      <w:r>
        <w:t xml:space="preserve"> à 2 semaines, à 6 semaines, puis tous les 2 à 3 mois en cas de traitement prolongé. </w:t>
      </w:r>
      <w:r>
        <w:rPr>
          <w:b/>
        </w:rPr>
        <w:t>(iii) Information du patient sur les signes d'alerte</w:t>
      </w:r>
      <w:r>
        <w:t xml:space="preserve"> : douleur oculaire intense, baisse d'acuité visuelle, photophobie majeure, halos autour des lumières, rougeur conjonctivale majeure → arrêt immédiat et consultation ophtalmologique urgente. </w:t>
      </w:r>
      <w:r>
        <w:rPr>
          <w:b/>
        </w:rPr>
        <w:t>(iv) Respect des contre-indications absolues</w:t>
      </w:r>
      <w:r>
        <w:t xml:space="preserve"> : herpès oculaire actif, infections fongiques ou mycobactériennes. </w:t>
      </w:r>
      <w:r>
        <w:rPr>
          <w:b/>
        </w:rPr>
        <w:t>(v) Éducation à la technique d'instillation</w:t>
      </w:r>
      <w:r>
        <w:t xml:space="preserve"> identique à l'olopatadine (hygiène des mains, retrait des lentilles, instillation d'une goutte unique, respect du délai de 5 minutes entre deux collyres, durée d'utilisation après ouverture de 4 semaines). </w:t>
      </w:r>
      <w:r>
        <w:rPr>
          <w:b/>
        </w:rPr>
        <w:t>(vi) Décroissance posologique progressive</w:t>
      </w:r>
      <w:r>
        <w:t xml:space="preserve"> en fin de traitement pour éviter la rébound inflammatoire et l'insuffisance surrénalienne (rare en usage ophtalmique, mais à respecter en cas de traitement prolongé &gt; 1 mois). </w:t>
      </w:r>
      <w:r>
        <w:rPr>
          <w:b/>
        </w:rPr>
        <w:t>(vii) Surveillance accrue en cas de port de lentilles de contact</w:t>
      </w:r>
      <w:r>
        <w:t xml:space="preserve"> (retrait pendant l'instillation, remise après 15 minutes, surveillance hebdomadaire en raison du risque accru de surinfection). </w:t>
      </w:r>
      <w:r>
        <w:rPr>
          <w:b/>
        </w:rPr>
        <w:t>(viii) Préférence pour la formulation sans conservateur DEXAFREE</w:t>
      </w:r>
      <w:r>
        <w:t xml:space="preserve"> en cas de traitement prolongé &gt; 1 mois, de port de lentilles, d'antécédents de toxicité épithéliale.</w:t>
      </w:r>
    </w:p>
    <w:p>
      <w:pPr>
        <w:pStyle w:val="ListBullet"/>
      </w:pPr>
      <w:r>
        <w:t>Conduite à tenir : En cas d'élévation de la PIO &gt; 21 mmHg ou &gt; 5 mmHg par rapport à la PIO de référence, arrêt du corticoïde ou changement pour une molécule à risque plus faible (fluorométholone, rimexolone), et introduction d'un traitement hypotonisant local si nécessaire. En cas de survenue d'un ulcère cornéen, arrêt immédiat, prélèvement bactériologique et mycologique, antibiothérapie locale adaptée, arrêt définitif du corticoïde. En cas de kératite herpétique, arrêt immédiat, antiviral local (aciclovir pommade ophtalmique) et systémique (aciclovir IV ou valaciclovir per os), avis ophtalmologique urgent. En cas de cataracte sous-capsulaire postérieure, surveillance ophtalmologique périodique, chirurgie de la cataracte à terme si nécessaire.</w:t>
      </w:r>
    </w:p>
    <w:p>
      <w:r/>
      <w:r>
        <w:rPr>
          <w:b/>
        </w:rPr>
        <w:t>Interactions Importantes :</w:t>
      </w:r>
      <w:r/>
    </w:p>
    <w:p>
      <w:pPr>
        <w:pStyle w:val="ListBullet"/>
      </w:pPr>
      <w:r/>
      <w:r>
        <w:rPr>
          <w:b/>
        </w:rPr>
        <w:t>Autres collyres</w:t>
      </w:r>
      <w:r>
        <w:t xml:space="preserve"> : instillation à au moins 5 minutes d'intervalle ; l'ordre d'instillation recommandé est : collyre myotique/glaucomateux → antibiotique → corticoïde → larmes artificielles (du plus petit volume au plus grand volume).</w:t>
      </w:r>
    </w:p>
    <w:p>
      <w:pPr>
        <w:pStyle w:val="ListBullet"/>
      </w:pPr>
      <w:r/>
      <w:r>
        <w:rPr>
          <w:b/>
        </w:rPr>
        <w:t>Lentilles de contact</w:t>
      </w:r>
      <w:r>
        <w:t xml:space="preserve"> : retrait obligatoire avant instillation et remise après 15 minutes (le chlorure de benzalkonium peut se fixer sur le polymère de la lentille, et le corticoïde augmente le risque de surinfection).</w:t>
      </w:r>
    </w:p>
    <w:p>
      <w:pPr>
        <w:pStyle w:val="ListBullet"/>
      </w:pPr>
      <w:r/>
      <w:r>
        <w:rPr>
          <w:b/>
        </w:rPr>
        <w:t>Inducteurs enzymatiques du CYP3A4</w:t>
      </w:r>
      <w:r>
        <w:t xml:space="preserve"> (rifampicine, phénobarbital, phénytoïne, carbamazépine, éfavirenz, névirapine, millepertuis) : diminution de l'efficacité de la dexaméthasone (à surveiller, augmentation posologique possible).</w:t>
      </w:r>
    </w:p>
    <w:p>
      <w:pPr>
        <w:pStyle w:val="ListBullet"/>
      </w:pPr>
      <w:r/>
      <w:r>
        <w:rPr>
          <w:b/>
        </w:rPr>
        <w:t>Inhibiteurs du CYP3A4</w:t>
      </w:r>
      <w:r>
        <w:t xml:space="preserve"> (kétoconazole, itraconazole, clarithromycine, érythromycine, ritonavir, atazanavir, indinavir, diltiazem, vérapamil, grapefruit) : augmentation de l'imprégnation systémique (à surveiller en cas de traitement prolongé).</w:t>
      </w:r>
    </w:p>
    <w:p>
      <w:pPr>
        <w:pStyle w:val="ListBullet"/>
      </w:pPr>
      <w:r/>
      <w:r>
        <w:rPr>
          <w:b/>
        </w:rPr>
        <w:t>Vaccins vivants atténués</w:t>
      </w:r>
      <w:r>
        <w:t xml:space="preserve"> (BCG, rougeole-oreillons-rubéole, varicelle, fièvre jaune) : contre-indication pendant la durée du traitement et jusqu'à 3 mois après l'arrêt en cas d'usage prolongé à forte dose (par prudence, en raison de l'effet immunosuppresseur).</w:t>
      </w:r>
    </w:p>
    <w:p>
      <w:pPr>
        <w:pStyle w:val="ListBullet"/>
      </w:pPr>
      <w:r/>
      <w:r>
        <w:rPr>
          <w:b/>
        </w:rPr>
        <w:t>Insuline et antidiabétiques</w:t>
      </w:r>
      <w:r>
        <w:t xml:space="preserve"> : effet hyperglycémiant (modéré, à surveiller chez le diabétique).</w:t>
      </w:r>
    </w:p>
    <w:p>
      <w:pPr>
        <w:pStyle w:val="ListBullet"/>
      </w:pPr>
      <w:r/>
      <w:r>
        <w:rPr>
          <w:b/>
        </w:rPr>
        <w:t>Diurétiques hypokaliémiants</w:t>
      </w:r>
      <w:r>
        <w:t xml:space="preserve"> (furosémide, hydrochlorothiazide) : majoration de l'hypokaliémie (à surveiller).</w:t>
      </w:r>
    </w:p>
    <w:p>
      <w:pPr>
        <w:pStyle w:val="ListBullet"/>
      </w:pPr>
      <w:r/>
      <w:r>
        <w:rPr>
          <w:b/>
        </w:rPr>
        <w:t>AINS</w:t>
      </w:r>
      <w:r>
        <w:t xml:space="preserve"> : majoration du risque ulcéreux et de la toxicité gastro-intestinale en cas d'absorption systémique significative (rare en usage ophtalmique).</w:t>
      </w:r>
    </w:p>
    <w:p>
      <w:pPr>
        <w:pStyle w:val="ListBullet"/>
      </w:pPr>
      <w:r/>
      <w:r>
        <w:rPr>
          <w:b/>
        </w:rPr>
        <w:t>Anticoagulants oraux</w:t>
      </w:r>
      <w:r>
        <w:t xml:space="preserve"> : variabilité de l'INR par interaction métabolique (rare).</w:t>
      </w:r>
    </w:p>
    <w:p>
      <w:r/>
      <w:r>
        <w:rPr>
          <w:b/>
        </w:rPr>
        <w:t>Grossesse et Allaitement :</w:t>
      </w:r>
      <w:r/>
    </w:p>
    <w:p>
      <w:pPr>
        <w:pStyle w:val="ListBullet"/>
      </w:pPr>
      <w:r>
        <w:t xml:space="preserve">Grossesse : La dexaméthasone ophtalmique en collyre est classée par le CRAT comme « </w:t>
      </w:r>
      <w:r>
        <w:rPr>
          <w:b/>
        </w:rPr>
        <w:t>utilisable quel que soit le terme</w:t>
      </w:r>
      <w:r>
        <w:t xml:space="preserve"> » chez la femme enceinte, sur la base d'une biodisponibilité systémique faible à modérée (≈ 5-15 %), et d'études animales rassurantes. Aux posologies usuelles (1-2 gouttes 4-6 fois par jour), aucune augmentation du risque malformatif n'a été documentée, mais le recul clinique est moins important qu'avec les antihistaminiques ophtalmiques. En pratique, la dexaméthasone ophtalmique est utilisée en seconde intention chez la femme enceinte présentant une inflammation oculaire sévère, en cas d'inefficacité ou d'intolérance des antihistaminiques et stabilisateurs mastocytaires. Pour les formes systémiques (comprimés, solutions injectables), la dexaméthasone est classée par le CRAT comme « à éviter par prudence au 1er trimestre » en raison de données animales suggérant un effet possible sur le développement fœtal (fente palatine, retard de croissance) à doses élevées. Pour l'implant intravitréen OZURDEX, l'innocuité n'est pas établie en grossesse (absence de données cliniques) ; à éviter par prudence.</w:t>
      </w:r>
    </w:p>
    <w:p>
      <w:pPr>
        <w:pStyle w:val="ListBullet"/>
      </w:pPr>
      <w:r>
        <w:t>Allaitement : Compatible avec l'allaitement pour les formes ophtalmiques ; le passage dans le lait maternel est faible mais non négligeable. Respecter un délai de 4 heures après l'instillation avant l'allaitement pour les formes systémiques ; pas de restriction pour les formes ophtalmiques (biodisponibilité systémique faible). Pour l'implant intravitréen OZURDEX, l'allaitement est déconseillé par prudence (absence de données).</w:t>
      </w:r>
    </w:p>
    <w:p>
      <w:r/>
      <w:r>
        <w:rPr>
          <w:b/>
        </w:rPr>
        <w:t>Posologie et Mode d'administration (Standard) :</w:t>
      </w:r>
      <w:r/>
    </w:p>
    <w:p>
      <w:pPr>
        <w:pStyle w:val="ListBullet"/>
      </w:pPr>
      <w:r>
        <w:t xml:space="preserve">Adulte : </w:t>
      </w:r>
      <w:r>
        <w:rPr>
          <w:b/>
        </w:rPr>
        <w:t>1 goutte de collyre 1 mg/mL (0,1 %) dans chaque œil, 4 à 6 fois par jour</w:t>
      </w:r>
      <w:r>
        <w:t xml:space="preserve"> en traitement d'attaque (pendant les premiers 3 à 7 jours), puis décroissance progressive à 3 puis 2 puis 1 fois par jour sur 2 à 3 semaines. En cas d'inflammation sévère (uvéite antérieure aiguë, chirurgie récente), augmentation temporaire à 1 goutte toutes les heures possible pendant les premiers 1 à 3 jours, puis espacement progressif. Dose maximale recommandée : 1 goutte 6 fois par jour par œil (soit 6 mg de dexaméthasone par jour par œil, en raison du risque systémique et du risque de glaucome cortico-induit).</w:t>
      </w:r>
    </w:p>
    <w:p>
      <w:pPr>
        <w:pStyle w:val="ListBullet"/>
      </w:pPr>
      <w:r>
        <w:t xml:space="preserve">Enfant à partir de 3 ans : </w:t>
      </w:r>
      <w:r>
        <w:rPr>
          <w:b/>
        </w:rPr>
        <w:t>1 goutte de collyre 1 mg/mL (0,1 %) dans chaque œil, 2 à 4 fois par jour</w:t>
      </w:r>
      <w:r>
        <w:t xml:space="preserve"> en traitement d'attaque, puis décroissance progressive. Dose maximale recommandée : 1 goutte 4 fois par jour par œil.</w:t>
      </w:r>
    </w:p>
    <w:p>
      <w:pPr>
        <w:pStyle w:val="ListBullet"/>
      </w:pPr>
      <w:r>
        <w:t xml:space="preserve">Mode d'administration : identique à l'olopatadine (hygiène des mains, retrait des lentilles, instillation d'une goutte unique, respect du délai de 5 minutes entre deux collyres). </w:t>
      </w:r>
      <w:r>
        <w:rPr>
          <w:b/>
        </w:rPr>
        <w:t>Spécificité de DEXAFREE unit-dose</w:t>
      </w:r>
      <w:r>
        <w:t xml:space="preserve"> : ouverture de l'unit-dose au moment de l'emploi, instillation immédiate, jet de l'unit-dose après usage (ne pas conserver l'unit-dose ouverte). </w:t>
      </w:r>
      <w:r>
        <w:rPr>
          <w:b/>
        </w:rPr>
        <w:t>Spécificité de la pommade ophtalmique MAXIDROL</w:t>
      </w:r>
      <w:r>
        <w:t xml:space="preserve"> : application d'un petit ruban de pommade (environ 1 cm) dans le cul-de-sac conjonctival inférieur, 2 à 4 fois par jour, en évitant le contact direct de l'embout du tube avec l'œil, les cils ou les paupières ; fermeture hermétique du tube après usage.</w:t>
      </w:r>
    </w:p>
    <w:p>
      <w:pPr>
        <w:pStyle w:val="ListBullet"/>
      </w:pPr>
      <w:r>
        <w:t>Implant intravitréen OZURDEX : injection intravitréenne unique de 700 µg, réalisée par un ophtalmologiste spécialisé en pathologies rétiniennes, en environnement chirurgical (bloc opératoire, sous anesthésie topique par collyre), avec respect strict des règles d'asepsie (désinfection conjonctivale à la povidone iodée, champ stérile, drapage). Réinjection possible toutes les 4 à 6 mois en fonction de la réponse clinique et de la tolérance (surveillance de la PIO). Dose maximale : 1 implant par œil toutes les 4 à 6 mois, sans dépasser 2 implants par an par œil en raison du risque cumulé de glaucome et de cataracte.</w:t>
      </w:r>
    </w:p>
    <w:p>
      <w:pPr>
        <w:pStyle w:val="ListBullet"/>
      </w:pPr>
      <w:r>
        <w:t>Durée de traitement : variable selon l'indication — traitement d'attaque d'une inflammation aiguë : 1 à 3 semaines avec décroissance progressive ; traitement d'une inflammation chronique (uvéite récidivante, KCV, KCA) : traitement prolongé de plusieurs mois à années sous surveillance ophtalmologique stricte ; traitement post-chirurgical : 2 à 4 semaines avec décroissance progressive ; implant intravitréen OZURDEX : injection unique, réinjection possible toutes les 4 à 6 mois.</w:t>
      </w:r>
    </w:p>
    <w:p>
      <w:r/>
      <w:r>
        <w:rPr>
          <w:b/>
        </w:rPr>
        <w:t>Arbitrage et Bénéfices des Formes Galéniques :</w:t>
      </w:r>
      <w:r/>
    </w:p>
    <w:p>
      <w:r>
        <w:t xml:space="preserve">La dexaméthasone ophtalmique existe en Algérie sous plusieurs formes galéniques distinctes : (i) </w:t>
      </w:r>
      <w:r>
        <w:rPr>
          <w:b/>
        </w:rPr>
        <w:t>collyre en solution simple</w:t>
      </w:r>
      <w:r>
        <w:t xml:space="preserve"> (DEXAMETHASONE GL, DEXADROP, DEXAFREE) pour les inflammations stériles ; (ii) </w:t>
      </w:r>
      <w:r>
        <w:rPr>
          <w:b/>
        </w:rPr>
        <w:t>collyre en solution avec antibiotique</w:t>
      </w:r>
      <w:r>
        <w:t xml:space="preserve"> (associations à la néomycine, polymyxine B, ofloxacine, tobramycine, oxytétracycline) pour les inflammations avec composante bactérienne ; (iii) </w:t>
      </w:r>
      <w:r>
        <w:rPr>
          <w:b/>
        </w:rPr>
        <w:t>pommade ophtalmique</w:t>
      </w:r>
      <w:r>
        <w:t xml:space="preserve"> (MAXIDROL, STERDEX) pour les inflammations palpébrales et conjonctivales nécessitant un contact prolongé (application nocturne particulièrement intéressante pour le maintien du taux thérapeutique pendant la nuit) ; (iv) </w:t>
      </w:r>
      <w:r>
        <w:rPr>
          <w:b/>
        </w:rPr>
        <w:t>implant intravitréen</w:t>
      </w:r>
      <w:r>
        <w:t xml:space="preserve"> (OZURDEX) pour les pathologies rétiniennes (œdème maculaire diabétique, occlusion veineuse rétinienne). L'arbitrage entre ces formes se fait sur la localisation de l'inflammation (surface oculaire → collyre ou pommade ; intraoculaire antérieure → collyre ; intraoculaire postérieure → implant), sur la sévérité (aiguë → collyre en solution à 1 mg/mL ; modérée → collyre à dose réduite ; chronique → collyre à jour alterné ou fluorométholone), sur la présence d'une composante bactérienne (inflammation stérile → collyre simple ; inflammation avec surinfection → collyre avec antibiotique), sur le profil du patient (porteur de lentilles → DEXAFREE sans conservateur ; sujet âgé → surveillance renforcée de la PIO ; diabétique → surveillance de la glycémie). L'arbitrage entre dexaméthasone et autres corticoïdes ophtalmiques se fait sur la puissance (dexaméthasone = puissance maximale, indication de référence pour les inflammations sévères), sur la tolérance trabéculaire (dexaméthasone = risque le plus élevé de glaucome cortico-induit, à éviter en traitement prolongé), et sur la disponibilité (la dexaméthasone est la plus largement disponible en Algérie). Pour les traitements prolongés de surface, la fluorométholone et la rimexolone sont préférées en raison de leur risque plus faible de glaucome cortico-induit.</w:t>
      </w:r>
    </w:p>
    <w:p>
      <w:r/>
      <w:r>
        <w:rPr>
          <w:b/>
        </w:rPr>
        <w:t>Instructions et Conseils au Patient :</w:t>
      </w:r>
      <w:r/>
    </w:p>
    <w:p>
      <w:pPr>
        <w:pStyle w:val="ListBullet"/>
      </w:pPr>
      <w:r>
        <w:t xml:space="preserve">Communication au comptoir : Insister sur le </w:t>
      </w:r>
      <w:r>
        <w:rPr>
          <w:b/>
        </w:rPr>
        <w:t>respect strict de la prescription médicale</w:t>
      </w:r>
      <w:r>
        <w:t xml:space="preserve"> (ne pas dépasser la dose prescrite, ne pas prolonger la durée prescrite sans avis médical), sur la </w:t>
      </w:r>
      <w:r>
        <w:rPr>
          <w:b/>
        </w:rPr>
        <w:t>surveillance de la pression intraoculaire</w:t>
      </w:r>
      <w:r>
        <w:t xml:space="preserve"> (consultation de contrôle à 2 semaines, 6 semaines, puis tous les 2 à 3 mois en cas de traitement prolongé), sur la </w:t>
      </w:r>
      <w:r>
        <w:rPr>
          <w:b/>
        </w:rPr>
        <w:t>décroissance posologique progressive</w:t>
      </w:r>
      <w:r>
        <w:t xml:space="preserve"> en fin de traitement (ne pas arrêter brutalement), sur la </w:t>
      </w:r>
      <w:r>
        <w:rPr>
          <w:b/>
        </w:rPr>
        <w:t>technique d'instillation</w:t>
      </w:r>
      <w:r>
        <w:t xml:space="preserve"> identique à l'olopatadine, sur le </w:t>
      </w:r>
      <w:r>
        <w:rPr>
          <w:b/>
        </w:rPr>
        <w:t>retrait des lentilles de contact</w:t>
      </w:r>
      <w:r>
        <w:t xml:space="preserve"> avant instillation et la remise après 15 minutes, sur la </w:t>
      </w:r>
      <w:r>
        <w:rPr>
          <w:b/>
        </w:rPr>
        <w:t>durée d'utilisation après ouverture de 4 semaines</w:t>
      </w:r>
      <w:r>
        <w:t xml:space="preserve"> pour les formulations multidose (jet immédiat pour DEXAFREE unit-dose), sur la </w:t>
      </w:r>
      <w:r>
        <w:rPr>
          <w:b/>
        </w:rPr>
        <w:t>conservation à température ambiante</w:t>
      </w:r>
      <w:r>
        <w:t xml:space="preserve"> (≤ 25 °C).</w:t>
      </w:r>
    </w:p>
    <w:p>
      <w:pPr>
        <w:pStyle w:val="ListBullet"/>
      </w:pPr>
      <w:r>
        <w:t xml:space="preserve">Information sur les signes d'alerte : </w:t>
      </w:r>
      <w:r>
        <w:rPr>
          <w:b/>
        </w:rPr>
        <w:t>douleur oculaire intense, baisse d'acuité visuelle, photophobie majeure, halos autour des lumières, rougeur conjonctivale majeure, sécrétions purulentes</w:t>
      </w:r>
      <w:r>
        <w:t xml:space="preserve"> → arrêt immédiat et consultation ophtalmologique urgente. Sensation de brûlure transitoire en début de traitement est fréquente et non inquiétante ; goût amer en arrière-gorge après instillation est normal (drainage lacrymo-nasal).</w:t>
      </w:r>
    </w:p>
    <w:p>
      <w:pPr>
        <w:pStyle w:val="ListBullet"/>
      </w:pPr>
      <w:r>
        <w:t>Information spécifique pour l'implant OZURDEX : traitement réalisé par l'ophtalmologiste en bloc opératoire, sous anesthésie topique ; surveillance post-injection (PIO à J1, J7, J30, puis tous les mois) ; information sur les signes d'endophtalmie (douleur intense, baisse d'acuité visuelle brutale, rougeur conjonctivale majeure) → consultation urgente.</w:t>
      </w:r>
    </w:p>
    <w:p>
      <w:r/>
      <w:r>
        <w:rPr>
          <w:b/>
        </w:rPr>
        <w:t>Notes, Règles d'Or &amp; Pièges au Comptoir :</w:t>
      </w:r>
      <w:r/>
    </w:p>
    <w:p>
      <w:pPr>
        <w:pStyle w:val="ListBullet"/>
      </w:pPr>
      <w:r>
        <w:t xml:space="preserve">Piège classique de la </w:t>
      </w:r>
      <w:r>
        <w:rPr>
          <w:b/>
        </w:rPr>
        <w:t>prescription sans examen ophtalmologique préalable</w:t>
      </w:r>
      <w:r>
        <w:t xml:space="preserve"> : à proscrire formellement. Tout patient présentant une rougeur oculaire, un œdème palpébral, ou une baisse d'acuité visuelle doit être examiné par un ophtalmologiste avant toute prescription de corticoïde local.</w:t>
      </w:r>
    </w:p>
    <w:p>
      <w:pPr>
        <w:pStyle w:val="ListBullet"/>
      </w:pPr>
      <w:r>
        <w:t xml:space="preserve">Piège du </w:t>
      </w:r>
      <w:r>
        <w:rPr>
          <w:b/>
        </w:rPr>
        <w:t>traitement prolongé sans surveillance de la PIO</w:t>
      </w:r>
      <w:r>
        <w:t xml:space="preserve"> : risque majeur de glaucome cortico-induit permanent, potentiellement cécitant.</w:t>
      </w:r>
    </w:p>
    <w:p>
      <w:pPr>
        <w:pStyle w:val="ListBullet"/>
      </w:pPr>
      <w:r>
        <w:t xml:space="preserve">Piège de la </w:t>
      </w:r>
      <w:r>
        <w:rPr>
          <w:b/>
        </w:rPr>
        <w:t>prescription chez un patient aux antécédents d'herpès oculaire</w:t>
      </w:r>
      <w:r>
        <w:t xml:space="preserve"> : contre-indication absolue, risque d'ulcère géant et de perforation cornéenne.</w:t>
      </w:r>
    </w:p>
    <w:p>
      <w:pPr>
        <w:pStyle w:val="ListBullet"/>
      </w:pPr>
      <w:r>
        <w:t xml:space="preserve">Piège du </w:t>
      </w:r>
      <w:r>
        <w:rPr>
          <w:b/>
        </w:rPr>
        <w:t>port de lentilles de contact pendant l'instillation</w:t>
      </w:r>
      <w:r>
        <w:t xml:space="preserve"> : risque de fixation du chlorure de benzalkonium sur la lentille et de surinfection microbienne.</w:t>
      </w:r>
    </w:p>
    <w:p>
      <w:pPr>
        <w:pStyle w:val="ListBullet"/>
      </w:pPr>
      <w:r>
        <w:t>Piège de l'</w:t>
      </w:r>
      <w:r>
        <w:rPr>
          <w:b/>
        </w:rPr>
        <w:t>arrêt brutal en fin de traitement</w:t>
      </w:r>
      <w:r>
        <w:t xml:space="preserve"> : rébound inflammatoire possible, décroissance progressive recommandée.</w:t>
      </w:r>
    </w:p>
    <w:p>
      <w:pPr>
        <w:pStyle w:val="ListBullet"/>
      </w:pPr>
      <w:r>
        <w:t xml:space="preserve">Piège de la </w:t>
      </w:r>
      <w:r>
        <w:rPr>
          <w:b/>
        </w:rPr>
        <w:t>confusion entre collyre simple et collyre avec antibiotique</w:t>
      </w:r>
      <w:r>
        <w:t xml:space="preserve"> : vérifier systématiquement la composition et l'indication de l'antibiotique associé.</w:t>
      </w:r>
    </w:p>
    <w:p>
      <w:pPr>
        <w:pStyle w:val="ListBullet"/>
      </w:pPr>
      <w:r>
        <w:t>Piège de l'</w:t>
      </w:r>
      <w:r>
        <w:rPr>
          <w:b/>
        </w:rPr>
        <w:t>implant intravitréen OZURDEX</w:t>
      </w:r>
      <w:r>
        <w:t xml:space="preserve"> : ne se substitue pas aux collyres, traitement spécialisé réalisé par l'ophtalmologiste en bloc opératoire.</w:t>
      </w:r>
    </w:p>
    <w:p>
      <w:pPr>
        <w:pStyle w:val="ListBullet"/>
      </w:pPr>
      <w:r>
        <w:t>Règle d'or : « Dexaméthasone ophtalmique = prescription médicale obligatoire (Liste I), examen ophtalmologique préalable systématique, surveillance de la PIO à 2/6/12 semaines puis tous les 2-3 mois, contre-indication absolue au herpès oculaire, décroissance progressive en fin de traitement, durée d'utilisation après ouverture de 4 semaines ».</w:t>
      </w:r>
    </w:p>
    <w:p>
      <w:pPr>
        <w:pStyle w:val="Heading3"/>
      </w:pPr>
      <w:r>
        <w:t>142.4.3 DCI : Prednisolone (usage ophtalmique)</w:t>
      </w:r>
    </w:p>
    <w:p>
      <w:r/>
      <w:r>
        <w:rPr>
          <w:b/>
        </w:rPr>
        <w:t>Liste des Catégories :</w:t>
      </w:r>
      <w:r>
        <w:t xml:space="preserve"> Liste I.</w:t>
      </w:r>
    </w:p>
    <w:p>
      <w:r>
        <w:t xml:space="preserve">La prednisolone est un corticoïde de synthèse de 2e génération, dérivé du pregn-1,4-diène-3,20-dione substitué en 11β,17α,21-trihydroxy (11β,17α,21-trihydroxypregna-1,4-diène-3,20-dione), produit de l'hydroxylation hépatique de la prednisone (prodrogue) en position 11β. Cette molécule, décrite pour la première fois en 1955 par Schering Corporation (États-Unis), constitue l'un des corticoïdes historiques de référence — environ 4 à 5 fois la puissance du cortisol, avec une activité minéralocorticoïde modérée (inférieure à l'hydrocortisone mais supérieure à la dexaméthasone), et une </w:t>
      </w:r>
      <w:r>
        <w:rPr>
          <w:b/>
        </w:rPr>
        <w:t>demi-vie biologique intermédiaire</w:t>
      </w:r>
      <w:r>
        <w:t xml:space="preserve"> (12 à 36 heures, classification "intermediate-acting"). En ophtalmologie, la prednisolone est essentiellement utilisée sous forme d'acétate de prednisolone (forme liposoluble en suspension) ou de phosphate sodique de prednisolone (forme hydrosoluble en solution), qui présentent des caractéristiques de pénétration cornéenne différentes. L'acétate de prednisolone, liposoluble, traverse plus facilement l'épithélium cornéen et atteint des concentrations intraoculaires supérieures, mais sa formulation en suspension nécessite une agitation préalable. Le phosphate sodique de prednisolone, hydrosoluble, présente une pénétration cornéenne moindre mais une formulation en solution plus simple d'usage. En Algérie, la prednisolone ophtalmique est disponible sous deux spécialités actives : OPHTAPRED (Joras Pharmaceutical S.P.A., collyre en solution à 0,005 % — dosage correspondant probablement à 0,5 mg/mL ou 0,05 %, à vérifier au comptoir) et OPTIPRED (Jamjoom Algeria, collyre en suspension d'acétate de prednisolone 0,01 % — dosage correspondant probablement à 0,1 mg/mL ou 0,01 %, à vérifier au comptoir). À ces formes ophtalmiques s'ajoutent de très nombreuses formes systémiques actives de la prednisolone (solupred, cortidial, oropred, physiolone, etc.), utilisées en médecine interne, en rhumatologie, en pneumologie, en hématologie, en oncologie, en néphrologie, et en transplantation. Le pharmacien d'officine joue un rôle-clé dans la </w:t>
      </w:r>
      <w:r>
        <w:rPr>
          <w:b/>
        </w:rPr>
        <w:t>vérification systématique de la prescription médicale obligatoire</w:t>
      </w:r>
      <w:r>
        <w:t xml:space="preserve"> (Liste I), dans l'</w:t>
      </w:r>
      <w:r>
        <w:rPr>
          <w:b/>
        </w:rPr>
        <w:t>interrogatoire sur les antécédents</w:t>
      </w:r>
      <w:r>
        <w:t xml:space="preserve"> (herpès oculaire, glaucome, chirurgie oculaire récente), dans l'</w:t>
      </w:r>
      <w:r>
        <w:rPr>
          <w:b/>
        </w:rPr>
        <w:t>éducation à la technique d'instillation</w:t>
      </w:r>
      <w:r>
        <w:t xml:space="preserve"> (avec spécificité pour OPTIPRED en suspension : agitation préalable), et dans le </w:t>
      </w:r>
      <w:r>
        <w:rPr>
          <w:b/>
        </w:rPr>
        <w:t>repérage des signes d'alerte</w:t>
      </w:r>
      <w:r>
        <w:t xml:space="preserve"> (douleur oculaire, baisse d'acuité visuelle, photophobie, halos) orientant vers une consultation ophtalmologique urgente.</w:t>
      </w:r>
    </w:p>
    <w:p>
      <w:r/>
      <w:r>
        <w:rPr>
          <w:b/>
        </w:rPr>
        <w:t>Médicaments disponibles en Algérie (tableau commercial) — Formes ophtalmiques actives de la prednisolone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OPHTAPRED</w:t>
            </w:r>
          </w:p>
        </w:tc>
        <w:tc>
          <w:tcPr>
            <w:tcW w:type="dxa" w:w="1559"/>
          </w:tcPr>
          <w:p>
            <w:r>
              <w:rPr>
                <w:sz w:val="20"/>
              </w:rPr>
              <w:t>JORAS PHARMACEUTICAL S.P.A.</w:t>
            </w:r>
          </w:p>
        </w:tc>
        <w:tc>
          <w:tcPr>
            <w:tcW w:type="dxa" w:w="1559"/>
          </w:tcPr>
          <w:p>
            <w:r>
              <w:rPr>
                <w:sz w:val="20"/>
              </w:rPr>
              <w:t>Collyre en solution de prednisolone 0,005 (5 mg/100 mL = 0,05 mg/mL)</w:t>
            </w:r>
          </w:p>
        </w:tc>
        <w:tc>
          <w:tcPr>
            <w:tcW w:type="dxa" w:w="1559"/>
          </w:tcPr>
          <w:p>
            <w:r>
              <w:rPr>
                <w:sz w:val="20"/>
              </w:rPr>
              <w:t>Flacon de 10 mL</w:t>
            </w:r>
          </w:p>
        </w:tc>
        <w:tc>
          <w:tcPr>
            <w:tcW w:type="dxa" w:w="1559"/>
          </w:tcPr>
          <w:p>
            <w:r>
              <w:rPr>
                <w:sz w:val="20"/>
              </w:rPr>
              <w:t>Liste I</w:t>
            </w:r>
          </w:p>
        </w:tc>
        <w:tc>
          <w:tcPr>
            <w:tcW w:type="dxa" w:w="1559"/>
          </w:tcPr>
          <w:p>
            <w:r>
              <w:rPr>
                <w:sz w:val="20"/>
              </w:rPr>
              <w:t>Actif</w:t>
            </w:r>
          </w:p>
        </w:tc>
      </w:tr>
      <w:tr>
        <w:tc>
          <w:tcPr>
            <w:tcW w:type="dxa" w:w="1559"/>
          </w:tcPr>
          <w:p>
            <w:r>
              <w:rPr>
                <w:sz w:val="20"/>
              </w:rPr>
              <w:t>OPTIPRED</w:t>
            </w:r>
          </w:p>
        </w:tc>
        <w:tc>
          <w:tcPr>
            <w:tcW w:type="dxa" w:w="1559"/>
          </w:tcPr>
          <w:p>
            <w:r>
              <w:rPr>
                <w:sz w:val="20"/>
              </w:rPr>
              <w:t>SPA JAMJOOM ALGERIA LIL DAWA</w:t>
            </w:r>
          </w:p>
        </w:tc>
        <w:tc>
          <w:tcPr>
            <w:tcW w:type="dxa" w:w="1559"/>
          </w:tcPr>
          <w:p>
            <w:r>
              <w:rPr>
                <w:sz w:val="20"/>
              </w:rPr>
              <w:t>Collyre en suspension d'acétate de prednisolone 0,01 (1 mg/100 mL = 0,1 mg/mL)</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bl>
    <w:p/>
    <w:p>
      <w:r/>
      <w:r>
        <w:rPr>
          <w:b/>
        </w:rPr>
        <w:t>Médicaments disponibles en Algérie (tableau commercial) — Formes systémiques actives de la prednisolone (pour information, sélection)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REDNILEF</w:t>
            </w:r>
          </w:p>
        </w:tc>
        <w:tc>
          <w:tcPr>
            <w:tcW w:type="dxa" w:w="1559"/>
          </w:tcPr>
          <w:p>
            <w:r>
              <w:rPr>
                <w:sz w:val="20"/>
              </w:rPr>
              <w:t>HIKMA PHARMA ALGERIA</w:t>
            </w:r>
          </w:p>
        </w:tc>
        <w:tc>
          <w:tcPr>
            <w:tcW w:type="dxa" w:w="1559"/>
          </w:tcPr>
          <w:p>
            <w:r>
              <w:rPr>
                <w:sz w:val="20"/>
              </w:rPr>
              <w:t>Comprimé effervescent 5 mg et 20 mg</w:t>
            </w:r>
          </w:p>
        </w:tc>
        <w:tc>
          <w:tcPr>
            <w:tcW w:type="dxa" w:w="1559"/>
          </w:tcPr>
          <w:p>
            <w:r>
              <w:rPr>
                <w:sz w:val="20"/>
              </w:rPr>
              <w:t>Pilulier de 30 et 20</w:t>
            </w:r>
          </w:p>
        </w:tc>
        <w:tc>
          <w:tcPr>
            <w:tcW w:type="dxa" w:w="1559"/>
          </w:tcPr>
          <w:p>
            <w:r>
              <w:rPr>
                <w:sz w:val="20"/>
              </w:rPr>
              <w:t>Liste I</w:t>
            </w:r>
          </w:p>
        </w:tc>
        <w:tc>
          <w:tcPr>
            <w:tcW w:type="dxa" w:w="1559"/>
          </w:tcPr>
          <w:p>
            <w:r>
              <w:rPr>
                <w:sz w:val="20"/>
              </w:rPr>
              <w:t>Actif</w:t>
            </w:r>
          </w:p>
        </w:tc>
      </w:tr>
      <w:tr>
        <w:tc>
          <w:tcPr>
            <w:tcW w:type="dxa" w:w="1559"/>
          </w:tcPr>
          <w:p>
            <w:r>
              <w:rPr>
                <w:sz w:val="20"/>
              </w:rPr>
              <w:t>CORTIDAL</w:t>
            </w:r>
          </w:p>
        </w:tc>
        <w:tc>
          <w:tcPr>
            <w:tcW w:type="dxa" w:w="1559"/>
          </w:tcPr>
          <w:p>
            <w:r>
              <w:rPr>
                <w:sz w:val="20"/>
              </w:rPr>
              <w:t>PHARMIDAL NS</w:t>
            </w:r>
          </w:p>
        </w:tc>
        <w:tc>
          <w:tcPr>
            <w:tcW w:type="dxa" w:w="1559"/>
          </w:tcPr>
          <w:p>
            <w:r>
              <w:rPr>
                <w:sz w:val="20"/>
              </w:rPr>
              <w:t>Comprimé orodispersible 5 mg et 20 mg</w:t>
            </w:r>
          </w:p>
        </w:tc>
        <w:tc>
          <w:tcPr>
            <w:tcW w:type="dxa" w:w="1559"/>
          </w:tcPr>
          <w:p>
            <w:r>
              <w:rPr>
                <w:sz w:val="20"/>
              </w:rPr>
              <w:t>Boîte de 30 et 20</w:t>
            </w:r>
          </w:p>
        </w:tc>
        <w:tc>
          <w:tcPr>
            <w:tcW w:type="dxa" w:w="1559"/>
          </w:tcPr>
          <w:p>
            <w:r>
              <w:rPr>
                <w:sz w:val="20"/>
              </w:rPr>
              <w:t>Liste I</w:t>
            </w:r>
          </w:p>
        </w:tc>
        <w:tc>
          <w:tcPr>
            <w:tcW w:type="dxa" w:w="1559"/>
          </w:tcPr>
          <w:p>
            <w:r>
              <w:rPr>
                <w:sz w:val="20"/>
              </w:rPr>
              <w:t>Actif</w:t>
            </w:r>
          </w:p>
        </w:tc>
      </w:tr>
      <w:tr>
        <w:tc>
          <w:tcPr>
            <w:tcW w:type="dxa" w:w="1559"/>
          </w:tcPr>
          <w:p>
            <w:r>
              <w:rPr>
                <w:sz w:val="20"/>
              </w:rPr>
              <w:t>DEPRISOLE</w:t>
            </w:r>
          </w:p>
        </w:tc>
        <w:tc>
          <w:tcPr>
            <w:tcW w:type="dxa" w:w="1559"/>
          </w:tcPr>
          <w:p>
            <w:r>
              <w:rPr>
                <w:sz w:val="20"/>
              </w:rPr>
              <w:t>BIOGALENIC</w:t>
            </w:r>
          </w:p>
        </w:tc>
        <w:tc>
          <w:tcPr>
            <w:tcW w:type="dxa" w:w="1559"/>
          </w:tcPr>
          <w:p>
            <w:r>
              <w:rPr>
                <w:sz w:val="20"/>
              </w:rPr>
              <w:t>Comprimé orodispersible 5 mg et 20 mg</w:t>
            </w:r>
          </w:p>
        </w:tc>
        <w:tc>
          <w:tcPr>
            <w:tcW w:type="dxa" w:w="1559"/>
          </w:tcPr>
          <w:p>
            <w:r>
              <w:rPr>
                <w:sz w:val="20"/>
              </w:rPr>
              <w:t>Boîte de 30 et 20</w:t>
            </w:r>
          </w:p>
        </w:tc>
        <w:tc>
          <w:tcPr>
            <w:tcW w:type="dxa" w:w="1559"/>
          </w:tcPr>
          <w:p>
            <w:r>
              <w:rPr>
                <w:sz w:val="20"/>
              </w:rPr>
              <w:t>Liste I</w:t>
            </w:r>
          </w:p>
        </w:tc>
        <w:tc>
          <w:tcPr>
            <w:tcW w:type="dxa" w:w="1559"/>
          </w:tcPr>
          <w:p>
            <w:r>
              <w:rPr>
                <w:sz w:val="20"/>
              </w:rPr>
              <w:t>Actif</w:t>
            </w:r>
          </w:p>
        </w:tc>
      </w:tr>
      <w:tr>
        <w:tc>
          <w:tcPr>
            <w:tcW w:type="dxa" w:w="1559"/>
          </w:tcPr>
          <w:p>
            <w:r>
              <w:rPr>
                <w:sz w:val="20"/>
              </w:rPr>
              <w:t>LAMISOLONE</w:t>
            </w:r>
          </w:p>
        </w:tc>
        <w:tc>
          <w:tcPr>
            <w:tcW w:type="dxa" w:w="1559"/>
          </w:tcPr>
          <w:p>
            <w:r>
              <w:rPr>
                <w:sz w:val="20"/>
              </w:rPr>
              <w:t>LABORATOIRE ALGERIEN DU MEDICAMENT</w:t>
            </w:r>
          </w:p>
        </w:tc>
        <w:tc>
          <w:tcPr>
            <w:tcW w:type="dxa" w:w="1559"/>
          </w:tcPr>
          <w:p>
            <w:r>
              <w:rPr>
                <w:sz w:val="20"/>
              </w:rPr>
              <w:t>Comprimé orodispersible 5 mg et 20 mg</w:t>
            </w:r>
          </w:p>
        </w:tc>
        <w:tc>
          <w:tcPr>
            <w:tcW w:type="dxa" w:w="1559"/>
          </w:tcPr>
          <w:p>
            <w:r>
              <w:rPr>
                <w:sz w:val="20"/>
              </w:rPr>
              <w:t>Boîte de 30 et 20</w:t>
            </w:r>
          </w:p>
        </w:tc>
        <w:tc>
          <w:tcPr>
            <w:tcW w:type="dxa" w:w="1559"/>
          </w:tcPr>
          <w:p>
            <w:r>
              <w:rPr>
                <w:sz w:val="20"/>
              </w:rPr>
              <w:t>Liste I</w:t>
            </w:r>
          </w:p>
        </w:tc>
        <w:tc>
          <w:tcPr>
            <w:tcW w:type="dxa" w:w="1559"/>
          </w:tcPr>
          <w:p>
            <w:r>
              <w:rPr>
                <w:sz w:val="20"/>
              </w:rPr>
              <w:t>Actif</w:t>
            </w:r>
          </w:p>
        </w:tc>
      </w:tr>
      <w:tr>
        <w:tc>
          <w:tcPr>
            <w:tcW w:type="dxa" w:w="1559"/>
          </w:tcPr>
          <w:p>
            <w:r>
              <w:rPr>
                <w:sz w:val="20"/>
              </w:rPr>
              <w:t>OROPRED</w:t>
            </w:r>
          </w:p>
        </w:tc>
        <w:tc>
          <w:tcPr>
            <w:tcW w:type="dxa" w:w="1559"/>
          </w:tcPr>
          <w:p>
            <w:r>
              <w:rPr>
                <w:sz w:val="20"/>
              </w:rPr>
              <w:t>INPHA-MEDIS</w:t>
            </w:r>
          </w:p>
        </w:tc>
        <w:tc>
          <w:tcPr>
            <w:tcW w:type="dxa" w:w="1559"/>
          </w:tcPr>
          <w:p>
            <w:r>
              <w:rPr>
                <w:sz w:val="20"/>
              </w:rPr>
              <w:t>Comprimé orodispersible 5 mg, 20 mg et 30 mg</w:t>
            </w:r>
          </w:p>
        </w:tc>
        <w:tc>
          <w:tcPr>
            <w:tcW w:type="dxa" w:w="1559"/>
          </w:tcPr>
          <w:p>
            <w:r>
              <w:rPr>
                <w:sz w:val="20"/>
              </w:rPr>
              <w:t>Boîte de 30, 20 et 30</w:t>
            </w:r>
          </w:p>
        </w:tc>
        <w:tc>
          <w:tcPr>
            <w:tcW w:type="dxa" w:w="1559"/>
          </w:tcPr>
          <w:p>
            <w:r>
              <w:rPr>
                <w:sz w:val="20"/>
              </w:rPr>
              <w:t>Liste I</w:t>
            </w:r>
          </w:p>
        </w:tc>
        <w:tc>
          <w:tcPr>
            <w:tcW w:type="dxa" w:w="1559"/>
          </w:tcPr>
          <w:p>
            <w:r>
              <w:rPr>
                <w:sz w:val="20"/>
              </w:rPr>
              <w:t>Actif</w:t>
            </w:r>
          </w:p>
        </w:tc>
      </w:tr>
      <w:tr>
        <w:tc>
          <w:tcPr>
            <w:tcW w:type="dxa" w:w="1559"/>
          </w:tcPr>
          <w:p>
            <w:r>
              <w:rPr>
                <w:sz w:val="20"/>
              </w:rPr>
              <w:t>PHYSIOLONE</w:t>
            </w:r>
          </w:p>
        </w:tc>
        <w:tc>
          <w:tcPr>
            <w:tcW w:type="dxa" w:w="1559"/>
          </w:tcPr>
          <w:p>
            <w:r>
              <w:rPr>
                <w:sz w:val="20"/>
              </w:rPr>
              <w:t>PHYSIOPHARM LABORATOIRES</w:t>
            </w:r>
          </w:p>
        </w:tc>
        <w:tc>
          <w:tcPr>
            <w:tcW w:type="dxa" w:w="1559"/>
          </w:tcPr>
          <w:p>
            <w:r>
              <w:rPr>
                <w:sz w:val="20"/>
              </w:rPr>
              <w:t>Comprimé orodispersible 5 mg et 20 mg</w:t>
            </w:r>
          </w:p>
        </w:tc>
        <w:tc>
          <w:tcPr>
            <w:tcW w:type="dxa" w:w="1559"/>
          </w:tcPr>
          <w:p>
            <w:r>
              <w:rPr>
                <w:sz w:val="20"/>
              </w:rPr>
              <w:t>Boîte de 20 et 30</w:t>
            </w:r>
          </w:p>
        </w:tc>
        <w:tc>
          <w:tcPr>
            <w:tcW w:type="dxa" w:w="1559"/>
          </w:tcPr>
          <w:p>
            <w:r>
              <w:rPr>
                <w:sz w:val="20"/>
              </w:rPr>
              <w:t>Liste I</w:t>
            </w:r>
          </w:p>
        </w:tc>
        <w:tc>
          <w:tcPr>
            <w:tcW w:type="dxa" w:w="1559"/>
          </w:tcPr>
          <w:p>
            <w:r>
              <w:rPr>
                <w:sz w:val="20"/>
              </w:rPr>
              <w:t>Actif</w:t>
            </w:r>
          </w:p>
        </w:tc>
      </w:tr>
      <w:tr>
        <w:tc>
          <w:tcPr>
            <w:tcW w:type="dxa" w:w="1559"/>
          </w:tcPr>
          <w:p>
            <w:r>
              <w:rPr>
                <w:sz w:val="20"/>
              </w:rPr>
              <w:t>PREDNAL</w:t>
            </w:r>
          </w:p>
        </w:tc>
        <w:tc>
          <w:tcPr>
            <w:tcW w:type="dxa" w:w="1559"/>
          </w:tcPr>
          <w:p>
            <w:r>
              <w:rPr>
                <w:sz w:val="20"/>
              </w:rPr>
              <w:t>SOCIETE PHARMACEUTIQUE ALGERIENNE SOPHAL</w:t>
            </w:r>
          </w:p>
        </w:tc>
        <w:tc>
          <w:tcPr>
            <w:tcW w:type="dxa" w:w="1559"/>
          </w:tcPr>
          <w:p>
            <w:r>
              <w:rPr>
                <w:sz w:val="20"/>
              </w:rPr>
              <w:t>Comprimé orodispersible 5 mg et comprimé sécable 20 mg</w:t>
            </w:r>
          </w:p>
        </w:tc>
        <w:tc>
          <w:tcPr>
            <w:tcW w:type="dxa" w:w="1559"/>
          </w:tcPr>
          <w:p>
            <w:r>
              <w:rPr>
                <w:sz w:val="20"/>
              </w:rPr>
              <w:t>Boîte de 30 et 20</w:t>
            </w:r>
          </w:p>
        </w:tc>
        <w:tc>
          <w:tcPr>
            <w:tcW w:type="dxa" w:w="1559"/>
          </w:tcPr>
          <w:p>
            <w:r>
              <w:rPr>
                <w:sz w:val="20"/>
              </w:rPr>
              <w:t>Liste I</w:t>
            </w:r>
          </w:p>
        </w:tc>
        <w:tc>
          <w:tcPr>
            <w:tcW w:type="dxa" w:w="1559"/>
          </w:tcPr>
          <w:p>
            <w:r>
              <w:rPr>
                <w:sz w:val="20"/>
              </w:rPr>
              <w:t>Actif</w:t>
            </w:r>
          </w:p>
        </w:tc>
      </w:tr>
      <w:tr>
        <w:tc>
          <w:tcPr>
            <w:tcW w:type="dxa" w:w="1559"/>
          </w:tcPr>
          <w:p>
            <w:r>
              <w:rPr>
                <w:sz w:val="20"/>
              </w:rPr>
              <w:t>PREDNAMEX</w:t>
            </w:r>
          </w:p>
        </w:tc>
        <w:tc>
          <w:tcPr>
            <w:tcW w:type="dxa" w:w="1559"/>
          </w:tcPr>
          <w:p>
            <w:r>
              <w:rPr>
                <w:sz w:val="20"/>
              </w:rPr>
              <w:t>KPMA BIOTIC</w:t>
            </w:r>
          </w:p>
        </w:tc>
        <w:tc>
          <w:tcPr>
            <w:tcW w:type="dxa" w:w="1559"/>
          </w:tcPr>
          <w:p>
            <w:r>
              <w:rPr>
                <w:sz w:val="20"/>
              </w:rPr>
              <w:t>Comprimé orodispersible 5 mg et 20 mg</w:t>
            </w:r>
          </w:p>
        </w:tc>
        <w:tc>
          <w:tcPr>
            <w:tcW w:type="dxa" w:w="1559"/>
          </w:tcPr>
          <w:p>
            <w:r>
              <w:rPr>
                <w:sz w:val="20"/>
              </w:rPr>
              <w:t>Boîte de 30 et 20</w:t>
            </w:r>
          </w:p>
        </w:tc>
        <w:tc>
          <w:tcPr>
            <w:tcW w:type="dxa" w:w="1559"/>
          </w:tcPr>
          <w:p>
            <w:r>
              <w:rPr>
                <w:sz w:val="20"/>
              </w:rPr>
              <w:t>Liste I</w:t>
            </w:r>
          </w:p>
        </w:tc>
        <w:tc>
          <w:tcPr>
            <w:tcW w:type="dxa" w:w="1559"/>
          </w:tcPr>
          <w:p>
            <w:r>
              <w:rPr>
                <w:sz w:val="20"/>
              </w:rPr>
              <w:t>Actif</w:t>
            </w:r>
          </w:p>
        </w:tc>
      </w:tr>
      <w:tr>
        <w:tc>
          <w:tcPr>
            <w:tcW w:type="dxa" w:w="1559"/>
          </w:tcPr>
          <w:p>
            <w:r>
              <w:rPr>
                <w:sz w:val="20"/>
              </w:rPr>
              <w:t>PREDNICORT</w:t>
            </w:r>
          </w:p>
        </w:tc>
        <w:tc>
          <w:tcPr>
            <w:tcW w:type="dxa" w:w="1559"/>
          </w:tcPr>
          <w:p>
            <w:r>
              <w:rPr>
                <w:sz w:val="20"/>
              </w:rPr>
              <w:t>NADPHARMADIC-PRODUCTION</w:t>
            </w:r>
          </w:p>
        </w:tc>
        <w:tc>
          <w:tcPr>
            <w:tcW w:type="dxa" w:w="1559"/>
          </w:tcPr>
          <w:p>
            <w:r>
              <w:rPr>
                <w:sz w:val="20"/>
              </w:rPr>
              <w:t>Comprimé orodispersible 5 mg et 20 mg</w:t>
            </w:r>
          </w:p>
        </w:tc>
        <w:tc>
          <w:tcPr>
            <w:tcW w:type="dxa" w:w="1559"/>
          </w:tcPr>
          <w:p>
            <w:r>
              <w:rPr>
                <w:sz w:val="20"/>
              </w:rPr>
              <w:t>Boîte de 30 et 20</w:t>
            </w:r>
          </w:p>
        </w:tc>
        <w:tc>
          <w:tcPr>
            <w:tcW w:type="dxa" w:w="1559"/>
          </w:tcPr>
          <w:p>
            <w:r>
              <w:rPr>
                <w:sz w:val="20"/>
              </w:rPr>
              <w:t>Liste I</w:t>
            </w:r>
          </w:p>
        </w:tc>
        <w:tc>
          <w:tcPr>
            <w:tcW w:type="dxa" w:w="1559"/>
          </w:tcPr>
          <w:p>
            <w:r>
              <w:rPr>
                <w:sz w:val="20"/>
              </w:rPr>
              <w:t>Actif</w:t>
            </w:r>
          </w:p>
        </w:tc>
      </w:tr>
      <w:tr>
        <w:tc>
          <w:tcPr>
            <w:tcW w:type="dxa" w:w="1559"/>
          </w:tcPr>
          <w:p>
            <w:r>
              <w:rPr>
                <w:sz w:val="20"/>
              </w:rPr>
              <w:t>PREDNISOLONE BEKER ORO</w:t>
            </w:r>
          </w:p>
        </w:tc>
        <w:tc>
          <w:tcPr>
            <w:tcW w:type="dxa" w:w="1559"/>
          </w:tcPr>
          <w:p>
            <w:r>
              <w:rPr>
                <w:sz w:val="20"/>
              </w:rPr>
              <w:t>LABORATOIRES BEKER</w:t>
            </w:r>
          </w:p>
        </w:tc>
        <w:tc>
          <w:tcPr>
            <w:tcW w:type="dxa" w:w="1559"/>
          </w:tcPr>
          <w:p>
            <w:r>
              <w:rPr>
                <w:sz w:val="20"/>
              </w:rPr>
              <w:t>Comprimé orodispersible 5 mg et 20 mg</w:t>
            </w:r>
          </w:p>
        </w:tc>
        <w:tc>
          <w:tcPr>
            <w:tcW w:type="dxa" w:w="1559"/>
          </w:tcPr>
          <w:p>
            <w:r>
              <w:rPr>
                <w:sz w:val="20"/>
              </w:rPr>
              <w:t>Boîte de 30 et 20</w:t>
            </w:r>
          </w:p>
        </w:tc>
        <w:tc>
          <w:tcPr>
            <w:tcW w:type="dxa" w:w="1559"/>
          </w:tcPr>
          <w:p>
            <w:r>
              <w:rPr>
                <w:sz w:val="20"/>
              </w:rPr>
              <w:t>Liste I</w:t>
            </w:r>
          </w:p>
        </w:tc>
        <w:tc>
          <w:tcPr>
            <w:tcW w:type="dxa" w:w="1559"/>
          </w:tcPr>
          <w:p>
            <w:r>
              <w:rPr>
                <w:sz w:val="20"/>
              </w:rPr>
              <w:t>Actif</w:t>
            </w:r>
          </w:p>
        </w:tc>
      </w:tr>
      <w:tr>
        <w:tc>
          <w:tcPr>
            <w:tcW w:type="dxa" w:w="1559"/>
          </w:tcPr>
          <w:p>
            <w:r>
              <w:rPr>
                <w:sz w:val="20"/>
              </w:rPr>
              <w:t>PREDNISOLONE MM ORO</w:t>
            </w:r>
          </w:p>
        </w:tc>
        <w:tc>
          <w:tcPr>
            <w:tcW w:type="dxa" w:w="1559"/>
          </w:tcPr>
          <w:p>
            <w:r>
              <w:rPr>
                <w:sz w:val="20"/>
              </w:rPr>
              <w:t>LABORATOIRES MM</w:t>
            </w:r>
          </w:p>
        </w:tc>
        <w:tc>
          <w:tcPr>
            <w:tcW w:type="dxa" w:w="1559"/>
          </w:tcPr>
          <w:p>
            <w:r>
              <w:rPr>
                <w:sz w:val="20"/>
              </w:rPr>
              <w:t>Comprimé orodispersible 5 mg et 20 mg</w:t>
            </w:r>
          </w:p>
        </w:tc>
        <w:tc>
          <w:tcPr>
            <w:tcW w:type="dxa" w:w="1559"/>
          </w:tcPr>
          <w:p>
            <w:r>
              <w:rPr>
                <w:sz w:val="20"/>
              </w:rPr>
              <w:t>Boîte de 30 et 20</w:t>
            </w:r>
          </w:p>
        </w:tc>
        <w:tc>
          <w:tcPr>
            <w:tcW w:type="dxa" w:w="1559"/>
          </w:tcPr>
          <w:p>
            <w:r>
              <w:rPr>
                <w:sz w:val="20"/>
              </w:rPr>
              <w:t>Liste I</w:t>
            </w:r>
          </w:p>
        </w:tc>
        <w:tc>
          <w:tcPr>
            <w:tcW w:type="dxa" w:w="1559"/>
          </w:tcPr>
          <w:p>
            <w:r>
              <w:rPr>
                <w:sz w:val="20"/>
              </w:rPr>
              <w:t>Actif</w:t>
            </w:r>
          </w:p>
        </w:tc>
      </w:tr>
      <w:tr>
        <w:tc>
          <w:tcPr>
            <w:tcW w:type="dxa" w:w="1559"/>
          </w:tcPr>
          <w:p>
            <w:r>
              <w:rPr>
                <w:sz w:val="20"/>
              </w:rPr>
              <w:t>SOLUPRED ORO</w:t>
            </w:r>
          </w:p>
        </w:tc>
        <w:tc>
          <w:tcPr>
            <w:tcW w:type="dxa" w:w="1559"/>
          </w:tcPr>
          <w:p>
            <w:r>
              <w:rPr>
                <w:sz w:val="20"/>
              </w:rPr>
              <w:t>PROPHARMAL</w:t>
            </w:r>
          </w:p>
        </w:tc>
        <w:tc>
          <w:tcPr>
            <w:tcW w:type="dxa" w:w="1559"/>
          </w:tcPr>
          <w:p>
            <w:r>
              <w:rPr>
                <w:sz w:val="20"/>
              </w:rPr>
              <w:t>Comprimé orodispersible 5 mg et 20 mg</w:t>
            </w:r>
          </w:p>
        </w:tc>
        <w:tc>
          <w:tcPr>
            <w:tcW w:type="dxa" w:w="1559"/>
          </w:tcPr>
          <w:p>
            <w:r>
              <w:rPr>
                <w:sz w:val="20"/>
              </w:rPr>
              <w:t>Boîte de 30 et 20</w:t>
            </w:r>
          </w:p>
        </w:tc>
        <w:tc>
          <w:tcPr>
            <w:tcW w:type="dxa" w:w="1559"/>
          </w:tcPr>
          <w:p>
            <w:r>
              <w:rPr>
                <w:sz w:val="20"/>
              </w:rPr>
              <w:t>Liste I</w:t>
            </w:r>
          </w:p>
        </w:tc>
        <w:tc>
          <w:tcPr>
            <w:tcW w:type="dxa" w:w="1559"/>
          </w:tcPr>
          <w:p>
            <w:r>
              <w:rPr>
                <w:sz w:val="20"/>
              </w:rPr>
              <w:t>Actif</w:t>
            </w:r>
          </w:p>
        </w:tc>
      </w:tr>
      <w:tr>
        <w:tc>
          <w:tcPr>
            <w:tcW w:type="dxa" w:w="1559"/>
          </w:tcPr>
          <w:p>
            <w:r>
              <w:rPr>
                <w:sz w:val="20"/>
              </w:rPr>
              <w:t>SWOR</w:t>
            </w:r>
          </w:p>
        </w:tc>
        <w:tc>
          <w:tcPr>
            <w:tcW w:type="dxa" w:w="1559"/>
          </w:tcPr>
          <w:p>
            <w:r>
              <w:rPr>
                <w:sz w:val="20"/>
              </w:rPr>
              <w:t>ALGERIAN GENERICS DEVELOPMENT PHARMA (AGD PHARMA)</w:t>
            </w:r>
          </w:p>
        </w:tc>
        <w:tc>
          <w:tcPr>
            <w:tcW w:type="dxa" w:w="1559"/>
          </w:tcPr>
          <w:p>
            <w:r>
              <w:rPr>
                <w:sz w:val="20"/>
              </w:rPr>
              <w:t>Comprimé orodispersible 5 mg et 20 mg</w:t>
            </w:r>
          </w:p>
        </w:tc>
        <w:tc>
          <w:tcPr>
            <w:tcW w:type="dxa" w:w="1559"/>
          </w:tcPr>
          <w:p>
            <w:r>
              <w:rPr>
                <w:sz w:val="20"/>
              </w:rPr>
              <w:t>Boîte de 30 et 20</w:t>
            </w:r>
          </w:p>
        </w:tc>
        <w:tc>
          <w:tcPr>
            <w:tcW w:type="dxa" w:w="1559"/>
          </w:tcPr>
          <w:p>
            <w:r>
              <w:rPr>
                <w:sz w:val="20"/>
              </w:rPr>
              <w:t>Liste I</w:t>
            </w:r>
          </w:p>
        </w:tc>
        <w:tc>
          <w:tcPr>
            <w:tcW w:type="dxa" w:w="1559"/>
          </w:tcPr>
          <w:p>
            <w:r>
              <w:rPr>
                <w:sz w:val="20"/>
              </w:rPr>
              <w:t>Actif</w:t>
            </w:r>
          </w:p>
        </w:tc>
      </w:tr>
      <w:tr>
        <w:tc>
          <w:tcPr>
            <w:tcW w:type="dxa" w:w="1559"/>
          </w:tcPr>
          <w:p>
            <w:r>
              <w:rPr>
                <w:sz w:val="20"/>
              </w:rPr>
              <w:t>CORTIDAL</w:t>
            </w:r>
          </w:p>
        </w:tc>
        <w:tc>
          <w:tcPr>
            <w:tcW w:type="dxa" w:w="1559"/>
          </w:tcPr>
          <w:p>
            <w:r>
              <w:rPr>
                <w:sz w:val="20"/>
              </w:rPr>
              <w:t>PHARMIDAL NS</w:t>
            </w:r>
          </w:p>
        </w:tc>
        <w:tc>
          <w:tcPr>
            <w:tcW w:type="dxa" w:w="1559"/>
          </w:tcPr>
          <w:p>
            <w:r>
              <w:rPr>
                <w:sz w:val="20"/>
              </w:rPr>
              <w:t>Solution buvable 1 mg/mL</w:t>
            </w:r>
          </w:p>
        </w:tc>
        <w:tc>
          <w:tcPr>
            <w:tcW w:type="dxa" w:w="1559"/>
          </w:tcPr>
          <w:p>
            <w:r>
              <w:rPr>
                <w:sz w:val="20"/>
              </w:rPr>
              <w:t>Flacon de 50 mL</w:t>
            </w:r>
          </w:p>
        </w:tc>
        <w:tc>
          <w:tcPr>
            <w:tcW w:type="dxa" w:w="1559"/>
          </w:tcPr>
          <w:p>
            <w:r>
              <w:rPr>
                <w:sz w:val="20"/>
              </w:rPr>
              <w:t>Liste I</w:t>
            </w:r>
          </w:p>
        </w:tc>
        <w:tc>
          <w:tcPr>
            <w:tcW w:type="dxa" w:w="1559"/>
          </w:tcPr>
          <w:p>
            <w:r>
              <w:rPr>
                <w:sz w:val="20"/>
              </w:rPr>
              <w:t>Actif</w:t>
            </w:r>
          </w:p>
        </w:tc>
      </w:tr>
      <w:tr>
        <w:tc>
          <w:tcPr>
            <w:tcW w:type="dxa" w:w="1559"/>
          </w:tcPr>
          <w:p>
            <w:r>
              <w:rPr>
                <w:sz w:val="20"/>
              </w:rPr>
              <w:t>PHYSIOLONE</w:t>
            </w:r>
          </w:p>
        </w:tc>
        <w:tc>
          <w:tcPr>
            <w:tcW w:type="dxa" w:w="1559"/>
          </w:tcPr>
          <w:p>
            <w:r>
              <w:rPr>
                <w:sz w:val="20"/>
              </w:rPr>
              <w:t>PHYSIOPHARM LABORATOIRES</w:t>
            </w:r>
          </w:p>
        </w:tc>
        <w:tc>
          <w:tcPr>
            <w:tcW w:type="dxa" w:w="1559"/>
          </w:tcPr>
          <w:p>
            <w:r>
              <w:rPr>
                <w:sz w:val="20"/>
              </w:rPr>
              <w:t>Solution buvable 1 mg/mL</w:t>
            </w:r>
          </w:p>
        </w:tc>
        <w:tc>
          <w:tcPr>
            <w:tcW w:type="dxa" w:w="1559"/>
          </w:tcPr>
          <w:p>
            <w:r>
              <w:rPr>
                <w:sz w:val="20"/>
              </w:rPr>
              <w:t>Flacon de 60 mL et 125 mL</w:t>
            </w:r>
          </w:p>
        </w:tc>
        <w:tc>
          <w:tcPr>
            <w:tcW w:type="dxa" w:w="1559"/>
          </w:tcPr>
          <w:p>
            <w:r>
              <w:rPr>
                <w:sz w:val="20"/>
              </w:rPr>
              <w:t>Liste I</w:t>
            </w:r>
          </w:p>
        </w:tc>
        <w:tc>
          <w:tcPr>
            <w:tcW w:type="dxa" w:w="1559"/>
          </w:tcPr>
          <w:p>
            <w:r>
              <w:rPr>
                <w:sz w:val="20"/>
              </w:rPr>
              <w:t>Actif</w:t>
            </w:r>
          </w:p>
        </w:tc>
      </w:tr>
      <w:tr>
        <w:tc>
          <w:tcPr>
            <w:tcW w:type="dxa" w:w="1559"/>
          </w:tcPr>
          <w:p>
            <w:r>
              <w:rPr>
                <w:sz w:val="20"/>
              </w:rPr>
              <w:t>CORTIDAL</w:t>
            </w:r>
          </w:p>
        </w:tc>
        <w:tc>
          <w:tcPr>
            <w:tcW w:type="dxa" w:w="1559"/>
          </w:tcPr>
          <w:p>
            <w:r>
              <w:rPr>
                <w:sz w:val="20"/>
              </w:rPr>
              <w:t>PHARMIDAL NS</w:t>
            </w:r>
          </w:p>
        </w:tc>
        <w:tc>
          <w:tcPr>
            <w:tcW w:type="dxa" w:w="1559"/>
          </w:tcPr>
          <w:p>
            <w:r>
              <w:rPr>
                <w:sz w:val="20"/>
              </w:rPr>
              <w:t>Solution buvable 15 mg/5 mL</w:t>
            </w:r>
          </w:p>
        </w:tc>
        <w:tc>
          <w:tcPr>
            <w:tcW w:type="dxa" w:w="1559"/>
          </w:tcPr>
          <w:p>
            <w:r>
              <w:rPr>
                <w:sz w:val="20"/>
              </w:rPr>
              <w:t>Flacon de 120 mL</w:t>
            </w:r>
          </w:p>
        </w:tc>
        <w:tc>
          <w:tcPr>
            <w:tcW w:type="dxa" w:w="1559"/>
          </w:tcPr>
          <w:p>
            <w:r>
              <w:rPr>
                <w:sz w:val="20"/>
              </w:rPr>
              <w:t>Liste I</w:t>
            </w:r>
          </w:p>
        </w:tc>
        <w:tc>
          <w:tcPr>
            <w:tcW w:type="dxa" w:w="1559"/>
          </w:tcPr>
          <w:p>
            <w:r>
              <w:rPr>
                <w:sz w:val="20"/>
              </w:rPr>
              <w:t>Actif</w:t>
            </w:r>
          </w:p>
        </w:tc>
      </w:tr>
      <w:tr>
        <w:tc>
          <w:tcPr>
            <w:tcW w:type="dxa" w:w="1559"/>
          </w:tcPr>
          <w:p>
            <w:r>
              <w:rPr>
                <w:sz w:val="20"/>
              </w:rPr>
              <w:t>PREDO</w:t>
            </w:r>
          </w:p>
        </w:tc>
        <w:tc>
          <w:tcPr>
            <w:tcW w:type="dxa" w:w="1559"/>
          </w:tcPr>
          <w:p>
            <w:r>
              <w:rPr>
                <w:sz w:val="20"/>
              </w:rPr>
              <w:t>HIKMA PHARMA ALGERIA</w:t>
            </w:r>
          </w:p>
        </w:tc>
        <w:tc>
          <w:tcPr>
            <w:tcW w:type="dxa" w:w="1559"/>
          </w:tcPr>
          <w:p>
            <w:r>
              <w:rPr>
                <w:sz w:val="20"/>
              </w:rPr>
              <w:t>Solution buvable 15 mg/5 mL</w:t>
            </w:r>
          </w:p>
        </w:tc>
        <w:tc>
          <w:tcPr>
            <w:tcW w:type="dxa" w:w="1559"/>
          </w:tcPr>
          <w:p>
            <w:r>
              <w:rPr>
                <w:sz w:val="20"/>
              </w:rPr>
              <w:t>Flacon de 120 mL</w:t>
            </w:r>
          </w:p>
        </w:tc>
        <w:tc>
          <w:tcPr>
            <w:tcW w:type="dxa" w:w="1559"/>
          </w:tcPr>
          <w:p>
            <w:r>
              <w:rPr>
                <w:sz w:val="20"/>
              </w:rPr>
              <w:t>Liste I</w:t>
            </w:r>
          </w:p>
        </w:tc>
        <w:tc>
          <w:tcPr>
            <w:tcW w:type="dxa" w:w="1559"/>
          </w:tcPr>
          <w:p>
            <w:r>
              <w:rPr>
                <w:sz w:val="20"/>
              </w:rPr>
              <w:t>Actif</w:t>
            </w:r>
          </w:p>
        </w:tc>
      </w:tr>
    </w:tbl>
    <w:p/>
    <w:p>
      <w:r>
        <w:t xml:space="preserve">La disponibilité commerciale de la prednisolone ophtalmique en Algérie est relativement limitée par rapport à la dexaméthasone : seulement </w:t>
      </w:r>
      <w:r>
        <w:rPr>
          <w:b/>
        </w:rPr>
        <w:t>2 spécialités ophtalmiques actives</w:t>
      </w:r>
      <w:r>
        <w:t xml:space="preserve"> (OPHTAPRED en solution, OPTIPRED en suspension), auxquelles s'ajoutent un très grand nombre de </w:t>
      </w:r>
      <w:r>
        <w:rPr>
          <w:b/>
        </w:rPr>
        <w:t>formes systémiques actives</w:t>
      </w:r>
      <w:r>
        <w:t xml:space="preserve"> (≈ 17 spécialités actives en comprimés orodispersibles, comprimés effervescents, comprimés sécables, solutions buvables). Cette abondance de formes systémiques témoigne de la place centrale de la prednisolone dans la pharmacopée systémique algérienne (corticothérapie orale de référence, équivalent du Solupred® français, avec la prednisolone métasulfobenzoate sodique comme sel commercial principal). En revanche, l'offre ophtalmique est nettement plus restreinte que pour la dexaméthasone. À la posologie standard de 1 à 2 gouttes 4 à 6 fois par jour par œil, un flacon de 5 à 10 mL offre une autonomie de traitement de 5 à 10 jours en moyenne. Les deux spécialités ophtalmiques actives (OPHTAPRED et OPTIPRED) présentent des dosages relativement faibles (0,05 mg/mL et 0,1 mg/mL respectivement, soit 0,005 % et 0,01 %) comparativement aux concentrations internationales habituelles de prednisolone ophtalmique (10 mg/mL ou 1 %, soit 100 à 200 fois plus concentrées) — cette particularité de la nomenclature algérienne mérite vérification au comptoir et clarification auprès du prescripteur. La spécialité OPTIPRED en suspension d'acétate de prednisolone se distingue par la nécessité d'une agitation préalable avant emploi pour remettre en suspension les microparticules. À noter la disponibilité historique de spécialités retirées ou non renouvelées (PREDSOL Crovis, SOLUCORT MSD, CORTIPRED API comprimé effervescent, SOLUPRED Roussel comprimé effervescent, PREDNISOLONE MYLAN comprimé effervescent, ISOLONE SOTHEMA, SANAPRED El Saad, etc.), ce qui témoigne de l'histoire riche de cette molécule en Algérie.</w:t>
      </w:r>
    </w:p>
    <w:p>
      <w:r/>
      <w:r>
        <w:rPr>
          <w:b/>
        </w:rPr>
        <w:t>Sous-classe et Mécanisme d'action :</w:t>
      </w:r>
      <w:r/>
    </w:p>
    <w:p>
      <w:pPr>
        <w:pStyle w:val="ListBullet"/>
      </w:pPr>
      <w:r>
        <w:t>Sous-classe : Corticoïde de synthèse de 2e génération, dérivé pregn-1,4-diène substitué en 11β,17α,21-trihydroxy. Liste I.</w:t>
      </w:r>
    </w:p>
    <w:p>
      <w:pPr>
        <w:pStyle w:val="ListBullet"/>
      </w:pPr>
      <w:r>
        <w:t xml:space="preserve">Mécanisme d'action : La prednisolone, molécule amphiphile lipophile (logP ≈ 1,7), traverse le film lacrymal et la cornée (par voie transépithéliale, trans-stromale et trans-endothéliale) pour atteindre les structures intraoculaires (humeur aqueuse, corps ciliaire, iris, conjonctive). Elle pénètre dans le cytoplasme des cellules cibles et se fixe avec une affinité nanomolaire élevée (Kd ≈ 10 nM, soit environ 2 fois inférieure à celle de la dexaméthasone) sur le </w:t>
      </w:r>
      <w:r>
        <w:rPr>
          <w:b/>
        </w:rPr>
        <w:t>récepteur glucocorticoïde alpha (GRα) cytosolique</w:t>
      </w:r>
      <w:r>
        <w:t xml:space="preserve">, associé à un complexe de protéines chaperonnes (HSP90, HSP70, immunophilines FKBP51 et FKBP52). La fixation provoque une </w:t>
      </w:r>
      <w:r>
        <w:rPr>
          <w:b/>
        </w:rPr>
        <w:t>transconformation du GRα</w:t>
      </w:r>
      <w:r>
        <w:t xml:space="preserve"> (libération des chaperonnes, exposition du signal de localisation nucléaire, dimérisation), puis sa </w:t>
      </w:r>
      <w:r>
        <w:rPr>
          <w:b/>
        </w:rPr>
        <w:t>translocation nucléaire</w:t>
      </w:r>
      <w:r>
        <w:t xml:space="preserve"> par les pores. Dans le noyau, le complexe prednisolone-GRα dimérisé se fixe aux </w:t>
      </w:r>
      <w:r>
        <w:rPr>
          <w:b/>
        </w:rPr>
        <w:t>GRE positifs (pGRE)</w:t>
      </w:r>
      <w:r>
        <w:t xml:space="preserve"> pour activer la transcription des gènes anti-inflammatoires (annexine-1/lipocortine-1 inhibant la phospholipase A2, IκB-α inhibant NF-κB, MKP-1 inhibant MAPK, GILZ inhibant AP-1 et NF-AT) et aux </w:t>
      </w:r>
      <w:r>
        <w:rPr>
          <w:b/>
        </w:rPr>
        <w:t>GRE négatifs (nGRE)</w:t>
      </w:r>
      <w:r>
        <w:t xml:space="preserve"> pour réprimer directement la transcription des gènes pro-inflammatoires (IL-1, IL-2, IL-3, IL-4, IL-5, IL-6, IL-8, IL-13, TNF-α, IFN-γ, GM-CSF, COX-2, iNOS). S'y ajoute une </w:t>
      </w:r>
      <w:r>
        <w:rPr>
          <w:b/>
        </w:rPr>
        <w:t>trans-répression</w:t>
      </w:r>
      <w:r>
        <w:t xml:space="preserve"> par interaction protéine-protéine avec AP-1, NF-κB et NF-AT, sans liaison directe à l'ADN. Le mécanisme d'action est identique à celui de la dexaméthasone, avec une puissance anti-inflammatoire moindre (4-5 fois le cortisol, vs 25-30 fois pour la dexaméthasone) et une activité minéralocorticoïde plus marquée (réduction modérée mais non nulle de l'excrétion urinaire de sodium et de potassium). La biodisponibilité systémique par voie ophtalmique est faible à modérée (≈ 5-15 % par drainage lacrymo-nasal, comparable à la dexaméthasone), justifiant la surveillance des effets systémiques en cas de traitement prolongé ou à fortes doses. La fraction absorbée est métabolisée par le cytochrome CYP3A4 (hydroxylation en 6β-hydroxyprednisolone inactif), éliminée par voie rénale (60 %) et fécale (40 %). La demi-vie plasmatique est de 2 à 4 heures (parent), mais la </w:t>
      </w:r>
      <w:r>
        <w:rPr>
          <w:b/>
        </w:rPr>
        <w:t>demi-vie biologique</w:t>
      </w:r>
      <w:r>
        <w:t xml:space="preserve"> (durée de l'effet anti-inflammatoire) est de 12 à 36 heures, ce qui explique la classification "intermediate-acting" du groupe corticoïde et la possibilité d'administrations à jour alterné pour les traitements prolongés. Le passage transplacentaire est modéré (à éviter au 1er trimestre par prudence) ; le passage dans le lait maternel est faible mais non négligeable (à respecter un délai de 4 heures après la prise pour les formes systémiques ; négligeable pour les formes ophtalmiques).</w:t>
      </w:r>
    </w:p>
    <w:p>
      <w:r/>
      <w:r>
        <w:rPr>
          <w:b/>
        </w:rPr>
        <w:t>Profil Pharmacologique :</w:t>
      </w:r>
      <w:r/>
    </w:p>
    <w:p>
      <w:pPr>
        <w:pStyle w:val="ListBullet"/>
      </w:pPr>
      <w:r>
        <w:t xml:space="preserve">Indications AMM adultes et enfants : (1) </w:t>
      </w:r>
      <w:r>
        <w:rPr>
          <w:b/>
        </w:rPr>
        <w:t>Inflammations intraoculaires non infectieuses</w:t>
      </w:r>
      <w:r>
        <w:t xml:space="preserve"> — uvéite antérieure aiguë (iritis, iridocyclite), uvéite intermédiaire (pars planite), sclérite, épisclérite résistante aux AINS. (2) </w:t>
      </w:r>
      <w:r>
        <w:rPr>
          <w:b/>
        </w:rPr>
        <w:t>Inflammations de la surface oculaire</w:t>
      </w:r>
      <w:r>
        <w:t xml:space="preserve"> — conjonctivites allergiques sévères résistantes aux antihistaminiques et aux stabilisateurs mastocytaires ; kératoconjonctivite vernale (KCV) en poussée ; kératoconjonctivite atopique (KCA) en poussée ; kératites immunitaires. (3) </w:t>
      </w:r>
      <w:r>
        <w:rPr>
          <w:b/>
        </w:rPr>
        <w:t>Inflammations post-chirurgicales</w:t>
      </w:r>
      <w:r>
        <w:t xml:space="preserve"> — chirurgie de la cataracte (prophylaxie de l'œdème maculaire post-opératoire), chirurgie réfractive (LASIK, PKR), vitrectomie, chirurgie du glaucome (trabéculectomie), greffe de cornée (kératoplastie). (4) Pour les formes systémiques (comprimés, solutions buvables) : maladies systémiques inflammatoires (polyarthrite rhumatoïde, lupus érythémateux disséminé, vascularites, pseudopolyarthrite rhizomélique, maladie de Horton, sarcoïdose), asthme sévère, BPCO décompensée, néphropathies inflammatoires (syndrome néphrotique), hémopathies (leucémies aiguës, lymphomes, myélome), transplantation d'organe (traitement immunosuppresseur d'entretien).</w:t>
      </w:r>
    </w:p>
    <w:p>
      <w:pPr>
        <w:pStyle w:val="ListBullet"/>
      </w:pPr>
      <w:r>
        <w:t xml:space="preserve">Contre-indications : </w:t>
      </w:r>
      <w:r>
        <w:rPr>
          <w:b/>
        </w:rPr>
        <w:t>(i) Herpès oculaire actif</w:t>
      </w:r>
      <w:r>
        <w:t xml:space="preserve"> — contre-indication formelle absolue ; </w:t>
      </w:r>
      <w:r>
        <w:rPr>
          <w:b/>
        </w:rPr>
        <w:t>(ii) Infections fongiques oculaires</w:t>
      </w:r>
      <w:r>
        <w:t xml:space="preserve"> — contre-indication absolue ; </w:t>
      </w:r>
      <w:r>
        <w:rPr>
          <w:b/>
        </w:rPr>
        <w:t>(iii) Infections mycobactériennes oculaires</w:t>
      </w:r>
      <w:r>
        <w:t xml:space="preserve"> ; </w:t>
      </w:r>
      <w:r>
        <w:rPr>
          <w:b/>
        </w:rPr>
        <w:t>(iv) Glaucome non équilibré</w:t>
      </w:r>
      <w:r>
        <w:t xml:space="preserve"> ou antécédent de glaucome cortico-induit — contre-indication relative ; </w:t>
      </w:r>
      <w:r>
        <w:rPr>
          <w:b/>
        </w:rPr>
        <w:t>(v) Hypersensibilité à la prednisolone</w:t>
      </w:r>
      <w:r>
        <w:t xml:space="preserve"> ou à l'un des excipients ; </w:t>
      </w:r>
      <w:r>
        <w:rPr>
          <w:b/>
        </w:rPr>
        <w:t>(vi) Enfant de moins de 3 ans</w:t>
      </w:r>
      <w:r>
        <w:t xml:space="preserve"> (selon AMM) ; </w:t>
      </w:r>
      <w:r>
        <w:rPr>
          <w:b/>
        </w:rPr>
        <w:t>(vii) Vaccination récente par vaccin vivant atténué</w:t>
      </w:r>
      <w:r>
        <w:t xml:space="preserve"> dans les 2 semaines précédentes. Pour les formes systémiques, ajouter : psychose non contrôlée, ulcère gastro-duodénal évolutif, infection non contrôlée, diabète déséquilibré, ostéoporose sévère.</w:t>
      </w:r>
    </w:p>
    <w:p>
      <w:pPr>
        <w:pStyle w:val="ListBullet"/>
      </w:pPr>
      <w:r>
        <w:t>Spectre d'action : La prednisolone n'a aucune activité antibiotique, antifongique ou antivirale propre. Son action immunosuppressive locale impose la vérification préalable de l'absence d'infection active (examen à la lampe à fente avec coloration à la fluorescéine, prélèvement bactériologique et mycologique en cas de doute).</w:t>
      </w:r>
    </w:p>
    <w:p>
      <w:r/>
      <w:r>
        <w:rPr>
          <w:b/>
        </w:rPr>
        <w:t>Effets Indésirables :</w:t>
      </w:r>
      <w:r/>
    </w:p>
    <w:p>
      <w:pPr>
        <w:pStyle w:val="ListBullet"/>
      </w:pPr>
      <w:r/>
      <w:r>
        <w:rPr>
          <w:b/>
        </w:rPr>
        <w:t>Locaux précoces</w:t>
      </w:r>
      <w:r>
        <w:t xml:space="preserve"> (premières minutes à premières semaines) : sensation de brûlure transitoire à l'instillation (5 à 10 %), picotements, irritation conjonctivale, hyperhémie conjonctivale paradoxale transitoire, sécheresse oculaire, sensation de corps étranger, larmoiement réflexe, vision floue transitoire (plus marquée avec OPTIPRED en suspension en raison de la présence de microparticules), blépharite transitoire.</w:t>
      </w:r>
    </w:p>
    <w:p>
      <w:pPr>
        <w:pStyle w:val="ListBullet"/>
      </w:pPr>
      <w:r/>
      <w:r>
        <w:rPr>
          <w:b/>
        </w:rPr>
        <w:t>Locaux tardifs</w:t>
      </w:r>
      <w:r>
        <w:t xml:space="preserve"> (au-delà de 2 semaines) — </w:t>
      </w:r>
      <w:r>
        <w:rPr>
          <w:b/>
        </w:rPr>
        <w:t>complications majeures à surveiller impérativement</w:t>
      </w:r>
      <w:r>
        <w:t xml:space="preserve"> : </w:t>
      </w:r>
      <w:r>
        <w:rPr>
          <w:b/>
        </w:rPr>
        <w:t>(a) Glaucome cortico-induit</w:t>
      </w:r>
      <w:r>
        <w:t xml:space="preserve"> — incidence 20-30 % pour la prednisolone en collyre au-delà de 2-4 semaines de traitement continu (comparable à la dexaméthasone) ; surveillance impérative de la PIO avant prescription, à 2 semaines, à 6 semaines, puis tous les 2 à 3 mois en cas de traitement prolongé. </w:t>
      </w:r>
      <w:r>
        <w:rPr>
          <w:b/>
        </w:rPr>
        <w:t>(b) Cataracte sous-capsulaire postérieure</w:t>
      </w:r>
      <w:r>
        <w:t xml:space="preserve"> — incidence 5-15 % après 6 mois de traitement continu. </w:t>
      </w:r>
      <w:r>
        <w:rPr>
          <w:b/>
        </w:rPr>
        <w:t>(c) Kératite herpétique</w:t>
      </w:r>
      <w:r>
        <w:t xml:space="preserve"> — réactivation ou aggravation d'une infection herpétique oculaire méconnue. </w:t>
      </w:r>
      <w:r>
        <w:rPr>
          <w:b/>
        </w:rPr>
        <w:t>(d) Surinfection bactérienne, fongique ou acanthamibienne</w:t>
      </w:r>
      <w:r>
        <w:t xml:space="preserve"> — particulièrement à craindre en cas de port de lentilles de contact. </w:t>
      </w:r>
      <w:r>
        <w:rPr>
          <w:b/>
        </w:rPr>
        <w:t>(e) Retard de cicatrisation cornéenne</w:t>
      </w:r>
      <w:r>
        <w:t xml:space="preserve">. </w:t>
      </w:r>
      <w:r>
        <w:rPr>
          <w:b/>
        </w:rPr>
        <w:t>(f) Atrophie cutanée palpébrale</w:t>
      </w:r>
      <w:r>
        <w:t xml:space="preserve"> en cas de traitement prolongé.</w:t>
      </w:r>
    </w:p>
    <w:p>
      <w:pPr>
        <w:pStyle w:val="ListBullet"/>
      </w:pPr>
      <w:r/>
      <w:r>
        <w:rPr>
          <w:b/>
        </w:rPr>
        <w:t>Systémiques</w:t>
      </w:r>
      <w:r>
        <w:t xml:space="preserve"> (rares aux posologies ophtalmiques usuelles, mais à surveiller en cas de traitement prolongé ou à fortes doses) : syndrome de Cushing iatrogène (rare), insuffisance surrénalienne (très rare), hyperglycémie (à surveiller chez le diabétique), hypertension artérielle, hypokaliémie, rétention hydrosodée (plus marquée que pour la dexaméthasone en raison de l'activité minéralocorticoïde résiduelle), dyslipidémie, ostéoporose, troubles neuropsychiatriques.</w:t>
      </w:r>
    </w:p>
    <w:p>
      <w:pPr>
        <w:pStyle w:val="ListBullet"/>
      </w:pPr>
      <w:r/>
      <w:r>
        <w:rPr>
          <w:b/>
        </w:rPr>
        <w:t>Effets paradoxaux</w:t>
      </w:r>
      <w:r>
        <w:t xml:space="preserve"> : aggravation paradoxale d'une inflammation initialement méconnue (herpétique, fongique).</w:t>
      </w:r>
    </w:p>
    <w:p>
      <w:r/>
      <w:r>
        <w:rPr>
          <w:b/>
        </w:rPr>
        <w:t>Prévention et Gestion des Effets Indésirables :</w:t>
      </w:r>
      <w:r/>
    </w:p>
    <w:p>
      <w:pPr>
        <w:pStyle w:val="ListBullet"/>
      </w:pPr>
      <w:r>
        <w:t xml:space="preserve">Mesures préventives : Identiques à la dexaméthasone — </w:t>
      </w:r>
      <w:r>
        <w:rPr>
          <w:b/>
        </w:rPr>
        <w:t>(i) Examen ophtalmologique préalable systématique</w:t>
      </w:r>
      <w:r>
        <w:t xml:space="preserve"> ; </w:t>
      </w:r>
      <w:r>
        <w:rPr>
          <w:b/>
        </w:rPr>
        <w:t>(ii) Surveillance systématique de la PIO</w:t>
      </w:r>
      <w:r>
        <w:t xml:space="preserve"> à 2 semaines, à 6 semaines, puis tous les 2 à 3 mois en cas de traitement prolongé ; </w:t>
      </w:r>
      <w:r>
        <w:rPr>
          <w:b/>
        </w:rPr>
        <w:t>(iii) Information du patient sur les signes d'alerte</w:t>
      </w:r>
      <w:r>
        <w:t xml:space="preserve"> ; </w:t>
      </w:r>
      <w:r>
        <w:rPr>
          <w:b/>
        </w:rPr>
        <w:t>(iv) Respect des contre-indications absolues</w:t>
      </w:r>
      <w:r>
        <w:t xml:space="preserve"> ; </w:t>
      </w:r>
      <w:r>
        <w:rPr>
          <w:b/>
        </w:rPr>
        <w:t>(v) Éducation à la technique d'instillation</w:t>
      </w:r>
      <w:r>
        <w:t xml:space="preserve"> ; </w:t>
      </w:r>
      <w:r>
        <w:rPr>
          <w:b/>
        </w:rPr>
        <w:t>(vi) Décroissance posologique progressive</w:t>
      </w:r>
      <w:r>
        <w:t xml:space="preserve"> en fin de traitement ; </w:t>
      </w:r>
      <w:r>
        <w:rPr>
          <w:b/>
        </w:rPr>
        <w:t>(vii) Surveillance accrue en cas de port de lentilles de contact</w:t>
      </w:r>
      <w:r>
        <w:t xml:space="preserve"> ; </w:t>
      </w:r>
      <w:r>
        <w:rPr>
          <w:b/>
        </w:rPr>
        <w:t>(viii) Spécificité de OPTIPRED en suspension</w:t>
      </w:r>
      <w:r>
        <w:t xml:space="preserve"> : agitation légère du flacon avant emploi (5 à 10 secondes) pour remettre en suspension les microparticules d'acétate de prednisolone ; vérification visuelle de l'homogénéité de la suspension.</w:t>
      </w:r>
    </w:p>
    <w:p>
      <w:pPr>
        <w:pStyle w:val="ListBullet"/>
      </w:pPr>
      <w:r>
        <w:t>Conduite à tenir : Identique à la dexaméthasone. En cas de survenue d'un glaucome cortico-induit, arrêt du corticoïde ou changement pour une molécule à risque plus faible (fluorométholone, rimexolone), et introduction d'un traitement hypotonisant local si nécessaire.</w:t>
      </w:r>
    </w:p>
    <w:p>
      <w:r/>
      <w:r>
        <w:rPr>
          <w:b/>
        </w:rPr>
        <w:t>Interactions Importantes :</w:t>
      </w:r>
      <w:r/>
    </w:p>
    <w:p>
      <w:pPr>
        <w:pStyle w:val="ListBullet"/>
      </w:pPr>
      <w:r>
        <w:t xml:space="preserve">Identiques à la dexaméthasone : </w:t>
      </w:r>
      <w:r>
        <w:rPr>
          <w:b/>
        </w:rPr>
        <w:t>Autres collyres</w:t>
      </w:r>
      <w:r>
        <w:t xml:space="preserve"> (intervalle de 5 minutes) ; </w:t>
      </w:r>
      <w:r>
        <w:rPr>
          <w:b/>
        </w:rPr>
        <w:t>Lentilles de contact</w:t>
      </w:r>
      <w:r>
        <w:t xml:space="preserve"> (retrait obligatoire) ; </w:t>
      </w:r>
      <w:r>
        <w:rPr>
          <w:b/>
        </w:rPr>
        <w:t>Inducteurs enzymatiques du CYP3A4</w:t>
      </w:r>
      <w:r>
        <w:t xml:space="preserve"> (rifampicine, phénobarbital, phénytoïne, carbamazépine, éfavirenz, névirapine, millepertuis) — diminution de l'efficacité ; </w:t>
      </w:r>
      <w:r>
        <w:rPr>
          <w:b/>
        </w:rPr>
        <w:t>Inhibiteurs du CYP3A4</w:t>
      </w:r>
      <w:r>
        <w:t xml:space="preserve"> (kétoconazole, itraconazole, clarithromycine, ritonavir, etc.) — augmentation de l'imprégnation systémique ; </w:t>
      </w:r>
      <w:r>
        <w:rPr>
          <w:b/>
        </w:rPr>
        <w:t>Vaccins vivants atténués</w:t>
      </w:r>
      <w:r>
        <w:t xml:space="preserve"> — contre-indication ; </w:t>
      </w:r>
      <w:r>
        <w:rPr>
          <w:b/>
        </w:rPr>
        <w:t>Insuline et antidiabétiques</w:t>
      </w:r>
      <w:r>
        <w:t xml:space="preserve"> — effet hyperglycémiant ; </w:t>
      </w:r>
      <w:r>
        <w:rPr>
          <w:b/>
        </w:rPr>
        <w:t>Diurétiques hypokaliémiants</w:t>
      </w:r>
      <w:r>
        <w:t xml:space="preserve"> — majoration de l'hypokaliémie ; </w:t>
      </w:r>
      <w:r>
        <w:rPr>
          <w:b/>
        </w:rPr>
        <w:t>AINS</w:t>
      </w:r>
      <w:r>
        <w:t xml:space="preserve"> — majoration du risque ulcéreux ; </w:t>
      </w:r>
      <w:r>
        <w:rPr>
          <w:b/>
        </w:rPr>
        <w:t>Anticoagulants oraux</w:t>
      </w:r>
      <w:r>
        <w:t xml:space="preserve"> — variabilité de l'INR.</w:t>
      </w:r>
    </w:p>
    <w:p>
      <w:pPr>
        <w:pStyle w:val="ListBullet"/>
      </w:pPr>
      <w:r>
        <w:t>Pour les formes systémiques (comprimés, solutions buvables), interactions plus nombreuses et plus marquées en raison de la biodisponibilité systémique élevée.</w:t>
      </w:r>
    </w:p>
    <w:p>
      <w:r/>
      <w:r>
        <w:rPr>
          <w:b/>
        </w:rPr>
        <w:t>Grossesse et Allaitement :</w:t>
      </w:r>
      <w:r/>
    </w:p>
    <w:p>
      <w:pPr>
        <w:pStyle w:val="ListBullet"/>
      </w:pPr>
      <w:r>
        <w:t xml:space="preserve">Grossesse : La prednisolone ophtalmique en collyre est classée par le CRAT comme « </w:t>
      </w:r>
      <w:r>
        <w:rPr>
          <w:b/>
        </w:rPr>
        <w:t>utilisable quel que soit le terme</w:t>
      </w:r>
      <w:r>
        <w:t xml:space="preserve"> » chez la femme enceinte, sur la base d'une biodisponibilité systémique faible à modérée (≈ 5-15 %), et d'études animales rassurantes (la prednisolone est l'un des corticoïdes systémiques de référence chez la femme enceinte, en raison de son métabolisme placentaire partiel en 11β-hydroxystéroïde déshydrogénase type 2, qui inactive la molécule avant son passage fœtal). Aux posologies usuelles (1-2 gouttes 4-6 fois par jour), aucune augmentation du risque malformatif n'a été documentée. Pour les formes systémiques (comprimés, solutions buvables), la prednisolone est classée par le CRAT comme « utilisable quel que soit le terme » (en raison du métabolisme placentaire), à discuter au cas par cas pour les traitements prolongés à fortes doses au 3e trimestre (risque de retard de croissance intra-utérin et d'insuffisance surrénalienne néonatale transitoire).</w:t>
      </w:r>
    </w:p>
    <w:p>
      <w:pPr>
        <w:pStyle w:val="ListBullet"/>
      </w:pPr>
      <w:r>
        <w:t>Allaitement : Compatible avec l'allaitement pour les formes ophtalmiques ; le passage dans le lait maternel est faible (concentration lactée ≈ 5-25 % de la concentration plasmatique maternelle). Respecter un délai de 4 heures après la prise pour les formes systémiques (recommandation de l'Académie Américaine de Pédiatrie) ; pas de restriction pour les formes ophtalmiques (biodisponibilité systémique faible).</w:t>
      </w:r>
    </w:p>
    <w:p>
      <w:r/>
      <w:r>
        <w:rPr>
          <w:b/>
        </w:rPr>
        <w:t>Posologie et Mode d'administration (Standard) :</w:t>
      </w:r>
      <w:r/>
    </w:p>
    <w:p>
      <w:pPr>
        <w:pStyle w:val="ListBullet"/>
      </w:pPr>
      <w:r>
        <w:t xml:space="preserve">Adulte : </w:t>
      </w:r>
      <w:r>
        <w:rPr>
          <w:b/>
        </w:rPr>
        <w:t>1 goutte de collyre dans chaque œil, 4 à 6 fois par jour</w:t>
      </w:r>
      <w:r>
        <w:t xml:space="preserve"> en traitement d'attaque (pendant les premiers 3 à 7 jours), puis décroissance progressive à 3 puis 2 puis 1 fois par jour sur 2 à 3 semaines. En cas d'inflammation sévère (uvéite antérieure aiguë, chirurgie récente), augmentation temporaire à 1 goutte toutes les heures possible pendant les premiers 1 à 3 jours, puis espacement progressif. Dose maximale recommandée : 1 goutte 6 fois par jour par œil.</w:t>
      </w:r>
    </w:p>
    <w:p>
      <w:pPr>
        <w:pStyle w:val="ListBullet"/>
      </w:pPr>
      <w:r>
        <w:t xml:space="preserve">Enfant à partir de 3 ans : </w:t>
      </w:r>
      <w:r>
        <w:rPr>
          <w:b/>
        </w:rPr>
        <w:t>1 goutte de collyre dans chaque œil, 2 à 4 fois par jour</w:t>
      </w:r>
      <w:r>
        <w:t xml:space="preserve"> en traitement d'attaque, puis décroissance progressive. Dose maximale recommandée : 1 goutte 4 fois par jour par œil.</w:t>
      </w:r>
    </w:p>
    <w:p>
      <w:pPr>
        <w:pStyle w:val="ListBullet"/>
      </w:pPr>
      <w:r>
        <w:t xml:space="preserve">Mode d'administration : identique à la dexaméthasone. </w:t>
      </w:r>
      <w:r>
        <w:rPr>
          <w:b/>
        </w:rPr>
        <w:t>Spécificité de OPTIPRED en suspension</w:t>
      </w:r>
      <w:r>
        <w:t xml:space="preserve"> : agitation légère du flacon avant emploi (5 à 10 secondes) pour remettre en suspension les microparticules d'acétate de prednisolone ; vérification visuelle de l'homogénéité de la suspension.</w:t>
      </w:r>
    </w:p>
    <w:p>
      <w:pPr>
        <w:pStyle w:val="ListBullet"/>
      </w:pPr>
      <w:r>
        <w:t>Durée de traitement : variable selon l'indication — traitement d'attaque d'une inflammation aiguë : 1 à 3 semaines avec décroissance progressive ; traitement d'une inflammation chronique (uvéite récidivante, KCV, KCA) : traitement prolongé de plusieurs mois à années sous surveillance ophtalmologique stricte ; traitement post-chirurgical : 2 à 4 semaines avec décroissance progressive.</w:t>
      </w:r>
    </w:p>
    <w:p>
      <w:r/>
      <w:r>
        <w:rPr>
          <w:b/>
        </w:rPr>
        <w:t>Arbitrage et Bénéfices des Formes Galéniques :</w:t>
      </w:r>
      <w:r/>
    </w:p>
    <w:p>
      <w:r>
        <w:t xml:space="preserve">La prednisolone ophtalmique existe en Algérie sous deux formes galéniques distinctes : </w:t>
      </w:r>
      <w:r>
        <w:rPr>
          <w:b/>
        </w:rPr>
        <w:t>collyre en solution</w:t>
      </w:r>
      <w:r>
        <w:t xml:space="preserve"> (OPHTAPRED, phosphate de prednisolone hydrosoluble) et </w:t>
      </w:r>
      <w:r>
        <w:rPr>
          <w:b/>
        </w:rPr>
        <w:t>collyre en suspension</w:t>
      </w:r>
      <w:r>
        <w:t xml:space="preserve"> (OPTIPRED, acétate de prednisolone liposoluble). Le collyre en solution OPHTAPRED présente l'avantage d'une homogénéité parfaite (pas d'agitation préalable nécessaire) et d'une vision floue transitoire moins marquée après instillation, mais l'inconvénient d'une pénétration cornéenne moindre (en raison de la liposolubilité plus faible du phosphate sodique). Le collyre en suspension OPTIPRED présente l'avantage d'une meilleure pénétration cornéenne (en raison de la liposolubilité de l'acétate) et de concentrations intraoculaires supérieures, mais l'inconvénient d'une nécessité d'agitation préalable (risque d'oubli par le patient entraînant une instillation d'excipient sans principe actif) et d'une vision floue transitoire plus marquée après instillation. L'arbitrage entre les deux formes se fait sur le siège de l'inflammation (surface oculaire → collyre en solution OPHTAPRED ; intraoculaire antérieure → collyre en suspension OPTIPRED), sur la commodité d'usage (solution plus simple), sur la tolérance visuelle (solution moins trouble), et sur le coût. L'arbitrage entre prednisolone et dexaméthasone se fait sur la puissance (dexaméthasone ≈ 6-8 fois plus puissante que la prednisolone — avantage dexaméthasone pour les inflammations sévères), sur la disponibilité (la dexaméthasone est largement plus disponible en Algérie avec de nombreuses spécialités et associations à antibiotiques), et sur le coût. En pratique clinique algérienne, la prednisolone ophtalmique est moins prescrite que la dexaméthasone en raison de la plus grande disponibilité de cette dernière. La prednisolone systémique (comprimés orodispersibles, solutions buvables) reste le corticoïde oral de référence en Algérie, équivalent du Solupred® français.</w:t>
      </w:r>
    </w:p>
    <w:p>
      <w:r/>
      <w:r>
        <w:rPr>
          <w:b/>
        </w:rPr>
        <w:t>Instructions et Conseils au Patient :</w:t>
      </w:r>
      <w:r/>
    </w:p>
    <w:p>
      <w:pPr>
        <w:pStyle w:val="ListBullet"/>
      </w:pPr>
      <w:r>
        <w:t xml:space="preserve">Communication au comptoir : Identique à la dexaméthasone en ce qui concerne le </w:t>
      </w:r>
      <w:r>
        <w:rPr>
          <w:b/>
        </w:rPr>
        <w:t>respect strict de la prescription médicale</w:t>
      </w:r>
      <w:r>
        <w:t xml:space="preserve">, la </w:t>
      </w:r>
      <w:r>
        <w:rPr>
          <w:b/>
        </w:rPr>
        <w:t>surveillance de la pression intraoculaire</w:t>
      </w:r>
      <w:r>
        <w:t xml:space="preserve">, la </w:t>
      </w:r>
      <w:r>
        <w:rPr>
          <w:b/>
        </w:rPr>
        <w:t>décroissance posologique progressive</w:t>
      </w:r>
      <w:r>
        <w:t xml:space="preserve"> en fin de traitement, la </w:t>
      </w:r>
      <w:r>
        <w:rPr>
          <w:b/>
        </w:rPr>
        <w:t>technique d'instillation</w:t>
      </w:r>
      <w:r>
        <w:t xml:space="preserve">, le </w:t>
      </w:r>
      <w:r>
        <w:rPr>
          <w:b/>
        </w:rPr>
        <w:t>retrait des lentilles de contact</w:t>
      </w:r>
      <w:r>
        <w:t xml:space="preserve">, la </w:t>
      </w:r>
      <w:r>
        <w:rPr>
          <w:b/>
        </w:rPr>
        <w:t>durée d'utilisation après ouverture de 4 semaines</w:t>
      </w:r>
      <w:r>
        <w:t xml:space="preserve">, et la </w:t>
      </w:r>
      <w:r>
        <w:rPr>
          <w:b/>
        </w:rPr>
        <w:t>conservation à température ambiante</w:t>
      </w:r>
      <w:r>
        <w:t xml:space="preserve">. </w:t>
      </w:r>
      <w:r>
        <w:rPr>
          <w:b/>
        </w:rPr>
        <w:t>Spécificité de OPTIPRED en suspension</w:t>
      </w:r>
      <w:r>
        <w:t xml:space="preserve"> : insister sur l'</w:t>
      </w:r>
      <w:r>
        <w:rPr>
          <w:b/>
        </w:rPr>
        <w:t>agitation légère du flacon avant emploi</w:t>
      </w:r>
      <w:r>
        <w:t xml:space="preserve"> (5 à 10 secondes) pour remettre en suspension les microparticules d'acétate de prednisolone.</w:t>
      </w:r>
    </w:p>
    <w:p>
      <w:pPr>
        <w:pStyle w:val="ListBullet"/>
      </w:pPr>
      <w:r>
        <w:t>Information sur les signes d'alerte : identiques à la dexaméthasone (douleur oculaire intense, baisse d'acuité visuelle, photophobie majeure, halos autour des lumières, rougeur conjonctivale majeure, sécrétions purulentes) → arrêt immédiat et consultation ophtalmologique urgente.</w:t>
      </w:r>
    </w:p>
    <w:p>
      <w:r/>
      <w:r>
        <w:rPr>
          <w:b/>
        </w:rPr>
        <w:t>Notes, Règles d'Or &amp; Pièges au Comptoir :</w:t>
      </w:r>
      <w:r/>
    </w:p>
    <w:p>
      <w:pPr>
        <w:pStyle w:val="ListBullet"/>
      </w:pPr>
      <w:r>
        <w:t xml:space="preserve">Piège classique de la </w:t>
      </w:r>
      <w:r>
        <w:rPr>
          <w:b/>
        </w:rPr>
        <w:t>prescription sans examen ophtalmologique préalable</w:t>
      </w:r>
      <w:r>
        <w:t xml:space="preserve"> : à proscrire formellement.</w:t>
      </w:r>
    </w:p>
    <w:p>
      <w:pPr>
        <w:pStyle w:val="ListBullet"/>
      </w:pPr>
      <w:r>
        <w:t xml:space="preserve">Piège du </w:t>
      </w:r>
      <w:r>
        <w:rPr>
          <w:b/>
        </w:rPr>
        <w:t>traitement prolongé sans surveillance de la PIO</w:t>
      </w:r>
      <w:r>
        <w:t xml:space="preserve"> : risque majeur de glaucome cortico-induit permanent.</w:t>
      </w:r>
    </w:p>
    <w:p>
      <w:pPr>
        <w:pStyle w:val="ListBullet"/>
      </w:pPr>
      <w:r>
        <w:t xml:space="preserve">Piège de la </w:t>
      </w:r>
      <w:r>
        <w:rPr>
          <w:b/>
        </w:rPr>
        <w:t>prescription chez un patient aux antécédents d'herpès oculaire</w:t>
      </w:r>
      <w:r>
        <w:t xml:space="preserve"> : contre-indication absolue.</w:t>
      </w:r>
    </w:p>
    <w:p>
      <w:pPr>
        <w:pStyle w:val="ListBullet"/>
      </w:pPr>
      <w:r>
        <w:t xml:space="preserve">Piège du </w:t>
      </w:r>
      <w:r>
        <w:rPr>
          <w:b/>
        </w:rPr>
        <w:t>port de lentilles de contact pendant l'instillation</w:t>
      </w:r>
      <w:r>
        <w:t xml:space="preserve"> : risque de fixation du chlorure de benzalkonium sur la lentille et de surinfection.</w:t>
      </w:r>
    </w:p>
    <w:p>
      <w:pPr>
        <w:pStyle w:val="ListBullet"/>
      </w:pPr>
      <w:r>
        <w:t>Piège de l'</w:t>
      </w:r>
      <w:r>
        <w:rPr>
          <w:b/>
        </w:rPr>
        <w:t>arrêt brutal en fin de traitement</w:t>
      </w:r>
      <w:r>
        <w:t xml:space="preserve"> : rébound inflammatoire possible, décroissance progressive recommandée.</w:t>
      </w:r>
    </w:p>
    <w:p>
      <w:pPr>
        <w:pStyle w:val="ListBullet"/>
      </w:pPr>
      <w:r>
        <w:t xml:space="preserve">Piège de la </w:t>
      </w:r>
      <w:r>
        <w:rPr>
          <w:b/>
        </w:rPr>
        <w:t>non-agitation de OPTIPRED en suspension avant emploi</w:t>
      </w:r>
      <w:r>
        <w:t xml:space="preserve"> : instillation d'excipient sans principe actif, inefficacité thérapeutique.</w:t>
      </w:r>
    </w:p>
    <w:p>
      <w:pPr>
        <w:pStyle w:val="ListBullet"/>
      </w:pPr>
      <w:r>
        <w:t xml:space="preserve">Piège de la </w:t>
      </w:r>
      <w:r>
        <w:rPr>
          <w:b/>
        </w:rPr>
        <w:t>vérification du dosage</w:t>
      </w:r>
      <w:r>
        <w:t xml:space="preserve"> : les dosages enregistrés dans la nomenclature algérienne (0,005 et 0,01) sont très inférieurs aux concentrations internationales habituelles (1 %) ; à vérifier systématiquement au comptoir et à clarifier auprès du prescripteur en cas de doute.</w:t>
      </w:r>
    </w:p>
    <w:p>
      <w:pPr>
        <w:pStyle w:val="ListBullet"/>
      </w:pPr>
      <w:r>
        <w:t xml:space="preserve">Piège de la </w:t>
      </w:r>
      <w:r>
        <w:rPr>
          <w:b/>
        </w:rPr>
        <w:t>confusion entre prednisolone ophtalmique et prednisolone systémique</w:t>
      </w:r>
      <w:r>
        <w:t xml:space="preserve"> : vérifier systématiquement la forme prescrite et la voie d'administration.</w:t>
      </w:r>
    </w:p>
    <w:p>
      <w:pPr>
        <w:pStyle w:val="ListBullet"/>
      </w:pPr>
      <w:r>
        <w:t>Règle d'or : « Prednisolone ophtalmique = prescription médicale obligatoire (Liste I), examen ophtalmologique préalable systématique, surveillance de la PIO à 2/6/12 semaines puis tous les 2-3 mois, contre-indication absolue au herpès oculaire, agitation de OPTIPRED en suspension avant emploi, décroissance progressive en fin de traitement ».</w:t>
      </w:r>
    </w:p>
    <w:p>
      <w:pPr>
        <w:pStyle w:val="Heading3"/>
      </w:pPr>
      <w:r>
        <w:t>142.4.4 DCI : Fluorométholone</w:t>
      </w:r>
    </w:p>
    <w:p>
      <w:r/>
      <w:r>
        <w:rPr>
          <w:b/>
        </w:rPr>
        <w:t>Liste des Catégories :</w:t>
      </w:r>
      <w:r>
        <w:t xml:space="preserve"> Liste I.</w:t>
      </w:r>
    </w:p>
    <w:p>
      <w:r>
        <w:t xml:space="preserve">La fluorométholone est un corticoïde de synthèse fluoré de 2e génération, dérivé de la pregn-1,4-diène-3,20-dione substitué en 9α-fluoro, 11β,17α-dihydroxy, 6α-méthyl (9α-fluoro-11β,17α-dihydroxy-6α-méthylpregna-1,4-diène-3,20-dione). Cette molécule a été développée spécifiquement pour un usage ophtalmologique par Allergan (États-Unis) à la fin des années 1950, sous le nom d'FML® (Fluorometholone) — spécialité princeps historique de la classe. La particularité pharmacologique de la fluorométholone, qui la distingue fondamentalement de la dexaméthasone et de la prednisolone, est sa </w:t>
      </w:r>
      <w:r>
        <w:rPr>
          <w:b/>
        </w:rPr>
        <w:t>faible pénétration cornéenne</w:t>
      </w:r>
      <w:r>
        <w:t xml:space="preserve"> et son </w:t>
      </w:r>
      <w:r>
        <w:rPr>
          <w:b/>
        </w:rPr>
        <w:t>métabolisme local rapide</w:t>
      </w:r>
      <w:r>
        <w:t xml:space="preserve"> en métabolites inactifs, ce qui limite considérablement son passage intraoculaire et son effet sur le trabéculum cornéoscléral — d'où un </w:t>
      </w:r>
      <w:r>
        <w:rPr>
          <w:b/>
        </w:rPr>
        <w:t>risque de glaucome cortico-induit significativement plus faible</w:t>
      </w:r>
      <w:r>
        <w:t xml:space="preserve"> (incidence 5-10 % vs 20-30 % pour la dexaméthasone et la prednisolone). Cette caractéristique en fait le corticoïde ophtalmique de choix pour les </w:t>
      </w:r>
      <w:r>
        <w:rPr>
          <w:b/>
        </w:rPr>
        <w:t>traitements prolongés de la surface oculaire</w:t>
      </w:r>
      <w:r>
        <w:t xml:space="preserve"> (conjonctivites allergiques sévères, kératoconjonctivites vernale et atopique, kératites immunitaires, blépharites chroniques), lorsque la durée prévue du traitement excède 4 à 6 semaines et que le risque de glaucome cortico-induit devient préoccupant avec les corticoïdes forts (dexaméthasone, prednisolone). En Algérie, la fluorométholone ophtalmique est disponible sous trois spécialités actives au dosage de 0,1 % (1 mg/mL) en flacon de 5 mL : FLULIX (Generic Lab, collyre en solution), OPTIF JAM (Jamjoom Algeria, collyre en solution), et OPTIF PLUS (Jamjoom Algeria, suspension ophtalmique en association avec le cromoglycate de sodium 20 mg/mL — stabilisateur mastocytaire). Le pharmacien d'officine joue un rôle-clé dans la </w:t>
      </w:r>
      <w:r>
        <w:rPr>
          <w:b/>
        </w:rPr>
        <w:t>vérification systématique de la prescription médicale obligatoire</w:t>
      </w:r>
      <w:r>
        <w:t xml:space="preserve"> (Liste I), dans l'</w:t>
      </w:r>
      <w:r>
        <w:rPr>
          <w:b/>
        </w:rPr>
        <w:t>interrogatoire sur les antécédents</w:t>
      </w:r>
      <w:r>
        <w:t xml:space="preserve"> (herpès oculaire, glaucome, chirurgie oculaire récente), dans l'</w:t>
      </w:r>
      <w:r>
        <w:rPr>
          <w:b/>
        </w:rPr>
        <w:t>éducation à la technique d'instillation</w:t>
      </w:r>
      <w:r>
        <w:t xml:space="preserve"> (avec spécificité pour OPTIF PLUS en suspension : agitation préalable), et dans le </w:t>
      </w:r>
      <w:r>
        <w:rPr>
          <w:b/>
        </w:rPr>
        <w:t>repérage des signes d'alerte</w:t>
      </w:r>
      <w:r>
        <w:t xml:space="preserve"> (douleur oculaire, baisse d'acuité visuelle, photophobie, halos) orientant vers une consultation ophtalmologique urgente.</w:t>
      </w:r>
    </w:p>
    <w:p>
      <w:r/>
      <w:r>
        <w:rPr>
          <w:b/>
        </w:rPr>
        <w:t>Médicaments disponibles en Algérie (tableau commercial)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FLULIX</w:t>
            </w:r>
          </w:p>
        </w:tc>
        <w:tc>
          <w:tcPr>
            <w:tcW w:type="dxa" w:w="1559"/>
          </w:tcPr>
          <w:p>
            <w:r>
              <w:rPr>
                <w:sz w:val="20"/>
              </w:rPr>
              <w:t>GENERIC LAB</w:t>
            </w:r>
          </w:p>
        </w:tc>
        <w:tc>
          <w:tcPr>
            <w:tcW w:type="dxa" w:w="1559"/>
          </w:tcPr>
          <w:p>
            <w:r>
              <w:rPr>
                <w:sz w:val="20"/>
              </w:rPr>
              <w:t>Collyre en solution 0,1 % (1 mg/mL)</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r>
        <w:tc>
          <w:tcPr>
            <w:tcW w:type="dxa" w:w="1559"/>
          </w:tcPr>
          <w:p>
            <w:r>
              <w:rPr>
                <w:sz w:val="20"/>
              </w:rPr>
              <w:t>OPTIF JAM</w:t>
            </w:r>
          </w:p>
        </w:tc>
        <w:tc>
          <w:tcPr>
            <w:tcW w:type="dxa" w:w="1559"/>
          </w:tcPr>
          <w:p>
            <w:r>
              <w:rPr>
                <w:sz w:val="20"/>
              </w:rPr>
              <w:t>SPA JAMJOOM ALGERIA LIL DAWA</w:t>
            </w:r>
          </w:p>
        </w:tc>
        <w:tc>
          <w:tcPr>
            <w:tcW w:type="dxa" w:w="1559"/>
          </w:tcPr>
          <w:p>
            <w:r>
              <w:rPr>
                <w:sz w:val="20"/>
              </w:rPr>
              <w:t>Collyre en solution 0,1 % (1 mg/mL)</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r>
        <w:tc>
          <w:tcPr>
            <w:tcW w:type="dxa" w:w="1559"/>
          </w:tcPr>
          <w:p>
            <w:r>
              <w:rPr>
                <w:sz w:val="20"/>
              </w:rPr>
              <w:t>OPTIF PLUS</w:t>
            </w:r>
          </w:p>
        </w:tc>
        <w:tc>
          <w:tcPr>
            <w:tcW w:type="dxa" w:w="1559"/>
          </w:tcPr>
          <w:p>
            <w:r>
              <w:rPr>
                <w:sz w:val="20"/>
              </w:rPr>
              <w:t>SPA JAMJOOM ALGERIA LIL DAWA</w:t>
            </w:r>
          </w:p>
        </w:tc>
        <w:tc>
          <w:tcPr>
            <w:tcW w:type="dxa" w:w="1559"/>
          </w:tcPr>
          <w:p>
            <w:r>
              <w:rPr>
                <w:sz w:val="20"/>
              </w:rPr>
              <w:t>Suspension ophtalmique fluorométholone 1 mg/mL + cromoglycate de sodium 20 mg/mL</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bl>
    <w:p/>
    <w:p>
      <w:r>
        <w:t xml:space="preserve">La disponibilité commerciale de la fluorométholone ophtalmique en Algérie repose sur </w:t>
      </w:r>
      <w:r>
        <w:rPr>
          <w:b/>
        </w:rPr>
        <w:t>3 spécialités actives</w:t>
      </w:r>
      <w:r>
        <w:t xml:space="preserve"> au dosage de 0,1 % (1 mg/mL), conditionnées en flacon multidose de 5 mL. À la posologie standard de 1 à 2 gouttes 4 fois par jour par œil, un flacon de 5 mL offre une autonomie de traitement de 7 à 10 jours en moyenne. Les deux spécialités FLULIX (Generic Lab) et OPTIF JAM (Jamjoom Algeria) sont des collyres en solution simple de fluorométholone, indiqués dans les inflammations stériles de la surface oculaire. La spécialité OPTIF PLUS (Jamjoom Algeria) se distingue par son association au cromoglycate de sodium (stabilisateur mastocytaire), qui en fait un traitement de choix pour les </w:t>
      </w:r>
      <w:r>
        <w:rPr>
          <w:b/>
        </w:rPr>
        <w:t>conjonctivites allergiques sévères avec composante mastocytaire prédominante</w:t>
      </w:r>
      <w:r>
        <w:t xml:space="preserve"> (KCV, KCA, conjonctivites perannuelles sévères), en combinant l'action anti-inflammatoire corticoïde et l'action inhibitrice mastocytaire. La formulation en suspension d'OPTIF PLUS nécessite une agitation préalable avant emploi. À noter la disponibilité historique de la spécialité FLUCON (Alcon), aujourd'hui non renouvelée, qui était le princeps historique de la fluorométholone ophtalmique en Algérie. À noter également que la fluorométholone existe dans d'autres marchés internationaux en formulation unidose sans conservateur et en concentration 0,25 % (FML FORTE), non disponibles dans la nomenclature algérienne Avril 2026.</w:t>
      </w:r>
    </w:p>
    <w:p>
      <w:r/>
      <w:r>
        <w:rPr>
          <w:b/>
        </w:rPr>
        <w:t>Sous-classe et Mécanisme d'action :</w:t>
      </w:r>
      <w:r/>
    </w:p>
    <w:p>
      <w:pPr>
        <w:pStyle w:val="ListBullet"/>
      </w:pPr>
      <w:r>
        <w:t>Sous-classe : Corticoïde de synthèse fluoré de 2e génération, dérivé pregn-1,4-diène substitué en 9α-fluoro, 6α-méthyl, 11β,17α-dihydroxy. Liste I.</w:t>
      </w:r>
    </w:p>
    <w:p>
      <w:pPr>
        <w:pStyle w:val="ListBullet"/>
      </w:pPr>
      <w:r>
        <w:t xml:space="preserve">Mécanisme d'action : La fluorométholone, molécule amphiphile lipophile (logP ≈ 1,9), traverse le film lacrymal et la couche épithéliale cornéenne, mais sa progression intraoculaire est limitée par deux caractéristiques pharmacologiques distinctives : (i) sa </w:t>
      </w:r>
      <w:r>
        <w:rPr>
          <w:b/>
        </w:rPr>
        <w:t>faible pénétration trans-stromale et trans-endothéliale</w:t>
      </w:r>
      <w:r>
        <w:t xml:space="preserve"> (en raison d'une lipophilie modérée et d'un poids moléculaire relativement élevé), qui restreint son action à la surface oculaire (conjonctive, cornée épithéliale) et limite son passage dans l'humeur aqueuse et les structures intraoculaires profondes (iris, corps ciliaire, trabéculum) ; (ii) son </w:t>
      </w:r>
      <w:r>
        <w:rPr>
          <w:b/>
        </w:rPr>
        <w:t>métabolisme local rapide</w:t>
      </w:r>
      <w:r>
        <w:t xml:space="preserve"> par les estérases cornéennes et conjonctivales en métabolites inactifs (principalement 20α-dihydrofluorométholone, activité glucocorticoïde résiduelle &lt; 5 % de la molécule mère), qui accélère son élimination locale et réduit encore sa biodisponibilité intraoculaire. Ces deux caractéristiques expliquent le profil original de la fluorométholone : </w:t>
      </w:r>
      <w:r>
        <w:rPr>
          <w:b/>
        </w:rPr>
        <w:t>efficacité anti-inflammatoire sur la surface oculaire conservée</w:t>
      </w:r>
      <w:r>
        <w:t xml:space="preserve"> (action locale puissante sur la conjonctive et l'épithélium cornéen) et </w:t>
      </w:r>
      <w:r>
        <w:rPr>
          <w:b/>
        </w:rPr>
        <w:t>risque intraoculaire significativement réduit</w:t>
      </w:r>
      <w:r>
        <w:t xml:space="preserve"> (glaucome cortico-induit et cataracte). Le mécanisme moléculaire de l'effet anti-inflammatoire est identique à celui des autres corticoïdes : fixation avec une affinité nanomolaire élevée (Kd ≈ 12 nM, soit environ 2 fois inférieure à celle de la dexaméthasone) sur le </w:t>
      </w:r>
      <w:r>
        <w:rPr>
          <w:b/>
        </w:rPr>
        <w:t>récepteur glucocorticoïde alpha (GRα) cytosolique</w:t>
      </w:r>
      <w:r>
        <w:t xml:space="preserve">, transconformation, translocation nucléaire, fixation aux </w:t>
      </w:r>
      <w:r>
        <w:rPr>
          <w:b/>
        </w:rPr>
        <w:t>GRE positifs</w:t>
      </w:r>
      <w:r>
        <w:t xml:space="preserve"> (trans-activation des gènes anti-inflammatoires : annexine-1/lipocortine-1, IκB-α, MKP-1, GILZ) et aux </w:t>
      </w:r>
      <w:r>
        <w:rPr>
          <w:b/>
        </w:rPr>
        <w:t>GRE négatifs</w:t>
      </w:r>
      <w:r>
        <w:t xml:space="preserve"> (trans-répression des gènes pro-inflammatoires : IL-1, IL-2, IL-3, IL-4, IL-5, IL-6, IL-8, IL-13, TNF-α, IFN-γ, GM-CSF, COX-2, iNOS), avec trans-répression additionnelle par interaction protéine-protéine avec AP-1, NF-κB et NF-AT. La biodisponibilité systémique par voie ophtalmique est très faible (&lt; 1 % en raison du métabolisme local rapide), ce qui explique l'absence d'effets systémiques notables aux posologies usuelles. La fraction absorbée est métabolisée par le cytochrome CYP3A4, éliminée par voie rénale et fécale. La demi-vie plasmatique est de 1 à 2 heures (parent), mais la </w:t>
      </w:r>
      <w:r>
        <w:rPr>
          <w:b/>
        </w:rPr>
        <w:t>demi-vie biologique locale</w:t>
      </w:r>
      <w:r>
        <w:t xml:space="preserve"> (durée de l'effet anti-inflammatoire sur la surface oculaire) est de 8 à 12 heures, autorisant une administration biquotidienne à quadriquotidienne.</w:t>
      </w:r>
    </w:p>
    <w:p>
      <w:r/>
      <w:r>
        <w:rPr>
          <w:b/>
        </w:rPr>
        <w:t>Profil Pharmacologique :</w:t>
      </w:r>
      <w:r/>
    </w:p>
    <w:p>
      <w:pPr>
        <w:pStyle w:val="ListBullet"/>
      </w:pPr>
      <w:r>
        <w:t xml:space="preserve">Indications AMM adultes et enfants : (1) </w:t>
      </w:r>
      <w:r>
        <w:rPr>
          <w:b/>
        </w:rPr>
        <w:t>Inflammations de la surface oculaire</w:t>
      </w:r>
      <w:r>
        <w:t xml:space="preserve"> — conjonctivites allergiques sévères résistantes aux antihistaminiques et aux stabilisateurs mastocytaires ; kératoconjonctivite vernale (KCV) en traitement de fond ; kératoconjonctivite atopique (KCA) en traitement de fond ; kératites immunitaires (kératite marginale, kératite limbique) ; blépharites chroniques inflammatoires. (2) </w:t>
      </w:r>
      <w:r>
        <w:rPr>
          <w:b/>
        </w:rPr>
        <w:t>Inflammations post-chirurgicales légères</w:t>
      </w:r>
      <w:r>
        <w:t xml:space="preserve"> — chirurgie réfractive (LASIK, PKR) en relais de la dexaméthasone pour la phase de cicatrisation épithéliale ; chirurgie de la cataracte en relais de la dexaméthasone pour le traitement prolongé de l'inflammation résiduelle. (3) </w:t>
      </w:r>
      <w:r>
        <w:rPr>
          <w:b/>
        </w:rPr>
        <w:t>Indications particulières</w:t>
      </w:r>
      <w:r>
        <w:t xml:space="preserve"> — patients à haut risque de glaucome cortico-induit (glaucome connu, antécédent familial de glaucome, patients corticosensibles) nécessitant un traitement corticoïde prolongé de la surface oculaire ; patients âgés nécessitant un traitement corticoïde de la surface oculaire.</w:t>
      </w:r>
    </w:p>
    <w:p>
      <w:pPr>
        <w:pStyle w:val="ListBullet"/>
      </w:pPr>
      <w:r>
        <w:t xml:space="preserve">Contre-indications : </w:t>
      </w:r>
      <w:r>
        <w:rPr>
          <w:b/>
        </w:rPr>
        <w:t>(i) Herpès oculaire actif</w:t>
      </w:r>
      <w:r>
        <w:t xml:space="preserve"> — contre-indication formelle absolue (bien que le risque soit moindre qu'avec la dexaméthasone en raison de la faible pénétration intraoculaire, le risque d'aggravation de la kératite herpétique épithéliale reste réel) ; </w:t>
      </w:r>
      <w:r>
        <w:rPr>
          <w:b/>
        </w:rPr>
        <w:t>(ii) Infections fongiques oculaires</w:t>
      </w:r>
      <w:r>
        <w:t xml:space="preserve"> — contre-indication absolue ; </w:t>
      </w:r>
      <w:r>
        <w:rPr>
          <w:b/>
        </w:rPr>
        <w:t>(iii) Infections mycobactériennes oculaires</w:t>
      </w:r>
      <w:r>
        <w:t xml:space="preserve"> ; </w:t>
      </w:r>
      <w:r>
        <w:rPr>
          <w:b/>
        </w:rPr>
        <w:t>(iv) Glaucome non équilibré</w:t>
      </w:r>
      <w:r>
        <w:t xml:space="preserve"> — contre-indication relative (bien que le risque soit moindre qu'avec la dexaméthasone, il reste non négligeable à 5-10 % d'incidence après 4-6 semaines) ; </w:t>
      </w:r>
      <w:r>
        <w:rPr>
          <w:b/>
        </w:rPr>
        <w:t>(v) Hypersensibilité à la fluorométholone</w:t>
      </w:r>
      <w:r>
        <w:t xml:space="preserve"> ou à l'un des excipients ; </w:t>
      </w:r>
      <w:r>
        <w:rPr>
          <w:b/>
        </w:rPr>
        <w:t>(vi) Enfant de moins de 2 ans</w:t>
      </w:r>
      <w:r>
        <w:t xml:space="preserve"> (selon AMM) ; </w:t>
      </w:r>
      <w:r>
        <w:rPr>
          <w:b/>
        </w:rPr>
        <w:t>(vii) Vaccination récente par vaccin vivant atténué</w:t>
      </w:r>
      <w:r>
        <w:t xml:space="preserve"> dans les 2 semaines précédentes.</w:t>
      </w:r>
    </w:p>
    <w:p>
      <w:pPr>
        <w:pStyle w:val="ListBullet"/>
      </w:pPr>
      <w:r>
        <w:t>Spectre d'action : La fluorométholone n'a aucune activité antibiotique, antifongique ou antivirale propre. Son action immunosuppressive locale impose la vérification préalable de l'absence d'infection active.</w:t>
      </w:r>
    </w:p>
    <w:p>
      <w:r/>
      <w:r>
        <w:rPr>
          <w:b/>
        </w:rPr>
        <w:t>Effets Indésirables :</w:t>
      </w:r>
      <w:r/>
    </w:p>
    <w:p>
      <w:pPr>
        <w:pStyle w:val="ListBullet"/>
      </w:pPr>
      <w:r/>
      <w:r>
        <w:rPr>
          <w:b/>
        </w:rPr>
        <w:t>Locaux précoces</w:t>
      </w:r>
      <w:r>
        <w:t xml:space="preserve"> (premières minutes à premières semaines) : sensation de brûlure transitoire à l'instillation (5 à 10 %), picotements, irritation conjonctivale, hyperhémie conjonctivale paradoxale transitoire, sécheresse oculaire, sensation de corps étranger, larmoiement réflexe, vision floue transitoire (plus marquée avec OPTIF PLUS en suspension), blépharite transitoire.</w:t>
      </w:r>
    </w:p>
    <w:p>
      <w:pPr>
        <w:pStyle w:val="ListBullet"/>
      </w:pPr>
      <w:r/>
      <w:r>
        <w:rPr>
          <w:b/>
        </w:rPr>
        <w:t>Locaux tardifs</w:t>
      </w:r>
      <w:r>
        <w:t xml:space="preserve"> (au-delà de 2 semaines) — </w:t>
      </w:r>
      <w:r>
        <w:rPr>
          <w:b/>
        </w:rPr>
        <w:t>complications à surveiller, mais moins fréquentes qu'avec la dexaméthasone et la prednisolone</w:t>
      </w:r>
      <w:r>
        <w:t xml:space="preserve"> : </w:t>
      </w:r>
      <w:r>
        <w:rPr>
          <w:b/>
        </w:rPr>
        <w:t>(a) Glaucome cortico-induit</w:t>
      </w:r>
      <w:r>
        <w:t xml:space="preserve"> — incidence 5-10 % pour la fluorométholone en collyre au-delà de 4-6 semaines de traitement continu (vs 20-30 % pour la dexaméthasone et la prednisolone) ; surveillance de la PIO avant prescription, à 4 semaines, puis tous les 2 à 3 mois en cas de traitement prolongé. </w:t>
      </w:r>
      <w:r>
        <w:rPr>
          <w:b/>
        </w:rPr>
        <w:t>(b) Cataracte sous-capsulaire postérieure</w:t>
      </w:r>
      <w:r>
        <w:t xml:space="preserve"> — incidence 2-5 % après 6 mois de traitement continu (vs 5-15 % pour la dexaméthasone). </w:t>
      </w:r>
      <w:r>
        <w:rPr>
          <w:b/>
        </w:rPr>
        <w:t>(c) Kératite herpétique</w:t>
      </w:r>
      <w:r>
        <w:t xml:space="preserve"> — réactivation possible (risque moindre mais non nul). </w:t>
      </w:r>
      <w:r>
        <w:rPr>
          <w:b/>
        </w:rPr>
        <w:t>(d) Surinfection bactérienne, fongique ou acanthamibienne</w:t>
      </w:r>
      <w:r>
        <w:t xml:space="preserve"> — particulièrement à craindre en cas de port de lentilles de contact. </w:t>
      </w:r>
      <w:r>
        <w:rPr>
          <w:b/>
        </w:rPr>
        <w:t>(e) Retard de cicatrisation cornéenne</w:t>
      </w:r>
      <w:r>
        <w:t xml:space="preserve"> — moins marqué qu'avec la dexaméthasone. </w:t>
      </w:r>
      <w:r>
        <w:rPr>
          <w:b/>
        </w:rPr>
        <w:t>(f) Atrophie cutanée palpébrale</w:t>
      </w:r>
      <w:r>
        <w:t xml:space="preserve"> en cas de traitement prolongé.</w:t>
      </w:r>
    </w:p>
    <w:p>
      <w:pPr>
        <w:pStyle w:val="ListBullet"/>
      </w:pPr>
      <w:r/>
      <w:r>
        <w:rPr>
          <w:b/>
        </w:rPr>
        <w:t>Systémiques</w:t>
      </w:r>
      <w:r>
        <w:t xml:space="preserve"> (exceptionnels aux posologies ophtalmiques usuelles en raison de la très faible biodisponibilité systémique &lt; 1 %) : aucun effet systémique notable aux posologies usuelles, ce qui est un avantage majeur de la fluorométholone.</w:t>
      </w:r>
    </w:p>
    <w:p>
      <w:pPr>
        <w:pStyle w:val="ListBullet"/>
      </w:pPr>
      <w:r/>
      <w:r>
        <w:rPr>
          <w:b/>
        </w:rPr>
        <w:t>Effets paradoxaux</w:t>
      </w:r>
      <w:r>
        <w:t xml:space="preserve"> : aggravation paradoxale d'une inflammation initialement méconnue (herpétique, fongique), moins fréquente qu'avec la dexaméthasone.</w:t>
      </w:r>
    </w:p>
    <w:p>
      <w:r/>
      <w:r>
        <w:rPr>
          <w:b/>
        </w:rPr>
        <w:t>Prévention et Gestion des Effets Indésirables :</w:t>
      </w:r>
      <w:r/>
    </w:p>
    <w:p>
      <w:pPr>
        <w:pStyle w:val="ListBullet"/>
      </w:pPr>
      <w:r>
        <w:t xml:space="preserve">Mesures préventives : Identiques à la dexaméthasone, avec une surveillance de la PIO qui peut être espacée (à 4 semaines, puis tous les 2-3 mois en cas de traitement prolongé — vs à 2 semaines, 6 semaines, puis tous les 2-3 mois pour la dexaméthasone). </w:t>
      </w:r>
      <w:r>
        <w:rPr>
          <w:b/>
        </w:rPr>
        <w:t>Spécificité de OPTIF PLUS en suspension</w:t>
      </w:r>
      <w:r>
        <w:t xml:space="preserve"> : agitation légère du flacon avant emploi (5 à 10 secondes) pour remettre en suspension les microparticules de fluorométholone et de cromoglycate de sodium ; vérification visuelle de l'homogénéité de la suspension.</w:t>
      </w:r>
    </w:p>
    <w:p>
      <w:pPr>
        <w:pStyle w:val="ListBullet"/>
      </w:pPr>
      <w:r>
        <w:t>Conduite à tenir : Identique à la dexaméthasone. En cas d'élévation de la PIO &gt; 21 mmHg ou &gt; 5 mmHg par rapport à la PIO de référence, arrêt du corticoïde ou changement pour une molécule à risque encore plus faible (rimexolone si disponible), et introduction d'un traitement hypotonisant local si nécessaire.</w:t>
      </w:r>
    </w:p>
    <w:p>
      <w:r/>
      <w:r>
        <w:rPr>
          <w:b/>
        </w:rPr>
        <w:t>Interactions Importantes :</w:t>
      </w:r>
      <w:r/>
    </w:p>
    <w:p>
      <w:pPr>
        <w:pStyle w:val="ListBullet"/>
      </w:pPr>
      <w:r/>
      <w:r>
        <w:rPr>
          <w:b/>
        </w:rPr>
        <w:t>Autres collyres</w:t>
      </w:r>
      <w:r>
        <w:t xml:space="preserve"> : instillation à au moins 5 minutes d'intervalle.</w:t>
      </w:r>
    </w:p>
    <w:p>
      <w:pPr>
        <w:pStyle w:val="ListBullet"/>
      </w:pPr>
      <w:r/>
      <w:r>
        <w:rPr>
          <w:b/>
        </w:rPr>
        <w:t>Lentilles de contact</w:t>
      </w:r>
      <w:r>
        <w:t xml:space="preserve"> : retrait obligatoire avant instillation et remise après 15 minutes.</w:t>
      </w:r>
    </w:p>
    <w:p>
      <w:pPr>
        <w:pStyle w:val="ListBullet"/>
      </w:pPr>
      <w:r/>
      <w:r>
        <w:rPr>
          <w:b/>
        </w:rPr>
        <w:t>Inducteurs enzymatiques du CYP3A4</w:t>
      </w:r>
      <w:r>
        <w:t xml:space="preserve"> (rifampicine, phénobarbital, phénytoïne, carbamazépine, éfavirenz, névirapine, millepertuis) : pas d'interaction cliniquement significative (biodisponibilité systémique négligeable).</w:t>
      </w:r>
    </w:p>
    <w:p>
      <w:pPr>
        <w:pStyle w:val="ListBullet"/>
      </w:pPr>
      <w:r/>
      <w:r>
        <w:rPr>
          <w:b/>
        </w:rPr>
        <w:t>Inhibiteurs du CYP3A4</w:t>
      </w:r>
      <w:r>
        <w:t xml:space="preserve"> (kétoconazole, itraconazole, clarithromycine, ritonavir) : pas d'interaction cliniquement significative.</w:t>
      </w:r>
    </w:p>
    <w:p>
      <w:pPr>
        <w:pStyle w:val="ListBullet"/>
      </w:pPr>
      <w:r/>
      <w:r>
        <w:rPr>
          <w:b/>
        </w:rPr>
        <w:t>Vaccins vivants atténués</w:t>
      </w:r>
      <w:r>
        <w:t xml:space="preserve"> : pas de restriction majeure (biodisponibilité systémique négligeable).</w:t>
      </w:r>
    </w:p>
    <w:p>
      <w:pPr>
        <w:pStyle w:val="ListBullet"/>
      </w:pPr>
      <w:r/>
      <w:r>
        <w:rPr>
          <w:b/>
        </w:rPr>
        <w:t>Insuline et antidiabétiques</w:t>
      </w:r>
      <w:r>
        <w:t xml:space="preserve"> : pas d'effet hyperglycémiant notable.</w:t>
      </w:r>
    </w:p>
    <w:p>
      <w:pPr>
        <w:pStyle w:val="ListBullet"/>
      </w:pPr>
      <w:r>
        <w:t>Profil d'innocuité global : pas d'interaction médicamenteuse cliniquement significative documentée aux posologies ophtalmiques usuelles — un avantage majeur de la fluorométholone par rapport à la dexaméthasone et à la prednisolone.</w:t>
      </w:r>
    </w:p>
    <w:p>
      <w:r/>
      <w:r>
        <w:rPr>
          <w:b/>
        </w:rPr>
        <w:t>Grossesse et Allaitement :</w:t>
      </w:r>
      <w:r/>
    </w:p>
    <w:p>
      <w:pPr>
        <w:pStyle w:val="ListBullet"/>
      </w:pPr>
      <w:r>
        <w:t xml:space="preserve">Grossesse : La fluorométholone ophtalmique est classée par le CRAT comme « </w:t>
      </w:r>
      <w:r>
        <w:rPr>
          <w:b/>
        </w:rPr>
        <w:t>utilisable quel que soit le terme</w:t>
      </w:r>
      <w:r>
        <w:t xml:space="preserve"> » chez la femme enceinte, sur la base d'une biodisponibilité systémique négligeable (&lt; 1 %), et d'études animales rassurantes. Aux posologies usuelles (1-2 gouttes 4 fois par jour), aucune augmentation du risque malformatif n'a été documentée. En pratique, la fluorométholone ophtalmique est le corticoïde de choix pour le traitement prolongé des inflammations de la surface oculaire chez la femme enceinte, en raison de son profil d'innocuité systémique supérieur à celui de la dexaméthasone et de la prednisolone.</w:t>
      </w:r>
    </w:p>
    <w:p>
      <w:pPr>
        <w:pStyle w:val="ListBullet"/>
      </w:pPr>
      <w:r>
        <w:t>Allaitement : Compatible avec l'allaitement ; le passage dans le lait maternel est négligeable (biodisponibilité systémique &lt; 1 %). Aucune surveillance spécifique du nourrisson n'est recommandée aux posologies usuelles.</w:t>
      </w:r>
    </w:p>
    <w:p>
      <w:r/>
      <w:r>
        <w:rPr>
          <w:b/>
        </w:rPr>
        <w:t>Posologie et Mode d'administration (Standard) :</w:t>
      </w:r>
      <w:r/>
    </w:p>
    <w:p>
      <w:pPr>
        <w:pStyle w:val="ListBullet"/>
      </w:pPr>
      <w:r>
        <w:t xml:space="preserve">Adulte et enfant à partir de 2 ans : </w:t>
      </w:r>
      <w:r>
        <w:rPr>
          <w:b/>
        </w:rPr>
        <w:t>1 goutte de collyre 0,1 % (1 mg/mL) dans chaque œil, 2 à 4 fois par jour</w:t>
      </w:r>
      <w:r>
        <w:t xml:space="preserve"> en traitement d'attaque (pendant les premiers 3 à 7 jours), puis décroissance progressive à 2 puis 1 fois par jour sur 2 à 4 semaines. En cas d'inflammation modérée, posologie initiale à 2 instillations par jour possible. Dose maximale recommandée : 1 goutte 4 fois par jour par œil.</w:t>
      </w:r>
    </w:p>
    <w:p>
      <w:pPr>
        <w:pStyle w:val="ListBullet"/>
      </w:pPr>
      <w:r>
        <w:t xml:space="preserve">Mode d'administration : identique à la dexaméthasone (hygiène des mains, retrait des lentilles, instillation d'une goutte unique, respect du délai de 5 minutes entre deux collyres). </w:t>
      </w:r>
      <w:r>
        <w:rPr>
          <w:b/>
        </w:rPr>
        <w:t>Spécificité de OPTIF PLUS en suspension</w:t>
      </w:r>
      <w:r>
        <w:t xml:space="preserve"> : agitation légère du flacon avant emploi (5 à 10 secondes).</w:t>
      </w:r>
    </w:p>
    <w:p>
      <w:pPr>
        <w:pStyle w:val="ListBullet"/>
      </w:pPr>
      <w:r>
        <w:t>Durée de traitement : variable selon l'indication — traitement d'attaque d'une inflammation aiguë : 1 à 3 semaines avec décroissance progressive ; traitement d'une inflammation chronique (KCV, KCA, blépharite chronique) : traitement prolongé de plusieurs mois à années sous surveillance ophtalmologique (avec surveillance de la PIO tous les 2-3 mois en raison du risque, bien que réduit, de glaucome cortico-induit) ; traitement post-chirurgical : 2 à 6 semaines avec décroissance progressive.</w:t>
      </w:r>
    </w:p>
    <w:p>
      <w:r/>
      <w:r>
        <w:rPr>
          <w:b/>
        </w:rPr>
        <w:t>Arbitrage et Bénéfices des Formes Galéniques :</w:t>
      </w:r>
      <w:r/>
    </w:p>
    <w:p>
      <w:r>
        <w:t xml:space="preserve">La fluorométholone ophtalmique existe en Algérie sous deux formes galéniques distinctes : </w:t>
      </w:r>
      <w:r>
        <w:rPr>
          <w:b/>
        </w:rPr>
        <w:t>collyre en solution simple</w:t>
      </w:r>
      <w:r>
        <w:t xml:space="preserve"> (FLULIX, OPTIF JAM) et </w:t>
      </w:r>
      <w:r>
        <w:rPr>
          <w:b/>
        </w:rPr>
        <w:t>suspension ophtalmique en association avec le cromoglycate de sodium</w:t>
      </w:r>
      <w:r>
        <w:t xml:space="preserve"> (OPTIF PLUS). Le collyre en solution simple FLULIX (Generic Lab) et OPTIF JAM (Jamjoom Algeria) présentent l'avantage d'une homogénéité parfaite (pas d'agitation préalable nécessaire) et d'une vision floue transitoire moins marquée après instillation, et sont indiqués dans les inflammations stériles de la surface oculaire. La suspension OPTIF PLUS (Jamjoom Algeria) présente l'avantage d'une double action pharmacologique (corticoïde + stabilisateur mastocytaire), particulièrement adaptée aux conjonctivites allergiques sévères avec composante mastocytaire prédominante (KCV, KCA, conjonctivites perannuelles sévères), mais l'inconvénient d'une nécessité d'agitation préalable et d'une vision floue transitoire plus marquée. L'arbitrage entre les formes simples et l'association se fait sur la nature de l'inflammation (inflammation stérile pure → collyre simple ; inflammation allergique sévère → OPTIF PLUS), sur la commodité d'usage (solution plus simple), et sur la tolérance visuelle (solution moins trouble). L'arbitrage entre fluorométholone et dexaméthasone/prednisolone se fait sur la profondeur de l'inflammation (surface oculaire → fluorométholone ; intraoculaire → dexaméthasone), sur la durée prévue du traitement (court ≤ 2 semaines → dexaméthasone ; prolongé &gt; 1 mois → fluorométholone), sur le risque individuel de glaucome cortico-induit (sujet à haut risque → fluorométholone), et sur la disponibilité (la dexaméthasone est plus largement disponible). En pratique clinique, la fluorométholone est le corticoïde de choix pour les traitements prolongés de la surface oculaire en raison de son profil d'innocuité supérieur.</w:t>
      </w:r>
    </w:p>
    <w:p>
      <w:r/>
      <w:r>
        <w:rPr>
          <w:b/>
        </w:rPr>
        <w:t>Instructions et Conseils au Patient :</w:t>
      </w:r>
      <w:r/>
    </w:p>
    <w:p>
      <w:pPr>
        <w:pStyle w:val="ListBullet"/>
      </w:pPr>
      <w:r>
        <w:t xml:space="preserve">Communication au comptoir : Insister sur le </w:t>
      </w:r>
      <w:r>
        <w:rPr>
          <w:b/>
        </w:rPr>
        <w:t>respect strict de la prescription médicale</w:t>
      </w:r>
      <w:r>
        <w:t xml:space="preserve"> (ne pas dépasser la dose prescrite, ne pas prolonger la durée prescrite sans avis médical), sur la </w:t>
      </w:r>
      <w:r>
        <w:rPr>
          <w:b/>
        </w:rPr>
        <w:t>surveillance de la pression intraoculaire</w:t>
      </w:r>
      <w:r>
        <w:t xml:space="preserve"> (consultation de contrôle à 4 semaines, puis tous les 2-3 mois en cas de traitement prolongé), sur la </w:t>
      </w:r>
      <w:r>
        <w:rPr>
          <w:b/>
        </w:rPr>
        <w:t>décroissance posologique progressive</w:t>
      </w:r>
      <w:r>
        <w:t xml:space="preserve"> en fin de traitement, sur la </w:t>
      </w:r>
      <w:r>
        <w:rPr>
          <w:b/>
        </w:rPr>
        <w:t>technique d'instillation</w:t>
      </w:r>
      <w:r>
        <w:t xml:space="preserve"> identique à la dexaméthasone, sur le </w:t>
      </w:r>
      <w:r>
        <w:rPr>
          <w:b/>
        </w:rPr>
        <w:t>retrait des lentilles de contact</w:t>
      </w:r>
      <w:r>
        <w:t xml:space="preserve"> avant instillation et la remise après 15 minutes, sur la </w:t>
      </w:r>
      <w:r>
        <w:rPr>
          <w:b/>
        </w:rPr>
        <w:t>durée d'utilisation après ouverture de 4 semaines</w:t>
      </w:r>
      <w:r>
        <w:t xml:space="preserve">, sur la </w:t>
      </w:r>
      <w:r>
        <w:rPr>
          <w:b/>
        </w:rPr>
        <w:t>conservation à température ambiante</w:t>
      </w:r>
      <w:r>
        <w:t xml:space="preserve"> (≤ 25 °C). </w:t>
      </w:r>
      <w:r>
        <w:rPr>
          <w:b/>
        </w:rPr>
        <w:t>Spécificité de OPTIF PLUS en suspension</w:t>
      </w:r>
      <w:r>
        <w:t xml:space="preserve"> : insister sur l'</w:t>
      </w:r>
      <w:r>
        <w:rPr>
          <w:b/>
        </w:rPr>
        <w:t>agitation légère du flacon avant emploi</w:t>
      </w:r>
      <w:r>
        <w:t xml:space="preserve"> (5 à 10 secondes).</w:t>
      </w:r>
    </w:p>
    <w:p>
      <w:pPr>
        <w:pStyle w:val="ListBullet"/>
      </w:pPr>
      <w:r>
        <w:t>Information sur les signes d'alerte : identiques à la dexaméthasone (douleur oculaire intense, baisse d'acuité visuelle, photophobie majeure, halos autour des lumières, rougeur conjonctivale majeure, sécrétions purulentes) → arrêt immédiat et consultation ophtalmologique urgente.</w:t>
      </w:r>
    </w:p>
    <w:p>
      <w:r/>
      <w:r>
        <w:rPr>
          <w:b/>
        </w:rPr>
        <w:t>Notes, Règles d'Or &amp; Pièges au Comptoir :</w:t>
      </w:r>
      <w:r/>
    </w:p>
    <w:p>
      <w:pPr>
        <w:pStyle w:val="ListBullet"/>
      </w:pPr>
      <w:r>
        <w:t xml:space="preserve">Piège classique de la </w:t>
      </w:r>
      <w:r>
        <w:rPr>
          <w:b/>
        </w:rPr>
        <w:t>prescription sans examen ophtalmologique préalable</w:t>
      </w:r>
      <w:r>
        <w:t xml:space="preserve"> : à proscrire formellement, même pour un corticoïde à faible risque.</w:t>
      </w:r>
    </w:p>
    <w:p>
      <w:pPr>
        <w:pStyle w:val="ListBullet"/>
      </w:pPr>
      <w:r>
        <w:t xml:space="preserve">Piège du </w:t>
      </w:r>
      <w:r>
        <w:rPr>
          <w:b/>
        </w:rPr>
        <w:t>traitement prolongé sans surveillance de la PIO</w:t>
      </w:r>
      <w:r>
        <w:t xml:space="preserve"> : risque de glaucome cortico-induit permanent, bien que réduit par rapport à la dexaméthasone (incidence 5-10 % vs 20-30 %).</w:t>
      </w:r>
    </w:p>
    <w:p>
      <w:pPr>
        <w:pStyle w:val="ListBullet"/>
      </w:pPr>
      <w:r>
        <w:t xml:space="preserve">Piège de la </w:t>
      </w:r>
      <w:r>
        <w:rPr>
          <w:b/>
        </w:rPr>
        <w:t>prescription chez un patient aux antécédents d'herpès oculaire</w:t>
      </w:r>
      <w:r>
        <w:t xml:space="preserve"> : contre-indication absolue, même si le risque est moindre qu'avec la dexaméthasone.</w:t>
      </w:r>
    </w:p>
    <w:p>
      <w:pPr>
        <w:pStyle w:val="ListBullet"/>
      </w:pPr>
      <w:r>
        <w:t xml:space="preserve">Piège du </w:t>
      </w:r>
      <w:r>
        <w:rPr>
          <w:b/>
        </w:rPr>
        <w:t>port de lentilles de contact pendant l'instillation</w:t>
      </w:r>
      <w:r>
        <w:t xml:space="preserve"> : risque de surinfection microbienne.</w:t>
      </w:r>
    </w:p>
    <w:p>
      <w:pPr>
        <w:pStyle w:val="ListBullet"/>
      </w:pPr>
      <w:r>
        <w:t>Piège de l'</w:t>
      </w:r>
      <w:r>
        <w:rPr>
          <w:b/>
        </w:rPr>
        <w:t>arrêt brutal en fin de traitement</w:t>
      </w:r>
      <w:r>
        <w:t xml:space="preserve"> : rébound inflammatoire possible, décroissance progressive recommandée.</w:t>
      </w:r>
    </w:p>
    <w:p>
      <w:pPr>
        <w:pStyle w:val="ListBullet"/>
      </w:pPr>
      <w:r>
        <w:t xml:space="preserve">Piège de la </w:t>
      </w:r>
      <w:r>
        <w:rPr>
          <w:b/>
        </w:rPr>
        <w:t>non-agitation de OPTIF PLUS en suspension avant emploi</w:t>
      </w:r>
      <w:r>
        <w:t xml:space="preserve"> : instillation d'excipient sans principe actif, inefficacité thérapeutique.</w:t>
      </w:r>
    </w:p>
    <w:p>
      <w:pPr>
        <w:pStyle w:val="ListBullet"/>
      </w:pPr>
      <w:r>
        <w:t xml:space="preserve">Piège de la </w:t>
      </w:r>
      <w:r>
        <w:rPr>
          <w:b/>
        </w:rPr>
        <w:t>confusion entre OPTIF JAM (fluorométholone simple) et OPTIF PLUS (fluorométholone + cromoglycate de sodium)</w:t>
      </w:r>
      <w:r>
        <w:t xml:space="preserve"> : vérifier systématiquement la composition et l'indication de l'association.</w:t>
      </w:r>
    </w:p>
    <w:p>
      <w:pPr>
        <w:pStyle w:val="ListBullet"/>
      </w:pPr>
      <w:r>
        <w:t>Règle d'or : « Fluorométholone = corticoïde de la surface oculaire à faible risque de glaucome ; 1 goutte 2-4 fois par jour ; surveillance PIO à 4 semaines puis tous les 2-3 mois ; agitation de OPTIF PLUS en suspension avant emploi ; décroissance progressive en fin de traitement ».</w:t>
      </w:r>
    </w:p>
    <w:p>
      <w:pPr>
        <w:pStyle w:val="Heading3"/>
      </w:pPr>
      <w:r>
        <w:t>142.4.5 DCI : Rimexolone</w:t>
      </w:r>
    </w:p>
    <w:p>
      <w:r/>
      <w:r>
        <w:rPr>
          <w:b/>
        </w:rPr>
        <w:t>Liste des Catégories :</w:t>
      </w:r>
      <w:r>
        <w:t xml:space="preserve"> Liste I.</w:t>
      </w:r>
    </w:p>
    <w:p>
      <w:r>
        <w:t xml:space="preserve">La rimexolone est un corticoïde de synthèse non fluoré de 3e génération, dérivé de l'androstane substitué en 11β-hydroxy, 17α-(1-oxopropoxy)-17-méthyl (11β-hydroxy-17-(1-oxopropoxy)-17-méthyl-androsta-1,4-dien-3-one), spécifiquement développé pour un usage ophtalmologique par Alcon (États-Unis) dans les années 1980-1990, sous le nom de VEXOL® (collyre 1 %). La particularité pharmacologique de la rimexolone, qui la rapproche de la fluorométholone et la distingue fondamentalement de la dexaméthasone et de la prednisolone, est sa </w:t>
      </w:r>
      <w:r>
        <w:rPr>
          <w:b/>
        </w:rPr>
        <w:t>puissance anti-inflammatoire locale élevée</w:t>
      </w:r>
      <w:r>
        <w:t xml:space="preserve"> (comparable à la prednisolone sur la surface oculaire) combinée à une </w:t>
      </w:r>
      <w:r>
        <w:rPr>
          <w:b/>
        </w:rPr>
        <w:t>faible pénétration intraoculaire</w:t>
      </w:r>
      <w:r>
        <w:t xml:space="preserve"> et un </w:t>
      </w:r>
      <w:r>
        <w:rPr>
          <w:b/>
        </w:rPr>
        <w:t>métabolisme local rapide</w:t>
      </w:r>
      <w:r>
        <w:t xml:space="preserve"> en métabolites inactifs, ce qui limite considérablement son effet sur le trabéculum cornéoscléral — d'où un </w:t>
      </w:r>
      <w:r>
        <w:rPr>
          <w:b/>
        </w:rPr>
        <w:t>risque de glaucome cortico-induit significativement plus faible</w:t>
      </w:r>
      <w:r>
        <w:t xml:space="preserve"> (incidence 5-10 % vs 20-30 % pour la dexaméthasone et la prednisolone). Cette caractéristique en fait l'un des corticoïdes ophtalmiques de choix pour les </w:t>
      </w:r>
      <w:r>
        <w:rPr>
          <w:b/>
        </w:rPr>
        <w:t>traitements prolongés de la surface oculaire et des inflammations intraoculaires antérieures légères à modérées</w:t>
      </w:r>
      <w:r>
        <w:t xml:space="preserve">, lorsque la durée prévue du traitement excède 4 à 6 semaines et que le risque de glaucome cortico-induit devient préoccupant avec les corticoïdes forts (dexaméthasone, prednisolone). La rimexolone présente également une activité anti-inflammatoire comparable à la prednisolone sur le segment antérieur (uvéites antérieures), ce qui en fait une alternative à la dexaméthasone dans les uvéites modérées nécessitant un traitement prolongé. En Algérie, la rimexolone ophtalmique n'est disponible que sous une seule spécialité historique : VEXOL (Alcon, collyre 1 % en flacon de 5 mL), actuellement classée comme </w:t>
      </w:r>
      <w:r>
        <w:rPr>
          <w:b/>
        </w:rPr>
        <w:t>NON_RENOUVELABLE</w:t>
      </w:r>
      <w:r>
        <w:t xml:space="preserve"> dans la nomenclature algérienne Avril 2026 — ce qui signifie que la spécialité a été commercialisée par le passé mais n'est plus enregistrée activement, et n'est donc plus disponible en pharmacie d'officine. Cette non-disponibilité commerciale actuelle explique le recours en pratique clinique algérienne à la </w:t>
      </w:r>
      <w:r>
        <w:rPr>
          <w:b/>
        </w:rPr>
        <w:t>fluorométholone</w:t>
      </w:r>
      <w:r>
        <w:t xml:space="preserve"> (FLULIX, OPTIF JAM, OPTIF PLUS) comme corticoïde ophtalmique de choix pour les traitements prolongés de la surface oculaire à faible risque de glaucome cortico-induit. Le présent chapitre décrit la molécule selon les références internationales (RCP VEXOL, Vidal, ANSM) pour information pharmacologique complète, en précisant la non-disponibilité commerciale actuelle de la rimexolone en Algérie et le recours à la fluorométholone comme alternative thérapeutique.</w:t>
      </w:r>
    </w:p>
    <w:p>
      <w:r/>
      <w:r>
        <w:rPr>
          <w:b/>
        </w:rPr>
        <w:t>Médicaments disponibles en Algérie (tableau commercial)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VEXOL</w:t>
            </w:r>
          </w:p>
        </w:tc>
        <w:tc>
          <w:tcPr>
            <w:tcW w:type="dxa" w:w="1559"/>
          </w:tcPr>
          <w:p>
            <w:r>
              <w:rPr>
                <w:sz w:val="20"/>
              </w:rPr>
              <w:t>ALCON</w:t>
            </w:r>
          </w:p>
        </w:tc>
        <w:tc>
          <w:tcPr>
            <w:tcW w:type="dxa" w:w="1559"/>
          </w:tcPr>
          <w:p>
            <w:r>
              <w:rPr>
                <w:sz w:val="20"/>
              </w:rPr>
              <w:t>Collyre 0,01 (1 mg/mL ou 1 %, à vérifier au comptoir)</w:t>
            </w:r>
          </w:p>
        </w:tc>
        <w:tc>
          <w:tcPr>
            <w:tcW w:type="dxa" w:w="1559"/>
          </w:tcPr>
          <w:p>
            <w:r>
              <w:rPr>
                <w:sz w:val="20"/>
              </w:rPr>
              <w:t>Flacon de 5 mL</w:t>
            </w:r>
          </w:p>
        </w:tc>
        <w:tc>
          <w:tcPr>
            <w:tcW w:type="dxa" w:w="1559"/>
          </w:tcPr>
          <w:p>
            <w:r>
              <w:rPr>
                <w:sz w:val="20"/>
              </w:rPr>
              <w:t>Liste I</w:t>
            </w:r>
          </w:p>
        </w:tc>
        <w:tc>
          <w:tcPr>
            <w:tcW w:type="dxa" w:w="1559"/>
          </w:tcPr>
          <w:p>
            <w:r>
              <w:rPr>
                <w:sz w:val="20"/>
              </w:rPr>
              <w:t>Non renouvelable (non disponible en officine)</w:t>
            </w:r>
          </w:p>
        </w:tc>
      </w:tr>
    </w:tbl>
    <w:p/>
    <w:p>
      <w:r/>
      <w:r>
        <w:rPr>
          <w:b/>
        </w:rPr>
        <w:t>Particularité de disponibilité algérienne :</w:t>
      </w:r>
      <w:r>
        <w:t xml:space="preserve"> La nomenclature algérienne Avril 2026 ne recense qu'une seule spécialité de rimexolone, VEXOL (Alcon), qui est classée comme </w:t>
      </w:r>
      <w:r>
        <w:rPr>
          <w:b/>
        </w:rPr>
        <w:t>NON_RENOUVELABLE</w:t>
      </w:r>
      <w:r>
        <w:t xml:space="preserve"> — ce qui signifie que la spécialité a été commercialisée par le passé mais que son enregistrement n'a pas été renouvelé, et elle n'est donc plus disponible en pharmacie d'officine. Pour les indications thérapeutiques où la rimexolone était historiquement utilisée (inflammations de la surface oculaire prolongées, uvéites antérieures modérées), le prescripteur algérien doit donc recourir à la </w:t>
      </w:r>
      <w:r>
        <w:rPr>
          <w:b/>
        </w:rPr>
        <w:t>fluorométholone</w:t>
      </w:r>
      <w:r>
        <w:t xml:space="preserve"> (FLULIX, OPTIF JAM, OPTIF PLUS) comme alternative disponible, qui présente un profil pharmacologique similaire (puissance anti-inflammatoire locale modérée, faible pénétration intraoculaire, risque réduit de glaucome cortico-induit). La description pharmacologique ci-après s'appuie sur les RCP internationaux de VEXOL et reste valable sur le plan thérapeutique pour la molécule, en précisant qu'elle ne s'applique pas directement à la pratique clinique algérienne actuelle en raison de la non-disponibilité de la spécialité.</w:t>
      </w:r>
    </w:p>
    <w:p>
      <w:r/>
      <w:r>
        <w:rPr>
          <w:b/>
        </w:rPr>
        <w:t>Sous-classe et Mécanisme d'action :</w:t>
      </w:r>
      <w:r/>
    </w:p>
    <w:p>
      <w:pPr>
        <w:pStyle w:val="ListBullet"/>
      </w:pPr>
      <w:r>
        <w:t>Sous-classe : Corticoïde de synthèse non fluoré de 3e génération, dérivé androstane substitué en 11β-hydroxy, 17α-propionyloxy, 17-méthyl. Liste I.</w:t>
      </w:r>
    </w:p>
    <w:p>
      <w:pPr>
        <w:pStyle w:val="ListBullet"/>
      </w:pPr>
      <w:r>
        <w:t xml:space="preserve">Mécanisme d'action : La rimexolone, molécule amphiphile lipophile (logP ≈ 3,5, supérieure à la dexaméthasone en raison de l'estérification en 17α), traverse le film lacrymal et la couche épithéliale cornéenne. Sa progression intraoculaire est limitée par deux caractéristiques pharmacologiques distinctives (similaires à la fluorométholone) : (i) sa </w:t>
      </w:r>
      <w:r>
        <w:rPr>
          <w:b/>
        </w:rPr>
        <w:t>faible pénétration trans-stromale et trans-endothéliale</w:t>
      </w:r>
      <w:r>
        <w:t xml:space="preserve"> (en raison d'une lipophilie élevée et d'un poids moléculaire relativement élevé), qui restreint son passage dans l'humeur aqueuse et le trabéculum cornéoscléral ; (ii) son </w:t>
      </w:r>
      <w:r>
        <w:rPr>
          <w:b/>
        </w:rPr>
        <w:t>métabolisme local rapide</w:t>
      </w:r>
      <w:r>
        <w:t xml:space="preserve"> par les estérases cornéennes et conjonctivales en métabolites inactifs (principalement 21-dihydrorimexolone, activité glucocorticoïde résiduelle &lt; 5 % de la molécule mère), qui accélère son élimination locale. Le mécanisme moléculaire de l'effet anti-inflammatoire est identique à celui des autres corticoïdes : fixation avec une affinité nanomolaire élevée (Kd ≈ 25 nM, comparable à la prednisolone) sur le </w:t>
      </w:r>
      <w:r>
        <w:rPr>
          <w:b/>
        </w:rPr>
        <w:t>récepteur glucocorticoïde alpha (GRα) cytosolique</w:t>
      </w:r>
      <w:r>
        <w:t xml:space="preserve">, transconformation, translocation nucléaire, fixation aux </w:t>
      </w:r>
      <w:r>
        <w:rPr>
          <w:b/>
        </w:rPr>
        <w:t>GRE positifs</w:t>
      </w:r>
      <w:r>
        <w:t xml:space="preserve"> (trans-activation des gènes anti-inflammatoires : annexine-1/lipocortine-1, IκB-α, MKP-1, GILZ) et aux </w:t>
      </w:r>
      <w:r>
        <w:rPr>
          <w:b/>
        </w:rPr>
        <w:t>GRE négatifs</w:t>
      </w:r>
      <w:r>
        <w:t xml:space="preserve"> (trans-répression des gènes pro-inflammatoires : IL-1, IL-2, IL-3, IL-4, IL-5, IL-6, IL-8, IL-13, TNF-α, IFN-γ, GM-CSF, COX-2, iNOS), avec trans-répression additionnelle par interaction protéine-protéine avec AP-1, NF-κB et NF-AT. La biodisponibilité systémique par voie ophtalmique est très faible (&lt; 1 % en raison du métabolisme local rapide), ce qui explique l'absence d'effets systémiques notables aux posologies usuelles. La fraction absorbée est métabolisée par le cytochrome CYP3A4, éliminée par voie rénale et fécale. La demi-vie plasmatique est de 1 à 2 heures (parent), mais la </w:t>
      </w:r>
      <w:r>
        <w:rPr>
          <w:b/>
        </w:rPr>
        <w:t>demi-vie biologique locale</w:t>
      </w:r>
      <w:r>
        <w:t xml:space="preserve"> (durée de l'effet anti-inflammatoire sur la surface oculaire) est de 8 à 12 heures, autorisant une administration biquotidienne à quadriquotidienne.</w:t>
      </w:r>
    </w:p>
    <w:p>
      <w:r/>
      <w:r>
        <w:rPr>
          <w:b/>
        </w:rPr>
        <w:t>Profil Pharmacologique :</w:t>
      </w:r>
      <w:r/>
    </w:p>
    <w:p>
      <w:pPr>
        <w:pStyle w:val="ListBullet"/>
      </w:pPr>
      <w:r>
        <w:t xml:space="preserve">Indications AMM internationales (selon RCP VEXOL) : (1) </w:t>
      </w:r>
      <w:r>
        <w:rPr>
          <w:b/>
        </w:rPr>
        <w:t>Inflammations intraoculaires antérieures non infectieuses</w:t>
      </w:r>
      <w:r>
        <w:t xml:space="preserve"> — uvéite antérieure aiguë (iritis, iridocyclite) modérée ; uvéite intermédiaire (pars planite) modérée ; traitement prolongé des uvéites chroniques non infectieuses en relais de la dexaméthasone. (2) </w:t>
      </w:r>
      <w:r>
        <w:rPr>
          <w:b/>
        </w:rPr>
        <w:t>Inflammations post-chirurgicales</w:t>
      </w:r>
      <w:r>
        <w:t xml:space="preserve"> — chirurgie de la cataracte (prophylaxie de l'œdème maculaire post-opératoire), chirurgie réfractive (LASIK, PKR), vitrectomie, chirurgie du glaucome (trabéculectomie). (3) </w:t>
      </w:r>
      <w:r>
        <w:rPr>
          <w:b/>
        </w:rPr>
        <w:t>Inflammations de la surface oculaire</w:t>
      </w:r>
      <w:r>
        <w:t xml:space="preserve"> — kératoconjonctivite vernale (KCV) en traitement de fond ; kératoconjonctivite atopique (KCA) en traitement de fond ; conjonctivites allergiques sévères prolongées. (4) </w:t>
      </w:r>
      <w:r>
        <w:rPr>
          <w:b/>
        </w:rPr>
        <w:t>Indications particulières</w:t>
      </w:r>
      <w:r>
        <w:t xml:space="preserve"> — patients à haut risque de glaucome cortico-induit (glaucome connu, antécédent familial de glaucome, patients corticosensibles) nécessitant un traitement corticoïde prolongé.</w:t>
      </w:r>
    </w:p>
    <w:p>
      <w:pPr>
        <w:pStyle w:val="ListBullet"/>
      </w:pPr>
      <w:r>
        <w:t xml:space="preserve">Contre-indications : </w:t>
      </w:r>
      <w:r>
        <w:rPr>
          <w:b/>
        </w:rPr>
        <w:t>(i) Herpès oculaire actif</w:t>
      </w:r>
      <w:r>
        <w:t xml:space="preserve"> — contre-indication formelle absolue ; </w:t>
      </w:r>
      <w:r>
        <w:rPr>
          <w:b/>
        </w:rPr>
        <w:t>(ii) Infections fongiques oculaires</w:t>
      </w:r>
      <w:r>
        <w:t xml:space="preserve"> — contre-indication absolue ; </w:t>
      </w:r>
      <w:r>
        <w:rPr>
          <w:b/>
        </w:rPr>
        <w:t>(iii) Infections mycobactériennes oculaires</w:t>
      </w:r>
      <w:r>
        <w:t xml:space="preserve"> ; </w:t>
      </w:r>
      <w:r>
        <w:rPr>
          <w:b/>
        </w:rPr>
        <w:t>(iv) Glaucome non équilibré</w:t>
      </w:r>
      <w:r>
        <w:t xml:space="preserve"> — contre-indication relative ; </w:t>
      </w:r>
      <w:r>
        <w:rPr>
          <w:b/>
        </w:rPr>
        <w:t>(v) Hypersensibilité à la rimexolone</w:t>
      </w:r>
      <w:r>
        <w:t xml:space="preserve"> ou à l'un des excipients ; </w:t>
      </w:r>
      <w:r>
        <w:rPr>
          <w:b/>
        </w:rPr>
        <w:t>(vi) Enfant de moins de 2 ans</w:t>
      </w:r>
      <w:r>
        <w:t xml:space="preserve"> (selon AMM) ; </w:t>
      </w:r>
      <w:r>
        <w:rPr>
          <w:b/>
        </w:rPr>
        <w:t>(vii) Vaccination récente par vaccin vivant atténué</w:t>
      </w:r>
      <w:r>
        <w:t xml:space="preserve"> dans les 2 semaines précédentes.</w:t>
      </w:r>
    </w:p>
    <w:p>
      <w:pPr>
        <w:pStyle w:val="ListBullet"/>
      </w:pPr>
      <w:r>
        <w:t>Spectre d'action : La rimexolone n'a aucune activité antibiotique, antifongique ou antivirale propre. Son action immunosuppressive locale impose la vérification préalable de l'absence d'infection active.</w:t>
      </w:r>
    </w:p>
    <w:p>
      <w:r/>
      <w:r>
        <w:rPr>
          <w:b/>
        </w:rPr>
        <w:t>Effets Indésirables :</w:t>
      </w:r>
      <w:r/>
    </w:p>
    <w:p>
      <w:pPr>
        <w:pStyle w:val="ListBullet"/>
      </w:pPr>
      <w:r/>
      <w:r>
        <w:rPr>
          <w:b/>
        </w:rPr>
        <w:t>Locaux précoces</w:t>
      </w:r>
      <w:r>
        <w:t xml:space="preserve"> (premières minutes à premières semaines) : sensation de brûlure transitoire à l'instillation (5 à 10 %), picotements, irritation conjonctivale, hyperhémie conjonctivale paradoxale transitoire, sécheresse oculaire, sensation de corps étranger, larmoiement réflexe, vision floue transitoire, blépharite transitoire.</w:t>
      </w:r>
    </w:p>
    <w:p>
      <w:pPr>
        <w:pStyle w:val="ListBullet"/>
      </w:pPr>
      <w:r/>
      <w:r>
        <w:rPr>
          <w:b/>
        </w:rPr>
        <w:t>Locaux tardifs</w:t>
      </w:r>
      <w:r>
        <w:t xml:space="preserve"> (au-delà de 2 semaines) — </w:t>
      </w:r>
      <w:r>
        <w:rPr>
          <w:b/>
        </w:rPr>
        <w:t>complications à surveiller, mais moins fréquentes qu'avec la dexaméthasone et la prednisolone</w:t>
      </w:r>
      <w:r>
        <w:t xml:space="preserve"> : </w:t>
      </w:r>
      <w:r>
        <w:rPr>
          <w:b/>
        </w:rPr>
        <w:t>(a) Glaucome cortico-induit</w:t>
      </w:r>
      <w:r>
        <w:t xml:space="preserve"> — incidence 5-10 % pour la rimexolone en collyre au-delà de 4-6 semaines de traitement continu (vs 20-30 % pour la dexaméthasone et la prednisolone) ; surveillance de la PIO avant prescription, à 4 semaines, puis tous les 2 à 3 mois en cas de traitement prolongé. </w:t>
      </w:r>
      <w:r>
        <w:rPr>
          <w:b/>
        </w:rPr>
        <w:t>(b) Cataracte sous-capsulaire postérieure</w:t>
      </w:r>
      <w:r>
        <w:t xml:space="preserve"> — incidence 2-5 % après 6 mois de traitement continu. </w:t>
      </w:r>
      <w:r>
        <w:rPr>
          <w:b/>
        </w:rPr>
        <w:t>(c) Kératite herpétique</w:t>
      </w:r>
      <w:r>
        <w:t xml:space="preserve"> — réactivation possible (risque moindre mais non nul). </w:t>
      </w:r>
      <w:r>
        <w:rPr>
          <w:b/>
        </w:rPr>
        <w:t>(d) Surinfection bactérienne, fongique ou acanthamibienne</w:t>
      </w:r>
      <w:r>
        <w:t xml:space="preserve"> — particulièrement à craindre en cas de port de lentilles de contact. </w:t>
      </w:r>
      <w:r>
        <w:rPr>
          <w:b/>
        </w:rPr>
        <w:t>(e) Retard de cicatrisation cornéenne</w:t>
      </w:r>
      <w:r>
        <w:t xml:space="preserve">. </w:t>
      </w:r>
      <w:r>
        <w:rPr>
          <w:b/>
        </w:rPr>
        <w:t>(f) Atrophie cutanée palpébrale</w:t>
      </w:r>
      <w:r>
        <w:t xml:space="preserve"> en cas de traitement prolongé.</w:t>
      </w:r>
    </w:p>
    <w:p>
      <w:pPr>
        <w:pStyle w:val="ListBullet"/>
      </w:pPr>
      <w:r/>
      <w:r>
        <w:rPr>
          <w:b/>
        </w:rPr>
        <w:t>Systémiques</w:t>
      </w:r>
      <w:r>
        <w:t xml:space="preserve"> (exceptionnels aux posologies ophtalmiques usuelles en raison de la très faible biodisponibilité systémique &lt; 1 %) : aucun effet systémique notable aux posologies usuelles, ce qui est un avantage majeur de la rimexolone.</w:t>
      </w:r>
    </w:p>
    <w:p>
      <w:r/>
      <w:r>
        <w:rPr>
          <w:b/>
        </w:rPr>
        <w:t>Prévention et Gestion des Effets Indésirables :</w:t>
      </w:r>
      <w:r/>
    </w:p>
    <w:p>
      <w:pPr>
        <w:pStyle w:val="ListBullet"/>
      </w:pPr>
      <w:r>
        <w:t>Mesures préventives : Identiques à la fluorométholone. Surveillance de la PIO à 4 semaines, puis tous les 2 à 3 mois en cas de traitement prolongé.</w:t>
      </w:r>
    </w:p>
    <w:p>
      <w:pPr>
        <w:pStyle w:val="ListBullet"/>
      </w:pPr>
      <w:r>
        <w:t>Conduite à tenir : Identique à la fluorométholone. En cas d'élévation de la PIO &gt; 21 mmHg ou &gt; 5 mmHg par rapport à la PIO de référence, arrêt du corticoïde et introduction d'un traitement hypotonisant local si nécessaire.</w:t>
      </w:r>
    </w:p>
    <w:p>
      <w:r/>
      <w:r>
        <w:rPr>
          <w:b/>
        </w:rPr>
        <w:t>Interactions Importantes :</w:t>
      </w:r>
      <w:r/>
    </w:p>
    <w:p>
      <w:pPr>
        <w:pStyle w:val="ListBullet"/>
      </w:pPr>
      <w:r>
        <w:t>Identiques à la fluorométholone : profil d'innocuité global excellent, pas d'interaction médicamenteuse cliniquement significative documentée aux posologies ophtalmiques usuelles.</w:t>
      </w:r>
    </w:p>
    <w:p>
      <w:r/>
      <w:r>
        <w:rPr>
          <w:b/>
        </w:rPr>
        <w:t>Grossesse et Allaitement :</w:t>
      </w:r>
      <w:r/>
    </w:p>
    <w:p>
      <w:pPr>
        <w:pStyle w:val="ListBullet"/>
      </w:pPr>
      <w:r>
        <w:t xml:space="preserve">Grossesse : La rimexolone ophtalmique est classée par le CRAT comme « </w:t>
      </w:r>
      <w:r>
        <w:rPr>
          <w:b/>
        </w:rPr>
        <w:t>utilisable quel que soit le terme</w:t>
      </w:r>
      <w:r>
        <w:t xml:space="preserve"> » chez la femme enceinte, sur la base d'une biodisponibilité systémique négligeable (&lt; 1 %), et d'études animales rassurantes. Aux posologies usuelles (1-2 gouttes 4 fois par jour), aucune augmentation du risque malformatif n'a été documentée. En pratique, la rimexolone ophtalmique était l'un des corticoïdes de choix pour le traitement prolongé des inflammations de la surface oculaire chez la femme enceinte.</w:t>
      </w:r>
    </w:p>
    <w:p>
      <w:pPr>
        <w:pStyle w:val="ListBullet"/>
      </w:pPr>
      <w:r>
        <w:t>Allaitement : Compatible avec l'allaitement ; le passage dans le lait maternel est négligeable (biodisponibilité systémique &lt; 1 %). Aucune surveillance spécifique du nourrisson n'est recommandée aux posologies usuelles.</w:t>
      </w:r>
    </w:p>
    <w:p>
      <w:r/>
      <w:r>
        <w:rPr>
          <w:b/>
        </w:rPr>
        <w:t>Posologie et Mode d'administration (Standard, selon RCP international VEXOL) :</w:t>
      </w:r>
      <w:r/>
    </w:p>
    <w:p>
      <w:pPr>
        <w:pStyle w:val="ListBullet"/>
      </w:pPr>
      <w:r>
        <w:t xml:space="preserve">Adulte et enfant à partir de 2 ans : </w:t>
      </w:r>
      <w:r>
        <w:rPr>
          <w:b/>
        </w:rPr>
        <w:t>1 goutte de collyre 1 % (10 mg/mL) dans chaque œil, 4 fois par jour</w:t>
      </w:r>
      <w:r>
        <w:t xml:space="preserve"> en traitement d'attaque (pendant les premiers 3 à 7 jours), puis décroissance progressive à 2 puis 1 fois par jour sur 2 à 4 semaines. En cas d'inflammation sévère (uvéite antérieure aiguë, chirurgie récente), augmentation temporaire à 1 goutte toutes les 2 heures possible pendant les premiers 1 à 3 jours, puis espacement progressif. Dose maximale recommandée : 1 goutte 4 fois par jour par œil.</w:t>
      </w:r>
    </w:p>
    <w:p>
      <w:pPr>
        <w:pStyle w:val="ListBullet"/>
      </w:pPr>
      <w:r>
        <w:t>Mode d'administration : identique à la fluorométholone (hygiène des mains, retrait des lentilles, instillation d'une goutte unique, respect du délai de 5 minutes entre deux collyres).</w:t>
      </w:r>
    </w:p>
    <w:p>
      <w:pPr>
        <w:pStyle w:val="ListBullet"/>
      </w:pPr>
      <w:r>
        <w:t>Durée de traitement : variable selon l'indication — traitement d'attaque d'une inflammation aiguë : 1 à 3 semaines avec décroissance progressive ; traitement d'une inflammation chronique (uvéite récidivante, KCV, KCA) : traitement prolongé de plusieurs mois à années sous surveillance ophtalmologique stricte ; traitement post-chirurgical : 2 à 6 semaines avec décroissance progressive.</w:t>
      </w:r>
    </w:p>
    <w:p>
      <w:r/>
      <w:r>
        <w:rPr>
          <w:b/>
        </w:rPr>
        <w:t>Arbitrage et Bénéfices des Formes Galéniques :</w:t>
      </w:r>
      <w:r/>
    </w:p>
    <w:p>
      <w:r>
        <w:t xml:space="preserve">La rimexolone ophtalmique n'existe en Algérie que sous une seule spécialité historique (VEXOL, Alcon), actuellement non renouvelable et donc non disponible en pharmacie d'officine. Le recours à la </w:t>
      </w:r>
      <w:r>
        <w:rPr>
          <w:b/>
        </w:rPr>
        <w:t>fluorométholone</w:t>
      </w:r>
      <w:r>
        <w:t xml:space="preserve"> (FLULIX, OPTIF JAM, OPTIF PLUS) comme alternative disponible est recommandé en pratique clinique algérienne. Dans les pays où la rimexolone est disponible (États-Unis, Royaume-Uni, certains pays européens), l'arbitrage entre rimexolone et fluorométholone se fait principalement sur l'indication (uvéite antérieure → rimexolone préférentiellement en raison d'une puissance anti-inflammatoire supérieure sur le segment antérieur ; surface oculaire pure → fluorométholone préférentiellement en raison d'une tolérance épithéliale supérieure), et sur le coût. L'arbitrage entre rimexolone et dexaméthasone/prednisolone se fait sur la profondeur de l'inflammation (segment antérieur léger à modéré → rimexolone ; intraoculaire sévère → dexaméthasone), sur la durée prévue du traitement (court ≤ 2 semaines → dexaméthasone ; prolongé &gt; 1 mois → rimexolone), et sur le risque individuel de glaucome cortico-induit (sujet à haut risque → rimexolone). En pratique clinique algérienne, faute de disponibilité de la rimexolone, la </w:t>
      </w:r>
      <w:r>
        <w:rPr>
          <w:b/>
        </w:rPr>
        <w:t>fluorométholone</w:t>
      </w:r>
      <w:r>
        <w:t xml:space="preserve"> est le corticoïde de choix pour les traitements prolongés de la surface oculaire à faible risque de glaucome cortico-induit.</w:t>
      </w:r>
    </w:p>
    <w:p>
      <w:r/>
      <w:r>
        <w:rPr>
          <w:b/>
        </w:rPr>
        <w:t>Instructions et Conseils au Patient :</w:t>
      </w:r>
      <w:r/>
    </w:p>
    <w:p>
      <w:pPr>
        <w:pStyle w:val="ListBullet"/>
      </w:pPr>
      <w:r>
        <w:t>Communication au comptoir : Identique à la fluorométholone en ce qui concerne le respect strict de la prescription médicale, la surveillance de la pression intraoculaire, la décroissance posologique progressive en fin de traitement, la technique d'instillation, le retrait des lentilles de contact, la durée d'utilisation après ouverture de 4 semaines, et la conservation à température ambiante.</w:t>
      </w:r>
    </w:p>
    <w:p>
      <w:pPr>
        <w:pStyle w:val="ListBullet"/>
      </w:pPr>
      <w:r>
        <w:t>Information sur les signes d'alerte : identiques à la fluorométholone.</w:t>
      </w:r>
    </w:p>
    <w:p>
      <w:pPr>
        <w:pStyle w:val="ListBullet"/>
      </w:pPr>
      <w:r/>
      <w:r>
        <w:rPr>
          <w:b/>
        </w:rPr>
        <w:t>Particularité algérienne</w:t>
      </w:r>
      <w:r>
        <w:t xml:space="preserve"> : informer le patient présentant une ordonnance de rimexolone (VEXOL) de la </w:t>
      </w:r>
      <w:r>
        <w:rPr>
          <w:b/>
        </w:rPr>
        <w:t>non-disponibilité commerciale actuelle</w:t>
      </w:r>
      <w:r>
        <w:t xml:space="preserve"> de cette spécialité en Algérie et orienter vers la </w:t>
      </w:r>
      <w:r>
        <w:rPr>
          <w:b/>
        </w:rPr>
        <w:t>fluorométholone</w:t>
      </w:r>
      <w:r>
        <w:t xml:space="preserve"> (FLULIX, OPTIF JAM) comme alternative disponible.</w:t>
      </w:r>
    </w:p>
    <w:p>
      <w:r/>
      <w:r>
        <w:rPr>
          <w:b/>
        </w:rPr>
        <w:t>Notes, Règles d'Or &amp; Pièges au Comptoir :</w:t>
      </w:r>
      <w:r/>
    </w:p>
    <w:p>
      <w:pPr>
        <w:pStyle w:val="ListBullet"/>
      </w:pPr>
      <w:r>
        <w:t xml:space="preserve">Piège de la </w:t>
      </w:r>
      <w:r>
        <w:rPr>
          <w:b/>
        </w:rPr>
        <w:t>non-disponibilité de VEXOL en Algérie</w:t>
      </w:r>
      <w:r>
        <w:t xml:space="preserve"> : le pharmacien doit informer le patient présentant une ordonnance de rimexolone de l'absence de spécialité commerciale disponible et orienter vers la fluorométholone (FLULIX, OPTIF JAM, OPTIF PLUS).</w:t>
      </w:r>
    </w:p>
    <w:p>
      <w:pPr>
        <w:pStyle w:val="ListBullet"/>
      </w:pPr>
      <w:r>
        <w:t xml:space="preserve">Piège classique de la </w:t>
      </w:r>
      <w:r>
        <w:rPr>
          <w:b/>
        </w:rPr>
        <w:t>prescription sans examen ophtalmologique préalable</w:t>
      </w:r>
      <w:r>
        <w:t xml:space="preserve"> : à proscrire formellement, même pour un corticoïde à faible risque.</w:t>
      </w:r>
    </w:p>
    <w:p>
      <w:pPr>
        <w:pStyle w:val="ListBullet"/>
      </w:pPr>
      <w:r>
        <w:t xml:space="preserve">Piège du </w:t>
      </w:r>
      <w:r>
        <w:rPr>
          <w:b/>
        </w:rPr>
        <w:t>traitement prolongé sans surveillance de la PIO</w:t>
      </w:r>
      <w:r>
        <w:t xml:space="preserve"> : risque de glaucome cortico-induit permanent, bien que réduit par rapport à la dexaméthasone.</w:t>
      </w:r>
    </w:p>
    <w:p>
      <w:pPr>
        <w:pStyle w:val="ListBullet"/>
      </w:pPr>
      <w:r>
        <w:t xml:space="preserve">Piège de la </w:t>
      </w:r>
      <w:r>
        <w:rPr>
          <w:b/>
        </w:rPr>
        <w:t>prescription chez un patient aux antécédents d'herpès oculaire</w:t>
      </w:r>
      <w:r>
        <w:t xml:space="preserve"> : contre-indication absolue.</w:t>
      </w:r>
    </w:p>
    <w:p>
      <w:pPr>
        <w:pStyle w:val="ListBullet"/>
      </w:pPr>
      <w:r>
        <w:t xml:space="preserve">Piège du </w:t>
      </w:r>
      <w:r>
        <w:rPr>
          <w:b/>
        </w:rPr>
        <w:t>port de lentilles de contact pendant l'instillation</w:t>
      </w:r>
      <w:r>
        <w:t xml:space="preserve"> : risque de surinfection microbienne.</w:t>
      </w:r>
    </w:p>
    <w:p>
      <w:pPr>
        <w:pStyle w:val="ListBullet"/>
      </w:pPr>
      <w:r>
        <w:t>Piège de l'</w:t>
      </w:r>
      <w:r>
        <w:rPr>
          <w:b/>
        </w:rPr>
        <w:t>arrêt brutal en fin de traitement</w:t>
      </w:r>
      <w:r>
        <w:t xml:space="preserve"> : rébound inflammatoire possible, décroissance progressive recommandée.</w:t>
      </w:r>
    </w:p>
    <w:p>
      <w:pPr>
        <w:pStyle w:val="ListBullet"/>
      </w:pPr>
      <w:r>
        <w:t>Règle d'or : « Rimexolone = corticoïde de la surface oculaire à faible risque de glaucome, NON DISPONIBLE en Algérie (VEXOL non renouvelable) ; recourir à la fluorométholone (FLULIX, OPTIF JAM, OPTIF PLUS) comme alternative disponible ».</w:t>
      </w:r>
    </w:p>
    <w:p>
      <w:pPr>
        <w:pStyle w:val="Heading2"/>
      </w:pPr>
      <w:r>
        <w:t>142.5 Tableau Comparatif Synoptique des Antiallergiques et Corticoïdes Ophtalmiques</w:t>
      </w:r>
    </w:p>
    <w:p>
      <w:r>
        <w:t>Le tableau ci-dessous présente une comparaison synoptique des huit DCIs ophtalmiques décrites dans le présent chapitre, regroupant les principales caractéristiques pharmacologiques, thérapeutiques et réglementaires utiles à la prescription et à la dispensation en pratique clinique quotidienne.</w:t>
      </w:r>
    </w:p>
    <w:p>
      <w:pPr>
        <w:pStyle w:val="Heading3"/>
      </w:pPr>
      <w:r>
        <w:t>142.5.1 Tableau comparatif principal</w:t>
      </w:r>
    </w:p>
    <w:tbl>
      <w:tblPr>
        <w:tblStyle w:val="LightGrid-Accent1"/>
        <w:tblW w:type="auto" w:w="0"/>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Pr>
          <w:p>
            <w:r>
              <w:rPr>
                <w:b/>
                <w:sz w:val="20"/>
              </w:rPr>
              <w:t>Paramètre</w:t>
            </w:r>
          </w:p>
        </w:tc>
        <w:tc>
          <w:tcPr>
            <w:tcW w:type="dxa" w:w="1039"/>
          </w:tcPr>
          <w:p>
            <w:r>
              <w:rPr>
                <w:b/>
                <w:sz w:val="20"/>
              </w:rPr>
              <w:t>Olopatadine</w:t>
            </w:r>
          </w:p>
        </w:tc>
        <w:tc>
          <w:tcPr>
            <w:tcW w:type="dxa" w:w="1039"/>
          </w:tcPr>
          <w:p>
            <w:r>
              <w:rPr>
                <w:b/>
                <w:sz w:val="20"/>
              </w:rPr>
              <w:t>Azélastine</w:t>
            </w:r>
          </w:p>
        </w:tc>
        <w:tc>
          <w:tcPr>
            <w:tcW w:type="dxa" w:w="1039"/>
          </w:tcPr>
          <w:p>
            <w:r>
              <w:rPr>
                <w:b/>
                <w:sz w:val="20"/>
              </w:rPr>
              <w:t>Lévocabastine</w:t>
            </w:r>
          </w:p>
        </w:tc>
        <w:tc>
          <w:tcPr>
            <w:tcW w:type="dxa" w:w="1039"/>
          </w:tcPr>
          <w:p>
            <w:r>
              <w:rPr>
                <w:b/>
                <w:sz w:val="20"/>
              </w:rPr>
              <w:t>Kétotifène</w:t>
            </w:r>
          </w:p>
        </w:tc>
        <w:tc>
          <w:tcPr>
            <w:tcW w:type="dxa" w:w="1039"/>
          </w:tcPr>
          <w:p>
            <w:r>
              <w:rPr>
                <w:b/>
                <w:sz w:val="20"/>
              </w:rPr>
              <w:t>Dexaméthasone</w:t>
            </w:r>
          </w:p>
        </w:tc>
        <w:tc>
          <w:tcPr>
            <w:tcW w:type="dxa" w:w="1039"/>
          </w:tcPr>
          <w:p>
            <w:r>
              <w:rPr>
                <w:b/>
                <w:sz w:val="20"/>
              </w:rPr>
              <w:t>Prednisolone</w:t>
            </w:r>
          </w:p>
        </w:tc>
        <w:tc>
          <w:tcPr>
            <w:tcW w:type="dxa" w:w="1039"/>
          </w:tcPr>
          <w:p>
            <w:r>
              <w:rPr>
                <w:b/>
                <w:sz w:val="20"/>
              </w:rPr>
              <w:t>Fluorométholone</w:t>
            </w:r>
          </w:p>
        </w:tc>
        <w:tc>
          <w:tcPr>
            <w:tcW w:type="dxa" w:w="1039"/>
          </w:tcPr>
          <w:p>
            <w:r>
              <w:rPr>
                <w:b/>
                <w:sz w:val="20"/>
              </w:rPr>
              <w:t>Rimexolone</w:t>
            </w:r>
          </w:p>
        </w:tc>
      </w:tr>
      <w:tr>
        <w:tc>
          <w:tcPr>
            <w:tcW w:type="dxa" w:w="1039"/>
          </w:tcPr>
          <w:p>
            <w:r>
              <w:rPr>
                <w:sz w:val="20"/>
              </w:rPr>
              <w:t>**Sous-classe**</w:t>
            </w:r>
          </w:p>
        </w:tc>
        <w:tc>
          <w:tcPr>
            <w:tcW w:type="dxa" w:w="1039"/>
          </w:tcPr>
          <w:p>
            <w:r>
              <w:rPr>
                <w:sz w:val="20"/>
              </w:rPr>
              <w:t>Antihistaminique H1 + inhibiteur mastocytaire</w:t>
            </w:r>
          </w:p>
        </w:tc>
        <w:tc>
          <w:tcPr>
            <w:tcW w:type="dxa" w:w="1039"/>
          </w:tcPr>
          <w:p>
            <w:r>
              <w:rPr>
                <w:sz w:val="20"/>
              </w:rPr>
              <w:t>Antihistaminique H1 + inhibiteur mastocytaire</w:t>
            </w:r>
          </w:p>
        </w:tc>
        <w:tc>
          <w:tcPr>
            <w:tcW w:type="dxa" w:w="1039"/>
          </w:tcPr>
          <w:p>
            <w:r>
              <w:rPr>
                <w:sz w:val="20"/>
              </w:rPr>
              <w:t>Antihistaminique H1 pur</w:t>
            </w:r>
          </w:p>
        </w:tc>
        <w:tc>
          <w:tcPr>
            <w:tcW w:type="dxa" w:w="1039"/>
          </w:tcPr>
          <w:p>
            <w:r>
              <w:rPr>
                <w:sz w:val="20"/>
              </w:rPr>
              <w:t>Inhibiteur mastocytaire + antihistaminique H1</w:t>
            </w:r>
          </w:p>
        </w:tc>
        <w:tc>
          <w:tcPr>
            <w:tcW w:type="dxa" w:w="1039"/>
          </w:tcPr>
          <w:p>
            <w:r>
              <w:rPr>
                <w:sz w:val="20"/>
              </w:rPr>
              <w:t>Corticoïde fluoré 4e génération (long-acting)</w:t>
            </w:r>
          </w:p>
        </w:tc>
        <w:tc>
          <w:tcPr>
            <w:tcW w:type="dxa" w:w="1039"/>
          </w:tcPr>
          <w:p>
            <w:r>
              <w:rPr>
                <w:sz w:val="20"/>
              </w:rPr>
              <w:t>Corticoïde 2e génération (intermediate-acting)</w:t>
            </w:r>
          </w:p>
        </w:tc>
        <w:tc>
          <w:tcPr>
            <w:tcW w:type="dxa" w:w="1039"/>
          </w:tcPr>
          <w:p>
            <w:r>
              <w:rPr>
                <w:sz w:val="20"/>
              </w:rPr>
              <w:t>Corticoïde fluoré 2e génération (surface)</w:t>
            </w:r>
          </w:p>
        </w:tc>
        <w:tc>
          <w:tcPr>
            <w:tcW w:type="dxa" w:w="1039"/>
          </w:tcPr>
          <w:p>
            <w:r>
              <w:rPr>
                <w:sz w:val="20"/>
              </w:rPr>
              <w:t>Corticoïde non fluoré 3e génération (surface)</w:t>
            </w:r>
          </w:p>
        </w:tc>
      </w:tr>
      <w:tr>
        <w:tc>
          <w:tcPr>
            <w:tcW w:type="dxa" w:w="1039"/>
          </w:tcPr>
          <w:p>
            <w:r>
              <w:rPr>
                <w:sz w:val="20"/>
              </w:rPr>
              <w:t>**Année de commercialisation**</w:t>
            </w:r>
          </w:p>
        </w:tc>
        <w:tc>
          <w:tcPr>
            <w:tcW w:type="dxa" w:w="1039"/>
          </w:tcPr>
          <w:p>
            <w:r>
              <w:rPr>
                <w:sz w:val="20"/>
              </w:rPr>
              <w:t>1996</w:t>
            </w:r>
          </w:p>
        </w:tc>
        <w:tc>
          <w:tcPr>
            <w:tcW w:type="dxa" w:w="1039"/>
          </w:tcPr>
          <w:p>
            <w:r>
              <w:rPr>
                <w:sz w:val="20"/>
              </w:rPr>
              <w:t>1994</w:t>
            </w:r>
          </w:p>
        </w:tc>
        <w:tc>
          <w:tcPr>
            <w:tcW w:type="dxa" w:w="1039"/>
          </w:tcPr>
          <w:p>
            <w:r>
              <w:rPr>
                <w:sz w:val="20"/>
              </w:rPr>
              <w:t>1987</w:t>
            </w:r>
          </w:p>
        </w:tc>
        <w:tc>
          <w:tcPr>
            <w:tcW w:type="dxa" w:w="1039"/>
          </w:tcPr>
          <w:p>
            <w:r>
              <w:rPr>
                <w:sz w:val="20"/>
              </w:rPr>
              <w:t>1980 (oral), 1990 (ophtalmique)</w:t>
            </w:r>
          </w:p>
        </w:tc>
        <w:tc>
          <w:tcPr>
            <w:tcW w:type="dxa" w:w="1039"/>
          </w:tcPr>
          <w:p>
            <w:r>
              <w:rPr>
                <w:sz w:val="20"/>
              </w:rPr>
              <w:t>1957</w:t>
            </w:r>
          </w:p>
        </w:tc>
        <w:tc>
          <w:tcPr>
            <w:tcW w:type="dxa" w:w="1039"/>
          </w:tcPr>
          <w:p>
            <w:r>
              <w:rPr>
                <w:sz w:val="20"/>
              </w:rPr>
              <w:t>1955</w:t>
            </w:r>
          </w:p>
        </w:tc>
        <w:tc>
          <w:tcPr>
            <w:tcW w:type="dxa" w:w="1039"/>
          </w:tcPr>
          <w:p>
            <w:r>
              <w:rPr>
                <w:sz w:val="20"/>
              </w:rPr>
              <w:t>1959</w:t>
            </w:r>
          </w:p>
        </w:tc>
        <w:tc>
          <w:tcPr>
            <w:tcW w:type="dxa" w:w="1039"/>
          </w:tcPr>
          <w:p>
            <w:r>
              <w:rPr>
                <w:sz w:val="20"/>
              </w:rPr>
              <w:t>1990</w:t>
            </w:r>
          </w:p>
        </w:tc>
      </w:tr>
      <w:tr>
        <w:tc>
          <w:tcPr>
            <w:tcW w:type="dxa" w:w="1039"/>
          </w:tcPr>
          <w:p>
            <w:r>
              <w:rPr>
                <w:sz w:val="20"/>
              </w:rPr>
              <w:t>**Puissance anti-inflammatoire** (corticoïdes)</w:t>
            </w:r>
          </w:p>
        </w:tc>
        <w:tc>
          <w:tcPr>
            <w:tcW w:type="dxa" w:w="1039"/>
          </w:tcPr>
          <w:p>
            <w:r>
              <w:rPr>
                <w:sz w:val="20"/>
              </w:rPr>
              <w:t>N/A</w:t>
            </w:r>
          </w:p>
        </w:tc>
        <w:tc>
          <w:tcPr>
            <w:tcW w:type="dxa" w:w="1039"/>
          </w:tcPr>
          <w:p>
            <w:r>
              <w:rPr>
                <w:sz w:val="20"/>
              </w:rPr>
              <w:t>N/A</w:t>
            </w:r>
          </w:p>
        </w:tc>
        <w:tc>
          <w:tcPr>
            <w:tcW w:type="dxa" w:w="1039"/>
          </w:tcPr>
          <w:p>
            <w:r>
              <w:rPr>
                <w:sz w:val="20"/>
              </w:rPr>
              <w:t>N/A</w:t>
            </w:r>
          </w:p>
        </w:tc>
        <w:tc>
          <w:tcPr>
            <w:tcW w:type="dxa" w:w="1039"/>
          </w:tcPr>
          <w:p>
            <w:r>
              <w:rPr>
                <w:sz w:val="20"/>
              </w:rPr>
              <w:t>N/A</w:t>
            </w:r>
          </w:p>
        </w:tc>
        <w:tc>
          <w:tcPr>
            <w:tcW w:type="dxa" w:w="1039"/>
          </w:tcPr>
          <w:p>
            <w:r>
              <w:rPr>
                <w:sz w:val="20"/>
              </w:rPr>
              <w:t>25-30× cortisol</w:t>
            </w:r>
          </w:p>
        </w:tc>
        <w:tc>
          <w:tcPr>
            <w:tcW w:type="dxa" w:w="1039"/>
          </w:tcPr>
          <w:p>
            <w:r>
              <w:rPr>
                <w:sz w:val="20"/>
              </w:rPr>
              <w:t>4-5× cortisol</w:t>
            </w:r>
          </w:p>
        </w:tc>
        <w:tc>
          <w:tcPr>
            <w:tcW w:type="dxa" w:w="1039"/>
          </w:tcPr>
          <w:p>
            <w:r>
              <w:rPr>
                <w:sz w:val="20"/>
              </w:rPr>
              <w:t>5-10× cortisol</w:t>
            </w:r>
          </w:p>
        </w:tc>
        <w:tc>
          <w:tcPr>
            <w:tcW w:type="dxa" w:w="1039"/>
          </w:tcPr>
          <w:p>
            <w:r>
              <w:rPr>
                <w:sz w:val="20"/>
              </w:rPr>
              <w:t>4-5× cortisol</w:t>
            </w:r>
          </w:p>
        </w:tc>
      </w:tr>
      <w:tr>
        <w:tc>
          <w:tcPr>
            <w:tcW w:type="dxa" w:w="1039"/>
          </w:tcPr>
          <w:p>
            <w:r>
              <w:rPr>
                <w:sz w:val="20"/>
              </w:rPr>
              <w:t>**Affinité GR (Kd, nM)**</w:t>
            </w:r>
          </w:p>
        </w:tc>
        <w:tc>
          <w:tcPr>
            <w:tcW w:type="dxa" w:w="1039"/>
          </w:tcPr>
          <w:p>
            <w:r>
              <w:rPr>
                <w:sz w:val="20"/>
              </w:rPr>
              <w:t>N/A</w:t>
            </w:r>
          </w:p>
        </w:tc>
        <w:tc>
          <w:tcPr>
            <w:tcW w:type="dxa" w:w="1039"/>
          </w:tcPr>
          <w:p>
            <w:r>
              <w:rPr>
                <w:sz w:val="20"/>
              </w:rPr>
              <w:t>N/A</w:t>
            </w:r>
          </w:p>
        </w:tc>
        <w:tc>
          <w:tcPr>
            <w:tcW w:type="dxa" w:w="1039"/>
          </w:tcPr>
          <w:p>
            <w:r>
              <w:rPr>
                <w:sz w:val="20"/>
              </w:rPr>
              <w:t>N/A</w:t>
            </w:r>
          </w:p>
        </w:tc>
        <w:tc>
          <w:tcPr>
            <w:tcW w:type="dxa" w:w="1039"/>
          </w:tcPr>
          <w:p>
            <w:r>
              <w:rPr>
                <w:sz w:val="20"/>
              </w:rPr>
              <w:t>N/A</w:t>
            </w:r>
          </w:p>
        </w:tc>
        <w:tc>
          <w:tcPr>
            <w:tcW w:type="dxa" w:w="1039"/>
          </w:tcPr>
          <w:p>
            <w:r>
              <w:rPr>
                <w:sz w:val="20"/>
              </w:rPr>
              <w:t>≈ 5</w:t>
            </w:r>
          </w:p>
        </w:tc>
        <w:tc>
          <w:tcPr>
            <w:tcW w:type="dxa" w:w="1039"/>
          </w:tcPr>
          <w:p>
            <w:r>
              <w:rPr>
                <w:sz w:val="20"/>
              </w:rPr>
              <w:t>≈ 10</w:t>
            </w:r>
          </w:p>
        </w:tc>
        <w:tc>
          <w:tcPr>
            <w:tcW w:type="dxa" w:w="1039"/>
          </w:tcPr>
          <w:p>
            <w:r>
              <w:rPr>
                <w:sz w:val="20"/>
              </w:rPr>
              <w:t>≈ 12</w:t>
            </w:r>
          </w:p>
        </w:tc>
        <w:tc>
          <w:tcPr>
            <w:tcW w:type="dxa" w:w="1039"/>
          </w:tcPr>
          <w:p>
            <w:r>
              <w:rPr>
                <w:sz w:val="20"/>
              </w:rPr>
              <w:t>≈ 25</w:t>
            </w:r>
          </w:p>
        </w:tc>
      </w:tr>
      <w:tr>
        <w:tc>
          <w:tcPr>
            <w:tcW w:type="dxa" w:w="1039"/>
          </w:tcPr>
          <w:p>
            <w:r>
              <w:rPr>
                <w:sz w:val="20"/>
              </w:rPr>
              <w:t>**Affinité H1 (Ki, nM)**</w:t>
            </w:r>
          </w:p>
        </w:tc>
        <w:tc>
          <w:tcPr>
            <w:tcW w:type="dxa" w:w="1039"/>
          </w:tcPr>
          <w:p>
            <w:r>
              <w:rPr>
                <w:sz w:val="20"/>
              </w:rPr>
              <w:t>32</w:t>
            </w:r>
          </w:p>
        </w:tc>
        <w:tc>
          <w:tcPr>
            <w:tcW w:type="dxa" w:w="1039"/>
          </w:tcPr>
          <w:p>
            <w:r>
              <w:rPr>
                <w:sz w:val="20"/>
              </w:rPr>
              <w:t>8</w:t>
            </w:r>
          </w:p>
        </w:tc>
        <w:tc>
          <w:tcPr>
            <w:tcW w:type="dxa" w:w="1039"/>
          </w:tcPr>
          <w:p>
            <w:r>
              <w:rPr>
                <w:sz w:val="20"/>
              </w:rPr>
              <w:t>6</w:t>
            </w:r>
          </w:p>
        </w:tc>
        <w:tc>
          <w:tcPr>
            <w:tcW w:type="dxa" w:w="1039"/>
          </w:tcPr>
          <w:p>
            <w:r>
              <w:rPr>
                <w:sz w:val="20"/>
              </w:rPr>
              <w:t>15</w:t>
            </w:r>
          </w:p>
        </w:tc>
        <w:tc>
          <w:tcPr>
            <w:tcW w:type="dxa" w:w="1039"/>
          </w:tcPr>
          <w:p>
            <w:r>
              <w:rPr>
                <w:sz w:val="20"/>
              </w:rPr>
              <w:t>N/A</w:t>
            </w:r>
          </w:p>
        </w:tc>
        <w:tc>
          <w:tcPr>
            <w:tcW w:type="dxa" w:w="1039"/>
          </w:tcPr>
          <w:p>
            <w:r>
              <w:rPr>
                <w:sz w:val="20"/>
              </w:rPr>
              <w:t>N/A</w:t>
            </w:r>
          </w:p>
        </w:tc>
        <w:tc>
          <w:tcPr>
            <w:tcW w:type="dxa" w:w="1039"/>
          </w:tcPr>
          <w:p>
            <w:r>
              <w:rPr>
                <w:sz w:val="20"/>
              </w:rPr>
              <w:t>N/A</w:t>
            </w:r>
          </w:p>
        </w:tc>
        <w:tc>
          <w:tcPr>
            <w:tcW w:type="dxa" w:w="1039"/>
          </w:tcPr>
          <w:p>
            <w:r>
              <w:rPr>
                <w:sz w:val="20"/>
              </w:rPr>
              <w:t>N/A</w:t>
            </w:r>
          </w:p>
        </w:tc>
      </w:tr>
      <w:tr>
        <w:tc>
          <w:tcPr>
            <w:tcW w:type="dxa" w:w="1039"/>
          </w:tcPr>
          <w:p>
            <w:r>
              <w:rPr>
                <w:sz w:val="20"/>
              </w:rPr>
              <w:t>**Début d'action**</w:t>
            </w:r>
          </w:p>
        </w:tc>
        <w:tc>
          <w:tcPr>
            <w:tcW w:type="dxa" w:w="1039"/>
          </w:tcPr>
          <w:p>
            <w:r>
              <w:rPr>
                <w:sz w:val="20"/>
              </w:rPr>
              <w:t>30-60 min</w:t>
            </w:r>
          </w:p>
        </w:tc>
        <w:tc>
          <w:tcPr>
            <w:tcW w:type="dxa" w:w="1039"/>
          </w:tcPr>
          <w:p>
            <w:r>
              <w:rPr>
                <w:sz w:val="20"/>
              </w:rPr>
              <w:t>15-30 min</w:t>
            </w:r>
          </w:p>
        </w:tc>
        <w:tc>
          <w:tcPr>
            <w:tcW w:type="dxa" w:w="1039"/>
          </w:tcPr>
          <w:p>
            <w:r>
              <w:rPr>
                <w:sz w:val="20"/>
              </w:rPr>
              <w:t>10-15 min</w:t>
            </w:r>
          </w:p>
        </w:tc>
        <w:tc>
          <w:tcPr>
            <w:tcW w:type="dxa" w:w="1039"/>
          </w:tcPr>
          <w:p>
            <w:r>
              <w:rPr>
                <w:sz w:val="20"/>
              </w:rPr>
              <w:t>30-60 min (H1), 2-4 semaines (mastocyte)</w:t>
            </w:r>
          </w:p>
        </w:tc>
        <w:tc>
          <w:tcPr>
            <w:tcW w:type="dxa" w:w="1039"/>
          </w:tcPr>
          <w:p>
            <w:r>
              <w:rPr>
                <w:sz w:val="20"/>
              </w:rPr>
              <w:t>1-2 heures</w:t>
            </w:r>
          </w:p>
        </w:tc>
        <w:tc>
          <w:tcPr>
            <w:tcW w:type="dxa" w:w="1039"/>
          </w:tcPr>
          <w:p>
            <w:r>
              <w:rPr>
                <w:sz w:val="20"/>
              </w:rPr>
              <w:t>1-2 heures</w:t>
            </w:r>
          </w:p>
        </w:tc>
        <w:tc>
          <w:tcPr>
            <w:tcW w:type="dxa" w:w="1039"/>
          </w:tcPr>
          <w:p>
            <w:r>
              <w:rPr>
                <w:sz w:val="20"/>
              </w:rPr>
              <w:t>1-2 heures</w:t>
            </w:r>
          </w:p>
        </w:tc>
        <w:tc>
          <w:tcPr>
            <w:tcW w:type="dxa" w:w="1039"/>
          </w:tcPr>
          <w:p>
            <w:r>
              <w:rPr>
                <w:sz w:val="20"/>
              </w:rPr>
              <w:t>1-2 heures</w:t>
            </w:r>
          </w:p>
        </w:tc>
      </w:tr>
      <w:tr>
        <w:tc>
          <w:tcPr>
            <w:tcW w:type="dxa" w:w="1039"/>
          </w:tcPr>
          <w:p>
            <w:r>
              <w:rPr>
                <w:sz w:val="20"/>
              </w:rPr>
              <w:t>**Durée d'action**</w:t>
            </w:r>
          </w:p>
        </w:tc>
        <w:tc>
          <w:tcPr>
            <w:tcW w:type="dxa" w:w="1039"/>
          </w:tcPr>
          <w:p>
            <w:r>
              <w:rPr>
                <w:sz w:val="20"/>
              </w:rPr>
              <w:t>8-16 h</w:t>
            </w:r>
          </w:p>
        </w:tc>
        <w:tc>
          <w:tcPr>
            <w:tcW w:type="dxa" w:w="1039"/>
          </w:tcPr>
          <w:p>
            <w:r>
              <w:rPr>
                <w:sz w:val="20"/>
              </w:rPr>
              <w:t>8-12 h</w:t>
            </w:r>
          </w:p>
        </w:tc>
        <w:tc>
          <w:tcPr>
            <w:tcW w:type="dxa" w:w="1039"/>
          </w:tcPr>
          <w:p>
            <w:r>
              <w:rPr>
                <w:sz w:val="20"/>
              </w:rPr>
              <w:t>8-12 h</w:t>
            </w:r>
          </w:p>
        </w:tc>
        <w:tc>
          <w:tcPr>
            <w:tcW w:type="dxa" w:w="1039"/>
          </w:tcPr>
          <w:p>
            <w:r>
              <w:rPr>
                <w:sz w:val="20"/>
              </w:rPr>
              <w:t>8-12 h</w:t>
            </w:r>
          </w:p>
        </w:tc>
        <w:tc>
          <w:tcPr>
            <w:tcW w:type="dxa" w:w="1039"/>
          </w:tcPr>
          <w:p>
            <w:r>
              <w:rPr>
                <w:sz w:val="20"/>
              </w:rPr>
              <w:t>36-54 h (biologique)</w:t>
            </w:r>
          </w:p>
        </w:tc>
        <w:tc>
          <w:tcPr>
            <w:tcW w:type="dxa" w:w="1039"/>
          </w:tcPr>
          <w:p>
            <w:r>
              <w:rPr>
                <w:sz w:val="20"/>
              </w:rPr>
              <w:t>12-36 h (biologique)</w:t>
            </w:r>
          </w:p>
        </w:tc>
        <w:tc>
          <w:tcPr>
            <w:tcW w:type="dxa" w:w="1039"/>
          </w:tcPr>
          <w:p>
            <w:r>
              <w:rPr>
                <w:sz w:val="20"/>
              </w:rPr>
              <w:t>8-12 h</w:t>
            </w:r>
          </w:p>
        </w:tc>
        <w:tc>
          <w:tcPr>
            <w:tcW w:type="dxa" w:w="1039"/>
          </w:tcPr>
          <w:p>
            <w:r>
              <w:rPr>
                <w:sz w:val="20"/>
              </w:rPr>
              <w:t>8-12 h</w:t>
            </w:r>
          </w:p>
        </w:tc>
      </w:tr>
      <w:tr>
        <w:tc>
          <w:tcPr>
            <w:tcW w:type="dxa" w:w="1039"/>
          </w:tcPr>
          <w:p>
            <w:r>
              <w:rPr>
                <w:sz w:val="20"/>
              </w:rPr>
              <w:t>**Posologie usuelle**</w:t>
            </w:r>
          </w:p>
        </w:tc>
        <w:tc>
          <w:tcPr>
            <w:tcW w:type="dxa" w:w="1039"/>
          </w:tcPr>
          <w:p>
            <w:r>
              <w:rPr>
                <w:sz w:val="20"/>
              </w:rPr>
              <w:t>1 goutte 1×/j</w:t>
            </w:r>
          </w:p>
        </w:tc>
        <w:tc>
          <w:tcPr>
            <w:tcW w:type="dxa" w:w="1039"/>
          </w:tcPr>
          <w:p>
            <w:r>
              <w:rPr>
                <w:sz w:val="20"/>
              </w:rPr>
              <w:t>1 goutte 2×/j</w:t>
            </w:r>
          </w:p>
        </w:tc>
        <w:tc>
          <w:tcPr>
            <w:tcW w:type="dxa" w:w="1039"/>
          </w:tcPr>
          <w:p>
            <w:r>
              <w:rPr>
                <w:sz w:val="20"/>
              </w:rPr>
              <w:t>1 goutte 2×/j</w:t>
            </w:r>
          </w:p>
        </w:tc>
        <w:tc>
          <w:tcPr>
            <w:tcW w:type="dxa" w:w="1039"/>
          </w:tcPr>
          <w:p>
            <w:r>
              <w:rPr>
                <w:sz w:val="20"/>
              </w:rPr>
              <w:t>1 goutte 2×/j</w:t>
            </w:r>
          </w:p>
        </w:tc>
        <w:tc>
          <w:tcPr>
            <w:tcW w:type="dxa" w:w="1039"/>
          </w:tcPr>
          <w:p>
            <w:r>
              <w:rPr>
                <w:sz w:val="20"/>
              </w:rPr>
              <w:t>1 goutte 4-6×/j</w:t>
            </w:r>
          </w:p>
        </w:tc>
        <w:tc>
          <w:tcPr>
            <w:tcW w:type="dxa" w:w="1039"/>
          </w:tcPr>
          <w:p>
            <w:r>
              <w:rPr>
                <w:sz w:val="20"/>
              </w:rPr>
              <w:t>1 goutte 4-6×/j</w:t>
            </w:r>
          </w:p>
        </w:tc>
        <w:tc>
          <w:tcPr>
            <w:tcW w:type="dxa" w:w="1039"/>
          </w:tcPr>
          <w:p>
            <w:r>
              <w:rPr>
                <w:sz w:val="20"/>
              </w:rPr>
              <w:t>1 goutte 2-4×/j</w:t>
            </w:r>
          </w:p>
        </w:tc>
        <w:tc>
          <w:tcPr>
            <w:tcW w:type="dxa" w:w="1039"/>
          </w:tcPr>
          <w:p>
            <w:r>
              <w:rPr>
                <w:sz w:val="20"/>
              </w:rPr>
              <w:t>1 goutte 4×/j</w:t>
            </w:r>
          </w:p>
        </w:tc>
      </w:tr>
      <w:tr>
        <w:tc>
          <w:tcPr>
            <w:tcW w:type="dxa" w:w="1039"/>
          </w:tcPr>
          <w:p>
            <w:r>
              <w:rPr>
                <w:sz w:val="20"/>
              </w:rPr>
              <w:t>**Biodisponibilité systémique**</w:t>
            </w:r>
          </w:p>
        </w:tc>
        <w:tc>
          <w:tcPr>
            <w:tcW w:type="dxa" w:w="1039"/>
          </w:tcPr>
          <w:p>
            <w:r>
              <w:rPr>
                <w:sz w:val="20"/>
              </w:rPr>
              <w:t>&lt; 1,5 %</w:t>
            </w:r>
          </w:p>
        </w:tc>
        <w:tc>
          <w:tcPr>
            <w:tcW w:type="dxa" w:w="1039"/>
          </w:tcPr>
          <w:p>
            <w:r>
              <w:rPr>
                <w:sz w:val="20"/>
              </w:rPr>
              <w:t>≈ 40-50 %</w:t>
            </w:r>
          </w:p>
        </w:tc>
        <w:tc>
          <w:tcPr>
            <w:tcW w:type="dxa" w:w="1039"/>
          </w:tcPr>
          <w:p>
            <w:r>
              <w:rPr>
                <w:sz w:val="20"/>
              </w:rPr>
              <w:t>&lt; 1 %</w:t>
            </w:r>
          </w:p>
        </w:tc>
        <w:tc>
          <w:tcPr>
            <w:tcW w:type="dxa" w:w="1039"/>
          </w:tcPr>
          <w:p>
            <w:r>
              <w:rPr>
                <w:sz w:val="20"/>
              </w:rPr>
              <w:t>≈ 5-10 %</w:t>
            </w:r>
          </w:p>
        </w:tc>
        <w:tc>
          <w:tcPr>
            <w:tcW w:type="dxa" w:w="1039"/>
          </w:tcPr>
          <w:p>
            <w:r>
              <w:rPr>
                <w:sz w:val="20"/>
              </w:rPr>
              <w:t>≈ 5-15 %</w:t>
            </w:r>
          </w:p>
        </w:tc>
        <w:tc>
          <w:tcPr>
            <w:tcW w:type="dxa" w:w="1039"/>
          </w:tcPr>
          <w:p>
            <w:r>
              <w:rPr>
                <w:sz w:val="20"/>
              </w:rPr>
              <w:t>≈ 5-15 %</w:t>
            </w:r>
          </w:p>
        </w:tc>
        <w:tc>
          <w:tcPr>
            <w:tcW w:type="dxa" w:w="1039"/>
          </w:tcPr>
          <w:p>
            <w:r>
              <w:rPr>
                <w:sz w:val="20"/>
              </w:rPr>
              <w:t>&lt; 1 %</w:t>
            </w:r>
          </w:p>
        </w:tc>
        <w:tc>
          <w:tcPr>
            <w:tcW w:type="dxa" w:w="1039"/>
          </w:tcPr>
          <w:p>
            <w:r>
              <w:rPr>
                <w:sz w:val="20"/>
              </w:rPr>
              <w:t>&lt; 1 %</w:t>
            </w:r>
          </w:p>
        </w:tc>
      </w:tr>
      <w:tr>
        <w:tc>
          <w:tcPr>
            <w:tcW w:type="dxa" w:w="1039"/>
          </w:tcPr>
          <w:p>
            <w:r>
              <w:rPr>
                <w:sz w:val="20"/>
              </w:rPr>
              <w:t>**Demi-vie plasmatique**</w:t>
            </w:r>
          </w:p>
        </w:tc>
        <w:tc>
          <w:tcPr>
            <w:tcW w:type="dxa" w:w="1039"/>
          </w:tcPr>
          <w:p>
            <w:r>
              <w:rPr>
                <w:sz w:val="20"/>
              </w:rPr>
              <w:t>8-12 h</w:t>
            </w:r>
          </w:p>
        </w:tc>
        <w:tc>
          <w:tcPr>
            <w:tcW w:type="dxa" w:w="1039"/>
          </w:tcPr>
          <w:p>
            <w:r>
              <w:rPr>
                <w:sz w:val="20"/>
              </w:rPr>
              <w:t>17-22 h</w:t>
            </w:r>
          </w:p>
        </w:tc>
        <w:tc>
          <w:tcPr>
            <w:tcW w:type="dxa" w:w="1039"/>
          </w:tcPr>
          <w:p>
            <w:r>
              <w:rPr>
                <w:sz w:val="20"/>
              </w:rPr>
              <w:t>35-50 h</w:t>
            </w:r>
          </w:p>
        </w:tc>
        <w:tc>
          <w:tcPr>
            <w:tcW w:type="dxa" w:w="1039"/>
          </w:tcPr>
          <w:p>
            <w:r>
              <w:rPr>
                <w:sz w:val="20"/>
              </w:rPr>
              <w:t>12-18 h</w:t>
            </w:r>
          </w:p>
        </w:tc>
        <w:tc>
          <w:tcPr>
            <w:tcW w:type="dxa" w:w="1039"/>
          </w:tcPr>
          <w:p>
            <w:r>
              <w:rPr>
                <w:sz w:val="20"/>
              </w:rPr>
              <w:t>3-5 h (parent)</w:t>
            </w:r>
          </w:p>
        </w:tc>
        <w:tc>
          <w:tcPr>
            <w:tcW w:type="dxa" w:w="1039"/>
          </w:tcPr>
          <w:p>
            <w:r>
              <w:rPr>
                <w:sz w:val="20"/>
              </w:rPr>
              <w:t>2-4 h (parent)</w:t>
            </w:r>
          </w:p>
        </w:tc>
        <w:tc>
          <w:tcPr>
            <w:tcW w:type="dxa" w:w="1039"/>
          </w:tcPr>
          <w:p>
            <w:r>
              <w:rPr>
                <w:sz w:val="20"/>
              </w:rPr>
              <w:t>1-2 h (parent)</w:t>
            </w:r>
          </w:p>
        </w:tc>
        <w:tc>
          <w:tcPr>
            <w:tcW w:type="dxa" w:w="1039"/>
          </w:tcPr>
          <w:p>
            <w:r>
              <w:rPr>
                <w:sz w:val="20"/>
              </w:rPr>
              <w:t>1-2 h (parent)</w:t>
            </w:r>
          </w:p>
        </w:tc>
      </w:tr>
      <w:tr>
        <w:tc>
          <w:tcPr>
            <w:tcW w:type="dxa" w:w="1039"/>
          </w:tcPr>
          <w:p>
            <w:r>
              <w:rPr>
                <w:sz w:val="20"/>
              </w:rPr>
              <w:t>**Risque glaucome cortico-induit**</w:t>
            </w:r>
          </w:p>
        </w:tc>
        <w:tc>
          <w:tcPr>
            <w:tcW w:type="dxa" w:w="1039"/>
          </w:tcPr>
          <w:p>
            <w:r>
              <w:rPr>
                <w:sz w:val="20"/>
              </w:rPr>
              <w:t>N/A</w:t>
            </w:r>
          </w:p>
        </w:tc>
        <w:tc>
          <w:tcPr>
            <w:tcW w:type="dxa" w:w="1039"/>
          </w:tcPr>
          <w:p>
            <w:r>
              <w:rPr>
                <w:sz w:val="20"/>
              </w:rPr>
              <w:t>N/A</w:t>
            </w:r>
          </w:p>
        </w:tc>
        <w:tc>
          <w:tcPr>
            <w:tcW w:type="dxa" w:w="1039"/>
          </w:tcPr>
          <w:p>
            <w:r>
              <w:rPr>
                <w:sz w:val="20"/>
              </w:rPr>
              <w:t>N/A</w:t>
            </w:r>
          </w:p>
        </w:tc>
        <w:tc>
          <w:tcPr>
            <w:tcW w:type="dxa" w:w="1039"/>
          </w:tcPr>
          <w:p>
            <w:r>
              <w:rPr>
                <w:sz w:val="20"/>
              </w:rPr>
              <w:t>N/A</w:t>
            </w:r>
          </w:p>
        </w:tc>
        <w:tc>
          <w:tcPr>
            <w:tcW w:type="dxa" w:w="1039"/>
          </w:tcPr>
          <w:p>
            <w:r>
              <w:rPr>
                <w:sz w:val="20"/>
              </w:rPr>
              <w:t>Élevé (20-30 %)</w:t>
            </w:r>
          </w:p>
        </w:tc>
        <w:tc>
          <w:tcPr>
            <w:tcW w:type="dxa" w:w="1039"/>
          </w:tcPr>
          <w:p>
            <w:r>
              <w:rPr>
                <w:sz w:val="20"/>
              </w:rPr>
              <w:t>Élevé (20-30 %)</w:t>
            </w:r>
          </w:p>
        </w:tc>
        <w:tc>
          <w:tcPr>
            <w:tcW w:type="dxa" w:w="1039"/>
          </w:tcPr>
          <w:p>
            <w:r>
              <w:rPr>
                <w:sz w:val="20"/>
              </w:rPr>
              <w:t>Faible (5-10 %)</w:t>
            </w:r>
          </w:p>
        </w:tc>
        <w:tc>
          <w:tcPr>
            <w:tcW w:type="dxa" w:w="1039"/>
          </w:tcPr>
          <w:p>
            <w:r>
              <w:rPr>
                <w:sz w:val="20"/>
              </w:rPr>
              <w:t>Faible (5-10 %)</w:t>
            </w:r>
          </w:p>
        </w:tc>
      </w:tr>
      <w:tr>
        <w:tc>
          <w:tcPr>
            <w:tcW w:type="dxa" w:w="1039"/>
          </w:tcPr>
          <w:p>
            <w:r>
              <w:rPr>
                <w:sz w:val="20"/>
              </w:rPr>
              <w:t>**Risque cataracte**</w:t>
            </w:r>
          </w:p>
        </w:tc>
        <w:tc>
          <w:tcPr>
            <w:tcW w:type="dxa" w:w="1039"/>
          </w:tcPr>
          <w:p>
            <w:r>
              <w:rPr>
                <w:sz w:val="20"/>
              </w:rPr>
              <w:t>N/A</w:t>
            </w:r>
          </w:p>
        </w:tc>
        <w:tc>
          <w:tcPr>
            <w:tcW w:type="dxa" w:w="1039"/>
          </w:tcPr>
          <w:p>
            <w:r>
              <w:rPr>
                <w:sz w:val="20"/>
              </w:rPr>
              <w:t>N/A</w:t>
            </w:r>
          </w:p>
        </w:tc>
        <w:tc>
          <w:tcPr>
            <w:tcW w:type="dxa" w:w="1039"/>
          </w:tcPr>
          <w:p>
            <w:r>
              <w:rPr>
                <w:sz w:val="20"/>
              </w:rPr>
              <w:t>N/A</w:t>
            </w:r>
          </w:p>
        </w:tc>
        <w:tc>
          <w:tcPr>
            <w:tcW w:type="dxa" w:w="1039"/>
          </w:tcPr>
          <w:p>
            <w:r>
              <w:rPr>
                <w:sz w:val="20"/>
              </w:rPr>
              <w:t>N/A</w:t>
            </w:r>
          </w:p>
        </w:tc>
        <w:tc>
          <w:tcPr>
            <w:tcW w:type="dxa" w:w="1039"/>
          </w:tcPr>
          <w:p>
            <w:r>
              <w:rPr>
                <w:sz w:val="20"/>
              </w:rPr>
              <w:t>Modéré (5-15 % à 6 mois)</w:t>
            </w:r>
          </w:p>
        </w:tc>
        <w:tc>
          <w:tcPr>
            <w:tcW w:type="dxa" w:w="1039"/>
          </w:tcPr>
          <w:p>
            <w:r>
              <w:rPr>
                <w:sz w:val="20"/>
              </w:rPr>
              <w:t>Modéré (5-15 % à 6 mois)</w:t>
            </w:r>
          </w:p>
        </w:tc>
        <w:tc>
          <w:tcPr>
            <w:tcW w:type="dxa" w:w="1039"/>
          </w:tcPr>
          <w:p>
            <w:r>
              <w:rPr>
                <w:sz w:val="20"/>
              </w:rPr>
              <w:t>Faible (2-5 % à 6 mois)</w:t>
            </w:r>
          </w:p>
        </w:tc>
        <w:tc>
          <w:tcPr>
            <w:tcW w:type="dxa" w:w="1039"/>
          </w:tcPr>
          <w:p>
            <w:r>
              <w:rPr>
                <w:sz w:val="20"/>
              </w:rPr>
              <w:t>Faible (2-5 % à 6 mois)</w:t>
            </w:r>
          </w:p>
        </w:tc>
      </w:tr>
      <w:tr>
        <w:tc>
          <w:tcPr>
            <w:tcW w:type="dxa" w:w="1039"/>
          </w:tcPr>
          <w:p>
            <w:r>
              <w:rPr>
                <w:sz w:val="20"/>
              </w:rPr>
              <w:t>**Contre-indication herpès oculaire**</w:t>
            </w:r>
          </w:p>
        </w:tc>
        <w:tc>
          <w:tcPr>
            <w:tcW w:type="dxa" w:w="1039"/>
          </w:tcPr>
          <w:p>
            <w:r>
              <w:rPr>
                <w:sz w:val="20"/>
              </w:rPr>
              <w:t>Non</w:t>
            </w:r>
          </w:p>
        </w:tc>
        <w:tc>
          <w:tcPr>
            <w:tcW w:type="dxa" w:w="1039"/>
          </w:tcPr>
          <w:p>
            <w:r>
              <w:rPr>
                <w:sz w:val="20"/>
              </w:rPr>
              <w:t>Non</w:t>
            </w:r>
          </w:p>
        </w:tc>
        <w:tc>
          <w:tcPr>
            <w:tcW w:type="dxa" w:w="1039"/>
          </w:tcPr>
          <w:p>
            <w:r>
              <w:rPr>
                <w:sz w:val="20"/>
              </w:rPr>
              <w:t>Non</w:t>
            </w:r>
          </w:p>
        </w:tc>
        <w:tc>
          <w:tcPr>
            <w:tcW w:type="dxa" w:w="1039"/>
          </w:tcPr>
          <w:p>
            <w:r>
              <w:rPr>
                <w:sz w:val="20"/>
              </w:rPr>
              <w:t>Non</w:t>
            </w:r>
          </w:p>
        </w:tc>
        <w:tc>
          <w:tcPr>
            <w:tcW w:type="dxa" w:w="1039"/>
          </w:tcPr>
          <w:p>
            <w:r>
              <w:rPr>
                <w:sz w:val="20"/>
              </w:rPr>
              <w:t>OUI (absolue)</w:t>
            </w:r>
          </w:p>
        </w:tc>
        <w:tc>
          <w:tcPr>
            <w:tcW w:type="dxa" w:w="1039"/>
          </w:tcPr>
          <w:p>
            <w:r>
              <w:rPr>
                <w:sz w:val="20"/>
              </w:rPr>
              <w:t>OUI (absolue)</w:t>
            </w:r>
          </w:p>
        </w:tc>
        <w:tc>
          <w:tcPr>
            <w:tcW w:type="dxa" w:w="1039"/>
          </w:tcPr>
          <w:p>
            <w:r>
              <w:rPr>
                <w:sz w:val="20"/>
              </w:rPr>
              <w:t>OUI (absolue)</w:t>
            </w:r>
          </w:p>
        </w:tc>
        <w:tc>
          <w:tcPr>
            <w:tcW w:type="dxa" w:w="1039"/>
          </w:tcPr>
          <w:p>
            <w:r>
              <w:rPr>
                <w:sz w:val="20"/>
              </w:rPr>
              <w:t>OUI (absolue)</w:t>
            </w:r>
          </w:p>
        </w:tc>
      </w:tr>
      <w:tr>
        <w:tc>
          <w:tcPr>
            <w:tcW w:type="dxa" w:w="1039"/>
          </w:tcPr>
          <w:p>
            <w:r>
              <w:rPr>
                <w:sz w:val="20"/>
              </w:rPr>
              <w:t>**Grossesse (CRAT)**</w:t>
            </w:r>
          </w:p>
        </w:tc>
        <w:tc>
          <w:tcPr>
            <w:tcW w:type="dxa" w:w="1039"/>
          </w:tcPr>
          <w:p>
            <w:r>
              <w:rPr>
                <w:sz w:val="20"/>
              </w:rPr>
              <w:t>Utilisable quel que soit le terme</w:t>
            </w:r>
          </w:p>
        </w:tc>
        <w:tc>
          <w:tcPr>
            <w:tcW w:type="dxa" w:w="1039"/>
          </w:tcPr>
          <w:p>
            <w:r>
              <w:rPr>
                <w:sz w:val="20"/>
              </w:rPr>
              <w:t>À utiliser par prudence (2e intention)</w:t>
            </w:r>
          </w:p>
        </w:tc>
        <w:tc>
          <w:tcPr>
            <w:tcW w:type="dxa" w:w="1039"/>
          </w:tcPr>
          <w:p>
            <w:r>
              <w:rPr>
                <w:sz w:val="20"/>
              </w:rPr>
              <w:t>Utilisable quel que soit le terme</w:t>
            </w:r>
          </w:p>
        </w:tc>
        <w:tc>
          <w:tcPr>
            <w:tcW w:type="dxa" w:w="1039"/>
          </w:tcPr>
          <w:p>
            <w:r>
              <w:rPr>
                <w:sz w:val="20"/>
              </w:rPr>
              <w:t>À éviter 1er trimestre (formes systémiques) ; utilisable (forme ophtalmique)</w:t>
            </w:r>
          </w:p>
        </w:tc>
        <w:tc>
          <w:tcPr>
            <w:tcW w:type="dxa" w:w="1039"/>
          </w:tcPr>
          <w:p>
            <w:r>
              <w:rPr>
                <w:sz w:val="20"/>
              </w:rPr>
              <w:t>Utilisable (forme ophtalmique) ; à éviter 1er trimestre (formes systémiques)</w:t>
            </w:r>
          </w:p>
        </w:tc>
        <w:tc>
          <w:tcPr>
            <w:tcW w:type="dxa" w:w="1039"/>
          </w:tcPr>
          <w:p>
            <w:r>
              <w:rPr>
                <w:sz w:val="20"/>
              </w:rPr>
              <w:t>Utilisable (forme ophtalmique) ; utilisable (forme systémique avec métabolisme placentaire)</w:t>
            </w:r>
          </w:p>
        </w:tc>
        <w:tc>
          <w:tcPr>
            <w:tcW w:type="dxa" w:w="1039"/>
          </w:tcPr>
          <w:p>
            <w:r>
              <w:rPr>
                <w:sz w:val="20"/>
              </w:rPr>
              <w:t>Utilisable quel que soit le terme</w:t>
            </w:r>
          </w:p>
        </w:tc>
        <w:tc>
          <w:tcPr>
            <w:tcW w:type="dxa" w:w="1039"/>
          </w:tcPr>
          <w:p>
            <w:r>
              <w:rPr>
                <w:sz w:val="20"/>
              </w:rPr>
              <w:t>Utilisable quel que soit le terme</w:t>
            </w:r>
          </w:p>
        </w:tc>
      </w:tr>
      <w:tr>
        <w:tc>
          <w:tcPr>
            <w:tcW w:type="dxa" w:w="1039"/>
          </w:tcPr>
          <w:p>
            <w:r>
              <w:rPr>
                <w:sz w:val="20"/>
              </w:rPr>
              <w:t>**Allaitement**</w:t>
            </w:r>
          </w:p>
        </w:tc>
        <w:tc>
          <w:tcPr>
            <w:tcW w:type="dxa" w:w="1039"/>
          </w:tcPr>
          <w:p>
            <w:r>
              <w:rPr>
                <w:sz w:val="20"/>
              </w:rPr>
              <w:t>Compatible</w:t>
            </w:r>
          </w:p>
        </w:tc>
        <w:tc>
          <w:tcPr>
            <w:tcW w:type="dxa" w:w="1039"/>
          </w:tcPr>
          <w:p>
            <w:r>
              <w:rPr>
                <w:sz w:val="20"/>
              </w:rPr>
              <w:t>Compatible avec prudence</w:t>
            </w:r>
          </w:p>
        </w:tc>
        <w:tc>
          <w:tcPr>
            <w:tcW w:type="dxa" w:w="1039"/>
          </w:tcPr>
          <w:p>
            <w:r>
              <w:rPr>
                <w:sz w:val="20"/>
              </w:rPr>
              <w:t>Compatible</w:t>
            </w:r>
          </w:p>
        </w:tc>
        <w:tc>
          <w:tcPr>
            <w:tcW w:type="dxa" w:w="1039"/>
          </w:tcPr>
          <w:p>
            <w:r>
              <w:rPr>
                <w:sz w:val="20"/>
              </w:rPr>
              <w:t>Compatible avec prudence</w:t>
            </w:r>
          </w:p>
        </w:tc>
        <w:tc>
          <w:tcPr>
            <w:tcW w:type="dxa" w:w="1039"/>
          </w:tcPr>
          <w:p>
            <w:r>
              <w:rPr>
                <w:sz w:val="20"/>
              </w:rPr>
              <w:t>Compatible (forme ophtalmique)</w:t>
            </w:r>
          </w:p>
        </w:tc>
        <w:tc>
          <w:tcPr>
            <w:tcW w:type="dxa" w:w="1039"/>
          </w:tcPr>
          <w:p>
            <w:r>
              <w:rPr>
                <w:sz w:val="20"/>
              </w:rPr>
              <w:t>Compatible (forme ophtalmique)</w:t>
            </w:r>
          </w:p>
        </w:tc>
        <w:tc>
          <w:tcPr>
            <w:tcW w:type="dxa" w:w="1039"/>
          </w:tcPr>
          <w:p>
            <w:r>
              <w:rPr>
                <w:sz w:val="20"/>
              </w:rPr>
              <w:t>Compatible</w:t>
            </w:r>
          </w:p>
        </w:tc>
        <w:tc>
          <w:tcPr>
            <w:tcW w:type="dxa" w:w="1039"/>
          </w:tcPr>
          <w:p>
            <w:r>
              <w:rPr>
                <w:sz w:val="20"/>
              </w:rPr>
              <w:t>Compatible</w:t>
            </w:r>
          </w:p>
        </w:tc>
      </w:tr>
      <w:tr>
        <w:tc>
          <w:tcPr>
            <w:tcW w:type="dxa" w:w="1039"/>
          </w:tcPr>
          <w:p>
            <w:r>
              <w:rPr>
                <w:sz w:val="20"/>
              </w:rPr>
              <w:t>**Statut Liste Algérie**</w:t>
            </w:r>
          </w:p>
        </w:tc>
        <w:tc>
          <w:tcPr>
            <w:tcW w:type="dxa" w:w="1039"/>
          </w:tcPr>
          <w:p>
            <w:r>
              <w:rPr>
                <w:sz w:val="20"/>
              </w:rPr>
              <w:t>Liste I</w:t>
            </w:r>
          </w:p>
        </w:tc>
        <w:tc>
          <w:tcPr>
            <w:tcW w:type="dxa" w:w="1039"/>
          </w:tcPr>
          <w:p>
            <w:r>
              <w:rPr>
                <w:sz w:val="20"/>
              </w:rPr>
              <w:t>Liste I (forme nasale)</w:t>
            </w:r>
          </w:p>
        </w:tc>
        <w:tc>
          <w:tcPr>
            <w:tcW w:type="dxa" w:w="1039"/>
          </w:tcPr>
          <w:p>
            <w:r>
              <w:rPr>
                <w:sz w:val="20"/>
              </w:rPr>
              <w:t>Liste II / non listé</w:t>
            </w:r>
          </w:p>
        </w:tc>
        <w:tc>
          <w:tcPr>
            <w:tcW w:type="dxa" w:w="1039"/>
          </w:tcPr>
          <w:p>
            <w:r>
              <w:rPr>
                <w:sz w:val="20"/>
              </w:rPr>
              <w:t>Liste II</w:t>
            </w:r>
          </w:p>
        </w:tc>
        <w:tc>
          <w:tcPr>
            <w:tcW w:type="dxa" w:w="1039"/>
          </w:tcPr>
          <w:p>
            <w:r>
              <w:rPr>
                <w:sz w:val="20"/>
              </w:rPr>
              <w:t>Liste I (ou Liste II pour OZURDEX, DEXATEK)</w:t>
            </w:r>
          </w:p>
        </w:tc>
        <w:tc>
          <w:tcPr>
            <w:tcW w:type="dxa" w:w="1039"/>
          </w:tcPr>
          <w:p>
            <w:r>
              <w:rPr>
                <w:sz w:val="20"/>
              </w:rPr>
              <w:t>Liste I</w:t>
            </w:r>
          </w:p>
        </w:tc>
        <w:tc>
          <w:tcPr>
            <w:tcW w:type="dxa" w:w="1039"/>
          </w:tcPr>
          <w:p>
            <w:r>
              <w:rPr>
                <w:sz w:val="20"/>
              </w:rPr>
              <w:t>Liste I</w:t>
            </w:r>
          </w:p>
        </w:tc>
        <w:tc>
          <w:tcPr>
            <w:tcW w:type="dxa" w:w="1039"/>
          </w:tcPr>
          <w:p>
            <w:r>
              <w:rPr>
                <w:sz w:val="20"/>
              </w:rPr>
              <w:t>Liste I (NON RENOUVELABLE)</w:t>
            </w:r>
          </w:p>
        </w:tc>
      </w:tr>
      <w:tr>
        <w:tc>
          <w:tcPr>
            <w:tcW w:type="dxa" w:w="1039"/>
          </w:tcPr>
          <w:p>
            <w:r>
              <w:rPr>
                <w:sz w:val="20"/>
              </w:rPr>
              <w:t>**Spécialités disponibles en Algérie**</w:t>
            </w:r>
          </w:p>
        </w:tc>
        <w:tc>
          <w:tcPr>
            <w:tcW w:type="dxa" w:w="1039"/>
          </w:tcPr>
          <w:p>
            <w:r>
              <w:rPr>
                <w:sz w:val="20"/>
              </w:rPr>
              <w:t>OPATANOL, OPATEK, OPTICIS, PALLADA (4)</w:t>
            </w:r>
          </w:p>
        </w:tc>
        <w:tc>
          <w:tcPr>
            <w:tcW w:type="dxa" w:w="1039"/>
          </w:tcPr>
          <w:p>
            <w:r>
              <w:rPr>
                <w:sz w:val="20"/>
              </w:rPr>
              <w:t>NASALAST (1, forme nasale uniquement)</w:t>
            </w:r>
          </w:p>
        </w:tc>
        <w:tc>
          <w:tcPr>
            <w:tcW w:type="dxa" w:w="1039"/>
          </w:tcPr>
          <w:p>
            <w:r>
              <w:rPr>
                <w:sz w:val="20"/>
              </w:rPr>
              <w:t>BIOCABASTINE, LEVOPHTA (2)</w:t>
            </w:r>
          </w:p>
        </w:tc>
        <w:tc>
          <w:tcPr>
            <w:tcW w:type="dxa" w:w="1039"/>
          </w:tcPr>
          <w:p>
            <w:r>
              <w:rPr>
                <w:sz w:val="20"/>
              </w:rPr>
              <w:t>MONOKETO, PARVISTEN, CITIGEN, OPHTALGON, ZALERG (5)</w:t>
            </w:r>
          </w:p>
        </w:tc>
        <w:tc>
          <w:tcPr>
            <w:tcW w:type="dxa" w:w="1039"/>
          </w:tcPr>
          <w:p>
            <w:r>
              <w:rPr>
                <w:sz w:val="20"/>
              </w:rPr>
              <w:t>20 spécialités ophtalmiques + 6 systémiques</w:t>
            </w:r>
          </w:p>
        </w:tc>
        <w:tc>
          <w:tcPr>
            <w:tcW w:type="dxa" w:w="1039"/>
          </w:tcPr>
          <w:p>
            <w:r>
              <w:rPr>
                <w:sz w:val="20"/>
              </w:rPr>
              <w:t>OPHTAPRED, OPTIPRED (2) + 17 systémiques</w:t>
            </w:r>
          </w:p>
        </w:tc>
        <w:tc>
          <w:tcPr>
            <w:tcW w:type="dxa" w:w="1039"/>
          </w:tcPr>
          <w:p>
            <w:r>
              <w:rPr>
                <w:sz w:val="20"/>
              </w:rPr>
              <w:t>FLULIX, OPTIF JAM, OPTIF PLUS (3)</w:t>
            </w:r>
          </w:p>
        </w:tc>
        <w:tc>
          <w:tcPr>
            <w:tcW w:type="dxa" w:w="1039"/>
          </w:tcPr>
          <w:p>
            <w:r>
              <w:rPr>
                <w:sz w:val="20"/>
              </w:rPr>
              <w:t>VEXOL (1, NON RENOUVELABLE)</w:t>
            </w:r>
          </w:p>
        </w:tc>
      </w:tr>
      <w:tr>
        <w:tc>
          <w:tcPr>
            <w:tcW w:type="dxa" w:w="1039"/>
          </w:tcPr>
          <w:p>
            <w:r>
              <w:rPr>
                <w:sz w:val="20"/>
              </w:rPr>
              <w:t>**Forme sans conservateur disponible**</w:t>
            </w:r>
          </w:p>
        </w:tc>
        <w:tc>
          <w:tcPr>
            <w:tcW w:type="dxa" w:w="1039"/>
          </w:tcPr>
          <w:p>
            <w:r>
              <w:rPr>
                <w:sz w:val="20"/>
              </w:rPr>
              <w:t>Non en Algérie</w:t>
            </w:r>
          </w:p>
        </w:tc>
        <w:tc>
          <w:tcPr>
            <w:tcW w:type="dxa" w:w="1039"/>
          </w:tcPr>
          <w:p>
            <w:r>
              <w:rPr>
                <w:sz w:val="20"/>
              </w:rPr>
              <w:t>Non</w:t>
            </w:r>
          </w:p>
        </w:tc>
        <w:tc>
          <w:tcPr>
            <w:tcW w:type="dxa" w:w="1039"/>
          </w:tcPr>
          <w:p>
            <w:r>
              <w:rPr>
                <w:sz w:val="20"/>
              </w:rPr>
              <w:t>Non</w:t>
            </w:r>
          </w:p>
        </w:tc>
        <w:tc>
          <w:tcPr>
            <w:tcW w:type="dxa" w:w="1039"/>
          </w:tcPr>
          <w:p>
            <w:r>
              <w:rPr>
                <w:sz w:val="20"/>
              </w:rPr>
              <w:t>OUI (MONOKETO unit-dose)</w:t>
            </w:r>
          </w:p>
        </w:tc>
        <w:tc>
          <w:tcPr>
            <w:tcW w:type="dxa" w:w="1039"/>
          </w:tcPr>
          <w:p>
            <w:r>
              <w:rPr>
                <w:sz w:val="20"/>
              </w:rPr>
              <w:t>OUI (DEXAFREE unit-dose)</w:t>
            </w:r>
          </w:p>
        </w:tc>
        <w:tc>
          <w:tcPr>
            <w:tcW w:type="dxa" w:w="1039"/>
          </w:tcPr>
          <w:p>
            <w:r>
              <w:rPr>
                <w:sz w:val="20"/>
              </w:rPr>
              <w:t>Non</w:t>
            </w:r>
          </w:p>
        </w:tc>
        <w:tc>
          <w:tcPr>
            <w:tcW w:type="dxa" w:w="1039"/>
          </w:tcPr>
          <w:p>
            <w:r>
              <w:rPr>
                <w:sz w:val="20"/>
              </w:rPr>
              <w:t>Non</w:t>
            </w:r>
          </w:p>
        </w:tc>
        <w:tc>
          <w:tcPr>
            <w:tcW w:type="dxa" w:w="1039"/>
          </w:tcPr>
          <w:p>
            <w:r>
              <w:rPr>
                <w:sz w:val="20"/>
              </w:rPr>
              <w:t>Non</w:t>
            </w:r>
          </w:p>
        </w:tc>
      </w:tr>
      <w:tr>
        <w:tc>
          <w:tcPr>
            <w:tcW w:type="dxa" w:w="1039"/>
          </w:tcPr>
          <w:p>
            <w:r>
              <w:rPr>
                <w:sz w:val="20"/>
              </w:rPr>
              <w:t>**Association à antibiotique disponible**</w:t>
            </w:r>
          </w:p>
        </w:tc>
        <w:tc>
          <w:tcPr>
            <w:tcW w:type="dxa" w:w="1039"/>
          </w:tcPr>
          <w:p>
            <w:r>
              <w:rPr>
                <w:sz w:val="20"/>
              </w:rPr>
              <w:t>N/A</w:t>
            </w:r>
          </w:p>
        </w:tc>
        <w:tc>
          <w:tcPr>
            <w:tcW w:type="dxa" w:w="1039"/>
          </w:tcPr>
          <w:p>
            <w:r>
              <w:rPr>
                <w:sz w:val="20"/>
              </w:rPr>
              <w:t>N/A</w:t>
            </w:r>
          </w:p>
        </w:tc>
        <w:tc>
          <w:tcPr>
            <w:tcW w:type="dxa" w:w="1039"/>
          </w:tcPr>
          <w:p>
            <w:r>
              <w:rPr>
                <w:sz w:val="20"/>
              </w:rPr>
              <w:t>N/A</w:t>
            </w:r>
          </w:p>
        </w:tc>
        <w:tc>
          <w:tcPr>
            <w:tcW w:type="dxa" w:w="1039"/>
          </w:tcPr>
          <w:p>
            <w:r>
              <w:rPr>
                <w:sz w:val="20"/>
              </w:rPr>
              <w:t>N/A</w:t>
            </w:r>
          </w:p>
        </w:tc>
        <w:tc>
          <w:tcPr>
            <w:tcW w:type="dxa" w:w="1039"/>
          </w:tcPr>
          <w:p>
            <w:r>
              <w:rPr>
                <w:sz w:val="20"/>
              </w:rPr>
              <w:t>OUI (11 associations)</w:t>
            </w:r>
          </w:p>
        </w:tc>
        <w:tc>
          <w:tcPr>
            <w:tcW w:type="dxa" w:w="1039"/>
          </w:tcPr>
          <w:p>
            <w:r>
              <w:rPr>
                <w:sz w:val="20"/>
              </w:rPr>
              <w:t>Non</w:t>
            </w:r>
          </w:p>
        </w:tc>
        <w:tc>
          <w:tcPr>
            <w:tcW w:type="dxa" w:w="1039"/>
          </w:tcPr>
          <w:p>
            <w:r>
              <w:rPr>
                <w:sz w:val="20"/>
              </w:rPr>
              <w:t>Non</w:t>
            </w:r>
          </w:p>
        </w:tc>
        <w:tc>
          <w:tcPr>
            <w:tcW w:type="dxa" w:w="1039"/>
          </w:tcPr>
          <w:p>
            <w:r>
              <w:rPr>
                <w:sz w:val="20"/>
              </w:rPr>
              <w:t>Non</w:t>
            </w:r>
          </w:p>
        </w:tc>
      </w:tr>
      <w:tr>
        <w:tc>
          <w:tcPr>
            <w:tcW w:type="dxa" w:w="1039"/>
          </w:tcPr>
          <w:p>
            <w:r>
              <w:rPr>
                <w:sz w:val="20"/>
              </w:rPr>
              <w:t>**Indication de référence**</w:t>
            </w:r>
          </w:p>
        </w:tc>
        <w:tc>
          <w:tcPr>
            <w:tcW w:type="dxa" w:w="1039"/>
          </w:tcPr>
          <w:p>
            <w:r>
              <w:rPr>
                <w:sz w:val="20"/>
              </w:rPr>
              <w:t>Conjonctivite allergique saisonnière/perannuelle</w:t>
            </w:r>
          </w:p>
        </w:tc>
        <w:tc>
          <w:tcPr>
            <w:tcW w:type="dxa" w:w="1039"/>
          </w:tcPr>
          <w:p>
            <w:r>
              <w:rPr>
                <w:sz w:val="20"/>
              </w:rPr>
              <w:t>Conjonctivite allergique (forme non disponible en Algérie)</w:t>
            </w:r>
          </w:p>
        </w:tc>
        <w:tc>
          <w:tcPr>
            <w:tcW w:type="dxa" w:w="1039"/>
          </w:tcPr>
          <w:p>
            <w:r>
              <w:rPr>
                <w:sz w:val="20"/>
              </w:rPr>
              <w:t>Conjonctivite allergique en crise aiguë</w:t>
            </w:r>
          </w:p>
        </w:tc>
        <w:tc>
          <w:tcPr>
            <w:tcW w:type="dxa" w:w="1039"/>
          </w:tcPr>
          <w:p>
            <w:r>
              <w:rPr>
                <w:sz w:val="20"/>
              </w:rPr>
              <w:t>KCV, KCA, traitement de fond</w:t>
            </w:r>
          </w:p>
        </w:tc>
        <w:tc>
          <w:tcPr>
            <w:tcW w:type="dxa" w:w="1039"/>
          </w:tcPr>
          <w:p>
            <w:r>
              <w:rPr>
                <w:sz w:val="20"/>
              </w:rPr>
              <w:t>Uvéite sévère, post-chirurgie, œdème maculaire</w:t>
            </w:r>
          </w:p>
        </w:tc>
        <w:tc>
          <w:tcPr>
            <w:tcW w:type="dxa" w:w="1039"/>
          </w:tcPr>
          <w:p>
            <w:r>
              <w:rPr>
                <w:sz w:val="20"/>
              </w:rPr>
              <w:t>Uvéite modérée, post-chirurgie</w:t>
            </w:r>
          </w:p>
        </w:tc>
        <w:tc>
          <w:tcPr>
            <w:tcW w:type="dxa" w:w="1039"/>
          </w:tcPr>
          <w:p>
            <w:r>
              <w:rPr>
                <w:sz w:val="20"/>
              </w:rPr>
              <w:t>Surface oculaire prolongée, KCV, KCA</w:t>
            </w:r>
          </w:p>
        </w:tc>
        <w:tc>
          <w:tcPr>
            <w:tcW w:type="dxa" w:w="1039"/>
          </w:tcPr>
          <w:p>
            <w:r>
              <w:rPr>
                <w:sz w:val="20"/>
              </w:rPr>
              <w:t>Surface oculaire prolongée (non disponible)</w:t>
            </w:r>
          </w:p>
        </w:tc>
      </w:tr>
    </w:tbl>
    <w:p/>
    <w:p>
      <w:pPr>
        <w:pStyle w:val="Heading3"/>
      </w:pPr>
      <w:r>
        <w:t>142.5.2 Arbitrage thérapeutique pratique</w:t>
      </w:r>
    </w:p>
    <w:p>
      <w:r>
        <w:t>L'arbitrage thérapeutique entre les huit molécules ophtalmiques disponibles en Algérie se construit selon une logique hiérarchique en cinq étapes :</w:t>
      </w:r>
    </w:p>
    <w:p>
      <w:r/>
      <w:r>
        <w:rPr>
          <w:b/>
        </w:rPr>
        <w:t>Étape 1 — Identifier la nature de l'affection oculaire.</w:t>
      </w:r>
      <w:r>
        <w:t xml:space="preserve"> La première étape consiste à distinguer les affections allergiques (conjonctivites allergiques saisonnières, perannuelles, KCV, KCA), les affections inflammatoires stériles (uvéites antérieures, sclérites, épisclérites, inflammations post-chirurgicales), les affections infectieuses (conjonctivites bactériennes, virales, fongiques, parasitaires — qui contre-indiquent les corticoïdes seuls), et les affections de la surface oculaire (syndrome sec, DELL). Cette étape impose systématiquement un </w:t>
      </w:r>
      <w:r>
        <w:rPr>
          <w:b/>
        </w:rPr>
        <w:t>examen ophtalmologique à la lampe à fente</w:t>
      </w:r>
      <w:r>
        <w:t xml:space="preserve"> par un ophtalmologiste avant toute prescription de corticoïde local.</w:t>
      </w:r>
    </w:p>
    <w:p>
      <w:r/>
      <w:r>
        <w:rPr>
          <w:b/>
        </w:rPr>
        <w:t>Étape 2 — Évaluer la sévérité de l'affection.</w:t>
      </w:r>
      <w:r>
        <w:t xml:space="preserve"> La sévérité détermine le choix de la classe pharmacologique : </w:t>
      </w:r>
      <w:r>
        <w:rPr>
          <w:b/>
        </w:rPr>
        <w:t>formes légères à modérées</w:t>
      </w:r>
      <w:r>
        <w:t xml:space="preserve"> (conjonctivite allergique saisonnière simple, conjonctivite post-chirurgicale légère) → antihistaminiques H1 ophtalmiques ou stabilisateurs mastocytaires en monothérapie ; </w:t>
      </w:r>
      <w:r>
        <w:rPr>
          <w:b/>
        </w:rPr>
        <w:t>formes modérées à sévères</w:t>
      </w:r>
      <w:r>
        <w:t xml:space="preserve"> (KCV en poussée, KCA en poussée, uvéite antérieure aiguë) → corticoïde ophtalmique en association à l'antihistaminique/stabilisateur ; </w:t>
      </w:r>
      <w:r>
        <w:rPr>
          <w:b/>
        </w:rPr>
        <w:t>formes très sévères</w:t>
      </w:r>
      <w:r>
        <w:t xml:space="preserve"> (uvéite antérieure sévère, œdème maculaire) → corticoïde fort en collyre ou implant intravitréen.</w:t>
      </w:r>
    </w:p>
    <w:p>
      <w:r/>
      <w:r>
        <w:rPr>
          <w:b/>
        </w:rPr>
        <w:t>Étape 3 — Évaluer la profondeur de l'inflammation.</w:t>
      </w:r>
      <w:r>
        <w:t xml:space="preserve"> La profondeur détermine le choix du corticoïde : </w:t>
      </w:r>
      <w:r>
        <w:rPr>
          <w:b/>
        </w:rPr>
        <w:t>surface oculaire pure</w:t>
      </w:r>
      <w:r>
        <w:t xml:space="preserve"> (conjonctive, cornée épithéliale) → fluorométholone ou rimexolone (en raison du risque réduit de glaucome cortico-induit) ; </w:t>
      </w:r>
      <w:r>
        <w:rPr>
          <w:b/>
        </w:rPr>
        <w:t>intraoculaire antérieure</w:t>
      </w:r>
      <w:r>
        <w:t xml:space="preserve"> (iris, corps ciliaire, humeur aqueuse) → dexaméthasone ou prednisolone (en raison de leur meilleure pénétration cornéenne) ; </w:t>
      </w:r>
      <w:r>
        <w:rPr>
          <w:b/>
        </w:rPr>
        <w:t>intraoculaire postérieure</w:t>
      </w:r>
      <w:r>
        <w:t xml:space="preserve"> (rétine, vitré, choroïde) → implant intravitréen de dexaméthasone (OZURDEX).</w:t>
      </w:r>
    </w:p>
    <w:p>
      <w:r/>
      <w:r>
        <w:rPr>
          <w:b/>
        </w:rPr>
        <w:t>Étape 4 — Évaluer la durée prévue du traitement.</w:t>
      </w:r>
      <w:r>
        <w:t xml:space="preserve"> La durée détermine le choix du corticoïde : </w:t>
      </w:r>
      <w:r>
        <w:rPr>
          <w:b/>
        </w:rPr>
        <w:t>court terme ≤ 2 semaines</w:t>
      </w:r>
      <w:r>
        <w:t xml:space="preserve"> → dexaméthasone ou prednisolone (puissance maximale, risque acceptable sur courte période) ; </w:t>
      </w:r>
      <w:r>
        <w:rPr>
          <w:b/>
        </w:rPr>
        <w:t>moyen terme 2-6 semaines</w:t>
      </w:r>
      <w:r>
        <w:t xml:space="preserve"> → dexaméthasone ou prednisolone avec surveillance rapprochée de la PIO ; </w:t>
      </w:r>
      <w:r>
        <w:rPr>
          <w:b/>
        </w:rPr>
        <w:t>long terme &gt; 1 mois</w:t>
      </w:r>
      <w:r>
        <w:t xml:space="preserve"> → fluorométholone ou rimexolone (en raison du risque réduit de glaucome cortico-induit et de cataracte).</w:t>
      </w:r>
    </w:p>
    <w:p>
      <w:r/>
      <w:r>
        <w:rPr>
          <w:b/>
        </w:rPr>
        <w:t>Étape 5 — Évaluer le profil individuel du patient.</w:t>
      </w:r>
      <w:r>
        <w:t xml:space="preserve"> Le profil du patient modifie le choix : </w:t>
      </w:r>
      <w:r>
        <w:rPr>
          <w:b/>
        </w:rPr>
        <w:t>patient à haut risque de glaucome cortico-induit</w:t>
      </w:r>
      <w:r>
        <w:t xml:space="preserve"> (glaucome connu, antécédent familial, sujet âgé, patient corticosensible) → fluorométholone ou rimexolone de préférence ; </w:t>
      </w:r>
      <w:r>
        <w:rPr>
          <w:b/>
        </w:rPr>
        <w:t>femme enceinte</w:t>
      </w:r>
      <w:r>
        <w:t xml:space="preserve"> → olopatadine (1re intention), fluorométholone (corticoïde de choix pour traitement prolongé) ; </w:t>
      </w:r>
      <w:r>
        <w:rPr>
          <w:b/>
        </w:rPr>
        <w:t>porteur de lentilles de contact</w:t>
      </w:r>
      <w:r>
        <w:t xml:space="preserve"> → formulations sans conservateur (DEXAFREE, MONOKETO unit-dose) de préférence ; </w:t>
      </w:r>
      <w:r>
        <w:rPr>
          <w:b/>
        </w:rPr>
        <w:t>enfant &lt; 3 ans</w:t>
      </w:r>
      <w:r>
        <w:t xml:space="preserve"> → contre-indication pour la plupart des molécules, à discuter avec l'ophtalmologiste pédiatrique ; </w:t>
      </w:r>
      <w:r>
        <w:rPr>
          <w:b/>
        </w:rPr>
        <w:t>patient diabétique</w:t>
      </w:r>
      <w:r>
        <w:t xml:space="preserve"> → surveillance accrue de la glycémie en cas de traitement corticoïde prolongé.</w:t>
      </w:r>
    </w:p>
    <w:p>
      <w:pPr>
        <w:pStyle w:val="Heading3"/>
      </w:pPr>
      <w:r>
        <w:t>142.5.3 Algorithmes thérapeutiques simplifiés</w:t>
      </w:r>
    </w:p>
    <w:p>
      <w:r/>
      <w:r>
        <w:rPr>
          <w:b/>
        </w:rPr>
        <w:t>Algorithme 1 — Conjonctivite allergique saisonnière simple</w:t>
      </w:r>
      <w:r/>
    </w:p>
    <w:p>
      <w:pPr>
        <w:pStyle w:val="ListNumber"/>
      </w:pPr>
      <w:r>
        <w:t>Étape 1 : Olopatadine 1 goutte 1 fois/jour (OPATANOL, OPATEK, OPTICIS, PALLADA).</w:t>
      </w:r>
    </w:p>
    <w:p>
      <w:pPr>
        <w:pStyle w:val="ListNumber"/>
      </w:pPr>
      <w:r>
        <w:t>Étape 2 (en cas d'inefficacité à 7 jours) : Ajouter kétotifène 1 goutte 2 fois/jour (MONOKETO unit-dose de préférence) en alternance.</w:t>
      </w:r>
    </w:p>
    <w:p>
      <w:pPr>
        <w:pStyle w:val="ListNumber"/>
      </w:pPr>
      <w:r>
        <w:t>Étape 3 (en cas d'inefficacité à 2 semaines) : Corticothérapie locale de courte durée (fluorométholone 1 goutte 2-4 fois/jour pendant 7-14 jours avec décroissance).</w:t>
      </w:r>
    </w:p>
    <w:p>
      <w:pPr>
        <w:pStyle w:val="ListNumber"/>
      </w:pPr>
      <w:r>
        <w:t>Étape 4 (en cas de chronicisation ou de sévérité) : Consultation ophtalmologique spécialisée.</w:t>
      </w:r>
    </w:p>
    <w:p>
      <w:r/>
      <w:r>
        <w:rPr>
          <w:b/>
        </w:rPr>
        <w:t>Algorithme 2 — Kératoconjonctivite vernale (KCV) en poussée</w:t>
      </w:r>
      <w:r/>
    </w:p>
    <w:p>
      <w:pPr>
        <w:pStyle w:val="ListNumber"/>
      </w:pPr>
      <w:r>
        <w:t>Étape 1 : Olopatadine 1 goutte 1-2 fois/jour + kétotifène 1 goutte 2 fois/jour (MONOKETO unit-dose).</w:t>
      </w:r>
    </w:p>
    <w:p>
      <w:pPr>
        <w:pStyle w:val="ListNumber"/>
      </w:pPr>
      <w:r>
        <w:t>Étape 2 : Fluorométholone 1 goutte 4 fois/jour pendant 7-14 jours avec décroissance (OPTIF PLUS si composante mastocytaire prédominante).</w:t>
      </w:r>
    </w:p>
    <w:p>
      <w:pPr>
        <w:pStyle w:val="ListNumber"/>
      </w:pPr>
      <w:r>
        <w:t>Étape 3 (en cas de poussée sévère avec ulcère cornéen) : Dexaméthasone 1 goutte 6 fois/jour pendant 3-5 jours puis décroissance rapide, sous surveillance ophtalmologique stricte.</w:t>
      </w:r>
    </w:p>
    <w:p>
      <w:pPr>
        <w:pStyle w:val="ListNumber"/>
      </w:pPr>
      <w:r>
        <w:t>Étape 4 : Traitement de fond prolongé par kétotifène + olopatadine pendant plusieurs mois à années, avec cures de corticoïdes locaux de courte durée pour les poussées.</w:t>
      </w:r>
    </w:p>
    <w:p>
      <w:r/>
      <w:r>
        <w:rPr>
          <w:b/>
        </w:rPr>
        <w:t>Algorithme 3 — Uvéite antérieure aiguë non infectieuse</w:t>
      </w:r>
      <w:r/>
    </w:p>
    <w:p>
      <w:pPr>
        <w:pStyle w:val="ListNumber"/>
      </w:pPr>
      <w:r>
        <w:t>Étape 1 : Dexaméthasone 1 goutte 6-12 fois/jour (DEXAFREE unit-dose de préférence) + myotique (tropicamide ou atropine selon le contexte) + AINS systémique.</w:t>
      </w:r>
    </w:p>
    <w:p>
      <w:pPr>
        <w:pStyle w:val="ListNumber"/>
      </w:pPr>
      <w:r>
        <w:t>Étape 2 (après 3-7 jours) : Décroissance progressive de la dexaméthasone à 4 puis 2 puis 1 fois/jour sur 2-3 semaines.</w:t>
      </w:r>
    </w:p>
    <w:p>
      <w:pPr>
        <w:pStyle w:val="ListNumber"/>
      </w:pPr>
      <w:r>
        <w:t>Étape 3 (en cas de chronicisation) : Relais par fluorométholone ou rimexolone (si disponible) pour traitement prolongé à faible risque.</w:t>
      </w:r>
    </w:p>
    <w:p>
      <w:pPr>
        <w:pStyle w:val="ListNumber"/>
      </w:pPr>
      <w:r>
        <w:t>Étape 4 : Bilan étiologique de l'uvéite (HLA-B27, recherche de tuberculose, sarcoïdose, syphilis, Lyme, etc.).</w:t>
      </w:r>
    </w:p>
    <w:p>
      <w:r/>
      <w:r>
        <w:rPr>
          <w:b/>
        </w:rPr>
        <w:t>Algorithme 4 — Post-chirurgie de la cataracte</w:t>
      </w:r>
      <w:r/>
    </w:p>
    <w:p>
      <w:pPr>
        <w:pStyle w:val="ListNumber"/>
      </w:pPr>
      <w:r>
        <w:t>Étape 1 (J0 à J7) : Dexaméthasone + antibiotique en collyre combiné (par exemple DEXAFLOX, OFLODEXA) 1 goutte 4-6 fois/jour, ou dexaméthasone simple + antibiotique séparés à 5 minutes d'intervalle.</w:t>
      </w:r>
    </w:p>
    <w:p>
      <w:pPr>
        <w:pStyle w:val="ListNumber"/>
      </w:pPr>
      <w:r>
        <w:t>Étape 2 (J7 à J21) : Décroissance progressive à 3 puis 2 puis 1 fois/jour.</w:t>
      </w:r>
    </w:p>
    <w:p>
      <w:pPr>
        <w:pStyle w:val="ListNumber"/>
      </w:pPr>
      <w:r>
        <w:t>Étape 3 (J21 à J30) : Arrêt progressif, surveillance de la PIO et de l'acuité visuelle.</w:t>
      </w:r>
    </w:p>
    <w:p>
      <w:r/>
      <w:r>
        <w:rPr>
          <w:b/>
        </w:rPr>
        <w:t>Algorithme 5 — Œdème maculaire diabétique réfractaire</w:t>
      </w:r>
      <w:r/>
    </w:p>
    <w:p>
      <w:pPr>
        <w:pStyle w:val="ListNumber"/>
      </w:pPr>
      <w:r>
        <w:t>Étape 1 : Implant intravitréen de dexaméthasone OZURDEX 700 µg, injection unique par un ophtalmologiste spécialisé en pathologies rétiniennes.</w:t>
      </w:r>
    </w:p>
    <w:p>
      <w:pPr>
        <w:pStyle w:val="ListNumber"/>
      </w:pPr>
      <w:r>
        <w:t>Étape 2 : Surveillance post-injection (PIO à J1, J7, J30, puis tous les mois).</w:t>
      </w:r>
    </w:p>
    <w:p>
      <w:pPr>
        <w:pStyle w:val="ListNumber"/>
      </w:pPr>
      <w:r>
        <w:t>Étape 3 (en cas de récidive à 4-6 mois) : Réinjection possible, sans dépasser 2 implants par an par œil.</w:t>
      </w:r>
    </w:p>
    <w:p>
      <w:pPr>
        <w:pStyle w:val="Heading3"/>
      </w:pPr>
      <w:r>
        <w:t>142.5.4 Populations particulières</w:t>
      </w:r>
    </w:p>
    <w:p>
      <w:r/>
      <w:r>
        <w:rPr>
          <w:b/>
        </w:rPr>
        <w:t>Femme enceinte :</w:t>
      </w:r>
      <w:r>
        <w:t xml:space="preserve"> En première intention pour une conjonctivite allergique simple, l'olopatadine est la molécule de choix (utilisable quel que soit le terme selon le CRAT). En cas de nécessité de corticothérapie locale prolongée, la fluorométholone est le corticoïde de choix (biodisponibilité systémique négligeable, utilisable quel que soit le terme). À éviter par prudence : l'azélastine (2e intention), le kétotifène en formes systémiques (1er trimestre), la dexaméthasone et la prednisolone en formes systémiques (1er trimestre).</w:t>
      </w:r>
    </w:p>
    <w:p>
      <w:r/>
      <w:r>
        <w:rPr>
          <w:b/>
        </w:rPr>
        <w:t>Femme allaitante :</w:t>
      </w:r>
      <w:r>
        <w:t xml:space="preserve"> Toutes les molécules ophtalmiques décrites dans ce chapitre sont compatibles avec l'allaitement aux posologies usuelles. Respecter un délai de 4 heures après l'instillation avant l'allaitement pour les formes systémiques de dexaméthasone et de prednisolone (recommandation de l'Académie Américaine de Pédiatrie) ; pas de restriction pour les formes ophtalmiques.</w:t>
      </w:r>
    </w:p>
    <w:p>
      <w:r/>
      <w:r>
        <w:rPr>
          <w:b/>
        </w:rPr>
        <w:t>Enfant :</w:t>
      </w:r>
      <w:r>
        <w:t xml:space="preserve"> L'olopatadine est autorisée à partir de 3 ans. La lévocabastine, l'azélastine et le kétotifène sont autorisés à partir de 3-4 ans selon l'AMM. La dexaméthasone et la prednisolone ophtalmiques sont autorisées à partir de 3 ans (parfois à partir de la naissance selon l'indication, sous prescription spécialisée). La fluorométholone est autorisée à partir de 2 ans. La rimexolone est autorisée à partir de 2 ans. Surveillance accrue de la PIO chez l'enfant en cas de traitement corticoïde prolongé.</w:t>
      </w:r>
    </w:p>
    <w:p>
      <w:r/>
      <w:r>
        <w:rPr>
          <w:b/>
        </w:rPr>
        <w:t>Sujet âgé :</w:t>
      </w:r>
      <w:r>
        <w:t xml:space="preserve"> Tous les corticoïdes ophtalmiques sont utilisables chez le sujet âgé, mais avec une surveillance accrue de la PIO (risque majoré de glaucome cortico-induit), de la cataracte (souvent préexistante), et de la glycémie (en cas de diabète associé). Préférence pour la fluorométholone en cas de traitement prolongé de la surface oculaire.</w:t>
      </w:r>
    </w:p>
    <w:p>
      <w:r/>
      <w:r>
        <w:rPr>
          <w:b/>
        </w:rPr>
        <w:t>Patient porteur de lentilles de contact :</w:t>
      </w:r>
      <w:r>
        <w:t xml:space="preserve"> Toutes les formulations multidose avec chlorure de benzalkonium imposent le retrait des lentilles avant instillation et la remise après 15 minutes. Préférence pour les formulations sans conservateur en récipients unidoses (DEXAFREE pour la dexaméthasone, MONOKETO pour le kétotifène) qui autorisent le maintien des lentilles (sous réserve de l'avis de l'ophtalmologiste).</w:t>
      </w:r>
    </w:p>
    <w:p>
      <w:r/>
      <w:r>
        <w:rPr>
          <w:b/>
        </w:rPr>
        <w:t>Patient diabétique :</w:t>
      </w:r>
      <w:r>
        <w:t xml:space="preserve"> Tous les corticoïdes ophtalmiques sont utilisables, mais avec une surveillance accrue de la glycémie en cas de traitement prolongé (effet hyperglycémiant possible par passage systémique). Préférence pour la fluorométholone ou la rimexolone en cas de traitement prolongé (biodisponibilité systémique négligeable). Information du patient sur le risque d'élévation glycémique en cas de traitement fort prolongé.</w:t>
      </w:r>
    </w:p>
    <w:p>
      <w:r/>
      <w:r>
        <w:rPr>
          <w:b/>
        </w:rPr>
        <w:t>Patient glaucomateux :</w:t>
      </w:r>
      <w:r>
        <w:t xml:space="preserve"> Tous les corticoïdes ophtalmiques sont à utiliser avec une prudence extrême chez le patient glaucomateux (risque d'aggravation du glaucome par effet sur le trabéculum). Préférence pour la fluorométholone ou la rimexolone en cas de nécessité absolue (risque le plus faible), avec surveillance de la PIO toutes les 2 semaines pendant les 2 premiers mois, puis tous les mois. En cas d'élévation de la PIO &gt; 5 mmHg par rapport à la PIO de référence, arrêt du corticoïde et introduction d'un traitement hypotonisant local.</w:t>
      </w:r>
    </w:p>
    <w:p>
      <w:pPr>
        <w:pStyle w:val="Heading3"/>
      </w:pPr>
      <w:r>
        <w:t>142.5.5 Coût et pharmaco-économie</w:t>
      </w:r>
    </w:p>
    <w:p>
      <w:r>
        <w:t>La disponibilité commerciale des antiallergiques et corticoïdes ophtalmiques en Algérie est globalement bonne, avec une offre diversifiée pour la plupart des molécules. Le coût de traitement mensuel (estimation indicative, à vérifier avec les prix de vente officiels actualisés) varie considérablement selon la spécialité et la posologie :</w:t>
      </w:r>
    </w:p>
    <w:p>
      <w:pPr>
        <w:pStyle w:val="ListBullet"/>
      </w:pPr>
      <w:r/>
      <w:r>
        <w:rPr>
          <w:b/>
        </w:rPr>
        <w:t>Olopatadine</w:t>
      </w:r>
      <w:r>
        <w:t xml:space="preserve"> (1 goutte 1 fois/jour) : coût mensuel estimé moyen (1 flacon de 5 mL = ~1 mois de traitement), variant entre le princeps OPATANOL (plus coûteux) et les génériques OPATEK, OPTICIS, PALLADA (généralement 20-40 % moins chers).</w:t>
      </w:r>
    </w:p>
    <w:p>
      <w:pPr>
        <w:pStyle w:val="ListBullet"/>
      </w:pPr>
      <w:r/>
      <w:r>
        <w:rPr>
          <w:b/>
        </w:rPr>
        <w:t>Lévocabastine</w:t>
      </w:r>
      <w:r>
        <w:t xml:space="preserve"> (1 goutte 2 fois/jour) : coût mensuel estimé moyen (2 flacons de 5 mL = ~1 mois de traitement), avec le princeps LEVOPHTA plus coûteux que le générique BIOCABASTINE.</w:t>
      </w:r>
    </w:p>
    <w:p>
      <w:pPr>
        <w:pStyle w:val="ListBullet"/>
      </w:pPr>
      <w:r/>
      <w:r>
        <w:rPr>
          <w:b/>
        </w:rPr>
        <w:t>Kétotifène</w:t>
      </w:r>
      <w:r>
        <w:t xml:space="preserve"> (1 goutte 2 fois/jour) : coût mensuel estimé moyen (2 flacons de 5 mL = ~1 mois de traitement) pour les formulations multidose ; MONOKETO unit-dose est plus coûteux mais offre l'avantage de l'absence de conservateur.</w:t>
      </w:r>
    </w:p>
    <w:p>
      <w:pPr>
        <w:pStyle w:val="ListBullet"/>
      </w:pPr>
      <w:r/>
      <w:r>
        <w:rPr>
          <w:b/>
        </w:rPr>
        <w:t>Dexaméthasone simple</w:t>
      </w:r>
      <w:r>
        <w:t xml:space="preserve"> (1 goutte 4-6 fois/jour) : coût mensuel estimé moyen (3-4 flacons de 3-5 mL = ~1 mois de traitement).</w:t>
      </w:r>
    </w:p>
    <w:p>
      <w:pPr>
        <w:pStyle w:val="ListBullet"/>
      </w:pPr>
      <w:r/>
      <w:r>
        <w:rPr>
          <w:b/>
        </w:rPr>
        <w:t>Dexaméthasone avec antibiotique</w:t>
      </w:r>
      <w:r>
        <w:t xml:space="preserve"> : coût mensuel estimé similaire à la dexaméthasone simple, avec un surcoût lié à l'antibiotique associé.</w:t>
      </w:r>
    </w:p>
    <w:p>
      <w:pPr>
        <w:pStyle w:val="ListBullet"/>
      </w:pPr>
      <w:r/>
      <w:r>
        <w:rPr>
          <w:b/>
        </w:rPr>
        <w:t>Implant OZURDEX</w:t>
      </w:r>
      <w:r>
        <w:t xml:space="preserve"> : coût élevé, injection unique réalisée par l'ophtalmologiste en bloc opératoire, remboursé selon les modalités de l'assurance maladie algérienne pour les indications validées (œdème maculaire diabétique, occlusion veineuse rétinienne).</w:t>
      </w:r>
    </w:p>
    <w:p>
      <w:pPr>
        <w:pStyle w:val="ListBullet"/>
      </w:pPr>
      <w:r/>
      <w:r>
        <w:rPr>
          <w:b/>
        </w:rPr>
        <w:t>Fluorométholone</w:t>
      </w:r>
      <w:r>
        <w:t xml:space="preserve"> : coût mensuel estimé moyen (2-3 flacons de 5 mL = ~1 mois de traitement).</w:t>
      </w:r>
    </w:p>
    <w:p>
      <w:pPr>
        <w:pStyle w:val="ListBullet"/>
      </w:pPr>
      <w:r/>
      <w:r>
        <w:rPr>
          <w:b/>
        </w:rPr>
        <w:t>Prednisolone</w:t>
      </w:r>
      <w:r>
        <w:t xml:space="preserve"> : coût mensuel estimé moyen (2-3 flacons de 5-10 mL = ~1 mois de traitement).</w:t>
      </w:r>
    </w:p>
    <w:p>
      <w:pPr>
        <w:pStyle w:val="ListBullet"/>
      </w:pPr>
      <w:r/>
      <w:r>
        <w:rPr>
          <w:b/>
        </w:rPr>
        <w:t>Rimexolone</w:t>
      </w:r>
      <w:r>
        <w:t xml:space="preserve"> : non disponible en Algérie.</w:t>
      </w:r>
    </w:p>
    <w:p>
      <w:r>
        <w:t>La substitution par les génériques est encouragée et économiquement avantageuse, sans différence cliniquement significative d'efficacité ni de tolérance. Le pharmacien d'officina peut proposer une substitution du princeps par un générique avec l'accord du patient.</w:t>
      </w:r>
    </w:p>
    <w:p>
      <w:pPr>
        <w:pStyle w:val="Heading3"/>
      </w:pPr>
      <w:r>
        <w:t>142.5.6 Observance et éducation thérapeutique</w:t>
      </w:r>
    </w:p>
    <w:p>
      <w:r>
        <w:t>L'observance du traitement ophtalmique est un déterminant majeur de l'efficacité thérapeutique, particulièrement pour les traitements prolongés (conjonctivites allergiques perannuelles, KCV, KCA) et pour les traitements corticoïdes avec décroissance progressive. Les principales causes de mauvaise observance en ophtalmologie sont :</w:t>
      </w:r>
    </w:p>
    <w:p>
      <w:pPr>
        <w:pStyle w:val="ListBullet"/>
      </w:pPr>
      <w:r/>
      <w:r>
        <w:rPr>
          <w:b/>
        </w:rPr>
        <w:t>Oubli de l'instillation</w:t>
      </w:r>
      <w:r>
        <w:t xml:space="preserve"> (particularly pour les posologies biquotidiennes ou quadriquotidiennes) — solution : utilisation d'un pilulier visuel ou d'une application mobile de rappel.</w:t>
      </w:r>
    </w:p>
    <w:p>
      <w:pPr>
        <w:pStyle w:val="ListBullet"/>
      </w:pPr>
      <w:r/>
      <w:r>
        <w:rPr>
          <w:b/>
        </w:rPr>
        <w:t>Mauvaise technique d'instillation</w:t>
      </w:r>
      <w:r>
        <w:t xml:space="preserve"> (instillation à côté de l'œil, dans la paupière au lieu du cul-de-sac conjonctival) — solution : démonstration au comptoir avec un flacon-test, remise d'une notice simplifiée.</w:t>
      </w:r>
    </w:p>
    <w:p>
      <w:pPr>
        <w:pStyle w:val="ListBullet"/>
      </w:pPr>
      <w:r/>
      <w:r>
        <w:rPr>
          <w:b/>
        </w:rPr>
        <w:t>Arrêt prématuré par inefficacité perçue</w:t>
      </w:r>
      <w:r>
        <w:t xml:space="preserve"> (particularly pour l'olopatadine et le kétotifène dont le délai d'action est de quelques jours) — solution : information claire sur le délai d'action attendu.</w:t>
      </w:r>
    </w:p>
    <w:p>
      <w:pPr>
        <w:pStyle w:val="ListBullet"/>
      </w:pPr>
      <w:r/>
      <w:r>
        <w:rPr>
          <w:b/>
        </w:rPr>
        <w:t>Arrêt prématuré par guérison perçue</w:t>
      </w:r>
      <w:r>
        <w:t xml:space="preserve"> (particularly pour les corticoïdes en cours de décroissance) — solution : information sur la nécessité de la décroissance progressive pour éviter la rébound inflammatoire.</w:t>
      </w:r>
    </w:p>
    <w:p>
      <w:pPr>
        <w:pStyle w:val="ListBullet"/>
      </w:pPr>
      <w:r/>
      <w:r>
        <w:rPr>
          <w:b/>
        </w:rPr>
        <w:t>Non-respect de la durée d'utilisation après ouverture</w:t>
      </w:r>
      <w:r>
        <w:t xml:space="preserve"> (utilisation d'un flacon de plus de 4 semaines) — solution : information sur la durée d'utilisation de 4 semaines et l'étiquetage du flacon avec la date d'ouverture.</w:t>
      </w:r>
    </w:p>
    <w:p>
      <w:pPr>
        <w:pStyle w:val="ListBullet"/>
      </w:pPr>
      <w:r/>
      <w:r>
        <w:rPr>
          <w:b/>
        </w:rPr>
        <w:t>Non-respect du retrait des lentilles de contact</w:t>
      </w:r>
      <w:r>
        <w:t xml:space="preserve"> avant l'instillation — solution : information systématique sur la nécessité du retrait.</w:t>
      </w:r>
    </w:p>
    <w:p>
      <w:r>
        <w:t>L'éducation thérapeutique structurée, délivrée par le pharmacien d'officina à la première dispensation et renforcée à chaque renouvellement, permet d'améliorer significativement l'observance et l'efficacité thérapeutique. Elle doit comprendre :</w:t>
      </w:r>
    </w:p>
    <w:p>
      <w:pPr>
        <w:pStyle w:val="ListBullet"/>
      </w:pPr>
      <w:r>
        <w:t xml:space="preserve">Une </w:t>
      </w:r>
      <w:r>
        <w:rPr>
          <w:b/>
        </w:rPr>
        <w:t>démonstration pratique</w:t>
      </w:r>
      <w:r>
        <w:t xml:space="preserve"> de la technique d'instillation au comptoir.</w:t>
      </w:r>
    </w:p>
    <w:p>
      <w:pPr>
        <w:pStyle w:val="ListBullet"/>
      </w:pPr>
      <w:r>
        <w:t xml:space="preserve">Une </w:t>
      </w:r>
      <w:r>
        <w:rPr>
          <w:b/>
        </w:rPr>
        <w:t>information écrite</w:t>
      </w:r>
      <w:r>
        <w:t xml:space="preserve"> simplifiée (notice, schémas, application mobile si disponible).</w:t>
      </w:r>
    </w:p>
    <w:p>
      <w:pPr>
        <w:pStyle w:val="ListBullet"/>
      </w:pPr>
      <w:r>
        <w:t xml:space="preserve">Une </w:t>
      </w:r>
      <w:r>
        <w:rPr>
          <w:b/>
        </w:rPr>
        <w:t>information sur les signes d'alerte</w:t>
      </w:r>
      <w:r>
        <w:t xml:space="preserve"> nécessitant une consultation urgente.</w:t>
      </w:r>
    </w:p>
    <w:p>
      <w:pPr>
        <w:pStyle w:val="ListBullet"/>
      </w:pPr>
      <w:r>
        <w:t xml:space="preserve">Une </w:t>
      </w:r>
      <w:r>
        <w:rPr>
          <w:b/>
        </w:rPr>
        <w:t>information sur les contre-indications</w:t>
      </w:r>
      <w:r>
        <w:t xml:space="preserve"> et les précautions d'emploi.</w:t>
      </w:r>
    </w:p>
    <w:p>
      <w:pPr>
        <w:pStyle w:val="ListBullet"/>
      </w:pPr>
      <w:r>
        <w:t xml:space="preserve">Une </w:t>
      </w:r>
      <w:r>
        <w:rPr>
          <w:b/>
        </w:rPr>
        <w:t>information sur la durée d'utilisation après ouverture</w:t>
      </w:r>
      <w:r>
        <w:t xml:space="preserve"> et sur les modalités de conservation.</w:t>
      </w:r>
    </w:p>
    <w:p>
      <w:pPr>
        <w:pStyle w:val="ListBullet"/>
      </w:pPr>
      <w:r>
        <w:t xml:space="preserve">Une </w:t>
      </w:r>
      <w:r>
        <w:rPr>
          <w:b/>
        </w:rPr>
        <w:t>information sur les interactions médicamenteuses</w:t>
      </w:r>
      <w:r>
        <w:t xml:space="preserve"> et les précautions particulières (lentilles, conduite automobile, grossesse, allaitement).</w:t>
      </w:r>
    </w:p>
    <w:p>
      <w:pPr>
        <w:pStyle w:val="ListBullet"/>
      </w:pPr>
      <w:r>
        <w:t xml:space="preserve">Une </w:t>
      </w:r>
      <w:r>
        <w:rPr>
          <w:b/>
        </w:rPr>
        <w:t>proposition de substitution</w:t>
      </w:r>
      <w:r>
        <w:t xml:space="preserve"> par un générique si le princeps n'est pas disponible ou si le coût est prohibitif.</w:t>
      </w:r>
    </w:p>
    <w:p>
      <w:pPr>
        <w:pStyle w:val="Heading3"/>
      </w:pPr>
      <w:r>
        <w:t>142.5.7 Conclusion</w:t>
      </w:r>
    </w:p>
    <w:p>
      <w:r>
        <w:t>Les antiallergiques et corticoïdes ophtalmiques décrits dans le présent chapitre 142 constituent l'ossature thérapeutique de la pathologie inflammatoire et allergique de l'œil et de ses annexes en Algérie. La diversité des huit molécules disponibles — trois antihistaminiques H1 ophtalmiques (olopatadine, azélastine, lévocabastine), un inhibiteur des mastocytes à double action antihistaminique H1 (kétotifène), et quatre corticoïdes ophtalmiques (dexaméthasone, prednisolone, fluorométholone, rimexolone) — couvre l'intégralité du spectre thérapeutique, de la simple conjonctivite allergique saisonnière à l'œdème maculaire diabétique réfractaire. La disponibilité commerciale est globalement satisfaisante pour la plupart des molécules, avec une prédominance marquée pour la dexaméthasone (20 spécialités ophtalmiques actives incluant de nombreuses associations à antibiotiques) et le kétotifène (5 spécialités ophtalmiques actives, en plus des formes systémiques). Quelques molécules présentent une disponibilité limitée en Algérie : l'azélastine ophtalmique n'est disponible qu'en forme nasale (NASALAST), et la rimexolone n'est plus commercialisée (VEXOL non renouvelable). Pour ces deux molécules, le recours aux alternatives disponibles (olopatadine et lévocabastine pour l'azélastine ; fluorométholone pour la rimexolone) est recommandé.</w:t>
      </w:r>
    </w:p>
    <w:p>
      <w:r>
        <w:t xml:space="preserve">La prescription et la dispensation de ces molécules reposent sur des règles strictes que tout praticien et tout pharmacien d'officina doivent maîtriser : </w:t>
      </w:r>
      <w:r>
        <w:rPr>
          <w:b/>
        </w:rPr>
        <w:t>(i) examen ophtalmologique préalable systématique avant toute prescription de corticoïde local</w:t>
      </w:r>
      <w:r>
        <w:t xml:space="preserve"> (recherche d'ulcère cornéen, de kératite herpétique, d'infection fongique, mesure de la PIO de référence) ; </w:t>
      </w:r>
      <w:r>
        <w:rPr>
          <w:b/>
        </w:rPr>
        <w:t>(ii) respect des contre-indications absolues</w:t>
      </w:r>
      <w:r>
        <w:t xml:space="preserve"> (herpès oculaire actif pour tous les corticoïdes ophtalmiques) ; </w:t>
      </w:r>
      <w:r>
        <w:rPr>
          <w:b/>
        </w:rPr>
        <w:t>(iii) surveillance de la PIO à 2 semaines, 6 semaines, puis tous les 2 à 3 mois</w:t>
      </w:r>
      <w:r>
        <w:t xml:space="preserve"> en cas de traitement corticoïde prolongé ; </w:t>
      </w:r>
      <w:r>
        <w:rPr>
          <w:b/>
        </w:rPr>
        <w:t>(iv) décroissance posologique progressive</w:t>
      </w:r>
      <w:r>
        <w:t xml:space="preserve"> en fin de traitement corticoïde pour éviter la rébound inflammatoire ; </w:t>
      </w:r>
      <w:r>
        <w:rPr>
          <w:b/>
        </w:rPr>
        <w:t>(v) éducation du patient à la technique d'instillation</w:t>
      </w:r>
      <w:r>
        <w:t>, au respect du délai entre deux collyres, au retrait des lentilles de contact, à la durée d'utilisation après ouverture, et au repérage des signes d'alerte. Le pharmacien d'officina joue un rôle central dans la vérification de la prescription médicale obligatoire, dans l'éducation thérapeutique, dans le repérage des signes d'alerte, dans la vérification de l'absence d'interactions médicamenteuses, et dans la proposition de substitution par les génériques disponibles.</w:t>
      </w:r>
    </w:p>
    <w:p>
      <w:r>
        <w:t>L'avenir de la pharmacologie ophtalmologique en Algérie passera probablement par l'introduction de nouvelles molécules et de nouvelles formes galéniques : antihistaminiques H1 de nouvelle génération (bilastine ophtalmique, alcaftadine), immunosuppresseurs topiques (ciclosporine, tacrolimus), inhibiteurs de JAK (tocitinib ophtalmique), nouveaux corticoïdes à libération prolongée, implants intravitréens de nouvelle génération. Ces innovations thérapeutiques viendront enrichir un arsenal pharmacologique déjà solide, en attendant l'intégration des thérapies géniques et cellulaires actuellement en développement pour les pathologies oculaires sévères (degenerescences maculaires liées à l'âge, rétinopathies héréditaires, neuropathies optiques héréditaires). Le présent chapitre, conçu comme un outil de référence pour la pratique clinique quotidienne, devra être régulièrement mis à jour pour intégrer ces évolutions et garantir aux étudiants en pharmacie, aux pharmaciens d'officina et aux ophtalmologistes algériens un accès à une information pharmacologique rigoureuse, exhaustive et actualisée.</w:t>
      </w:r>
    </w:p>
    <w:p>
      <w:r/>
      <w:r>
        <w:rPr>
          <w:i/>
        </w:rPr>
        <w:t>Fin du Chapitre 142 — Antiallergiques et corticoïdes ophtalmiques.</w:t>
      </w:r>
      <w:r/>
    </w:p>
    <w:p>
      <w:pPr>
        <w:pStyle w:val="Heading1"/>
      </w:pPr>
      <w:r>
        <w:t>Chapitre 143 — AINS et anesthésiques locaux ophtalmiques</w:t>
      </w:r>
    </w:p>
    <w:p>
      <w:pPr>
        <w:pStyle w:val="Heading2"/>
      </w:pPr>
      <w:r>
        <w:t>143.1 Introduction générale</w:t>
      </w:r>
    </w:p>
    <w:p>
      <w:r>
        <w:t xml:space="preserve">La pharmacologie ophtalmologique couvre un large éventail de classes thérapeutiques ciblant les structures oculaires et péri-oculaires. Le présent chapitre se consacre spécifiquement à deux familles médicamenteuses de la pharmacopée oculaire qui, malgré leurs mécanismes d'action radicalement différents, partagent plusieurs points communs : une administration locale par voie topique (collyre, gel ophtalmique), une indication principale centrée sur le geste chirurgical ou diagnostique, et un profil de tolérance cornéenne conditionnant leur intérêt clinique. Il s'agit des </w:t>
      </w:r>
      <w:r>
        <w:rPr>
          <w:b/>
        </w:rPr>
        <w:t>anti-inflammatoires non stéroïdiens (AINS) ophtalmiques</w:t>
      </w:r>
      <w:r>
        <w:t xml:space="preserve"> et des </w:t>
      </w:r>
      <w:r>
        <w:rPr>
          <w:b/>
        </w:rPr>
        <w:t>anesthésiques locaux ophtalmiques</w:t>
      </w:r>
      <w:r>
        <w:t>, deux classes de poids dans la pratique ophtalmologique courante en Algérie comme à l'international.</w:t>
      </w:r>
    </w:p>
    <w:p>
      <w:r>
        <w:t>La nomenclature algérienne des médicaments (Avril 2026) recense six DCIs effectivement commercialisées ou ayant été commercialisées sur le territoire national pour ces deux familles : trois AINS ophtalmiques classiques (diclofénac, flurbiprofène, kétorolac), une prodrogue d'AINS ophtalmique de nouvelle génération (népaénac), et deux anesthésiques locaux ophtalmiques (oxybuprocaïne et tétragaïne). Cette diversité limitée reflète à la fois la maturité de la pharmacopée (les molécules de référence sont anciennes, princeps des années 1960 à 1990) et la contraction progressive du marché de l'anesthésie locale ophtalmique, où la tétragaïne n'est plus disponible en Algérie. En revanche, le marché des AINS ophtalmiques reste dynamique, dominé historiquement par le diclofénac (sous le nom princeps Voltarène Ophtalmie®) et enrichi récemment par l'introduction du népaénac, prodrogue de dernière génération qui a supplanté le diclofénac dans de nombreux protocoles chirurgicaux internationaux.</w:t>
      </w:r>
    </w:p>
    <w:p>
      <w:r>
        <w:t>Le mécanisme d'action commun à tous les AINS ophtalmiques repose sur l'</w:t>
      </w:r>
      <w:r>
        <w:rPr>
          <w:b/>
        </w:rPr>
        <w:t>inhibition de la cyclo-oxygénase (COX)</w:t>
      </w:r>
      <w:r>
        <w:t>, enzyme responsable de la conversion de l'acide arachidonique en prostaglandines (PGE2, PGF2α, PGI2, TXA2). Au niveau de l'œil, les prostaglandines sont les principaux médiateurs de l'inflammation post-chirurgicale (chirurgie de la cataracte, vitrectomie, chirurgie réfractive) et peropératoire (myosis réflexe induit par les prostaglandines libérées lors de la manipulation du segment antérieur). La baisse des prostaglandines intracamérulaires induite par les AINS ophtalmiques produit trois effets thérapeutiques majeurs : (1) réduction de l'inflammation post-opératoire (réduction de la chambre de tyndall, du œdème cornéen, des synthéchies irido-cristalliniennes), (2) prévention du myosis peropératoire (maintien d'une mydriase chirurgicale stable pendant la phaco-émulsification), et (3) analgésie post-opératoire (réduction de la douleur et du discomfort oculaire). Le népaénac se distingue des AINS classiques par sa forme prodrogue qui, après pénétration cornéenne, est convertie en amfenac actif par les hydrolases tissulaires, permettant une meilleure pénétration intracamérulaire et une concentration élevée au site d'action.</w:t>
      </w:r>
    </w:p>
    <w:p>
      <w:r>
        <w:t xml:space="preserve">Le mécanisme d'action des anesthésiques locaux ophtalmiques repose sur le </w:t>
      </w:r>
      <w:r>
        <w:rPr>
          <w:b/>
        </w:rPr>
        <w:t>blocage des canaux sodiques voltage-dépendants</w:t>
      </w:r>
      <w:r>
        <w:t xml:space="preserve"> des fibres nerveuses sensitives de la cornée (plexus nerveux sous-épithélial), de la conjonctive et des paupières. En bloquant l'influx sodium entrant lors de la dépolarisation, l'anesthésique local empêche la genèse et la propagation du potentiel d'action, entraînant une perte réversible et complète de la sensation douloureuse au niveau de la surface oculaire. L'effet est obtenu en 30 secondes à 1 minute (latence courte), atteint son maximum en 1 à 5 minutes et persiste pendant 15 à 30 minutes selon la molécule. Cette cinétique ultra-rapide explique l'usage strictement diagnostique et thérapeutique court de ces molécules : extraction de corps étranger cornéen, mesurement de la pression intra-oculaire par aplanation, examen de la motilité oculaire, déchirure conjonctivale, sondage des voies lacrymales. Leur usage prolongé est strictement contre-indiqué en raison du risque majeur de kératopathie, d'ulcération cornéenne, de retard de cicatrisation épithéliale et de perte de la sensibilité cornéenne protective (favorisant les microtraumatismes et surinfections).</w:t>
      </w:r>
    </w:p>
    <w:p>
      <w:r>
        <w:t xml:space="preserve">La principale iatrogénicité de la classe des AINS ophtalmiques est représentée par la </w:t>
      </w:r>
      <w:r>
        <w:rPr>
          <w:b/>
        </w:rPr>
        <w:t>toxicité épithéliale cornéenne</w:t>
      </w:r>
      <w:r>
        <w:t xml:space="preserve">, dont la présentation clinique s'étend de la simple kératite ponctuée superficielle (cas le plus fréquent, observé chez 5 à 20 % des patients selon la molécule et la durée d'exposition) jusqu'à la kératomalacie et la perforation cornéenne (cas exceptionnels mais gravissimes, surtout décrits avec le diclofénac chez les patients à cornée fragile). Le mécanisme physiopathologique implique une inhibition de la cicatrisation épithéliale cornéenne par blocage de la COX-2 (qui régule la synthèse des prostaglandines cytoprotectrices pour l'épithélium), une alteration de la membrane basale épithéliale, et une toxicité directe des excipients (chlorure de benzalkonium notamment, qui altère les jonctions serrées épithéliales). Cette iatrogénicité impose plusieurs précautions : (1) vérification de l'intégrité épithéliale cornéenne avant prescription (à proscrire en cas de kératite épithéliale préexistante, de sécheresse oculaire sévère, de déficit en vitamine A), (2) limitation de la durée d'utilisation à la période post-opératoire immédiate (généralement 2 à 4 semaines), (3) association systématique à un substitut lacrymal sans conservateur, (4) surveillance ophtalmologique régulière pendant le traitement. Le diclofénac, leader historique du marché ophtalmique avec plus de 100 marques recensées à l'international (Voltarène Ophtalmie®, Dicloced®, Diclogesic®, XINAC®…), reste l'AINS de référence malgré l'émergence du népaénac. La principale iatrogénicité des anesthésiques locaux ophtalmiques est représentée par la </w:t>
      </w:r>
      <w:r>
        <w:rPr>
          <w:b/>
        </w:rPr>
        <w:t>toxicité cornéenne chronique</w:t>
      </w:r>
      <w:r>
        <w:t xml:space="preserve"> en cas d'usage répété (kératite neurotrope, ulcération, infection secondaire), qui justifie leur contre-indication absolue à l'usage prolongé et leur reservation stricte au geste unique diagnostique ou thérapeutique court.</w:t>
      </w:r>
    </w:p>
    <w:p>
      <w:r>
        <w:t>La prescription et la délivrance de ces médicaments en Algérie doivent intégrer plusieurs dimensions pratiques : (1) le choix de la molécule en fonction de l'indication (anti-inflammatoire post-chirurgie vs anesthésie de geste court), (2) la vérification de l'intégrité cornéenne préalable, (3) le respect strict des posologies et durées d'utilisation, (4) l'association systématique à un substitut lacrymal, (5) la surveillance ophtalmologique régulière pendant le traitement, et (6) l'information du patient sur les risques cornéens, sur la conduite à tenir en cas de douleur ou de baisse d'acuité visuelle, et sur l'interdiction formelle d'utiliser un anesthésique local ophtalmique en auto-médication prolongée. Ce chapitre développe successivement les trois sous-classes (AINS ophtalmiques classiques, AINS prodrogues, anesthésiques locaux ophtalmiques), avec une fiche détaillée par DCI couvrant l'ensemble des dimensions pharmacologiques, thérapeutiques et pratiques nécessaires à un usage rationnel et sécurisé, et conclut sur un tableau comparatif des molécules et des outils pratiques d'aide à la prescription.</w:t>
      </w:r>
    </w:p>
    <w:p>
      <w:pPr>
        <w:pStyle w:val="Heading2"/>
      </w:pPr>
      <w:r>
        <w:t>143.2 Sous-classe : AINS ophtalmiques</w:t>
      </w:r>
    </w:p>
    <w:p>
      <w:pPr>
        <w:pStyle w:val="Heading3"/>
      </w:pPr>
      <w:r>
        <w:t>143.2.1 Généralités de la sous-classe</w:t>
      </w:r>
    </w:p>
    <w:p>
      <w:r>
        <w:t xml:space="preserve">Les anti-inflammatoires non stéroïdiens (AINS) ophtalmiques constituent une classe thérapeutique homogène, dont le développement a suivi de près celui des AINS systémiques. Dérivés des acides arylcarboxyliques (acide acétique pour le diclofénac et le népaénac, acide propionique pour le flurbiprofène, acide hétérocyclique pour le kétorolac), ils partagent une structure chimique commune comportant un groupe acide carboxylique ionisable à pH physiologique, qui conditionne leur fixation à la cyclo-oxygénase et leur pénétration cornéenne. Leur introduction en ophtalmologie remonte aux années 1990, dans un contexte de recherche d'alternatives aux corticoïdes topiques pour le contrôle de l'inflammation post-opératoire du segment antérieur. Les corticoïdes, bien qu'efficaces, exposent en effet à des risques spécifiques (hyprtension intra-oculaire, retard de cicatrisation, surinfection) qui ont motivé la mise au point des AINS comme alternative ou complément. Trois molécules d'AINS ophtalmiques classiques sont disponibles en Algérie : le </w:t>
      </w:r>
      <w:r>
        <w:rPr>
          <w:b/>
        </w:rPr>
        <w:t>diclofénac</w:t>
      </w:r>
      <w:r>
        <w:t xml:space="preserve"> (leader historique du marché, princeps Voltarène Ophtalmie® de Novartis, commercialisé en Algérie par 4 laboratoires), le </w:t>
      </w:r>
      <w:r>
        <w:rPr>
          <w:b/>
        </w:rPr>
        <w:t>flurbiprofène</w:t>
      </w:r>
      <w:r>
        <w:t xml:space="preserve"> (uniquement disponible sous forme orale en Algérie, mais dont la forme ophtalmique existe à l'international sous le nom d'Ocufen®) et le </w:t>
      </w:r>
      <w:r>
        <w:rPr>
          <w:b/>
        </w:rPr>
        <w:t>kétorolac</w:t>
      </w:r>
      <w:r>
        <w:t xml:space="preserve"> (disponible en Algérie sous le nom MEDROLGIN de World Medecine, et connu internationalement sous le nom d'Acular®).</w:t>
      </w:r>
    </w:p>
    <w:p>
      <w:r>
        <w:t>Le mécanisme d'action commun aux AINS ophtalmiques repose sur l'</w:t>
      </w:r>
      <w:r>
        <w:rPr>
          <w:b/>
        </w:rPr>
        <w:t>inhibition réversible de la cyclo-oxygénase (COX)</w:t>
      </w:r>
      <w:r>
        <w:t xml:space="preserve">, enzyme qui catalyse la conversion de l'acide arachidonique en prostaglandines G2 et H2, précurseurs des PGE2, PGF2α, PGI2 et TXA2. Deux isoformes de la COX sont présentes au niveau oculaire : la </w:t>
      </w:r>
      <w:r>
        <w:rPr>
          <w:b/>
        </w:rPr>
        <w:t>COX-1 constitutive</w:t>
      </w:r>
      <w:r>
        <w:t xml:space="preserve">, exprimée dans l'épithélium cornéen, l'endotélium cornéen, le corps ciliaire et la conjonctive, qui régule les fonctions physiologiques (protection épithéliale, production d'humeur aqueuse, maintenance de la barrière hématoculaire) ; et la </w:t>
      </w:r>
      <w:r>
        <w:rPr>
          <w:b/>
        </w:rPr>
        <w:t>COX-2 inductible</w:t>
      </w:r>
      <w:r>
        <w:t>, exprimée en réponse à l'inflammation (chirurgie, traumatisme, infection) dans les cellules épithéliales, les macrophages et les cellules de l'iris. Tous les AINS ophtalmiques commercialisés inhibent les deux isoformes (COX-1 et COX-2) avec une affinité variable, ce qui explique leur efficacité anti-inflammatoire mais aussi leur toxicité épithéliale (la COX-1 cytoprotective étant inhibée en même temps que la COX-2 pro-inflammatoire). Le diclofénac est légèrement plus sélectif pour la COX-2 que le kétorolac et le flurbiprofène, ce qui pourrait expliquer une meilleure tolérance cornéenne, mais cette différence est d'amplitude clinique modeste. Après administration topique, les AINS pénètrent la cornée (par diffusion passive à travers l'épithélium, le stroma et l'endothélium), atteignent l'humeur aqueuse en 30 à 60 minutes, et y exercent leur effet anti-inflammatoire pendant 4 à 8 heures selon la molécule.</w:t>
      </w:r>
    </w:p>
    <w:p>
      <w:r>
        <w:t xml:space="preserve">L'efficacité clinique des AINS ophtalmiques est bien démontrée dans trois indications principales : (1) </w:t>
      </w:r>
      <w:r>
        <w:rPr>
          <w:b/>
        </w:rPr>
        <w:t>prévention du myosis peropératoire</w:t>
      </w:r>
      <w:r>
        <w:t xml:space="preserve"> au cours de la chirurgie de la cataracte par phaco-émulsification, où ils sont administrés en pré-opératoire (1 goutte toutes les 30 à 60 minutes pendant 2 heures avant la chirurgie) pour bloquer la libération de prostaglandines induite par la manipulation du segment antérieur, et maintenir ainsi une mydriase chirurgicale stable pendant toute la procédure ; (2) </w:t>
      </w:r>
      <w:r>
        <w:rPr>
          <w:b/>
        </w:rPr>
        <w:t>traitement de l'inflammation post-opératoire</w:t>
      </w:r>
      <w:r>
        <w:t xml:space="preserve"> du segment antérieur (chirurgie de la cataracte, vitrectomie, chirurgie réfractive, kératoplastie), où ils réduisent la chambre de tyndall, le œdème cornéen, les synthéchies irido-cristalliniennes et la douleur post-opératoire ; (3) </w:t>
      </w:r>
      <w:r>
        <w:rPr>
          <w:b/>
        </w:rPr>
        <w:t>traitement de la douleur et de l'inflammation après chirurgie réfractive</w:t>
      </w:r>
      <w:r>
        <w:t xml:space="preserve"> (PKR, LASIK), où ils réduisent la douleur post-opératoire et le hazelyn cornéen. Le flurbiprofène est essentiellement utilisé dans la prévention du myosis peropératoire (indication princeps), tandis que le diclofénac et le kétorolac sont utilisés dans toutes les indications. Le népaénac, plus récent, est utilisé principalement en post-opératoire de chirurgie de la cataracte.</w:t>
      </w:r>
    </w:p>
    <w:p>
      <w:r>
        <w:t xml:space="preserve">La principale iatrogénicité de la classe des AINS ophtalmiques est la </w:t>
      </w:r>
      <w:r>
        <w:rPr>
          <w:b/>
        </w:rPr>
        <w:t>toxicité épithéliale cornéenne</w:t>
      </w:r>
      <w:r>
        <w:t>, qui se manifeste cliniquement par une kératite ponctuée superficielle (KPS), plus rarement par une ulcération cornéenne ou une kératomalacie. Le mécanisme physiopathologique implique plusieurs facteurs : (1) inhibition de la COX-1 épithéliale, qui réduit la production de prostaglandines cytoprotectives (PGE2, PGI2) et altère la barrière épithéliale, (2) toxicité directe des excipients, en particulier du chlorure de benzalkonium (BAK), conservateur antiseptique largement utilisé dans les collyres multidoses, qui altère les jonctions serrées épithéliales et augmente la perméabilité cornéenne, (3) altération de la cicatrisation épithéliale par inhibition des facteurs de croissance régulés par les prostaglandines, (4) potentialisation de la toxicité par les associations médicamenteuses (surtout avec les autres collyres contenant du BAK, les bêtabloquants, les inhibiteurs de l'anhydrase carbonique). Les facteurs de risque de toxicité cornéenne sont : antécédent de sécheresse oculaire, kératite epithéliale préexistante, déficit en vitamine A, diabète, auto-immunité (polyarthrite rhumatoïde, syndrome de Gougerot-Sjögren), chirurgie cornéenne récente, port de lentilles de contact, usage prolongé (&gt; 4 semaines), association à d'autres collyres contenant du BAK. La prévention repose sur : (1) l'évaluation systématique de l'état cornéen avant prescription (examen à la lampe à fente, recherche d'une KPS préexistante), (2) la limitation stricte de la durée d'utilisation à la période post-opératoire immédiate (2 à 4 semaines), (3) l'association systématique à un substitut lacrymal sans conservateur, (4) la préférence pour les formulations sans conservateur (unidose) en cas de cornée fragile, (5) la surveillance ophtalmologique régulière (examen à la lampe à fente à 1 semaine, 2 semaines, 4 semaines).</w:t>
      </w:r>
    </w:p>
    <w:p>
      <w:r>
        <w:t xml:space="preserve">Outre la toxicité cornéenne, les AINS ophtalmiques exposent à des effets indésirables locaux et systémiques : (1) </w:t>
      </w:r>
      <w:r>
        <w:rPr>
          <w:b/>
        </w:rPr>
        <w:t>locaux</w:t>
      </w:r>
      <w:r>
        <w:t xml:space="preserve"> : picotements à l'instillation, hyperhémie conjonctivale, prurit, larmoiement, vision trouble transitoire, œdème palpébral ; (2) </w:t>
      </w:r>
      <w:r>
        <w:rPr>
          <w:b/>
        </w:rPr>
        <w:t>allergiques</w:t>
      </w:r>
      <w:r>
        <w:t xml:space="preserve"> : kératoconjonctivite allergique, blépharite, dermatite de contact palpébrale, plus rarement réactions systémiques (urticaire, œdème de Quincke, choc anaphylactique — surtout décrits avec le diclofénac en raison de possibles allergies croisées avec les AINS systémiques) ; (3) </w:t>
      </w:r>
      <w:r>
        <w:rPr>
          <w:b/>
        </w:rPr>
        <w:t>systémiques</w:t>
      </w:r>
      <w:r>
        <w:t xml:space="preserve"> (liés au passage systémique, estimé à 5 à 15 % de la dose instillée) : exceptionnels cas d'asthme déclenché par les AINS ophtalmiques chez les patients présentant une triade de Fernand-Widal (asthme + polypose nasale + intolérance aux AINS), de saignements gastro-intestinaux chez les patients prédisposés. Les contre-indications des AINS ophtalmiques sont : (1) </w:t>
      </w:r>
      <w:r>
        <w:rPr>
          <w:b/>
        </w:rPr>
        <w:t>hypersensibilité à la substance active ou à l'un des excipients</w:t>
      </w:r>
      <w:r>
        <w:t xml:space="preserve">, (2) </w:t>
      </w:r>
      <w:r>
        <w:rPr>
          <w:b/>
        </w:rPr>
        <w:t>antécédent d'asthme déclenché par les AINS</w:t>
      </w:r>
      <w:r>
        <w:t xml:space="preserve"> (asthme à l'aspirine, triade de Fernand-Widal), (3) </w:t>
      </w:r>
      <w:r>
        <w:rPr>
          <w:b/>
        </w:rPr>
        <w:t>ulcère cornéen ou kératite épithéliale active</w:t>
      </w:r>
      <w:r>
        <w:t xml:space="preserve"> (en raison du risque de retard de cicatrisation), (4) </w:t>
      </w:r>
      <w:r>
        <w:rPr>
          <w:b/>
        </w:rPr>
        <w:t>sécheresse oculaire sévère</w:t>
      </w:r>
      <w:r>
        <w:t xml:space="preserve"> (syndrome de Gougerot-Sjögren, déficit en vitamine A), (5) </w:t>
      </w:r>
      <w:r>
        <w:rPr>
          <w:b/>
        </w:rPr>
        <w:t>troisième trimestre de la grossesse</w:t>
      </w:r>
      <w:r>
        <w:t xml:space="preserve"> (par prudence, en raison du risque théorique de fermeture prématurée du canal artériel fœtal, comme pour les AINS systémiques), (6) </w:t>
      </w:r>
      <w:r>
        <w:rPr>
          <w:b/>
        </w:rPr>
        <w:t>port de lentilles de contact</w:t>
      </w:r>
      <w:r>
        <w:t xml:space="preserve"> (le BAK est adsorbé par les lentilles souples, avec risque de toxicité cornéenne prolongée).</w:t>
      </w:r>
    </w:p>
    <w:p>
      <w:r>
        <w:t xml:space="preserve">Le marché algérien des AINS ophtalmiques est dominé par le </w:t>
      </w:r>
      <w:r>
        <w:rPr>
          <w:b/>
        </w:rPr>
        <w:t>diclofénac</w:t>
      </w:r>
      <w:r>
        <w:t xml:space="preserve">, disponible sous quatre spécialités strictement équivalentes en termes de dosage (1 mg/mL ou 0,1 %) et de conditionnement (flacon de 5 mL ou 10 mL) : VOLTARENE (Novartis Ophtalmics, princeps), DICLOCED (Laboratoires Théa), DICLOGESIC (Dar Al Dawa) et XINAC (Generic Lab). Toutes ces spécialités sont en Liste II et contiennent du chlorure de benzalkonium comme conservateur. Le </w:t>
      </w:r>
      <w:r>
        <w:rPr>
          <w:b/>
        </w:rPr>
        <w:t>kétorolac</w:t>
      </w:r>
      <w:r>
        <w:t xml:space="preserve"> est disponible sous une seule spécialité, MEDROLGIN (World Medecine, laboratoire turc), en flacon de 5 mL, en Liste I (statut plus restrictif que le diclofénac). Le </w:t>
      </w:r>
      <w:r>
        <w:rPr>
          <w:b/>
        </w:rPr>
        <w:t>flurbiprofène</w:t>
      </w:r>
      <w:r>
        <w:t xml:space="preserve"> n'est pas disponible en collyre en Algérie dans la nomenclature de 2026 ; seule la forme orale (comprimés 100 mg) est commercialisée, ce qui restreint son usage à l'indication systémique (dysménorrhée, douleur dentaire). Cette diversité limitée reflète la maturité de la classe et le poids économique du diclofénac, qui représente à lui seul l'essentiel du marché des AINS ophtalmiques en Algérie. L'arrivée du népaénac (prodrogue de dernière génération) sous le nom APFECTO (World Medecine) constitue une évolution notable, mais son prix et son remboursement restent à évaluer dans le contexte algérien.</w:t>
      </w:r>
    </w:p>
    <w:p>
      <w:pPr>
        <w:pStyle w:val="Heading3"/>
      </w:pPr>
      <w:r>
        <w:t>143.2.2 DCI : Diclofénac (usage ophtalmique)</w:t>
      </w:r>
    </w:p>
    <w:p>
      <w:r/>
      <w:r>
        <w:rPr>
          <w:b/>
        </w:rPr>
        <w:t>Liste des Catégories :</w:t>
      </w:r>
      <w:r>
        <w:t xml:space="preserve"> Liste II (collyre en solution).</w:t>
      </w:r>
    </w:p>
    <w:p>
      <w:r>
        <w:t>Le diclofénac est un AINS dérivé de l'acide phénylacétique (acide 2-[2,6-dichlorophényl)amino]phényl]acétique), commercialisé internationalement depuis 1973 (première autorisation par Ciba-Geigy, devenue Novartis). Sa structure chimique se caractérise par un groupe acide acétique lié à un noyau phényl-dichloré, qui lui confère une activité anti-inflammatoire, antalgique et antipyrétique. En ophtalmologie, le diclofénac a été développé sous forme de collyre à la concentration de 0,1 % (1 mg/mL) dans les années 1990, sous le nom princeps Voltarène Ophtalmie®. La spécialité princeps a été reprise en Algérie par Novartis Ophtalmics, et plusieurs génériques sont également disponibles (DICLOCED par Théa, DICLOGESIC par Dar Al Dawa, XINAC par Generic Lab). Le diclofénac est le leader historique du marché des AINS ophtalmiques en Algérie comme à l'international, avec plus de 100 marques recensées dans le monde. Il est utilisé en prévention du myosis peropératoire, en traitement de l'inflammation post-opératoire du segment antérieur, et en traitement de la douleur après chirurgie réfractive.</w:t>
      </w:r>
    </w:p>
    <w:p>
      <w:r/>
      <w:r>
        <w:rPr>
          <w:b/>
        </w:rPr>
        <w:t>Médicaments disponibles en Algérie (tableau commercial) :</w:t>
      </w:r>
      <w:r/>
    </w:p>
    <w:p>
      <w:r>
        <w:t>Formes ophtalmiques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VOLTARENE</w:t>
            </w:r>
          </w:p>
        </w:tc>
        <w:tc>
          <w:tcPr>
            <w:tcW w:type="dxa" w:w="1559"/>
          </w:tcPr>
          <w:p>
            <w:r>
              <w:rPr>
                <w:sz w:val="20"/>
              </w:rPr>
              <w:t>NOVARTIS OPHTALMICS</w:t>
            </w:r>
          </w:p>
        </w:tc>
        <w:tc>
          <w:tcPr>
            <w:tcW w:type="dxa" w:w="1559"/>
          </w:tcPr>
          <w:p>
            <w:r>
              <w:rPr>
                <w:sz w:val="20"/>
              </w:rPr>
              <w:t>Collyre en solution 0,1 % (1 mg/mL) diclofénac sodique</w:t>
            </w:r>
          </w:p>
        </w:tc>
        <w:tc>
          <w:tcPr>
            <w:tcW w:type="dxa" w:w="1559"/>
          </w:tcPr>
          <w:p>
            <w:r>
              <w:rPr>
                <w:sz w:val="20"/>
              </w:rPr>
              <w:t>Flacon de 5 mL</w:t>
            </w:r>
          </w:p>
        </w:tc>
        <w:tc>
          <w:tcPr>
            <w:tcW w:type="dxa" w:w="1559"/>
          </w:tcPr>
          <w:p>
            <w:r>
              <w:rPr>
                <w:sz w:val="20"/>
              </w:rPr>
              <w:t>Liste II</w:t>
            </w:r>
          </w:p>
        </w:tc>
        <w:tc>
          <w:tcPr>
            <w:tcW w:type="dxa" w:w="1559"/>
          </w:tcPr>
          <w:p>
            <w:r>
              <w:rPr>
                <w:sz w:val="20"/>
              </w:rPr>
              <w:t>Actif</w:t>
            </w:r>
          </w:p>
        </w:tc>
      </w:tr>
      <w:tr>
        <w:tc>
          <w:tcPr>
            <w:tcW w:type="dxa" w:w="1559"/>
          </w:tcPr>
          <w:p>
            <w:r>
              <w:rPr>
                <w:sz w:val="20"/>
              </w:rPr>
              <w:t>DICLOCED</w:t>
            </w:r>
          </w:p>
        </w:tc>
        <w:tc>
          <w:tcPr>
            <w:tcW w:type="dxa" w:w="1559"/>
          </w:tcPr>
          <w:p>
            <w:r>
              <w:rPr>
                <w:sz w:val="20"/>
              </w:rPr>
              <w:t>THEA</w:t>
            </w:r>
          </w:p>
        </w:tc>
        <w:tc>
          <w:tcPr>
            <w:tcW w:type="dxa" w:w="1559"/>
          </w:tcPr>
          <w:p>
            <w:r>
              <w:rPr>
                <w:sz w:val="20"/>
              </w:rPr>
              <w:t>Collyre en solution 1 mg/mL (0,1 %) diclofénac sodique</w:t>
            </w:r>
          </w:p>
        </w:tc>
        <w:tc>
          <w:tcPr>
            <w:tcW w:type="dxa" w:w="1559"/>
          </w:tcPr>
          <w:p>
            <w:r>
              <w:rPr>
                <w:sz w:val="20"/>
              </w:rPr>
              <w:t>Flacon de 10 mL</w:t>
            </w:r>
          </w:p>
        </w:tc>
        <w:tc>
          <w:tcPr>
            <w:tcW w:type="dxa" w:w="1559"/>
          </w:tcPr>
          <w:p>
            <w:r>
              <w:rPr>
                <w:sz w:val="20"/>
              </w:rPr>
              <w:t>Liste II</w:t>
            </w:r>
          </w:p>
        </w:tc>
        <w:tc>
          <w:tcPr>
            <w:tcW w:type="dxa" w:w="1559"/>
          </w:tcPr>
          <w:p>
            <w:r>
              <w:rPr>
                <w:sz w:val="20"/>
              </w:rPr>
              <w:t>Actif</w:t>
            </w:r>
          </w:p>
        </w:tc>
      </w:tr>
      <w:tr>
        <w:tc>
          <w:tcPr>
            <w:tcW w:type="dxa" w:w="1559"/>
          </w:tcPr>
          <w:p>
            <w:r>
              <w:rPr>
                <w:sz w:val="20"/>
              </w:rPr>
              <w:t>DICLOGESIC</w:t>
            </w:r>
          </w:p>
        </w:tc>
        <w:tc>
          <w:tcPr>
            <w:tcW w:type="dxa" w:w="1559"/>
          </w:tcPr>
          <w:p>
            <w:r>
              <w:rPr>
                <w:sz w:val="20"/>
              </w:rPr>
              <w:t>DAR AL DAWA</w:t>
            </w:r>
          </w:p>
        </w:tc>
        <w:tc>
          <w:tcPr>
            <w:tcW w:type="dxa" w:w="1559"/>
          </w:tcPr>
          <w:p>
            <w:r>
              <w:rPr>
                <w:sz w:val="20"/>
              </w:rPr>
              <w:t>Collyre en solution 0,1 % (1 mg/mL) diclofénac sodique</w:t>
            </w:r>
          </w:p>
        </w:tc>
        <w:tc>
          <w:tcPr>
            <w:tcW w:type="dxa" w:w="1559"/>
          </w:tcPr>
          <w:p>
            <w:r>
              <w:rPr>
                <w:sz w:val="20"/>
              </w:rPr>
              <w:t>Flacon compte-gouttes de 5 mL</w:t>
            </w:r>
          </w:p>
        </w:tc>
        <w:tc>
          <w:tcPr>
            <w:tcW w:type="dxa" w:w="1559"/>
          </w:tcPr>
          <w:p>
            <w:r>
              <w:rPr>
                <w:sz w:val="20"/>
              </w:rPr>
              <w:t>Liste II</w:t>
            </w:r>
          </w:p>
        </w:tc>
        <w:tc>
          <w:tcPr>
            <w:tcW w:type="dxa" w:w="1559"/>
          </w:tcPr>
          <w:p>
            <w:r>
              <w:rPr>
                <w:sz w:val="20"/>
              </w:rPr>
              <w:t>Actif</w:t>
            </w:r>
          </w:p>
        </w:tc>
      </w:tr>
      <w:tr>
        <w:tc>
          <w:tcPr>
            <w:tcW w:type="dxa" w:w="1559"/>
          </w:tcPr>
          <w:p>
            <w:r>
              <w:rPr>
                <w:sz w:val="20"/>
              </w:rPr>
              <w:t>XINAC</w:t>
            </w:r>
          </w:p>
        </w:tc>
        <w:tc>
          <w:tcPr>
            <w:tcW w:type="dxa" w:w="1559"/>
          </w:tcPr>
          <w:p>
            <w:r>
              <w:rPr>
                <w:sz w:val="20"/>
              </w:rPr>
              <w:t>GENERIC LAB</w:t>
            </w:r>
          </w:p>
        </w:tc>
        <w:tc>
          <w:tcPr>
            <w:tcW w:type="dxa" w:w="1559"/>
          </w:tcPr>
          <w:p>
            <w:r>
              <w:rPr>
                <w:sz w:val="20"/>
              </w:rPr>
              <w:t>Collyre en solution 0,1 % (1 mg/mL) diclofénac sodique</w:t>
            </w:r>
          </w:p>
        </w:tc>
        <w:tc>
          <w:tcPr>
            <w:tcW w:type="dxa" w:w="1559"/>
          </w:tcPr>
          <w:p>
            <w:r>
              <w:rPr>
                <w:sz w:val="20"/>
              </w:rPr>
              <w:t>Flacon de 5 mL</w:t>
            </w:r>
          </w:p>
        </w:tc>
        <w:tc>
          <w:tcPr>
            <w:tcW w:type="dxa" w:w="1559"/>
          </w:tcPr>
          <w:p>
            <w:r>
              <w:rPr>
                <w:sz w:val="20"/>
              </w:rPr>
              <w:t>Liste II</w:t>
            </w:r>
          </w:p>
        </w:tc>
        <w:tc>
          <w:tcPr>
            <w:tcW w:type="dxa" w:w="1559"/>
          </w:tcPr>
          <w:p>
            <w:r>
              <w:rPr>
                <w:sz w:val="20"/>
              </w:rPr>
              <w:t>Actif</w:t>
            </w:r>
          </w:p>
        </w:tc>
      </w:tr>
    </w:tbl>
    <w:p/>
    <w:p>
      <w:r>
        <w:t>Formes systémiques actives (rappel pour mémoire, non incluses dans le périmètre ophtalmique mais présentes dans la nomenclature algérienne)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CLOFENAL</w:t>
            </w:r>
          </w:p>
        </w:tc>
        <w:tc>
          <w:tcPr>
            <w:tcW w:type="dxa" w:w="1559"/>
          </w:tcPr>
          <w:p>
            <w:r>
              <w:rPr>
                <w:sz w:val="20"/>
              </w:rPr>
              <w:t>GROUPE SAIDAL</w:t>
            </w:r>
          </w:p>
        </w:tc>
        <w:tc>
          <w:tcPr>
            <w:tcW w:type="dxa" w:w="1559"/>
          </w:tcPr>
          <w:p>
            <w:r>
              <w:rPr>
                <w:sz w:val="20"/>
              </w:rPr>
              <w:t>Solution injectable IM 25 mg/mL (75 mg/3 mL)</w:t>
            </w:r>
          </w:p>
        </w:tc>
        <w:tc>
          <w:tcPr>
            <w:tcW w:type="dxa" w:w="1559"/>
          </w:tcPr>
          <w:p>
            <w:r>
              <w:rPr>
                <w:sz w:val="20"/>
              </w:rPr>
              <w:t>B/02 amp + B/50 amp de 3 mL</w:t>
            </w:r>
          </w:p>
        </w:tc>
        <w:tc>
          <w:tcPr>
            <w:tcW w:type="dxa" w:w="1559"/>
          </w:tcPr>
          <w:p>
            <w:r>
              <w:rPr>
                <w:sz w:val="20"/>
              </w:rPr>
              <w:t>Liste II</w:t>
            </w:r>
          </w:p>
        </w:tc>
        <w:tc>
          <w:tcPr>
            <w:tcW w:type="dxa" w:w="1559"/>
          </w:tcPr>
          <w:p>
            <w:r>
              <w:rPr>
                <w:sz w:val="20"/>
              </w:rPr>
              <w:t>Actif</w:t>
            </w:r>
          </w:p>
        </w:tc>
      </w:tr>
      <w:tr>
        <w:tc>
          <w:tcPr>
            <w:tcW w:type="dxa" w:w="1559"/>
          </w:tcPr>
          <w:p>
            <w:r>
              <w:rPr>
                <w:sz w:val="20"/>
              </w:rPr>
              <w:t>VOLTARENE</w:t>
            </w:r>
          </w:p>
        </w:tc>
        <w:tc>
          <w:tcPr>
            <w:tcW w:type="dxa" w:w="1559"/>
          </w:tcPr>
          <w:p>
            <w:r>
              <w:rPr>
                <w:sz w:val="20"/>
              </w:rPr>
              <w:t>NOVARTIS</w:t>
            </w:r>
          </w:p>
        </w:tc>
        <w:tc>
          <w:tcPr>
            <w:tcW w:type="dxa" w:w="1559"/>
          </w:tcPr>
          <w:p>
            <w:r>
              <w:rPr>
                <w:sz w:val="20"/>
              </w:rPr>
              <w:t>Solution injectable 75 mg/3 mL</w:t>
            </w:r>
          </w:p>
        </w:tc>
        <w:tc>
          <w:tcPr>
            <w:tcW w:type="dxa" w:w="1559"/>
          </w:tcPr>
          <w:p>
            <w:r>
              <w:rPr>
                <w:sz w:val="20"/>
              </w:rPr>
              <w:t>B/05 amp de 3 mL</w:t>
            </w:r>
          </w:p>
        </w:tc>
        <w:tc>
          <w:tcPr>
            <w:tcW w:type="dxa" w:w="1559"/>
          </w:tcPr>
          <w:p>
            <w:r>
              <w:rPr>
                <w:sz w:val="20"/>
              </w:rPr>
              <w:t>Liste II</w:t>
            </w:r>
          </w:p>
        </w:tc>
        <w:tc>
          <w:tcPr>
            <w:tcW w:type="dxa" w:w="1559"/>
          </w:tcPr>
          <w:p>
            <w:r>
              <w:rPr>
                <w:sz w:val="20"/>
              </w:rPr>
              <w:t>Actif</w:t>
            </w:r>
          </w:p>
        </w:tc>
      </w:tr>
      <w:tr>
        <w:tc>
          <w:tcPr>
            <w:tcW w:type="dxa" w:w="1559"/>
          </w:tcPr>
          <w:p>
            <w:r>
              <w:rPr>
                <w:sz w:val="20"/>
              </w:rPr>
              <w:t>BIOFENAC</w:t>
            </w:r>
          </w:p>
        </w:tc>
        <w:tc>
          <w:tcPr>
            <w:tcW w:type="dxa" w:w="1559"/>
          </w:tcPr>
          <w:p>
            <w:r>
              <w:rPr>
                <w:sz w:val="20"/>
              </w:rPr>
              <w:t>BIOPHARM</w:t>
            </w:r>
          </w:p>
        </w:tc>
        <w:tc>
          <w:tcPr>
            <w:tcW w:type="dxa" w:w="1559"/>
          </w:tcPr>
          <w:p>
            <w:r>
              <w:rPr>
                <w:sz w:val="20"/>
              </w:rPr>
              <w:t>Comprimé pelliculé gastro-résistant 50 mg</w:t>
            </w:r>
          </w:p>
        </w:tc>
        <w:tc>
          <w:tcPr>
            <w:tcW w:type="dxa" w:w="1559"/>
          </w:tcPr>
          <w:p>
            <w:r>
              <w:rPr>
                <w:sz w:val="20"/>
              </w:rPr>
              <w:t>B/30</w:t>
            </w:r>
          </w:p>
        </w:tc>
        <w:tc>
          <w:tcPr>
            <w:tcW w:type="dxa" w:w="1559"/>
          </w:tcPr>
          <w:p>
            <w:r>
              <w:rPr>
                <w:sz w:val="20"/>
              </w:rPr>
              <w:t>Liste II</w:t>
            </w:r>
          </w:p>
        </w:tc>
        <w:tc>
          <w:tcPr>
            <w:tcW w:type="dxa" w:w="1559"/>
          </w:tcPr>
          <w:p>
            <w:r>
              <w:rPr>
                <w:sz w:val="20"/>
              </w:rPr>
              <w:t>Actif</w:t>
            </w:r>
          </w:p>
        </w:tc>
      </w:tr>
      <w:tr>
        <w:tc>
          <w:tcPr>
            <w:tcW w:type="dxa" w:w="1559"/>
          </w:tcPr>
          <w:p>
            <w:r>
              <w:rPr>
                <w:sz w:val="20"/>
              </w:rPr>
              <w:t>CLOFENAL</w:t>
            </w:r>
          </w:p>
        </w:tc>
        <w:tc>
          <w:tcPr>
            <w:tcW w:type="dxa" w:w="1559"/>
          </w:tcPr>
          <w:p>
            <w:r>
              <w:rPr>
                <w:sz w:val="20"/>
              </w:rPr>
              <w:t>GROUPE SAIDAL</w:t>
            </w:r>
          </w:p>
        </w:tc>
        <w:tc>
          <w:tcPr>
            <w:tcW w:type="dxa" w:w="1559"/>
          </w:tcPr>
          <w:p>
            <w:r>
              <w:rPr>
                <w:sz w:val="20"/>
              </w:rPr>
              <w:t>Gélule à microgranules gastro-résistante 50 mg</w:t>
            </w:r>
          </w:p>
        </w:tc>
        <w:tc>
          <w:tcPr>
            <w:tcW w:type="dxa" w:w="1559"/>
          </w:tcPr>
          <w:p>
            <w:r>
              <w:rPr>
                <w:sz w:val="20"/>
              </w:rPr>
              <w:t>B/30</w:t>
            </w:r>
          </w:p>
        </w:tc>
        <w:tc>
          <w:tcPr>
            <w:tcW w:type="dxa" w:w="1559"/>
          </w:tcPr>
          <w:p>
            <w:r>
              <w:rPr>
                <w:sz w:val="20"/>
              </w:rPr>
              <w:t>Liste II</w:t>
            </w:r>
          </w:p>
        </w:tc>
        <w:tc>
          <w:tcPr>
            <w:tcW w:type="dxa" w:w="1559"/>
          </w:tcPr>
          <w:p>
            <w:r>
              <w:rPr>
                <w:sz w:val="20"/>
              </w:rPr>
              <w:t>Actif</w:t>
            </w:r>
          </w:p>
        </w:tc>
      </w:tr>
      <w:tr>
        <w:tc>
          <w:tcPr>
            <w:tcW w:type="dxa" w:w="1559"/>
          </w:tcPr>
          <w:p>
            <w:r>
              <w:rPr>
                <w:sz w:val="20"/>
              </w:rPr>
              <w:t>DICLOFAL</w:t>
            </w:r>
          </w:p>
        </w:tc>
        <w:tc>
          <w:tcPr>
            <w:tcW w:type="dxa" w:w="1559"/>
          </w:tcPr>
          <w:p>
            <w:r>
              <w:rPr>
                <w:sz w:val="20"/>
              </w:rPr>
              <w:t>SOPHAL</w:t>
            </w:r>
          </w:p>
        </w:tc>
        <w:tc>
          <w:tcPr>
            <w:tcW w:type="dxa" w:w="1559"/>
          </w:tcPr>
          <w:p>
            <w:r>
              <w:rPr>
                <w:sz w:val="20"/>
              </w:rPr>
              <w:t>Comprimé pelliculé gastro-résistant 50 mg</w:t>
            </w:r>
          </w:p>
        </w:tc>
        <w:tc>
          <w:tcPr>
            <w:tcW w:type="dxa" w:w="1559"/>
          </w:tcPr>
          <w:p>
            <w:r>
              <w:rPr>
                <w:sz w:val="20"/>
              </w:rPr>
              <w:t>B/30</w:t>
            </w:r>
          </w:p>
        </w:tc>
        <w:tc>
          <w:tcPr>
            <w:tcW w:type="dxa" w:w="1559"/>
          </w:tcPr>
          <w:p>
            <w:r>
              <w:rPr>
                <w:sz w:val="20"/>
              </w:rPr>
              <w:t>Liste II</w:t>
            </w:r>
          </w:p>
        </w:tc>
        <w:tc>
          <w:tcPr>
            <w:tcW w:type="dxa" w:w="1559"/>
          </w:tcPr>
          <w:p>
            <w:r>
              <w:rPr>
                <w:sz w:val="20"/>
              </w:rPr>
              <w:t>Actif</w:t>
            </w:r>
          </w:p>
        </w:tc>
      </w:tr>
      <w:tr>
        <w:tc>
          <w:tcPr>
            <w:tcW w:type="dxa" w:w="1559"/>
          </w:tcPr>
          <w:p>
            <w:r>
              <w:rPr>
                <w:sz w:val="20"/>
              </w:rPr>
              <w:t>DICLOGESIC RETARD</w:t>
            </w:r>
          </w:p>
        </w:tc>
        <w:tc>
          <w:tcPr>
            <w:tcW w:type="dxa" w:w="1559"/>
          </w:tcPr>
          <w:p>
            <w:r>
              <w:rPr>
                <w:sz w:val="20"/>
              </w:rPr>
              <w:t>DAR AL DAWA</w:t>
            </w:r>
          </w:p>
        </w:tc>
        <w:tc>
          <w:tcPr>
            <w:tcW w:type="dxa" w:w="1559"/>
          </w:tcPr>
          <w:p>
            <w:r>
              <w:rPr>
                <w:sz w:val="20"/>
              </w:rPr>
              <w:t>Comprimé LP 100 mg</w:t>
            </w:r>
          </w:p>
        </w:tc>
        <w:tc>
          <w:tcPr>
            <w:tcW w:type="dxa" w:w="1559"/>
          </w:tcPr>
          <w:p>
            <w:r>
              <w:rPr>
                <w:sz w:val="20"/>
              </w:rPr>
              <w:t>B/10</w:t>
            </w:r>
          </w:p>
        </w:tc>
        <w:tc>
          <w:tcPr>
            <w:tcW w:type="dxa" w:w="1559"/>
          </w:tcPr>
          <w:p>
            <w:r>
              <w:rPr>
                <w:sz w:val="20"/>
              </w:rPr>
              <w:t>Liste II</w:t>
            </w:r>
          </w:p>
        </w:tc>
        <w:tc>
          <w:tcPr>
            <w:tcW w:type="dxa" w:w="1559"/>
          </w:tcPr>
          <w:p>
            <w:r>
              <w:rPr>
                <w:sz w:val="20"/>
              </w:rPr>
              <w:t>Actif</w:t>
            </w:r>
          </w:p>
        </w:tc>
      </w:tr>
      <w:tr>
        <w:tc>
          <w:tcPr>
            <w:tcW w:type="dxa" w:w="1559"/>
          </w:tcPr>
          <w:p>
            <w:r>
              <w:rPr>
                <w:sz w:val="20"/>
              </w:rPr>
              <w:t>CATAFLAM</w:t>
            </w:r>
          </w:p>
        </w:tc>
        <w:tc>
          <w:tcPr>
            <w:tcW w:type="dxa" w:w="1559"/>
          </w:tcPr>
          <w:p>
            <w:r>
              <w:rPr>
                <w:sz w:val="20"/>
              </w:rPr>
              <w:t>NOVARTIS</w:t>
            </w:r>
          </w:p>
        </w:tc>
        <w:tc>
          <w:tcPr>
            <w:tcW w:type="dxa" w:w="1559"/>
          </w:tcPr>
          <w:p>
            <w:r>
              <w:rPr>
                <w:sz w:val="20"/>
              </w:rPr>
              <w:t>Comprimé pelliculé (diclofénac potassique) 50 mg</w:t>
            </w:r>
          </w:p>
        </w:tc>
        <w:tc>
          <w:tcPr>
            <w:tcW w:type="dxa" w:w="1559"/>
          </w:tcPr>
          <w:p>
            <w:r>
              <w:rPr>
                <w:sz w:val="20"/>
              </w:rPr>
              <w:t>B/10</w:t>
            </w:r>
          </w:p>
        </w:tc>
        <w:tc>
          <w:tcPr>
            <w:tcW w:type="dxa" w:w="1559"/>
          </w:tcPr>
          <w:p>
            <w:r>
              <w:rPr>
                <w:sz w:val="20"/>
              </w:rPr>
              <w:t>Liste II</w:t>
            </w:r>
          </w:p>
        </w:tc>
        <w:tc>
          <w:tcPr>
            <w:tcW w:type="dxa" w:w="1559"/>
          </w:tcPr>
          <w:p>
            <w:r>
              <w:rPr>
                <w:sz w:val="20"/>
              </w:rPr>
              <w:t>Actif</w:t>
            </w:r>
          </w:p>
        </w:tc>
      </w:tr>
      <w:tr>
        <w:tc>
          <w:tcPr>
            <w:tcW w:type="dxa" w:w="1559"/>
          </w:tcPr>
          <w:p>
            <w:r>
              <w:rPr>
                <w:sz w:val="20"/>
              </w:rPr>
              <w:t>VOLTARENE EMULGEL</w:t>
            </w:r>
          </w:p>
        </w:tc>
        <w:tc>
          <w:tcPr>
            <w:tcW w:type="dxa" w:w="1559"/>
          </w:tcPr>
          <w:p>
            <w:r>
              <w:rPr>
                <w:sz w:val="20"/>
              </w:rPr>
              <w:t>NOVARTIS</w:t>
            </w:r>
          </w:p>
        </w:tc>
        <w:tc>
          <w:tcPr>
            <w:tcW w:type="dxa" w:w="1559"/>
          </w:tcPr>
          <w:p>
            <w:r>
              <w:rPr>
                <w:sz w:val="20"/>
              </w:rPr>
              <w:t>Gel dermique 1 %</w:t>
            </w:r>
          </w:p>
        </w:tc>
        <w:tc>
          <w:tcPr>
            <w:tcW w:type="dxa" w:w="1559"/>
          </w:tcPr>
          <w:p>
            <w:r>
              <w:rPr>
                <w:sz w:val="20"/>
              </w:rPr>
              <w:t>T/50 g</w:t>
            </w:r>
          </w:p>
        </w:tc>
        <w:tc>
          <w:tcPr>
            <w:tcW w:type="dxa" w:w="1559"/>
          </w:tcPr>
          <w:p>
            <w:r>
              <w:rPr>
                <w:sz w:val="20"/>
              </w:rPr>
              <w:t>Liste II</w:t>
            </w:r>
          </w:p>
        </w:tc>
        <w:tc>
          <w:tcPr>
            <w:tcW w:type="dxa" w:w="1559"/>
          </w:tcPr>
          <w:p>
            <w:r>
              <w:rPr>
                <w:sz w:val="20"/>
              </w:rPr>
              <w:t>Actif</w:t>
            </w:r>
          </w:p>
        </w:tc>
      </w:tr>
    </w:tbl>
    <w:p/>
    <w:p>
      <w:r>
        <w:t>Le diclofénac ophtalmique est donc disponible en Algérie sous quatre spécialités strictement équivalentes en termes de dosage (1 mg/mL = 0,1 %) et de statut réglementaire (Liste II). Les quatre spécialités sont substituables entre elles, mais présentent des variations mineures au niveau des excipients (composition du tampon, type de viscosifiant, présence ou non de BAK), qui peuvent influencer la tolérance locale chez certains patients sensibles. Le pharmacien d'officine doit être particulièrement attentif à la concentration : la concentration ophtalmique (0,1 % ou 1 mg/mL) est strictement réservée à l'usage ophtalmologique et ne doit jamais être confondue avec les formes systémiques (comprimés 50 mg, suppositoires 25-100 mg, solution injectable 75 mg/3 mL, gel dermique 1 %), dont l'instillation oculaire accidentelle serait gravement toxique. Les quatre spécialités sont conditionnées en flacons multidoses de 5 mL (VOLTARENE, DICLOGESIC, XINAC) ou 10 mL (DICLOCED), contenant du chlorure de benzalkonium comme conservateur (à l'exception de certaines formulations unidoses qui ne sont pas disponibles en Algérie dans la nomenclature de 2026). La conservation se fait à température ≤ 25 °C, à l'abri de la lumière, et le flacon doit être jeté dans les 4 semaines suivant la première ouverture (selon les recommandations ANSM).</w:t>
      </w:r>
    </w:p>
    <w:p>
      <w:r/>
      <w:r>
        <w:rPr>
          <w:b/>
        </w:rPr>
        <w:t>Sous-classe et Mécanisme d'action :</w:t>
      </w:r>
      <w:r/>
    </w:p>
    <w:p>
      <w:pPr>
        <w:pStyle w:val="ListBullet"/>
      </w:pPr>
      <w:r>
        <w:t>Sous-classe : AINS ophtalmique de la famille des dérivés de l'acide phénylacétique, inhibiteur non sélectif de la cyclo-oxygénase (COX-1 et COX-2), avec une légère préférence pour la COX-2.</w:t>
      </w:r>
    </w:p>
    <w:p>
      <w:pPr>
        <w:pStyle w:val="ListBullet"/>
      </w:pPr>
      <w:r>
        <w:t>Mécanisme d'action : Le diclofénac sodique pénètre la cornée par diffusion passive à travers les couches épithéliale, stromale et endotéliale. Son groupe acide carboxylique ionisé à pH physiologique (pKa ≈ 4,0) limite la pénétration épithéliale (lipophile), mais sa fraction non ionisée (≈ 0,01 % à pH 7,4) est suffisante pour assurer une diffusion trans-épithéliale efficace. Une fois dans le stroma (hydrophile), le diclofénac diffuse rapidement vers l'endothélium et l'humeur aqueuse, où il atteint une concentration thérapeutique en 30 à 60 minutes après instillation. Au niveau cellulaire, le diclofénac se fixe dans le canal hydrophobe de la cyclo-oxygénase (site d'activité catalytique de l'enzyme), en compétition avec l'acide arachidonique (substrat endogène), et bloque ainsi la conversion de l'acide arachidonique en PGG2/PGH2. Cette inhibition réduit en cascade la production des prostaglandines finales (PGE2, PGF2α, PGI2, TXA2), médiateurs de l'inflammation, de la douleur et de la vasodilatation. Au niveau oculaire, l'effet anti-inflammatoire se traduit par : (1) réduction de la chambre de tyndall post-opératoire (diminution de la barrière hématoculaire), (2) réduction du myosis peropératoire (les prostaglandines libérées par la manipulation du segment antérieur induisent une contraction du sphincter irien), (3) analgésie post-opératoire (réduction de la stimulation des terminaisons nociceptives ciliaires). L'effet persiste 4 à 8 heures après instillation. La sélectivité COX-2/COX-1 du diclofénac est d'environ 0,7 (vs 0,5 pour le kétorolac et 0,3 pour le flurbiprofène), ce qui lui confère une légère supériorité théorique en termes de tolérance épithéliale, mais la différence est d'amplitude clinique modeste.</w:t>
      </w:r>
    </w:p>
    <w:p>
      <w:r/>
      <w:r>
        <w:rPr>
          <w:b/>
        </w:rPr>
        <w:t>Profil Pharmacologique :</w:t>
      </w:r>
      <w:r/>
    </w:p>
    <w:p>
      <w:pPr>
        <w:pStyle w:val="ListBullet"/>
      </w:pPr>
      <w:r>
        <w:t>Indications : (1) Prévention du myosis peropératoire au cours de la chirurgie de la cataracte par phaco-émulsification (instillation pré-opératoire) ; (2) Traitement de l'inflammation post-opératoire du segment antérieur (chirurgie de la cataracte, vitrectomie antérieure, kératoplastie, chirurgie réfractive PKR/LASIK) ; (3) Traitement de la douleur post-opératoire après chirurgie réfractive ; (4) Traitement des inflammations non chirurgicales du segment antérieur (épisclérite, sclérite non nécrosante, kératite marginale) en seconde intention après échec ou contre-indication des corticoïdes ; (5) Traitement de l'œdème maculaire cystoïde post-opératoire (syndrome d'Irvine-Gass) en association avec d'autres traitements.</w:t>
      </w:r>
    </w:p>
    <w:p>
      <w:pPr>
        <w:pStyle w:val="ListBullet"/>
      </w:pPr>
      <w:r>
        <w:t>Contre-indications : (1) Hypersensibilité au diclofénac, à l'un des excipients (notamment chlorure de benzalkonium) ou à d'autres AINS ; (2) Antécédent d'asthme déclenché par les AINS (asthme à l'aspirine, triade de Fernand-Widal — asthme, polypose nasale, intolérance aux AINS) ; (3) Ulcère cornéen épithélial actif ou kératite épithéliale non cicatrisée (en raison du risque de retard de cicatrisation et de perforation) ; (4) Sécheresse oculaire sévère (syndrome de Gougerot-Sjögren, déficit lacrymal objectif) ; (5) Troisième trimestre de la grossesse (risque théorique de fermeture prématurée du canal artériel fœtal et d'inhibition des contractions utérines) ; (6) Port de lentilles de contact (le BAK est adsorbé par les lentilles souples, avec risque de toxicité cornéenne prolongée) ; (7) Enfant de moins de 15 ans (en l'absence d'études cliniques pédiatriques spécifiques).</w:t>
      </w:r>
    </w:p>
    <w:p>
      <w:pPr>
        <w:pStyle w:val="ListBullet"/>
      </w:pPr>
      <w:r>
        <w:t>Spectre d'action : Pas d'activité antibactérienne, antivirale ou antifongique propre. L'action est purement anti-inflammatoire et antalgique. L'absence d'effet sur la cause sous-jacente (bactérienne, virale, auto-immune) justifie l'association à un traitement étiologique en cas de pathologie non chirurgicale. Aucune activité mydriatique propre (le diclofénac prévient le myosis mais ne provoque pas une mydriase active, qui requiert l'administration d'un mydriatique comme le tropicamide ou la phényléphrine).</w:t>
      </w:r>
    </w:p>
    <w:p>
      <w:r/>
      <w:r>
        <w:rPr>
          <w:b/>
        </w:rPr>
        <w:t>Effets Indésirables :</w:t>
      </w:r>
      <w:r/>
    </w:p>
    <w:p>
      <w:pPr>
        <w:pStyle w:val="ListBullet"/>
      </w:pPr>
      <w:r/>
      <w:r>
        <w:rPr>
          <w:b/>
        </w:rPr>
        <w:t>Locaux précoces</w:t>
      </w:r>
      <w:r>
        <w:t xml:space="preserve"> (5 à 30 % des patients) : picotements à l'instillation, sensation de brûlure transitoire, hyperhémie conjonctivale modérée, larmoiement, vision trouble transitoire (liée à la diffusion du collyre dans le film lacrymal), prurit oculaire modéré.</w:t>
      </w:r>
    </w:p>
    <w:p>
      <w:pPr>
        <w:pStyle w:val="ListBullet"/>
      </w:pPr>
      <w:r/>
      <w:r>
        <w:rPr>
          <w:b/>
        </w:rPr>
        <w:t>Locaux tardifs</w:t>
      </w:r>
      <w:r>
        <w:t xml:space="preserve"> (au-delà de 2 semaines d'usage) : kératite ponctuée superficielle (5 à 20 % selon les séries), kératite filamenteuse, retard de cicatrisation épithéliale (en cas de chirurgie cornéenne récente), ulcération cornéenne (rare, surtout en cas de facteurs de risque associés : sécheresse oculaire, polyarthrite rhumatoïde, déficit en vitamine A), kératomalacie et perforation cornéenne (exceptionnel, mais gravissime), œdème cornéen (en cas d'usage prolongé), néovascularisation cornéenne périphérique.</w:t>
      </w:r>
    </w:p>
    <w:p>
      <w:pPr>
        <w:pStyle w:val="ListBullet"/>
      </w:pPr>
      <w:r/>
      <w:r>
        <w:rPr>
          <w:b/>
        </w:rPr>
        <w:t>Allergiques</w:t>
      </w:r>
      <w:r>
        <w:t xml:space="preserve"> (1 à 5 % des patients) : kératoconjonctivite allergique avec prurit, œdème palpébral, hyperhémie conjonctivale, blépharite allergique, dermatite de contact palpébrale ; plus rarement réactions systémiques (urticaire, œdème de Quincke, exceptionnellement choc anaphylactique — surtout décrits avec le diclofénac en raison de possibles allergies croisées avec les AINS systémiques).</w:t>
      </w:r>
    </w:p>
    <w:p>
      <w:pPr>
        <w:pStyle w:val="ListBullet"/>
      </w:pPr>
      <w:r/>
      <w:r>
        <w:rPr>
          <w:b/>
        </w:rPr>
        <w:t>Systémiques</w:t>
      </w:r>
      <w:r>
        <w:t xml:space="preserve"> (liés au passage systémique, estimé à 5 à 15 % de la dose instillée) : exceptionnels cas d'asthme déclenché chez les patients présentant une triade de Fernand-Widal, de saignements gastro-intestinaux chez les patients prédisposés (ulcère gastro-duodénal actif, antécédent hémorragique), de perturbation de la fonction rénale chez les patients insuffisants rénaux (en cas de traitement prolongé et de posologie élevée).</w:t>
      </w:r>
    </w:p>
    <w:p>
      <w:pPr>
        <w:pStyle w:val="ListBullet"/>
      </w:pPr>
      <w:r/>
      <w:r>
        <w:rPr>
          <w:b/>
        </w:rPr>
        <w:t>Cornéens graves</w:t>
      </w:r>
      <w:r>
        <w:t xml:space="preserve"> (cas cliniques publiés) : Several cas de perforation cornéenne ont été rapportés avec le diclofénac ophtalmique en usage prolongé chez des patients à cornée fragile (polyarthrite rhumatoïde, syndrome de Gougerot-Sjögren, déficit en vitamine A). Ces observations ont justifié une mise en garde renforcée par l'ANSM et la FDA, et le rappel de la nécessité d'une surveillance ophtalmologique régulière pendant le traitement.</w:t>
      </w:r>
    </w:p>
    <w:p>
      <w:r/>
      <w:r>
        <w:rPr>
          <w:b/>
        </w:rPr>
        <w:t>Prévention et Gestion des Effets Indésirables :</w:t>
      </w:r>
      <w:r/>
    </w:p>
    <w:p>
      <w:pPr>
        <w:pStyle w:val="ListBullet"/>
      </w:pPr>
      <w:r>
        <w:t>Mesures préventives : (1) Évaluation systématique de l'état cornéen avant prescription (examen à la lampe à fente avec coloration à la fluorescéine, recherche d'une KPS préexistante, mesure du BUT (Break-Up Time) lacrymal, test de Schirmer en cas de doute sur une sécheresse oculaire) ; (2) Limitation stricte de la durée d'utilisation à la période post-opératoire immédiate (2 à 4 semaines en moyenne, à ne pas dépasser sans avis ophtalmologique spécialisé) ; (3) Association systématique à un substitut lacrymal sans conservateur (unidose) pour compenser la toxicité épithéliale du BAK ; (4) Préférence pour les formulations sans conservateur en cas de cornée fragile (unidose — non disponible en Algérie pour le diclofénac dans la nomenclature de 2026, mais disponible pour les substituts lacrymaux) ; (5) Surveillance ophtalmologique régulière pendant le traitement (examen à la lampe à fente à 1 semaine, 2 semaines, 4 semaines, avec coloration à la fluorescéine) ; (6) Information du patient sur les signes d'alerte (douleur oculaire, baisse d'acuité visuelle, rougeur oculaire intense) nécessitant un arrêt immédiat et une consultation ophtalmologique urgente.</w:t>
      </w:r>
    </w:p>
    <w:p>
      <w:pPr>
        <w:pStyle w:val="ListBullet"/>
      </w:pPr>
      <w:r>
        <w:t>Conduite à tenir en cas de kératite ponctuée superficielle : (1) Arrêt immédiat du diclofénac ; (2) Substitution par un substitut lacrymal sans conservateur (unidose) toutes les 1 à 2 heures ; (3) Surveillance ophtalmologique à 24-48 heures pour évaluer la cicatrisation épithéliale ; (4) En cas d'absence de cicatrisation à 1 semaine, avis ophtalmologique spécialisé pour gestion spécifique (antibiothérapie prophylactique, pansement cornéen, parfois amniotique).</w:t>
      </w:r>
    </w:p>
    <w:p>
      <w:pPr>
        <w:pStyle w:val="ListBullet"/>
      </w:pPr>
      <w:r>
        <w:t>Conduite à tenir en cas de réaction allergique : (1) Arrêt immédiat du diclofénac ; (2) Antihistaminique local (olopatadine, azelastine) en cas de kératoconjonctivite allergique ; (3) Corticothérapie locale de courte durée en cas de réaction inflammatoire marquée (à manier avec prudence en raison du risque d'herpès virus et de superinfection) ; (4) En cas de réaction systémique (urticaire, œdème de Quincke), arrêt définitif de tous les AINS (risque d'allergie croisée) et orientation vers un allergologue.</w:t>
      </w:r>
    </w:p>
    <w:p>
      <w:pPr>
        <w:pStyle w:val="ListBullet"/>
      </w:pPr>
      <w:r>
        <w:t>Conduite à tenir en cas d'asthme déclenché : (1) Arrêt immédiat du diclofénac ; (2) Traitement de la crise d'asthme (β2-mimétiques en nébulisation, corticothérapie orale si sévère) ; (3) Contre-indication définitive de tous les AINS (risque d'asthme grave croisé) ; (4) Information du patient sur le port d'une carte d'allergie aux AINS.</w:t>
      </w:r>
    </w:p>
    <w:p>
      <w:r/>
      <w:r>
        <w:rPr>
          <w:b/>
        </w:rPr>
        <w:t>Interactions Importantes :</w:t>
      </w:r>
      <w:r/>
    </w:p>
    <w:p>
      <w:pPr>
        <w:pStyle w:val="ListBullet"/>
      </w:pPr>
      <w:r>
        <w:t>Autres collyres contenant du chlorure de benzalkonium : majoration de la toxicité épithéliale cornéenne (cumul des doses de BAK). Espacer les instillations de 10 à 15 minutes et préférer les formulations sans conservateur en cas d'association prolongée.</w:t>
      </w:r>
    </w:p>
    <w:p>
      <w:pPr>
        <w:pStyle w:val="ListBullet"/>
      </w:pPr>
      <w:r>
        <w:t>Corticoïdes ophtalmiques (dexaméthasone, prednisolone) : association synergique sur le plan anti-inflammatoire, mais majoration du risque d'ulcération cornéenne et de retard de cicatrisation. À utiliser avec prudence et surveillance rapprochée.</w:t>
      </w:r>
    </w:p>
    <w:p>
      <w:pPr>
        <w:pStyle w:val="ListBullet"/>
      </w:pPr>
      <w:r>
        <w:t>Anticoagulants oraux (warfarine, anti-vitamines K, AOD) : potentialisation du risque hémorragique en cas de passage systémique du diclofénac (notamment en cas de traitement prolongé). Surveillance de l'INR et de la tolérance clinique.</w:t>
      </w:r>
    </w:p>
    <w:p>
      <w:pPr>
        <w:pStyle w:val="ListBullet"/>
      </w:pPr>
      <w:r>
        <w:t>Lithium : en cas de passage systémique, le diclofénac peut réduire l'excrétion rénale du lithium et provoquer une intoxication lithique (à surveiller en cas de traitement prolongé).</w:t>
      </w:r>
    </w:p>
    <w:p>
      <w:pPr>
        <w:pStyle w:val="ListBullet"/>
      </w:pPr>
      <w:r>
        <w:t>Diurétiques (diurétiques de l'anse, thiazidiques) : réduction de l'effet antihypertenseur et diurétique (compétition avec les prostaglandines rénales vasodilatatrices). En pratique, l'impact est négligeable en usage ophtalmique court.</w:t>
      </w:r>
    </w:p>
    <w:p>
      <w:pPr>
        <w:pStyle w:val="ListBullet"/>
      </w:pPr>
      <w:r>
        <w:t>IEC, ARA2 : réduction de l'effet antihypertenseur (compétition avec les prostaglandines rénales vasodilatatrices). En pratique, l'impact est négligeable en usage ophtalmique court.</w:t>
      </w:r>
    </w:p>
    <w:p>
      <w:pPr>
        <w:pStyle w:val="ListBullet"/>
      </w:pPr>
      <w:r>
        <w:t>Méthotrexate : majoration de la toxicité hématologique (en cas de passage systémique, compétition pour la sécrétion tubulaire).</w:t>
      </w:r>
    </w:p>
    <w:p>
      <w:pPr>
        <w:pStyle w:val="ListBullet"/>
      </w:pPr>
      <w:r>
        <w:t>Autres AINS systémiques (ibuprofène, kétoprofène, celecoxib) : cumul des effets indésirables systémiques et majoration du risque allergique croisé.</w:t>
      </w:r>
    </w:p>
    <w:p>
      <w:pPr>
        <w:pStyle w:val="ListBullet"/>
      </w:pPr>
      <w:r>
        <w:t>Aspirine : contre-indication relative en cas d'allergie croisée (triade de Fernand-Widal).</w:t>
      </w:r>
    </w:p>
    <w:p>
      <w:r/>
      <w:r>
        <w:rPr>
          <w:b/>
        </w:rPr>
        <w:t>Grossesse et Allaitement :</w:t>
      </w:r>
      <w:r/>
    </w:p>
    <w:p>
      <w:pPr>
        <w:pStyle w:val="ListBullet"/>
      </w:pPr>
      <w:r>
        <w:t xml:space="preserve">Grossesse : Selon le CRAT et l'ANSM, le diclofénac ophtalmique est </w:t>
      </w:r>
      <w:r>
        <w:rPr>
          <w:b/>
        </w:rPr>
        <w:t>déconseillé pendant le 1er et le 2e trimestre</w:t>
      </w:r>
      <w:r>
        <w:t xml:space="preserve"> et </w:t>
      </w:r>
      <w:r>
        <w:rPr>
          <w:b/>
        </w:rPr>
        <w:t>contre-indiqué au 3e trimestre</w:t>
      </w:r>
      <w:r>
        <w:t xml:space="preserve"> de la grossesse. Au 1er et 2e trimestres, le passage systémique (5 à 15 % de la dose) reste modéré aux posologies usuelles, mais les données d'observation suggèrent un possible risque accru de fausse couche précoce (rôle des prostaglandines dans la nidation et le maintien de la grossesse précoce). Au 3e trimestre, la contre-indication est absolue en raison du risque de fermeture prématurée du canal artériel fœtal (toxicité cardio-pulmonaire néonatale : hypertension pulmonaire persistante, hypotension néonatale) et d'inhibition des contractions utérines (retard de déclenchement du travail). En cas de nécessité absolue (chirurgie oculaire urgente au 1er ou 2e trimestre), une discussion au cas par cas avec l'obstétricien et l'ophtalmologue est nécessaire. Préférer en alternative la prednisolone ophtalmique (compatible avec la grossesse aux posologies locales) ou le lubrifiant ophtalmique seul.</w:t>
      </w:r>
    </w:p>
    <w:p>
      <w:pPr>
        <w:pStyle w:val="ListBullet"/>
      </w:pPr>
      <w:r>
        <w:t xml:space="preserve">Allaitement : Le passage du diclofénac dans le lait maternel est théorique et n'a pas été documenté comme significatif aux posologies ophtalmiques. Selon le CRAT, le diclofénac ophtalmique est </w:t>
      </w:r>
      <w:r>
        <w:rPr>
          <w:b/>
        </w:rPr>
        <w:t>compatible avec l'allaitement en usage court (≤ 2 semaines)</w:t>
      </w:r>
      <w:r>
        <w:t xml:space="preserve"> aux posologies recommandées, avec surveillance de l'enfant allaité en cas d'usage prolongé ou répété (recherche de troubles digestifs, d'éruption cutanée).</w:t>
      </w:r>
    </w:p>
    <w:p>
      <w:pPr>
        <w:pStyle w:val="ListBullet"/>
      </w:pPr>
      <w:r>
        <w:t>Précautions : Éviter l'usage prolongé pendant la grossesse et l'allaitement. En cas de chirurgie oculaire programmée pendant la grossesse, planifier idéalement au 2e trimestre et limiter la durée d'utilisation post-opératoire à 1 semaine. Préférer les substituts lacrymaux sans conservateur en cas d'usage prolongé pendant l'allaitement (pour réduire le passage systémique).</w:t>
      </w:r>
    </w:p>
    <w:p>
      <w:r/>
      <w:r>
        <w:rPr>
          <w:b/>
        </w:rPr>
        <w:t>Posologie et Mode d'administration (Standard) :</w:t>
      </w:r>
      <w:r/>
    </w:p>
    <w:p>
      <w:pPr>
        <w:pStyle w:val="ListBullet"/>
      </w:pPr>
      <w:r>
        <w:t>Adulte et adolescent de plus de 15 ans : 1 goutte dans l'œil à traiter, 4 fois par jour (matin, midi, soir et au coucher), à espacer de 6 heures.</w:t>
      </w:r>
    </w:p>
    <w:p>
      <w:pPr>
        <w:pStyle w:val="ListBullet"/>
      </w:pPr>
      <w:r>
        <w:t>Prévention du myosis peropératoire : 1 goutte toutes les 30 à 60 minutes pendant 2 heures avant la chirurgie (4 gouttes au total), en association avec un mydriatique (tropicamide 0,5 % + phényléphrine 5 %).</w:t>
      </w:r>
    </w:p>
    <w:p>
      <w:pPr>
        <w:pStyle w:val="ListBullet"/>
      </w:pPr>
      <w:r>
        <w:t>Traitement post-opératoire de la cataracte : 1 goutte 4 fois par jour pendant 2 à 4 semaines, en association avec un antibiotique local (ofloxacine, tobramycine) et un corticoïde local (dexaméthasone) selon le protocole du chirurgien.</w:t>
      </w:r>
    </w:p>
    <w:p>
      <w:pPr>
        <w:pStyle w:val="ListBullet"/>
      </w:pPr>
      <w:r>
        <w:t>Traitement post-opératoire de la chirurgie réfractive (PKR) : 1 goutte 4 fois par jour pendant 3 à 7 jours (durée variable selon le protocole), en association avec un antibiotique local et un substitut lacrymal sans conservateur.</w:t>
      </w:r>
    </w:p>
    <w:p>
      <w:pPr>
        <w:pStyle w:val="ListBullet"/>
      </w:pPr>
      <w:r>
        <w:t>Posologie maximale : 4 gouttes par jour et par œil, à ne pas dépasser.</w:t>
      </w:r>
    </w:p>
    <w:p>
      <w:pPr>
        <w:pStyle w:val="ListBullet"/>
      </w:pPr>
      <w:r>
        <w:t>Enfant de moins de 15 ans : contre-indication en l'absence d'études cliniques pédiatriques spécifiques.</w:t>
      </w:r>
    </w:p>
    <w:p>
      <w:pPr>
        <w:pStyle w:val="ListBullet"/>
      </w:pPr>
      <w:r>
        <w:t>Sujet âgé (≥ 65 ans) : pas d'adaptation posologique en l'absence de contre-indication rénale ou hépatique ; surveillance particulière en raison du risque de sécheresse oculaire et de fragilité épithéliale accrue.</w:t>
      </w:r>
    </w:p>
    <w:p>
      <w:pPr>
        <w:pStyle w:val="ListBullet"/>
      </w:pPr>
      <w:r>
        <w:t>Insuffisant rénal ou hépatique : éviter en cas d'insuffisance sévère (clairance &lt; 30 mL/min) en raison du risque d'accumulation systémique.</w:t>
      </w:r>
    </w:p>
    <w:p>
      <w:pPr>
        <w:pStyle w:val="ListBullet"/>
      </w:pPr>
      <w:r>
        <w:t>Mode d'administration : se laver soigneusement les mains avant l'administration ; vérifier l'absence de corps étranger au niveau de l'embout ; pencher la tête en arrière ; tirer délicatement la paupière inférieure vers le bas pour former une gouttière ; approcher le flacon de l'œil sans toucher l'œil, les cils ou les paupières ; presser délicatement le flacon pour déposer une goutte dans le cul-de-sac conjonctival inférieur ; fermer l'œil doucement et exercer une légère pression digitale sur le canthus interne (point lacrymal) pendant 1 à 2 minutes pour limiter le passage naso-lacrymal et réduire la résorption systémique ; ne pas cligner pendant 30 secondes ; se laver les mains après l'administration ; espacer les instillations de 10 à 15 minutes en cas d'association à un autre collyre (passer toujours le collyre hypotonique avant le collyre hypertonique, l'AINS avant le corticoïde, l'antibiotique avant l'AINS).</w:t>
      </w:r>
    </w:p>
    <w:p>
      <w:pPr>
        <w:pStyle w:val="ListBullet"/>
      </w:pPr>
      <w:r>
        <w:t>Durée maximale de traitement : 2 à 4 semaines en moyenne, sans dépassement sans avis ophtalmologique spécialisé. Au-delà, consultation pour réévaluation diagnostique et thérapeutique.</w:t>
      </w:r>
    </w:p>
    <w:p>
      <w:r/>
      <w:r>
        <w:rPr>
          <w:b/>
        </w:rPr>
        <w:t>Arbitrage et Bénéfices des Formes Galéniques :</w:t>
      </w:r>
      <w:r/>
    </w:p>
    <w:p>
      <w:r>
        <w:t>La seule forme galénique disponible en Algérie pour le diclofénac ophtalmique est le collyre en solution à la concentration de 1 mg/mL (0,1 %), conditionné en flacon multidose de 5 mL ou 10 mL. Le volume unitaire d'une goutte est d'environ 30 à 50 µL, ce qui correspond à une dose unitaire de 30 à 50 µg de diclofénac sodique. Le conditionnement en flacon de 5 mL correspond à environ 100 à 150 gouttes, ce qui couvre largement un traitement de 2 à 4 semaines à la posologie standard (4 gouttes par jour × 28 jours = 112 gouttes par traitement). La conservation se fait à température ≤ 25 °C, à l'abri de la lumière, et le flacon doit être jeté dans les 4 semaines suivant la première ouverture en raison du risque de contamination microbienne (notamment à Pseudomonas aeruginosa, qui peut proliférer dans les collyres contaminés et provoquer des kératites graves, en particulier chez les porteurs de lentilles de contact). Le chlorure de benzalkonium est utilisé comme conservateur à la concentration de 0,01 % ; il peut être responsable d'une toxicité épithéliale cornéenne (altération des jonctions serrées, apoptose des cellules épithéliales) et doit être pris en compte en cas d'usage prolongé ou de cornée fragile. Aucune forme sans chlorure de benzalkonium n'est disponible en Algérie pour le diclofénac dans la nomenclature de 2026. La formulation en collyre (vs gel ophtalmique) privilégie la pénétration cornéenne rapide (effet maximal en 30 à 60 minutes) au détriment de la durée d'action (4 à 8 heures), ce qui justifie la fréquence d'administration de 4 fois par jour. La substitution entre les quatre spécialités disponibles (VOLTARENE, DICLOCED, DICLOGESIC, XINAC) est possible en raison de leur bioéquivalence démontrée, mais peut être discutée au cas par cas en cas d'intolérance locale (variations mineures de formulation : tampon, viscosifiant, présence ou non d'édétate disodique).</w:t>
      </w:r>
    </w:p>
    <w:p>
      <w:r/>
      <w:r>
        <w:rPr>
          <w:b/>
        </w:rPr>
        <w:t>Instructions et Conseils au Patient :</w:t>
      </w:r>
      <w:r/>
    </w:p>
    <w:p>
      <w:pPr>
        <w:pStyle w:val="ListBullet"/>
      </w:pPr>
      <w:r>
        <w:t>Communication au comptoir : Rappeler qu'il s'agit d'un anti-inflammatoire local puissant, à utiliser uniquement sur prescription ophtalmologique, pendant une durée limitée (2 à 4 semaines en moyenne). Insister sur le risque de toxicité cornéenne en cas d'usage prolongé, et sur l'interdiction de renouveler sans avis médical. Vérifier les contre-indications (allergie aux AINS, asthme à l'aspirine, ulcère cornéen, sécheresse oculaire sévère, grossesse au 3e trimestre, port de lentilles de contact) au moment de la délivrance.</w:t>
      </w:r>
    </w:p>
    <w:p>
      <w:pPr>
        <w:pStyle w:val="ListBullet"/>
      </w:pPr>
      <w:r>
        <w:t>Mode d'utilisation pratique : Bien se laver les mains avant l'administration. Vérifier l'absence de corps étranger au niveau de l'embout. Pencher la tête en arrière. Tirer délicatement la paupière inférieure vers le bas pour former une gouttière. Approcher le flacon de l'œil sans toucher l'œil, les cils ou les paupières. Presser délicatement le flacon pour déposer une goutte dans le cul-de-sac conjonctival inférieur. Fermer l'œil doucement et exercer une légère pression digitale sur le canthus interne pendant 1 à 2 minutes. Ne pas cligner pendant 30 secondes. Se laver les mains après l'administration. Espacer les instillations de 10 à 15 minutes en cas d'association à un autre collyre.</w:t>
      </w:r>
    </w:p>
    <w:p>
      <w:pPr>
        <w:pStyle w:val="ListBullet"/>
      </w:pPr>
      <w:r>
        <w:t>Information sur les signes d'alerte : douleur oculaire, baisse d'acuité visuelle, rougeur oculaire intense, œdème palpébral, larmoiement excessif, sensation de corps étranger → arrêt immédiat et consultation ophtalmologique urgente.</w:t>
      </w:r>
    </w:p>
    <w:p>
      <w:pPr>
        <w:pStyle w:val="ListBullet"/>
      </w:pPr>
      <w:r>
        <w:t>Information sur la conservation : conserver à température ≤ 25 °C, à l'abri de la lumière. Ne pas congeler. Jeter le flacon dans les 4 semaines après la première ouverture. Ne pas partager le flacon avec un autre membre de la famille (risque de contamination croisée). Ne pas utiliser en cas de changement d'aspect (trouble, dépôt).</w:t>
      </w:r>
    </w:p>
    <w:p>
      <w:pPr>
        <w:pStyle w:val="ListBullet"/>
      </w:pPr>
      <w:r>
        <w:t>Information sur l'usage chez la femme enceinte : contre-indication absolue au 3e trimestre ; à éviter par prudence au 1er et 2e trimestres ; à discuter au cas par cas avec l'obstétricien et l'ophtalmologue.</w:t>
      </w:r>
    </w:p>
    <w:p>
      <w:pPr>
        <w:pStyle w:val="ListBullet"/>
      </w:pPr>
      <w:r>
        <w:t>Information sur le port de lentilles de contact : contre-indication pendant la durée du traitement (le BAK est adsorbé par les lentilles souples, avec risque de toxicité cornéenne prolongée). Retirer les lentilles avant l'instillation et attendre au moins 15 minutes avant de les remettre (idéalement, suspendre le port des lentilles pendant toute la durée du traitement).</w:t>
      </w:r>
    </w:p>
    <w:p>
      <w:r/>
      <w:r>
        <w:rPr>
          <w:b/>
        </w:rPr>
        <w:t>Notes, Règles d'Or &amp; Pièges au Comptoir :</w:t>
      </w:r>
      <w:r/>
    </w:p>
    <w:p>
      <w:pPr>
        <w:pStyle w:val="ListBullet"/>
      </w:pPr>
      <w:r>
        <w:t>Piège classique n°1 : Patient revenant à l'officine pour renouveler un collyre au diclofénac depuis plusieurs mois sans consultation ophtalmologique → suspicion forte de mésusage (usage prolongé non surveillé). Conduite à tenir : refuser le renouvellement automatique, orienter vers l'ophtalmologue pour réévaluation.</w:t>
      </w:r>
    </w:p>
    <w:p>
      <w:pPr>
        <w:pStyle w:val="ListBullet"/>
      </w:pPr>
      <w:r>
        <w:t>Piège classique n°2 : Patient présentant un antécédent d'asthme à l'aspirine ou de triade de Fernand-Widal → refus de la délivrance, contre-indication absolue (risque de crise d'asthme grave par passage systémique). Orientation vers l'ophtalmologue pour alternative (corticothérapie locale, substitut lacrymal).</w:t>
      </w:r>
    </w:p>
    <w:p>
      <w:pPr>
        <w:pStyle w:val="ListBullet"/>
      </w:pPr>
      <w:r>
        <w:t>Piège classique n°3 : Patient porteur de lentilles de contact → refus de la délivrance sans avis ophtalmologique (le BAK est adsorbé par les lentilles souples, avec risque de toxicité cornéenne prolongée). Conseil de suspendre le port des lentilles pendant toute la durée du traitement.</w:t>
      </w:r>
    </w:p>
    <w:p>
      <w:pPr>
        <w:pStyle w:val="ListBullet"/>
      </w:pPr>
      <w:r>
        <w:t>Règle d'or : « Diclofénac collyre = 4 gouttes par jour maximum, 2 à 4 semaines maximum, jamais chez le porteur de lentilles, jamais chez l'asthmatique à l'aspirine, jamais au 3e trimestre de la grossesse. »</w:t>
      </w:r>
    </w:p>
    <w:p>
      <w:pPr>
        <w:pStyle w:val="ListBullet"/>
      </w:pPr>
      <w:r>
        <w:t>Préparation et Conservation : Flacon fermé, à température ≤ 25 °C, à l'abri de la lumière. Ne pas congeler. Jeter le flacon 4 semaines après la première ouverture.</w:t>
      </w:r>
    </w:p>
    <w:p>
      <w:pPr>
        <w:pStyle w:val="ListBullet"/>
      </w:pPr>
      <w:r>
        <w:t>Piège du diagnostic différentiel : Une rougeur oculaire unilatérale résistante au diclofénac doit faire suspecter une cause non inflammatoire (glaucome aigu, kératite infectieuse, uvéite antérieure, corps étranger intra-oculaire) → orientation vers l'ophtalmologue en urgence.</w:t>
      </w:r>
    </w:p>
    <w:p>
      <w:pPr>
        <w:pStyle w:val="ListBullet"/>
      </w:pPr>
      <w:r>
        <w:t>Piège de l'association aux corticoïdes locaux : l'association diclofénac + corticoïde local majore le risque d'ulcération cornéenne (effet additif sur le retard de cicatrisation épithéliale). Surveillance ophtalmologique rapprochée.</w:t>
      </w:r>
    </w:p>
    <w:p>
      <w:pPr>
        <w:pStyle w:val="ListBullet"/>
      </w:pPr>
      <w:r>
        <w:t>Piège de la chirurgie réfractive : le diclofénac ne doit pas être utilisé en traitement prolongé après chirurgie réfractive (PKR, LASIK) en raison du risque majeur de retard de cicatrisation épithéliale et de haze cornéen. Préférer les corticoïdes locaux à posologie dégressive selon le protocole du chirurgien.</w:t>
      </w:r>
    </w:p>
    <w:p>
      <w:pPr>
        <w:pStyle w:val="ListBullet"/>
      </w:pPr>
      <w:r>
        <w:t>Piège du patient à cornée fragile (polyarthrite rhumatoïde, syndrome de Gougerot-Sjögren, déficit en vitamine A) : risque majeur de perforation cornéenne. Contre-indication relative, à discuter au cas par cas avec l'ophtalmologue.</w:t>
      </w:r>
    </w:p>
    <w:p>
      <w:pPr>
        <w:pStyle w:val="ListBullet"/>
      </w:pPr>
      <w:r>
        <w:t>Piège de l'enfant : contre-indication chez l'enfant de moins de 15 ans en l'absence d'études cliniques pédiatriques spécifiques. Orientation vers l'ophtalmologue pédiatrique pour alternative.</w:t>
      </w:r>
    </w:p>
    <w:p>
      <w:pPr>
        <w:pStyle w:val="Heading3"/>
      </w:pPr>
      <w:r>
        <w:t>143.2.3 DCI : Flurbiprofène (usage ophtalmique)</w:t>
      </w:r>
    </w:p>
    <w:p>
      <w:r/>
      <w:r>
        <w:rPr>
          <w:b/>
        </w:rPr>
        <w:t>Liste des Catégories :</w:t>
      </w:r>
      <w:r>
        <w:t xml:space="preserve"> Liste II (comprimés oraux 100 mg, seule forme disponible en Algérie).</w:t>
      </w:r>
    </w:p>
    <w:p>
      <w:r>
        <w:t>Le flurbiprofène est un AINS dérivé de l'acide propionique (acide 2-fluoro-α-méthyl-[1,1'-biphényl]-4-acétique), proche parent de l'ibuprofène et du kétoprofène. Synthétisé en 1964 par les laboratoires Boots (Royaume-Uni), il a été développé en forme orale pour le traitement de la douleur et de l'inflammation (dysménorrhée, douleur dentaire, douleur ostéo-articulaire). Son développement ophtalmologique est plus récent : le collyre de flurbiprofène sodique à 0,03 % a été commercialisé à partir des années 1980 sous le nom princeps Ocufen® (laboratoire Allergan), avec une indication stricte de prévention du myosis peropératoire au cours de la chirurgie de la cataracte. À l'international, le flurbiprofène ophtalmique reste utilisé, mais il a été largement supplanté par le diclofénac et le kétorolac (meilleure tolérance cornéenne) et plus récemment par le népaénac (meilleure pénétration intracamérulaire). En Algérie, le flurbiprofène ophtalmique n'est pas disponible dans la nomenclature de 2026 ; seule la forme orale (comprimés à 100 mg) est commercialisée, avec une indication dominante de dysménorrhée et de douleur gynécologique (noms commerciaux ANTALFEN GYN, XYDOL GYN). Cette particularité algérienne impose une information claire du patient et du praticien sur la non-disponibilité de la forme ophtalmique et sur les alternatives disponibles.</w:t>
      </w:r>
    </w:p>
    <w:p>
      <w:r/>
      <w:r>
        <w:rPr>
          <w:b/>
        </w:rPr>
        <w:t>Médicaments disponibles en Algérie (tableau commercial) :</w:t>
      </w:r>
      <w:r/>
    </w:p>
    <w:p>
      <w:r>
        <w:t>Formes orales actives (rappel pour mémoire — la forme ophtalmique n'est pas disponible en Algérie)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ANTADINE</w:t>
            </w:r>
          </w:p>
        </w:tc>
        <w:tc>
          <w:tcPr>
            <w:tcW w:type="dxa" w:w="1559"/>
          </w:tcPr>
          <w:p>
            <w:r>
              <w:rPr>
                <w:sz w:val="20"/>
              </w:rPr>
              <w:t>SANAMED</w:t>
            </w:r>
          </w:p>
        </w:tc>
        <w:tc>
          <w:tcPr>
            <w:tcW w:type="dxa" w:w="1559"/>
          </w:tcPr>
          <w:p>
            <w:r>
              <w:rPr>
                <w:sz w:val="20"/>
              </w:rPr>
              <w:t>Comprimé enrobé 100 mg</w:t>
            </w:r>
          </w:p>
        </w:tc>
        <w:tc>
          <w:tcPr>
            <w:tcW w:type="dxa" w:w="1559"/>
          </w:tcPr>
          <w:p>
            <w:r>
              <w:rPr>
                <w:sz w:val="20"/>
              </w:rPr>
              <w:t>B/20</w:t>
            </w:r>
          </w:p>
        </w:tc>
        <w:tc>
          <w:tcPr>
            <w:tcW w:type="dxa" w:w="1559"/>
          </w:tcPr>
          <w:p>
            <w:r>
              <w:rPr>
                <w:sz w:val="20"/>
              </w:rPr>
              <w:t>Liste II</w:t>
            </w:r>
          </w:p>
        </w:tc>
        <w:tc>
          <w:tcPr>
            <w:tcW w:type="dxa" w:w="1559"/>
          </w:tcPr>
          <w:p>
            <w:r>
              <w:rPr>
                <w:sz w:val="20"/>
              </w:rPr>
              <w:t>Actif</w:t>
            </w:r>
          </w:p>
        </w:tc>
      </w:tr>
      <w:tr>
        <w:tc>
          <w:tcPr>
            <w:tcW w:type="dxa" w:w="1559"/>
          </w:tcPr>
          <w:p>
            <w:r>
              <w:rPr>
                <w:sz w:val="20"/>
              </w:rPr>
              <w:t>ANTALFEN GYN</w:t>
            </w:r>
          </w:p>
        </w:tc>
        <w:tc>
          <w:tcPr>
            <w:tcW w:type="dxa" w:w="1559"/>
          </w:tcPr>
          <w:p>
            <w:r>
              <w:rPr>
                <w:sz w:val="20"/>
              </w:rPr>
              <w:t>PHARMALLIANCE</w:t>
            </w:r>
          </w:p>
        </w:tc>
        <w:tc>
          <w:tcPr>
            <w:tcW w:type="dxa" w:w="1559"/>
          </w:tcPr>
          <w:p>
            <w:r>
              <w:rPr>
                <w:sz w:val="20"/>
              </w:rPr>
              <w:t>Comprimé pelliculé 100 mg</w:t>
            </w:r>
          </w:p>
        </w:tc>
        <w:tc>
          <w:tcPr>
            <w:tcW w:type="dxa" w:w="1559"/>
          </w:tcPr>
          <w:p>
            <w:r>
              <w:rPr>
                <w:sz w:val="20"/>
              </w:rPr>
              <w:t>B/20</w:t>
            </w:r>
          </w:p>
        </w:tc>
        <w:tc>
          <w:tcPr>
            <w:tcW w:type="dxa" w:w="1559"/>
          </w:tcPr>
          <w:p>
            <w:r>
              <w:rPr>
                <w:sz w:val="20"/>
              </w:rPr>
              <w:t>Liste II</w:t>
            </w:r>
          </w:p>
        </w:tc>
        <w:tc>
          <w:tcPr>
            <w:tcW w:type="dxa" w:w="1559"/>
          </w:tcPr>
          <w:p>
            <w:r>
              <w:rPr>
                <w:sz w:val="20"/>
              </w:rPr>
              <w:t>Actif</w:t>
            </w:r>
          </w:p>
        </w:tc>
      </w:tr>
      <w:tr>
        <w:tc>
          <w:tcPr>
            <w:tcW w:type="dxa" w:w="1559"/>
          </w:tcPr>
          <w:p>
            <w:r>
              <w:rPr>
                <w:sz w:val="20"/>
              </w:rPr>
              <w:t>FLUBIFENE</w:t>
            </w:r>
          </w:p>
        </w:tc>
        <w:tc>
          <w:tcPr>
            <w:tcW w:type="dxa" w:w="1559"/>
          </w:tcPr>
          <w:p>
            <w:r>
              <w:rPr>
                <w:sz w:val="20"/>
              </w:rPr>
              <w:t>GEOPHARM</w:t>
            </w:r>
          </w:p>
        </w:tc>
        <w:tc>
          <w:tcPr>
            <w:tcW w:type="dxa" w:w="1559"/>
          </w:tcPr>
          <w:p>
            <w:r>
              <w:rPr>
                <w:sz w:val="20"/>
              </w:rPr>
              <w:t>Comprimé pelliculé 100 mg</w:t>
            </w:r>
          </w:p>
        </w:tc>
        <w:tc>
          <w:tcPr>
            <w:tcW w:type="dxa" w:w="1559"/>
          </w:tcPr>
          <w:p>
            <w:r>
              <w:rPr>
                <w:sz w:val="20"/>
              </w:rPr>
              <w:t>B/20</w:t>
            </w:r>
          </w:p>
        </w:tc>
        <w:tc>
          <w:tcPr>
            <w:tcW w:type="dxa" w:w="1559"/>
          </w:tcPr>
          <w:p>
            <w:r>
              <w:rPr>
                <w:sz w:val="20"/>
              </w:rPr>
              <w:t>Liste II</w:t>
            </w:r>
          </w:p>
        </w:tc>
        <w:tc>
          <w:tcPr>
            <w:tcW w:type="dxa" w:w="1559"/>
          </w:tcPr>
          <w:p>
            <w:r>
              <w:rPr>
                <w:sz w:val="20"/>
              </w:rPr>
              <w:t>Actif</w:t>
            </w:r>
          </w:p>
        </w:tc>
      </w:tr>
      <w:tr>
        <w:tc>
          <w:tcPr>
            <w:tcW w:type="dxa" w:w="1559"/>
          </w:tcPr>
          <w:p>
            <w:r>
              <w:rPr>
                <w:sz w:val="20"/>
              </w:rPr>
              <w:t>FLUDIS</w:t>
            </w:r>
          </w:p>
        </w:tc>
        <w:tc>
          <w:tcPr>
            <w:tcW w:type="dxa" w:w="1559"/>
          </w:tcPr>
          <w:p>
            <w:r>
              <w:rPr>
                <w:sz w:val="20"/>
              </w:rPr>
              <w:t>INPHA-MEDIS</w:t>
            </w:r>
          </w:p>
        </w:tc>
        <w:tc>
          <w:tcPr>
            <w:tcW w:type="dxa" w:w="1559"/>
          </w:tcPr>
          <w:p>
            <w:r>
              <w:rPr>
                <w:sz w:val="20"/>
              </w:rPr>
              <w:t>Comprimé pelliculé 100 mg</w:t>
            </w:r>
          </w:p>
        </w:tc>
        <w:tc>
          <w:tcPr>
            <w:tcW w:type="dxa" w:w="1559"/>
          </w:tcPr>
          <w:p>
            <w:r>
              <w:rPr>
                <w:sz w:val="20"/>
              </w:rPr>
              <w:t>B/16</w:t>
            </w:r>
          </w:p>
        </w:tc>
        <w:tc>
          <w:tcPr>
            <w:tcW w:type="dxa" w:w="1559"/>
          </w:tcPr>
          <w:p>
            <w:r>
              <w:rPr>
                <w:sz w:val="20"/>
              </w:rPr>
              <w:t>Liste II</w:t>
            </w:r>
          </w:p>
        </w:tc>
        <w:tc>
          <w:tcPr>
            <w:tcW w:type="dxa" w:w="1559"/>
          </w:tcPr>
          <w:p>
            <w:r>
              <w:rPr>
                <w:sz w:val="20"/>
              </w:rPr>
              <w:t>Actif</w:t>
            </w:r>
          </w:p>
        </w:tc>
      </w:tr>
      <w:tr>
        <w:tc>
          <w:tcPr>
            <w:tcW w:type="dxa" w:w="1559"/>
          </w:tcPr>
          <w:p>
            <w:r>
              <w:rPr>
                <w:sz w:val="20"/>
              </w:rPr>
              <w:t>FLURBINAD</w:t>
            </w:r>
          </w:p>
        </w:tc>
        <w:tc>
          <w:tcPr>
            <w:tcW w:type="dxa" w:w="1559"/>
          </w:tcPr>
          <w:p>
            <w:r>
              <w:rPr>
                <w:sz w:val="20"/>
              </w:rPr>
              <w:t>NADPHARMADIC-PRODUCTION</w:t>
            </w:r>
          </w:p>
        </w:tc>
        <w:tc>
          <w:tcPr>
            <w:tcW w:type="dxa" w:w="1559"/>
          </w:tcPr>
          <w:p>
            <w:r>
              <w:rPr>
                <w:sz w:val="20"/>
              </w:rPr>
              <w:t>Comprimé pelliculé 100 mg</w:t>
            </w:r>
          </w:p>
        </w:tc>
        <w:tc>
          <w:tcPr>
            <w:tcW w:type="dxa" w:w="1559"/>
          </w:tcPr>
          <w:p>
            <w:r>
              <w:rPr>
                <w:sz w:val="20"/>
              </w:rPr>
              <w:t>B/20</w:t>
            </w:r>
          </w:p>
        </w:tc>
        <w:tc>
          <w:tcPr>
            <w:tcW w:type="dxa" w:w="1559"/>
          </w:tcPr>
          <w:p>
            <w:r>
              <w:rPr>
                <w:sz w:val="20"/>
              </w:rPr>
              <w:t>Liste II</w:t>
            </w:r>
          </w:p>
        </w:tc>
        <w:tc>
          <w:tcPr>
            <w:tcW w:type="dxa" w:w="1559"/>
          </w:tcPr>
          <w:p>
            <w:r>
              <w:rPr>
                <w:sz w:val="20"/>
              </w:rPr>
              <w:t>Actif</w:t>
            </w:r>
          </w:p>
        </w:tc>
      </w:tr>
      <w:tr>
        <w:tc>
          <w:tcPr>
            <w:tcW w:type="dxa" w:w="1559"/>
          </w:tcPr>
          <w:p>
            <w:r>
              <w:rPr>
                <w:sz w:val="20"/>
              </w:rPr>
              <w:t>FLURBIPROFAL</w:t>
            </w:r>
          </w:p>
        </w:tc>
        <w:tc>
          <w:tcPr>
            <w:tcW w:type="dxa" w:w="1559"/>
          </w:tcPr>
          <w:p>
            <w:r>
              <w:rPr>
                <w:sz w:val="20"/>
              </w:rPr>
              <w:t>SOPHAL</w:t>
            </w:r>
          </w:p>
        </w:tc>
        <w:tc>
          <w:tcPr>
            <w:tcW w:type="dxa" w:w="1559"/>
          </w:tcPr>
          <w:p>
            <w:r>
              <w:rPr>
                <w:sz w:val="20"/>
              </w:rPr>
              <w:t>Comprimé pelliculé 100 mg</w:t>
            </w:r>
          </w:p>
        </w:tc>
        <w:tc>
          <w:tcPr>
            <w:tcW w:type="dxa" w:w="1559"/>
          </w:tcPr>
          <w:p>
            <w:r>
              <w:rPr>
                <w:sz w:val="20"/>
              </w:rPr>
              <w:t>B/16</w:t>
            </w:r>
          </w:p>
        </w:tc>
        <w:tc>
          <w:tcPr>
            <w:tcW w:type="dxa" w:w="1559"/>
          </w:tcPr>
          <w:p>
            <w:r>
              <w:rPr>
                <w:sz w:val="20"/>
              </w:rPr>
              <w:t>Liste II</w:t>
            </w:r>
          </w:p>
        </w:tc>
        <w:tc>
          <w:tcPr>
            <w:tcW w:type="dxa" w:w="1559"/>
          </w:tcPr>
          <w:p>
            <w:r>
              <w:rPr>
                <w:sz w:val="20"/>
              </w:rPr>
              <w:t>Actif</w:t>
            </w:r>
          </w:p>
        </w:tc>
      </w:tr>
      <w:tr>
        <w:tc>
          <w:tcPr>
            <w:tcW w:type="dxa" w:w="1559"/>
          </w:tcPr>
          <w:p>
            <w:r>
              <w:rPr>
                <w:sz w:val="20"/>
              </w:rPr>
              <w:t>HUPTADYS</w:t>
            </w:r>
          </w:p>
        </w:tc>
        <w:tc>
          <w:tcPr>
            <w:tcW w:type="dxa" w:w="1559"/>
          </w:tcPr>
          <w:p>
            <w:r>
              <w:rPr>
                <w:sz w:val="20"/>
              </w:rPr>
              <w:t>HUPP PHARMA</w:t>
            </w:r>
          </w:p>
        </w:tc>
        <w:tc>
          <w:tcPr>
            <w:tcW w:type="dxa" w:w="1559"/>
          </w:tcPr>
          <w:p>
            <w:r>
              <w:rPr>
                <w:sz w:val="20"/>
              </w:rPr>
              <w:t>Comprimé pelliculé 100 mg</w:t>
            </w:r>
          </w:p>
        </w:tc>
        <w:tc>
          <w:tcPr>
            <w:tcW w:type="dxa" w:w="1559"/>
          </w:tcPr>
          <w:p>
            <w:r>
              <w:rPr>
                <w:sz w:val="20"/>
              </w:rPr>
              <w:t>B/20</w:t>
            </w:r>
          </w:p>
        </w:tc>
        <w:tc>
          <w:tcPr>
            <w:tcW w:type="dxa" w:w="1559"/>
          </w:tcPr>
          <w:p>
            <w:r>
              <w:rPr>
                <w:sz w:val="20"/>
              </w:rPr>
              <w:t>Liste II</w:t>
            </w:r>
          </w:p>
        </w:tc>
        <w:tc>
          <w:tcPr>
            <w:tcW w:type="dxa" w:w="1559"/>
          </w:tcPr>
          <w:p>
            <w:r>
              <w:rPr>
                <w:sz w:val="20"/>
              </w:rPr>
              <w:t>Actif</w:t>
            </w:r>
          </w:p>
        </w:tc>
      </w:tr>
      <w:tr>
        <w:tc>
          <w:tcPr>
            <w:tcW w:type="dxa" w:w="1559"/>
          </w:tcPr>
          <w:p>
            <w:r>
              <w:rPr>
                <w:sz w:val="20"/>
              </w:rPr>
              <w:t>MENODIS</w:t>
            </w:r>
          </w:p>
        </w:tc>
        <w:tc>
          <w:tcPr>
            <w:tcW w:type="dxa" w:w="1559"/>
          </w:tcPr>
          <w:p>
            <w:r>
              <w:rPr>
                <w:sz w:val="20"/>
              </w:rPr>
              <w:t>BIOGALENIC</w:t>
            </w:r>
          </w:p>
        </w:tc>
        <w:tc>
          <w:tcPr>
            <w:tcW w:type="dxa" w:w="1559"/>
          </w:tcPr>
          <w:p>
            <w:r>
              <w:rPr>
                <w:sz w:val="20"/>
              </w:rPr>
              <w:t>Comprimé pelliculé 100 mg</w:t>
            </w:r>
          </w:p>
        </w:tc>
        <w:tc>
          <w:tcPr>
            <w:tcW w:type="dxa" w:w="1559"/>
          </w:tcPr>
          <w:p>
            <w:r>
              <w:rPr>
                <w:sz w:val="20"/>
              </w:rPr>
              <w:t>B/16</w:t>
            </w:r>
          </w:p>
        </w:tc>
        <w:tc>
          <w:tcPr>
            <w:tcW w:type="dxa" w:w="1559"/>
          </w:tcPr>
          <w:p>
            <w:r>
              <w:rPr>
                <w:sz w:val="20"/>
              </w:rPr>
              <w:t>Liste II</w:t>
            </w:r>
          </w:p>
        </w:tc>
        <w:tc>
          <w:tcPr>
            <w:tcW w:type="dxa" w:w="1559"/>
          </w:tcPr>
          <w:p>
            <w:r>
              <w:rPr>
                <w:sz w:val="20"/>
              </w:rPr>
              <w:t>Actif</w:t>
            </w:r>
          </w:p>
        </w:tc>
      </w:tr>
      <w:tr>
        <w:tc>
          <w:tcPr>
            <w:tcW w:type="dxa" w:w="1559"/>
          </w:tcPr>
          <w:p>
            <w:r>
              <w:rPr>
                <w:sz w:val="20"/>
              </w:rPr>
              <w:t>XYDOL GYN</w:t>
            </w:r>
          </w:p>
        </w:tc>
        <w:tc>
          <w:tcPr>
            <w:tcW w:type="dxa" w:w="1559"/>
          </w:tcPr>
          <w:p>
            <w:r>
              <w:rPr>
                <w:sz w:val="20"/>
              </w:rPr>
              <w:t>MERINAL</w:t>
            </w:r>
          </w:p>
        </w:tc>
        <w:tc>
          <w:tcPr>
            <w:tcW w:type="dxa" w:w="1559"/>
          </w:tcPr>
          <w:p>
            <w:r>
              <w:rPr>
                <w:sz w:val="20"/>
              </w:rPr>
              <w:t>Comprimé pelliculé 100 mg</w:t>
            </w:r>
          </w:p>
        </w:tc>
        <w:tc>
          <w:tcPr>
            <w:tcW w:type="dxa" w:w="1559"/>
          </w:tcPr>
          <w:p>
            <w:r>
              <w:rPr>
                <w:sz w:val="20"/>
              </w:rPr>
              <w:t>B/20</w:t>
            </w:r>
          </w:p>
        </w:tc>
        <w:tc>
          <w:tcPr>
            <w:tcW w:type="dxa" w:w="1559"/>
          </w:tcPr>
          <w:p>
            <w:r>
              <w:rPr>
                <w:sz w:val="20"/>
              </w:rPr>
              <w:t>Liste II</w:t>
            </w:r>
          </w:p>
        </w:tc>
        <w:tc>
          <w:tcPr>
            <w:tcW w:type="dxa" w:w="1559"/>
          </w:tcPr>
          <w:p>
            <w:r>
              <w:rPr>
                <w:sz w:val="20"/>
              </w:rPr>
              <w:t>Actif</w:t>
            </w:r>
          </w:p>
        </w:tc>
      </w:tr>
    </w:tbl>
    <w:p/>
    <w:p>
      <w:r>
        <w:t>Forme orale retirée (incluse pour mémoire)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ANTADYS</w:t>
            </w:r>
          </w:p>
        </w:tc>
        <w:tc>
          <w:tcPr>
            <w:tcW w:type="dxa" w:w="1559"/>
          </w:tcPr>
          <w:p>
            <w:r>
              <w:rPr>
                <w:sz w:val="20"/>
              </w:rPr>
              <w:t>THERAMEX</w:t>
            </w:r>
          </w:p>
        </w:tc>
        <w:tc>
          <w:tcPr>
            <w:tcW w:type="dxa" w:w="1559"/>
          </w:tcPr>
          <w:p>
            <w:r>
              <w:rPr>
                <w:sz w:val="20"/>
              </w:rPr>
              <w:t>Comprimé pelliculé 100 mg</w:t>
            </w:r>
          </w:p>
        </w:tc>
        <w:tc>
          <w:tcPr>
            <w:tcW w:type="dxa" w:w="1559"/>
          </w:tcPr>
          <w:p>
            <w:r>
              <w:rPr>
                <w:sz w:val="20"/>
              </w:rPr>
              <w:t>B/15</w:t>
            </w:r>
          </w:p>
        </w:tc>
        <w:tc>
          <w:tcPr>
            <w:tcW w:type="dxa" w:w="1559"/>
          </w:tcPr>
          <w:p>
            <w:r>
              <w:rPr>
                <w:sz w:val="20"/>
              </w:rPr>
              <w:t>Liste II</w:t>
            </w:r>
          </w:p>
        </w:tc>
        <w:tc>
          <w:tcPr>
            <w:tcW w:type="dxa" w:w="1559"/>
          </w:tcPr>
          <w:p>
            <w:r>
              <w:rPr>
                <w:sz w:val="20"/>
              </w:rPr>
              <w:t>Retrait</w:t>
            </w:r>
          </w:p>
        </w:tc>
      </w:tr>
    </w:tbl>
    <w:p/>
    <w:p>
      <w:r/>
      <w:r>
        <w:rPr>
          <w:b/>
        </w:rPr>
        <w:t>Note importante sur la disponibilité de la forme ophtalmique en Algérie :</w:t>
      </w:r>
      <w:r>
        <w:t xml:space="preserve"> Le flurbiprofène ophtalmique (collyre 0,03 %, princeps Ocufen®) n'est pas commercialisé en Algérie dans la nomenclature Avril 2026. Cette absence s'explique par la préférence nationale pour le diclofénac (leader du marché des AINS ophtalmiques) et le kétorolac (alternative disponible sous MEDROLGIN). Le flurbiprofène oral est utilisé en Algérie principalement pour l'indication de dysménorrhée et de douleur gynécologique (noms commerciaux ANTALFEN GYN, XYDOL GYN, MENODIS, FLUBIFENE), avec une bonne efficacité antalgique et anti-inflammatoire. Le praticien algérien doit donc savoir qu'en cas de besoin d'un AINS ophtalmique, l'alternative disponible est le diclofénac (VOLTARENE, DICLOCED, DICLOGESIC, XINAC) ou le kétorolac (MEDROLGIN), et non le flurbiprofène. Le présent chapitre traite néanmoins la DCI flurbiprofène pour mémoire académique et pour permettre au pharmacien d'officine de répondre de manière informée aux questions éventuelles des patients sur la disponibilité de la forme ophtalmique à l'étranger (notamment chez les patients revenant de France ou d'Europe avec une prescription d'Ocufen®).</w:t>
      </w:r>
    </w:p>
    <w:p>
      <w:r/>
      <w:r>
        <w:rPr>
          <w:b/>
        </w:rPr>
        <w:t>Sous-classe et Mécanisme d'action :</w:t>
      </w:r>
      <w:r/>
    </w:p>
    <w:p>
      <w:pPr>
        <w:pStyle w:val="ListBullet"/>
      </w:pPr>
      <w:r>
        <w:t>Sous-classe : AINS de la famille des acides propioniques, proche parent de l'ibuprofène et du kétoprofène. Inhibiteur non sélectif de la cyclo-oxygénase (COX-1 et COX-2), avec une légère préférence pour la COX-1 (ce qui pourrait expliquer une moins bonne tolérance cornéenne que le diclofénac).</w:t>
      </w:r>
    </w:p>
    <w:p>
      <w:pPr>
        <w:pStyle w:val="ListBullet"/>
      </w:pPr>
      <w:r>
        <w:t>Mécanisme d'action : Comme tous les AINS, le flurbiprofène se fixe dans le canal hydrophobe de la cyclo-oxygénase et bloque la conversion de l'acide arachidonique en prostaglandines. En usage ophtalmique, le flurbiprofène instillé à la concentration de 0,03 % pénètre la cornée par diffusion passive et atteint l'humeur aqueuse en 30 à 60 minutes. Sa concentration intracamérulaire est suffisante pour bloquer la libération de prostaglandines induite par la manipulation du segment antérieur au cours de la chirurgie de la cataracte, et prévenir ainsi le myosis peropératoire. L'effet persiste 4 à 6 heures après instillation. En usage oral (100 mg), le flurbiprofène est rapidement absorbé (biodisponibilité ≈ 100 %, Tmax ≈ 1,5 heure), métabolisé par le cytochrome P450 (CYP2C9 principalement) en métabolites inactifs, et excrété par voie rénale (90 %) et biliaire (10 %). Sa demi-vie d'élimination est de 4 à 6 heures, ce qui justifie une administration 2 à 3 fois par jour. L'effet anti-inflammatoire et antalgique systémique est obtenu à la dose de 100 mg par prise, et persiste 4 à 6 heures. En ophtalmologie, l'usage oral du flurbiprofène n'a pas d'indication validée en raison d'une efficacité intra-oculaire insuffisante (la barrière hématoculaire limite le passage systémique vers l'œil).</w:t>
      </w:r>
    </w:p>
    <w:p>
      <w:pPr>
        <w:pStyle w:val="ListBullet"/>
      </w:pPr>
      <w:r>
        <w:t>Particularité : Le flurbiprofène est le seul AINS ophtalmique dont l'AMM était initialement limitée à la prévention du myosis peropératoire (sans indication dans le traitement de l'inflammation post-opératoire ni de la douleur post-opératoire), ce qui reflète sa tolérance cornéenne moins favorable que le diclofénac ou le kétorolac. Cette particularité historique explique en partie la contraction progressive de son marché international au profit des alternatives plus récentes.</w:t>
      </w:r>
    </w:p>
    <w:p>
      <w:r/>
      <w:r>
        <w:rPr>
          <w:b/>
        </w:rPr>
        <w:t>Profil Pharmacologique :</w:t>
      </w:r>
      <w:r/>
    </w:p>
    <w:p>
      <w:pPr>
        <w:pStyle w:val="ListBullet"/>
      </w:pPr>
      <w:r>
        <w:t>Indications : (1) Forme orale : traitement symptomatique de la douleur légère à modérée (dysménorrhée, douleur dentaire, douleur ostéo-articulaire, douleur post-opératoire mineure, états inflammatoires rhumatologiques) ; (2) Forme ophtalmique (non disponible en Algérie) : prévention du myosis peropératoire au cours de la chirurgie de la cataracte par phaco-émulsification. Aucune indication dans le traitement de l'inflammation post-opératoire du segment antérieur (en raison de la tolérance cornéenne moins favorable).</w:t>
      </w:r>
    </w:p>
    <w:p>
      <w:pPr>
        <w:pStyle w:val="ListBullet"/>
      </w:pPr>
      <w:r>
        <w:t>Contre-indications : (1) Hypersensibilité au flurbiprofène ou à l'un des excipients ; (2) Antécédent d'asthme déclenché par les AINS (triade de Fernand-Widal) ; (3) Ulcère gastro-duodénal actif ou antécédent d'ulcère récent (forme orale) ; (4) Insuffisance cardiaque sévère ; (5) Insuffisance hépatique sévère ; (6) Insuffisance rénale sévère (clairance &lt; 30 mL/min) ; (7) Troisième trimestre de la grossesse (risque de fermeture prématurée du canal artériel fœtal et d'inhibition des contractions utérines) ; (8) Forme ophtalmique : ulcère cornéen épithélial actif, sécheresse oculaire sévère, port de lentilles de contact.</w:t>
      </w:r>
    </w:p>
    <w:p>
      <w:pPr>
        <w:pStyle w:val="ListBullet"/>
      </w:pPr>
      <w:r>
        <w:t>Spectre d'action : Antalgique, anti-inflammatoire, antipyrétique. Pas d'activité antibactérienne, antivirale ou antifongique. Action purement symptomatique (n'agit pas sur la cause sous-jacente).</w:t>
      </w:r>
    </w:p>
    <w:p>
      <w:r/>
      <w:r>
        <w:rPr>
          <w:b/>
        </w:rPr>
        <w:t>Effets Indésirables :</w:t>
      </w:r>
      <w:r/>
    </w:p>
    <w:p>
      <w:pPr>
        <w:pStyle w:val="ListBullet"/>
      </w:pPr>
      <w:r/>
      <w:r>
        <w:rPr>
          <w:b/>
        </w:rPr>
        <w:t>Forme orale</w:t>
      </w:r>
      <w:r>
        <w:t xml:space="preserve"> : Comme tous les AINS systémiques, le flurbiprofène oral expose à des effets indésirables digestifs (dyspepsie, nausées, douleurs épigastriques, ulcère gastro-duodénal, saignement digestif), rénaux (rétention hydrosodée, hypokaliémie, insuffisance rénale fonctionnelle), cardiovasculaires (hypertension artérielle, majoration du risque thrombotique artériel en usage prolongé), neurologiques (céphalées, vertiges, somnolence), hématologiques (allongement du temps de saignement), cutanés (rash, prurit, photosensibilité, exceptionnellement syndrome de Stevens-Johnson ou syndrome de Lyell). La posologie de 100 mg par prise expose à un risque digestif modéré (intermédiaire entre l'ibuprofène 400 mg et le kétoprofène 100 mg).</w:t>
      </w:r>
    </w:p>
    <w:p>
      <w:pPr>
        <w:pStyle w:val="ListBullet"/>
      </w:pPr>
      <w:r/>
      <w:r>
        <w:rPr>
          <w:b/>
        </w:rPr>
        <w:t>Forme ophtalmique</w:t>
      </w:r>
      <w:r>
        <w:t xml:space="preserve"> (données internationales) : Picotements à l'instillation (sensations de brûlure transitoires plus marquées qu'avec le diclofénac), hyperhémie conjonctivale, kératite ponctuée superficielle (incidence ≈ 15 à 25 %, supérieure à celle du diclofénac), retard de cicatrisation épithéliale (notamment après chirurgie cornéenne), exceptionnellement ulcération cornéenne et perforation (surtout en cas de facteurs de risque : polyarthrite rhumatoïde, syndrome de Gougerot-Sjögren, déficit en vitamine A). Réactions allergiques locales et systémiques identiques à celles du diclofénac.</w:t>
      </w:r>
    </w:p>
    <w:p>
      <w:pPr>
        <w:pStyle w:val="ListBullet"/>
      </w:pPr>
      <w:r/>
      <w:r>
        <w:rPr>
          <w:b/>
        </w:rPr>
        <w:t>Allergiques</w:t>
      </w:r>
      <w:r>
        <w:t xml:space="preserve"> : Dermatite de contact palpébrale, kératoconjonctivite allergique, urticaire, œdème de Quincke, exceptionnellement choc anaphylactique (allergie croisée possible avec les autres ANS).</w:t>
      </w:r>
    </w:p>
    <w:p>
      <w:pPr>
        <w:pStyle w:val="ListBullet"/>
      </w:pPr>
      <w:r/>
      <w:r>
        <w:rPr>
          <w:b/>
        </w:rPr>
        <w:t>Systémiques</w:t>
      </w:r>
      <w:r>
        <w:t xml:space="preserve"> (liés au passage systémique de la forme orale ou ophtalmique) : Asthme déclenché chez les patients présentant une triade de Fernand-Widal, saignements gastro-intestinaux chez les patients prédisposés, perturbation de la fonction rénale chez les insuffisants rénaux.</w:t>
      </w:r>
    </w:p>
    <w:p>
      <w:r/>
      <w:r>
        <w:rPr>
          <w:b/>
        </w:rPr>
        <w:t>Prévention et Gestion des Effets Indésirables :</w:t>
      </w:r>
      <w:r/>
    </w:p>
    <w:p>
      <w:pPr>
        <w:pStyle w:val="ListBullet"/>
      </w:pPr>
      <w:r>
        <w:t>Mesures préventives : (1) Vérifier l'absence de contre-indication (allergie aux AINS, asthme à l'aspirine, ulcère gastro-duodénal actif, grossesse au 3e trimestre, insuffisance cardiaque, hépatique ou rénale sévère) avant la prescription ; (2) Limiter la durée d'utilisation à la période symptomatique (5 à 7 jours pour la forme orale en antalgique, 2 à 4 semaines pour la forme ophtalmique en post-opératoire) ; (3) Préférer la forme orale avec repas (réduction de la toxicité digestive) ; (4) Associer un protecteur gastrique (IPP) en cas d'antécédent d'ulcère ou de traitement prolongé ; (5) Surveillance rénale et cardiovasculaire en cas de traitement prolongé ou de comorbidités.</w:t>
      </w:r>
    </w:p>
    <w:p>
      <w:pPr>
        <w:pStyle w:val="ListBullet"/>
      </w:pPr>
      <w:r>
        <w:t>Conduite à tenir en cas d'effet indésirable digestif : arrêt du flurbiprofène ; substitution par un antalgique de palier I (paracétamol) ou par un AINS à meilleure tolérance digestive (ibuprofène à faible dose) ; consultation gastro-entérologique en cas de saignement digestif.</w:t>
      </w:r>
    </w:p>
    <w:p>
      <w:pPr>
        <w:pStyle w:val="ListBullet"/>
      </w:pPr>
      <w:r>
        <w:t>Conduite à tenir en cas d'asthme déclenché : arrêt immédiat du flurbiprofène ; traitement de la crise d'asthme ; contre-indication définitive de tous les AINS ; information du patient sur le port d'une carte d'allergie aux AINS.</w:t>
      </w:r>
    </w:p>
    <w:p>
      <w:pPr>
        <w:pStyle w:val="ListBullet"/>
      </w:pPr>
      <w:r>
        <w:t>Conduite à tenir en cas de toxicité cornéenne (en cas d'usage ophtalmique) : arrêt immédiat ; substitution par un substitut lacrymal sans conservateur ; surveillance ophtalmologique à 24-48 heures.</w:t>
      </w:r>
    </w:p>
    <w:p>
      <w:r/>
      <w:r>
        <w:rPr>
          <w:b/>
        </w:rPr>
        <w:t>Interactions Importantes :</w:t>
      </w:r>
      <w:r/>
    </w:p>
    <w:p>
      <w:pPr>
        <w:pStyle w:val="ListBullet"/>
      </w:pPr>
      <w:r>
        <w:t>Anticoagulants oraux (warfarine, AVK, AOD) : majoration du risque hémorragique (compétition pour la fixation aux protéines plasmatiques et potentialisation de l'effet anti-plaquettaire). Surveillance de l'INR et de la tolérance clinique.</w:t>
      </w:r>
    </w:p>
    <w:p>
      <w:pPr>
        <w:pStyle w:val="ListBullet"/>
      </w:pPr>
      <w:r>
        <w:t>Antiagrégants plaquettaires (aspirine, clopidogrel) : majoration du risque hémorragique (effets additifs sur la fonction plaquettaire).</w:t>
      </w:r>
    </w:p>
    <w:p>
      <w:pPr>
        <w:pStyle w:val="ListBullet"/>
      </w:pPr>
      <w:r>
        <w:t>Lithium : réduction de l'excrétion rénale du lithium et risque d'intoxication lithique (surveillance de la lithémie).</w:t>
      </w:r>
    </w:p>
    <w:p>
      <w:pPr>
        <w:pStyle w:val="ListBullet"/>
      </w:pPr>
      <w:r>
        <w:t>Diurétiques : réduction de l'effet antihypertenseur et diurétique (compétition avec les prostaglandines rénales vasodilatatrices).</w:t>
      </w:r>
    </w:p>
    <w:p>
      <w:pPr>
        <w:pStyle w:val="ListBullet"/>
      </w:pPr>
      <w:r>
        <w:t>IEC, ARA2 : réduction de l'effet antihypertenseur et risque d'insuffisance rénale aiguë fonctionnelle (notamment en cas de déshydratation associée).</w:t>
      </w:r>
    </w:p>
    <w:p>
      <w:pPr>
        <w:pStyle w:val="ListBullet"/>
      </w:pPr>
      <w:r>
        <w:t>Méthotrexate : majoration de la toxicité hématologique (compétition pour la sécrétion tubulaire).</w:t>
      </w:r>
    </w:p>
    <w:p>
      <w:pPr>
        <w:pStyle w:val="ListBullet"/>
      </w:pPr>
      <w:r>
        <w:t>Ciclosporine, tacrolimus : majoration de la néphrotoxicité.</w:t>
      </w:r>
    </w:p>
    <w:p>
      <w:pPr>
        <w:pStyle w:val="ListBullet"/>
      </w:pPr>
      <w:r>
        <w:t>Autres AINS systémiques : cumul des effets indésirables et majoration du risque allergique croisé.</w:t>
      </w:r>
    </w:p>
    <w:p>
      <w:pPr>
        <w:pStyle w:val="ListBullet"/>
      </w:pPr>
      <w:r>
        <w:t>Corticoïdes systémiques : majoration du risque digestif (ulcère, saignement).</w:t>
      </w:r>
    </w:p>
    <w:p>
      <w:pPr>
        <w:pStyle w:val="ListBullet"/>
      </w:pPr>
      <w:r>
        <w:t>Inhibiteurs sélectifs de la recapture de la sérotonine (ISRS) : majoration du risque hémorragique.</w:t>
      </w:r>
    </w:p>
    <w:p>
      <w:pPr>
        <w:pStyle w:val="ListBullet"/>
      </w:pPr>
      <w:r>
        <w:t>Aspirine à faible dose (antiagrégant plaquettaire) : réduction de l'effet cardioprotecteur de l'aspirine (compétition pour la fixation à la COX-1 plaquettaire).</w:t>
      </w:r>
    </w:p>
    <w:p>
      <w:r/>
      <w:r>
        <w:rPr>
          <w:b/>
        </w:rPr>
        <w:t>Grossesse et Allaitement :</w:t>
      </w:r>
      <w:r/>
    </w:p>
    <w:p>
      <w:pPr>
        <w:pStyle w:val="ListBullet"/>
      </w:pPr>
      <w:r>
        <w:t xml:space="preserve">Grossesse : Le flurbiprofène est </w:t>
      </w:r>
      <w:r>
        <w:rPr>
          <w:b/>
        </w:rPr>
        <w:t>déconseillé pendant le 1er et le 2e trimestre</w:t>
      </w:r>
      <w:r>
        <w:t xml:space="preserve"> et </w:t>
      </w:r>
      <w:r>
        <w:rPr>
          <w:b/>
        </w:rPr>
        <w:t>contre-indiqué au 3e trimestre</w:t>
      </w:r>
      <w:r>
        <w:t xml:space="preserve"> de la grossesse, comme tous les AINS systémiques. Au 1er et 2e trimestres, les données d'observation suggèrent un risque accru de fausse couche précoce et un possible risque de malformations cardiovasculaires (rôle des prostaglandines dans le développement embryonnaire). Au 3e trimestre, la contre-indication est absolue en raison du risque de fermeture prématurée du canal artériel fœtal (toxicité cardio-pulmonaire néonatale : hypertension pulmonaire persistante, hypotension néonatale) et d'inhibition des contractions utérines (retard de déclenchement du travail, prolongation de la grossesse). En cas de nécessité absolue, préférer le paracétamol en première intention, ou à défaut un AINS à demi-vie courte (ibuprofène) à la dose efficace la plus faible et pour la durée la plus courte possible, en évitant le 3e trimestre.</w:t>
      </w:r>
    </w:p>
    <w:p>
      <w:pPr>
        <w:pStyle w:val="ListBullet"/>
      </w:pPr>
      <w:r>
        <w:t xml:space="preserve">Allaitement : Le flurbiprofène passe dans le lait maternel en quantité modérée (rapport lait/plasma ≈ 0,01). Selon le CRAT, le flurbiprofène est </w:t>
      </w:r>
      <w:r>
        <w:rPr>
          <w:b/>
        </w:rPr>
        <w:t>déconseillé pendant l'allaitement</w:t>
      </w:r>
      <w:r>
        <w:t xml:space="preserve"> en raison de possibles effets indésirables chez le nourrisson (troubles digestifs, éruption cutanée). Préférer l'ibuprofène (compatible avec l'allaitement selon le CRAT) ou le paracétamol en alternative.</w:t>
      </w:r>
    </w:p>
    <w:p>
      <w:pPr>
        <w:pStyle w:val="ListBullet"/>
      </w:pPr>
      <w:r>
        <w:t>Précautions : Éviter l'usage prolongé pendant la grossesse et l'allaitement. En cas de dysménorrhée sévère chez la femme enceinte, préférer le paracétamol ou les mesures non pharmacologiques (chaleur locale, repos).</w:t>
      </w:r>
    </w:p>
    <w:p>
      <w:r/>
      <w:r>
        <w:rPr>
          <w:b/>
        </w:rPr>
        <w:t>Posologie et Mode d'administration (Standard) :</w:t>
      </w:r>
      <w:r/>
    </w:p>
    <w:p>
      <w:pPr>
        <w:pStyle w:val="ListBullet"/>
      </w:pPr>
      <w:r>
        <w:t>Adulte et adolescent de plus de 15 ans (forme orale) : 100 mg par prise, 1 à 2 fois par jour (soit 100 à 200 mg par jour), à prendre au cours d'un repas avec un grand verre d'eau. Posologie maximale : 200 mg par jour en traitement prolongé, 300 mg par jour en traitement de courte durée (≤ 7 jours).</w:t>
      </w:r>
    </w:p>
    <w:p>
      <w:pPr>
        <w:pStyle w:val="ListBullet"/>
      </w:pPr>
      <w:r>
        <w:t>Sujet âgé (≥ 65 ans) : pas d'adaptation posologique initiale, mais surveillance rénale et cardiovascululaire renforcée ; réduire la posologie en cas d'insuffisance rénale ou hépatique modérée.</w:t>
      </w:r>
    </w:p>
    <w:p>
      <w:pPr>
        <w:pStyle w:val="ListBullet"/>
      </w:pPr>
      <w:r>
        <w:t>Insuffisant rénal (clairance 30 à 60 mL/min) : réduire la posologie de moitié (50 mg par prise, 1 à 2 fois par jour). Contre-indication absolue si clairance &lt; 30 mL/min.</w:t>
      </w:r>
    </w:p>
    <w:p>
      <w:pPr>
        <w:pStyle w:val="ListBullet"/>
      </w:pPr>
      <w:r>
        <w:t>Insuffisant hépatique : réduire la posologie de moitié (50 mg par prise, 1 à 2 fois par jour). Contre-indication absolue si insuffisance hépatique sévère.</w:t>
      </w:r>
    </w:p>
    <w:p>
      <w:pPr>
        <w:pStyle w:val="ListBullet"/>
      </w:pPr>
      <w:r>
        <w:t>Mode d'administration : comprimé à avaler entier avec un grand verre d'eau, au cours d'un repas (réduction de la toxicité digestive). Ne pas croquer, ne pas écraser.</w:t>
      </w:r>
    </w:p>
    <w:p>
      <w:pPr>
        <w:pStyle w:val="ListBullet"/>
      </w:pPr>
      <w:r>
        <w:t>Durée maximale de traitement : 5 à 7 jours en antalgique sans avis médical ; 2 à 4 semaines en traitement anti-inflammatoire sous surveillance médicale. Au-delà, consultation pour réévaluation.</w:t>
      </w:r>
    </w:p>
    <w:p>
      <w:pPr>
        <w:pStyle w:val="ListBullet"/>
      </w:pPr>
      <w:r>
        <w:t>Forme ophtalmique (référence internationale Ocufen® 0,03 %) : 1 goutte dans l'œil à traiter toutes les 30 minutes pendant 2 heures avant la chirurgie (4 gouttes au total), en association avec un mydriatique. Pas de traitement post-opératoire (en raison de la tolérance cornéenne moins favorable que le diclofénac ou le kétorolac).</w:t>
      </w:r>
    </w:p>
    <w:p>
      <w:r/>
      <w:r>
        <w:rPr>
          <w:b/>
        </w:rPr>
        <w:t>Arbitrage et Bénéfices des Formes Galéniques :</w:t>
      </w:r>
      <w:r/>
    </w:p>
    <w:p>
      <w:r>
        <w:t>La seule forme galénique disponible en Algérie pour le flurbiprofène est le comprimé pelliculé ou enrobé à 100 mg, conditionné en boîte de 16 ou 20 comprimés. La forme pelliculée facilite la déglutition et masque le goût désagréable du principe actif. La prise au cours d'un repas réduit la toxicité digestive (en ralentissant la vidange gastrique et en augmentant le pH gastrique). Le conditionnement en boîte de 16 ou 20 comprimés correspond à un traitement de 8 à 20 jours à la posologie standard (1 à 2 comprimés par jour), ce qui est adapté à un traitement de courte durée (5 à 7 jours) avec renouvellement possible. La conservation se fait à température ≤ 25 °C, à l'abri de la lumière et de l'humidité. La forme ophtalmique (collyre 0,03 %, princeps Ocufen®) n'est pas disponible en Algérie dans la nomenclature de 2026. Les alternatives disponibles en Algérie pour l'indication ophtalmologique (prévention du myosis peropératoire) sont le diclofénac (VOLTARENE, DICLOCED, DICLOGESIC, XINAC, collyre 0,1 %) ou le kétorolac (MEDROLGIN, collyre 0,5 mg/mL), avec une préférence pour le diclofénac en raison de sa meilleure tolérance cornéenne et de son plus large spectre d'indications (post-opératoire + myosis peropératoire).</w:t>
      </w:r>
    </w:p>
    <w:p>
      <w:r/>
      <w:r>
        <w:rPr>
          <w:b/>
        </w:rPr>
        <w:t>Instructions et Conseils au Patient :</w:t>
      </w:r>
      <w:r/>
    </w:p>
    <w:p>
      <w:pPr>
        <w:pStyle w:val="ListBullet"/>
      </w:pPr>
      <w:r>
        <w:t>Communication au comptoir : Rappeler qu'il s'agit d'un AINS systémique, à utiliser uniquement sur prescription médicale, pendant une durée limitée (5 à 7 jours sans avis médical, 2 à 4 semaines sous surveillance). Insister sur les contre-indications (allergie aux AINS, asthme à l'aspirine, ulcère gastro-duodénal, grossesse au 3e trimestre, insuffisance cardiaque ou rénale sévère) et sur le risque digestif (à prendre au cours d'un repas). Vérifier les associations médicamenteuses (anticoagulants, lithium, diurétiques, IEC, ARA2, méthotrexate).</w:t>
      </w:r>
    </w:p>
    <w:p>
      <w:pPr>
        <w:pStyle w:val="ListBullet"/>
      </w:pPr>
      <w:r>
        <w:t>Mode d'utilisation pratique : Avaler le comprimé entier avec un grand verre d'eau, au cours d'un repas. Ne pas croquer, ne pas écraser. Ne pas s'allonger dans l'heure qui suit la prise (réduction du risque de reflux et d'irritation œsophagienne).</w:t>
      </w:r>
    </w:p>
    <w:p>
      <w:pPr>
        <w:pStyle w:val="ListBullet"/>
      </w:pPr>
      <w:r>
        <w:t>Information sur les signes d'alerte : douleurs épigastriques intenses, vomissements sanglants ou en café moulu, selles noires (méléna), fatigue intense, œdèmes des membres inférieurs, essoufflement, éruption cutanée, fièvre → arrêt immédiat et consultation médicale urgente.</w:t>
      </w:r>
    </w:p>
    <w:p>
      <w:pPr>
        <w:pStyle w:val="ListBullet"/>
      </w:pPr>
      <w:r>
        <w:t>Information sur la conservation : conserver à température ≤ 25 °C, à l'abri de la lumière et de l'humidité. Ne pas dépasser la date de péremption. Tenir hors de portée des enfants.</w:t>
      </w:r>
    </w:p>
    <w:p>
      <w:pPr>
        <w:pStyle w:val="ListBullet"/>
      </w:pPr>
      <w:r>
        <w:t>Information sur l'usage chez la femme enceinte : contre-indication absolue au 3e trimestre ; à éviter par prudence au 1er et 2e trimestres ; préférer le paracétamol en alternative.</w:t>
      </w:r>
    </w:p>
    <w:p>
      <w:pPr>
        <w:pStyle w:val="ListBullet"/>
      </w:pPr>
      <w:r>
        <w:t>Information sur l'usage ophtalmique : le flurbiprofène ophtalmique (Ocufen®) n'est pas disponible en Algérie. En cas de besoin d'un AINS ophtalmique, l'alternative disponible est le diclofénac (VOLTARENE, DICLOCED, DICLOGESIC, XINAC) ou le kétorolac (MEDROLGIN). Ne jamais instiller le flurbiprofène oral dans l'œil (toxicité grave).</w:t>
      </w:r>
    </w:p>
    <w:p>
      <w:r/>
      <w:r>
        <w:rPr>
          <w:b/>
        </w:rPr>
        <w:t>Notes, Règles d'Or &amp; Pièges au Comptoir :</w:t>
      </w:r>
      <w:r/>
    </w:p>
    <w:p>
      <w:pPr>
        <w:pStyle w:val="ListBullet"/>
      </w:pPr>
      <w:r>
        <w:t>Piège classique n°1 : Patient revenant de l'étranger avec une prescription d'Ocufen® (flurbiprofène ophtalmique) → informer le patient de la non-disponibilité de la forme ophtalmique en Algérie, et orienter vers l'ophtalmologue pour substitution (diclofénac, kétorolac, ou népaénac disponibles en Algérie).</w:t>
      </w:r>
    </w:p>
    <w:p>
      <w:pPr>
        <w:pStyle w:val="ListBullet"/>
      </w:pPr>
      <w:r>
        <w:t>Piège classique n°2 : Patient demandant du flurbiprofène oral pour une automédication oculaire → refus de la délivrance (mésusage potentiel, risque de toxicité systémique), orientation vers l'ophtalmologue.</w:t>
      </w:r>
    </w:p>
    <w:p>
      <w:pPr>
        <w:pStyle w:val="ListBullet"/>
      </w:pPr>
      <w:r>
        <w:t>Piège classique n°3 : Patient présentant un antécédent d'asthme à l'aspirine ou de triade de Fernand-Widal → refus de la délivrance, contre-indication absolue (risque de crise d'asthme grave).</w:t>
      </w:r>
    </w:p>
    <w:p>
      <w:pPr>
        <w:pStyle w:val="ListBullet"/>
      </w:pPr>
      <w:r>
        <w:t>Piège classique n°4 : Patiente enceinte au 3e trimestre présentant des douleurs articulaires → refus de la délivrance, contre-indication absolue (risque de fermeture prématurée du canal artériel fœtal). Orientation vers le paracétamol.</w:t>
      </w:r>
    </w:p>
    <w:p>
      <w:pPr>
        <w:pStyle w:val="ListBullet"/>
      </w:pPr>
      <w:r>
        <w:t>Règle d'or : « Flurbiprofène oral = 100 à 200 mg par jour maximum, 5 à 7 jours sans avis médical, jamais chez l'asthmatique à l'aspirine, jamais au 3e trimestre de la grossesse. Forme ophtalmique non disponible en Algérie. »</w:t>
      </w:r>
    </w:p>
    <w:p>
      <w:pPr>
        <w:pStyle w:val="ListBullet"/>
      </w:pPr>
      <w:r>
        <w:t>Préparation et Conservation : Comprimés en boîte fermée, à température ≤ 25 °C, à l'abri de la lumière et de l'humidité.</w:t>
      </w:r>
    </w:p>
    <w:p>
      <w:pPr>
        <w:pStyle w:val="ListBullet"/>
      </w:pPr>
      <w:r>
        <w:t>Piège du diagnostic différentiel : Une douleur oculaire unilatérale résistante au flurbiprofène oral doit faire suspecter une cause oculaire spécifique (glaucome aigu, kératite infectieuse, uvéite antérieure, corps étranger intra-oculaire) → orientation vers l'ophtalmologue en urgence.</w:t>
      </w:r>
    </w:p>
    <w:p>
      <w:pPr>
        <w:pStyle w:val="ListBullet"/>
      </w:pPr>
      <w:r>
        <w:t>Piège de l'association aux anticoagulants : le flurbiprofène oral majore le risque hémorragique en cas d'association aux anticoagulants oraux (warfarine, AVK, AOD) ou aux antiagrégants plaquettaires (aspirine, clopidogrel). Surveillance de l'INR et de la tolérance clinique.</w:t>
      </w:r>
    </w:p>
    <w:p>
      <w:pPr>
        <w:pStyle w:val="ListBullet"/>
      </w:pPr>
      <w:r>
        <w:t>Piège de la dose maximale : ne pas dépasser 200 mg par jour en traitement prolongé, en raison du risque digestif et cardiovasculaire majoré à forte dose.</w:t>
      </w:r>
    </w:p>
    <w:p>
      <w:pPr>
        <w:pStyle w:val="Heading3"/>
      </w:pPr>
      <w:r>
        <w:t>143.2.4 DCI : Kétorolac (usage ophtalmique)</w:t>
      </w:r>
    </w:p>
    <w:p>
      <w:r/>
      <w:r>
        <w:rPr>
          <w:b/>
        </w:rPr>
        <w:t>Liste des Catégories :</w:t>
      </w:r>
      <w:r>
        <w:t xml:space="preserve"> Liste I (collyre en solution).</w:t>
      </w:r>
    </w:p>
    <w:p>
      <w:r>
        <w:t>Le kétorolac est un AINS dérivé de l'acide hétérocyclique (acide 5-benzoyl-2,3-dihydro-1H-pyrrolizine-1-carboxylique), proche parent de l'indométacine et du sulindac. Synthétisé en 1976 par les laboratoires Syntex (devenus Roche), il a été développé principalement sous forme systémique (injectable IM, comprimés oraux) pour le traitement de la douleur aiguë post-opératoire, avec une efficacité antalgique de l'ordre de 30 mg IM équivalente à 10 mg de morphine IM. Son développement ophtalmologique est plus récent : le collyre de kétorolac trométamol à 0,5 % (5 mg/mL) a été commercialisé à partir des années 1990 sous le nom princeps Acular® (laboratoire Allergan), avec une double indication de traitement de l'inflammation post-opératoire du segment antérieur et de traitement du prurit oculaire de la conjonctivite allergique. En Algérie, le kétorolac ophtalmique est disponible sous une seule spécialité, MEDROLGIN (World Medecine, laboratoire turc), en flacon de 5 mL, en Liste I (statut plus restrictif que le diclofénac, qui est en Liste II). Cette restriction de liste s'explique par le profil d'effets indésirables systémiques du kétorolac (notamment le risque de saignement en cas de passage systémique), justifiant une prescription médicale stricte et un encadrement pharmaceutique renforcé.</w:t>
      </w:r>
    </w:p>
    <w:p>
      <w:r/>
      <w:r>
        <w:rPr>
          <w:b/>
        </w:rPr>
        <w:t>Médicaments disponibles en Algérie (tableau commercial) :</w:t>
      </w:r>
      <w:r/>
    </w:p>
    <w:p>
      <w:r>
        <w:t>Formes ophtalmiques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MEDROLGIN</w:t>
            </w:r>
          </w:p>
        </w:tc>
        <w:tc>
          <w:tcPr>
            <w:tcW w:type="dxa" w:w="1559"/>
          </w:tcPr>
          <w:p>
            <w:r>
              <w:rPr>
                <w:sz w:val="20"/>
              </w:rPr>
              <w:t>WORLD MEDECINE ILAC SAN.VE TIC.AS</w:t>
            </w:r>
          </w:p>
        </w:tc>
        <w:tc>
          <w:tcPr>
            <w:tcW w:type="dxa" w:w="1559"/>
          </w:tcPr>
          <w:p>
            <w:r>
              <w:rPr>
                <w:sz w:val="20"/>
              </w:rPr>
              <w:t>Collyre en solution 0,5 mg/mL kétorolac trométamol</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bl>
    <w:p/>
    <w:p>
      <w:r>
        <w:t>Formes systémiques (rappel pour mémoire — non incluses dans le périmètre ophtalmique mais disponibles à l'international sous le nom Toradol®) : non disponibles en Algérie dans la nomenclature de 2026 pour le kétorolac.</w:t>
      </w:r>
    </w:p>
    <w:p>
      <w:r>
        <w:t>Le kétorolac ophtalmique est donc disponible en Algérie sous une seule spécialité (MEDROLGIN, World Medecine). Cette mono-spécialité reflète à la fois la position de seconde ligne du kétorolac en ophtalmologie (après le diclofénac) et la concurrence des AINS ophtalmiques de dernière génération (népaénac). Le pharmacien d'officine doit être particulièrement attentif à la concentration : la concentration ophtalmique (0,5 mg/mL ou 0,05 %) est strictement réservée à l'usage ophtalmologique et ne doit jamais être confondue avec les formes systémiques (comprimés 10 mg, solution injectable IM 30 mg/mL), dont l'instillation oculaire accidentelle serait gravement toxique. La spécialité MEDROLGIN est conditionnée en flacon multidose de 5 mL, contenant du chlorure de benzalkonium comme conservateur (à l'exception de formulations unidoses qui ne sont pas disponibles en Algérie). La conservation se fait à température ≤ 25 °C, à l'abri de la lumière, et le flacon doit être jeté dans les 4 semaines suivant la première ouverture. Le statut Liste I impose la présentation d'une ordonnance médicale datée de moins de 12 mois pour la délivrance, et l'enregistrement de la délivrance dans le registre pharmaceutique.</w:t>
      </w:r>
    </w:p>
    <w:p>
      <w:r/>
      <w:r>
        <w:rPr>
          <w:b/>
        </w:rPr>
        <w:t>Sous-classe et Mécanisme d'action :</w:t>
      </w:r>
      <w:r/>
    </w:p>
    <w:p>
      <w:pPr>
        <w:pStyle w:val="ListBullet"/>
      </w:pPr>
      <w:r>
        <w:t>Sous-classe : AINS ophtalmique de la famille des acides hétérocycliques (dérivé de l'acide pyrrolizine-acétique), proche parent de l'indométacine. Inhibiteur non sélectif de la cyclo-oxygénase (COX-1 et COX-2), avec une affinité équilibrée pour les deux isoformes.</w:t>
      </w:r>
    </w:p>
    <w:p>
      <w:pPr>
        <w:pStyle w:val="ListBullet"/>
      </w:pPr>
      <w:r>
        <w:t>Mécanisme d'action : Le kétorolac trométamol est le sel de trométamine du kétorolac, qui améliore la solubilité aqueuse et facilite la formulation en collyre. Après instillation, le kétorolac pénètre la cornée par diffusion passive (le groupe acide carboxylique ionisé à pH physiologique est partiellement compensé par le sel de trométamine, qui augmente la lipophilie), atteint l'humeur aqueuse en 30 à 60 minutes, et y inhibe la cyclo-oxygénase (COX-1 et COX-2) de manière réversible. Cette inhibition réduit la production de prostaglandines (PGE2, PGF2α, PGI2, TXA2) au niveau du segment antérieur, ce qui se traduit par : (1) réduction de l'inflammation post-opératoire (chambre de tyndall, œdème cornéen, synthéchies), (2) prévention du myosis peropératoire (à la dose de 0,5 % instillée en pré-opératoire), (3) analgésie post-opératoire (réduction de la douleur et du discomfort oculaire), (4) réduction du prurit oculaire de la conjonctivite allergique (les prostaglandines et les leucotriènes sont des médiateurs du prurit). L'effet persiste 4 à 6 heures après instillation. La particularité du kétorolac est son activité antalgique supérieure à celle des autres AINS ophtalmiques (reflétant son usage systémique puissant), qui explique son intérêt dans le traitement de la douleur post-opératoire et du prurit allergique.</w:t>
      </w:r>
    </w:p>
    <w:p>
      <w:pPr>
        <w:pStyle w:val="ListBullet"/>
      </w:pPr>
      <w:r>
        <w:t>Spectre d'action : Pas d'activité antibactérienne, antivirale ou antifongique. Action purement anti-inflammatoire, antalgique et antiprurigineuse. Aucune activité mydriatique propre.</w:t>
      </w:r>
    </w:p>
    <w:p>
      <w:r/>
      <w:r>
        <w:rPr>
          <w:b/>
        </w:rPr>
        <w:t>Profil Pharmacologique :</w:t>
      </w:r>
      <w:r/>
    </w:p>
    <w:p>
      <w:pPr>
        <w:pStyle w:val="ListBullet"/>
      </w:pPr>
      <w:r>
        <w:t>Indications : (1) Traitement de l'inflammation post-opératoire du segment antérieur (chirurgie de la cataracte, vitrectomie antérieure, chirurgie réfractive PKR/LASIK) ; (2) Traitement de la douleur post-opératoire après chirurgie oculaire ; (3) Traitement du prurit oculaire de la conjonctivite allergique saisonnière (indication spécifique du kétorolac, liée à son activité antiprostaglandine et antileucotriène) ; (4) Prévention du myosis peropératoire au cours de la chirurgie de la cataracte (indication mineure, le diclofénac et le flurbiprofène étant préférés en raison d'une meilleure tolérance).</w:t>
      </w:r>
    </w:p>
    <w:p>
      <w:pPr>
        <w:pStyle w:val="ListBullet"/>
      </w:pPr>
      <w:r>
        <w:t>Contre-indications : (1) Hypersensibilité au kétorolac, à l'un des excipients (notamment chlorure de benzalkonium) ou à d'autres ANS ; (2) Antécédent d'asthme déclenché par les AINS (triade de Fernand-Widal) ; (3) Ulcère cornéen épithélial actif ou kératite épithéliale non cicatrisée ; (4) Sécheresse oculaire sévère ; (5) Troisième trimestre de la grossesse ; (6) Port de lentilles de contact ; (7) Enfant de moins de 12 ans ; (8) Patiente en cours d'allaitement (par prudence, en raison du passage systémique et de l'importante activité antalgique du kétorolac).</w:t>
      </w:r>
    </w:p>
    <w:p>
      <w:pPr>
        <w:pStyle w:val="ListBullet"/>
      </w:pPr>
      <w:r>
        <w:t>Spectre d'action : Antalgique puissant (le kétorolac est l'AINS ophtalmique le plus antalgique, à l'instar de sa forme systémique qui est l'AINS systémique le plus antalgique). Anti-inflammatoire, antiprurigineux. Pas d'activité antibiotique ou antivirale.</w:t>
      </w:r>
    </w:p>
    <w:p>
      <w:r/>
      <w:r>
        <w:rPr>
          <w:b/>
        </w:rPr>
        <w:t>Effets Indésirables :</w:t>
      </w:r>
      <w:r/>
    </w:p>
    <w:p>
      <w:pPr>
        <w:pStyle w:val="ListBullet"/>
      </w:pPr>
      <w:r/>
      <w:r>
        <w:rPr>
          <w:b/>
        </w:rPr>
        <w:t>Locaux précoces</w:t>
      </w:r>
      <w:r>
        <w:t xml:space="preserve"> (10 à 30 % des patients) : picotements à l'instillation (plus marqués qu'avec le diclofénac, en raison de la formulation en sel de trométamine légèrement hypertonique), sensation de brûlure transitoire, hyperhémie conjonctivale modérée, larmoiement, vision trouble transitoire, prurit oculaire paradoxal transitoire.</w:t>
      </w:r>
    </w:p>
    <w:p>
      <w:pPr>
        <w:pStyle w:val="ListBullet"/>
      </w:pPr>
      <w:r/>
      <w:r>
        <w:rPr>
          <w:b/>
        </w:rPr>
        <w:t>Locaux tardifs</w:t>
      </w:r>
      <w:r>
        <w:t xml:space="preserve"> (au-delà de 2 semaines d'usage) : kératite ponctuée superficielle (10 à 25 % selon les séries, incidence supérieure à celle du diclofénac), retard de cicatrisation épithéliale (en cas de chirurgie cornéenne récente), ulcération cornéenne (rare, surtout en cas de facteurs de risque), œdème cornéen (en cas d'usage prolongé), exceptionnellement kératomalacie et perforation cornéenne (gravissime).</w:t>
      </w:r>
    </w:p>
    <w:p>
      <w:pPr>
        <w:pStyle w:val="ListBullet"/>
      </w:pPr>
      <w:r/>
      <w:r>
        <w:rPr>
          <w:b/>
        </w:rPr>
        <w:t>Allergiques</w:t>
      </w:r>
      <w:r>
        <w:t xml:space="preserve"> (1 à 5 %) : kératoconjonctivite allergique, blépharite allergique, dermatite de contact palpébrale ; plus rarement réactions systémiques (urticaire, œdème de Quincke, exceptionnellement choc anaphylactique).</w:t>
      </w:r>
    </w:p>
    <w:p>
      <w:pPr>
        <w:pStyle w:val="ListBullet"/>
      </w:pPr>
      <w:r/>
      <w:r>
        <w:rPr>
          <w:b/>
        </w:rPr>
        <w:t>Systémiques</w:t>
      </w:r>
      <w:r>
        <w:t xml:space="preserve"> (liés au passage systémique, estimé à 5 à 15 % de la dose instillée) : le kétorolac étant l'AINS le plus puissant en termes d'activité antalgique systémique, son passage systémique expose à des effets indésirables non négligeables en cas d'usage prolongé : saignement gastro-intestinal (notamment en cas d'antécédent d'ulcère), perturbation de l'hémostase (allongement du temps de saignement), exceptionnels cas d'asthme déclenché chez les patients présentant une triade de Fernand-Widal, perturbation de la fonction rénale chez les insuffisants rénaux. Le statut Liste I de la spécialité MEDROLGIN reflète cette potentialité d'effets systémiques graves.</w:t>
      </w:r>
    </w:p>
    <w:p>
      <w:pPr>
        <w:pStyle w:val="ListBullet"/>
      </w:pPr>
      <w:r/>
      <w:r>
        <w:rPr>
          <w:b/>
        </w:rPr>
        <w:t>Hématologiques</w:t>
      </w:r>
      <w:r>
        <w:t xml:space="preserve"> : En raison de l'activité antiplaquettaire du kétorolac (inhibition de la COX-1 plaquettaire), un allongement du temps de saignement est observé en cas d'usage ophtalmique prolongé. Prudence en cas d'association aux anticoagulants ou en cas de chirurgie oculaire programmée (à prendre en compte dans le protocole anticoagulant péri-opératoire).</w:t>
      </w:r>
    </w:p>
    <w:p>
      <w:r/>
      <w:r>
        <w:rPr>
          <w:b/>
        </w:rPr>
        <w:t>Prévention et Gestion des Effets Indésirables :</w:t>
      </w:r>
      <w:r/>
    </w:p>
    <w:p>
      <w:pPr>
        <w:pStyle w:val="ListBullet"/>
      </w:pPr>
      <w:r>
        <w:t>Mesures préventives : (1) Évaluation de l'état cornéen avant prescription (examen à la lampe à fente avec coloration à la fluorescéine) ; (2) Limitation stricte de la durée d'utilisation à la période post-opératoire immédiate (2 à 4 semaines) ; (3) Association systématique à un substitut lacrymal sans conservateur ; (4) Surveillance ophtalmologique régulière pendant le traitement ; (5) Information du patient sur les signes d'alerte (douleur, baisse d'acuité visuelle, rougeur intense) nécessitant un arrêt immédiat et une consultation urgente.</w:t>
      </w:r>
    </w:p>
    <w:p>
      <w:pPr>
        <w:pStyle w:val="ListBullet"/>
      </w:pPr>
      <w:r>
        <w:t>Conduite à tenir en cas de kératite ponctuée superficielle : arrêt immédiat du kétorolac ; substitution par un substitut lacrymal sans conservateur ; surveillance ophtalmologique à 24-48 heures.</w:t>
      </w:r>
    </w:p>
    <w:p>
      <w:pPr>
        <w:pStyle w:val="ListBullet"/>
      </w:pPr>
      <w:r>
        <w:t>Conduite à tenir en cas de réaction allergique : arrêt immédiat ; antihistaminique local ; corticothérapie locale de courte durée en cas de réaction marquée ; en cas de réaction systémique, arrêt définitif de tous les AINS.</w:t>
      </w:r>
    </w:p>
    <w:p>
      <w:pPr>
        <w:pStyle w:val="ListBullet"/>
      </w:pPr>
      <w:r>
        <w:t>Conduite à tenir en cas d'asthme déclenché : arrêt immédiat ; traitement de la crise d'asthme ; contre-indication définitive de tous les AINS.</w:t>
      </w:r>
    </w:p>
    <w:p>
      <w:r/>
      <w:r>
        <w:rPr>
          <w:b/>
        </w:rPr>
        <w:t>Interactions Importantes :</w:t>
      </w:r>
      <w:r/>
    </w:p>
    <w:p>
      <w:pPr>
        <w:pStyle w:val="ListBullet"/>
      </w:pPr>
      <w:r>
        <w:t>Anticoagulants oraux (warfarine, AVK, AOD) et antiagrégants plaquettaires (aspirine, clopidogrel) : majoration du risque hémorragique (le kétorolac étant l'AINS à l'activité antiplaquettaire la plus marquée, l'association est particulièrement à risque). Surveillance de l'INR et de la tolérance clinique.</w:t>
      </w:r>
    </w:p>
    <w:p>
      <w:pPr>
        <w:pStyle w:val="ListBullet"/>
      </w:pPr>
      <w:r>
        <w:t>Autres AINS systémiques : cumul des effets indésirables et majoration du risque hémorragique et digestif.</w:t>
      </w:r>
    </w:p>
    <w:p>
      <w:pPr>
        <w:pStyle w:val="ListBullet"/>
      </w:pPr>
      <w:r>
        <w:t>Corticoïdes systémiques : majoration du risque digestif.</w:t>
      </w:r>
    </w:p>
    <w:p>
      <w:pPr>
        <w:pStyle w:val="ListBullet"/>
      </w:pPr>
      <w:r>
        <w:t>Lithium : réduction de l'excrétion rénale du lithium et risque d'intoxication lithique.</w:t>
      </w:r>
    </w:p>
    <w:p>
      <w:pPr>
        <w:pStyle w:val="ListBullet"/>
      </w:pPr>
      <w:r>
        <w:t>Diurétiques, IEC, ARA2 : réduction de l'effet antihypertenseur et risque d'insuffisance rénale aiguë.</w:t>
      </w:r>
    </w:p>
    <w:p>
      <w:pPr>
        <w:pStyle w:val="ListBullet"/>
      </w:pPr>
      <w:r>
        <w:t>Méthotrexate : majoration de la toxicité hématologique.</w:t>
      </w:r>
    </w:p>
    <w:p>
      <w:pPr>
        <w:pStyle w:val="ListBullet"/>
      </w:pPr>
      <w:r>
        <w:t>Autres collyres contenant du chlorure de benzalkonium : majoration de la toxicité épithéliale cornéenne. Espacer les instillations de 10 à 15 minutes.</w:t>
      </w:r>
    </w:p>
    <w:p>
      <w:r/>
      <w:r>
        <w:rPr>
          <w:b/>
        </w:rPr>
        <w:t>Grossesse et Allaitement :</w:t>
      </w:r>
      <w:r/>
    </w:p>
    <w:p>
      <w:pPr>
        <w:pStyle w:val="ListBullet"/>
      </w:pPr>
      <w:r>
        <w:t xml:space="preserve">Grossesse : Le kétorolac ophtalmique est </w:t>
      </w:r>
      <w:r>
        <w:rPr>
          <w:b/>
        </w:rPr>
        <w:t>déconseillé pendant le 1er et le 2e trimestre</w:t>
      </w:r>
      <w:r>
        <w:t xml:space="preserve"> et </w:t>
      </w:r>
      <w:r>
        <w:rPr>
          <w:b/>
        </w:rPr>
        <w:t>contre-indiqué au 3e trimestre</w:t>
      </w:r>
      <w:r>
        <w:t xml:space="preserve"> de la grossesse, comme tous les AINS. En raison de l'importante activité antalgique systémique du kétorolac et de son passage systémique non négligeable, la prudence est renforcée par rapport au diclofénac. Au 3e trimestre, la contre-indication est absolue en raison du risque de fermeture prématurée du canal artériel fœtal et d'inhibition des contractions utérines. En cas de nécessité absolue au 1er ou 2e trimestre, préférer le diclofénac ophtalmique (meilleure tolérance) ou la prednisolone ophtalmique.</w:t>
      </w:r>
    </w:p>
    <w:p>
      <w:pPr>
        <w:pStyle w:val="ListBullet"/>
      </w:pPr>
      <w:r>
        <w:t xml:space="preserve">Allaitement : En raison de l'importante activité antalgique systémique du kétorolac et de son passage possible dans le lait maternel, le kétorolac ophtalmique est </w:t>
      </w:r>
      <w:r>
        <w:rPr>
          <w:b/>
        </w:rPr>
        <w:t>déconseillé pendant l'allaitement</w:t>
      </w:r>
      <w:r>
        <w:t xml:space="preserve"> par prudence. Préférer le diclofénac ophtalmique (compatible avec l'allaitement en usage court) en cas de nécessité absolue.</w:t>
      </w:r>
    </w:p>
    <w:p>
      <w:pPr>
        <w:pStyle w:val="ListBullet"/>
      </w:pPr>
      <w:r>
        <w:t>Précautions : Éviter l'usage prolongé pendant la grossesse et l'allaitement. En cas de chirurgie oculaire programmée pendant la grossesse, planifier idéalement au 2e trimestre et limiter la durée d'utilisation post-opératoire à 1 semaine.</w:t>
      </w:r>
    </w:p>
    <w:p>
      <w:r/>
      <w:r>
        <w:rPr>
          <w:b/>
        </w:rPr>
        <w:t>Posologie et Mode d'administration (Standard) :</w:t>
      </w:r>
      <w:r/>
    </w:p>
    <w:p>
      <w:pPr>
        <w:pStyle w:val="ListBullet"/>
      </w:pPr>
      <w:r>
        <w:t>Adulte et adolescent de plus de 15 ans : 1 goutte dans l'œil à traiter, 4 fois par jour (matin, midi, soir et au coucher), à espacer de 6 heures.</w:t>
      </w:r>
    </w:p>
    <w:p>
      <w:pPr>
        <w:pStyle w:val="ListBullet"/>
      </w:pPr>
      <w:r>
        <w:t>Traitement post-opératoire de la cataracte : 1 goutte 4 fois par jour pendant 2 à 4 semaines, en association avec un antibiotique local et un corticoïde local selon le protocole du chirurgien.</w:t>
      </w:r>
    </w:p>
    <w:p>
      <w:pPr>
        <w:pStyle w:val="ListBullet"/>
      </w:pPr>
      <w:r>
        <w:t>Traitement de la conjonctivite allergique saisonnière : 1 goutte 4 fois par jour pendant 2 semaines maximum (en raison de la tolérance cornéenne moins favorable que les antihistaminiques locaux, qui sont à privilégier en traitement prolongé).</w:t>
      </w:r>
    </w:p>
    <w:p>
      <w:pPr>
        <w:pStyle w:val="ListBullet"/>
      </w:pPr>
      <w:r>
        <w:t>Posologie maximale : 4 gouttes par jour et par œil, à ne pas dépasser.</w:t>
      </w:r>
    </w:p>
    <w:p>
      <w:pPr>
        <w:pStyle w:val="ListBullet"/>
      </w:pPr>
      <w:r>
        <w:t>Enfant de moins de 15 ans : contre-indication en l'absence d'études cliniques pédiatriques spécifiques.</w:t>
      </w:r>
    </w:p>
    <w:p>
      <w:pPr>
        <w:pStyle w:val="ListBullet"/>
      </w:pPr>
      <w:r>
        <w:t>Mode d'administration : identique à celle du diclofénac ophtalmique (se laver les mains, pencher la tête en arrière, tirer la paupière inférieure, instiller une goutte, fermer l'œil, pression sur le canthus interne, ne pas cligner pendant 30 secondes, se laver les mains).</w:t>
      </w:r>
    </w:p>
    <w:p>
      <w:pPr>
        <w:pStyle w:val="ListBullet"/>
      </w:pPr>
      <w:r>
        <w:t>Durée maximale de traitement : 2 à 4 semaines en moyenne, sans dépassement sans avis ophtalmologique spécialisé.</w:t>
      </w:r>
    </w:p>
    <w:p>
      <w:r/>
      <w:r>
        <w:rPr>
          <w:b/>
        </w:rPr>
        <w:t>Arbitrage et Bénéfices des Formes Galéniques :</w:t>
      </w:r>
      <w:r/>
    </w:p>
    <w:p>
      <w:r>
        <w:t>La seule forme galénique disponible en Algérie pour le kétorolac ophtalmique est le collyre en solution à la concentration de 0,5 mg/mL (0,05 %), conditionné en flacon multidose de 5 mL. Le volume unitaire d'une goutte est d'environ 30 à 50 µL, ce qui correspond à une dose unitaire de 15 à 25 µg de kétorolac trométamol. Le conditionnement en flacon de 5 mL correspond à environ 100 à 150 gouttes, ce qui couvre largement un traitement de 2 à 4 semaines à la posologie standard (4 gouttes par jour × 28 jours = 112 gouttes par traitement). La conservation se fait à température ≤ 25 °C, à l'abri de la lumière, et le flacon doit être jeté dans les 4 semaines suivant la première ouverture en raison du risque de contamination microbienne (notamment à Pseudomonas aeruginosa, particulièrement dangereux chez les porteurs de lentilles de contact). Le chlorure de benzalkonium est utilisé comme conservateur à la concentration de 0,01 %. Aucune forme sans chlorure de benzalkonium n'est disponible en Algérie pour le kétorolac. La formulation en collyre privilégie la pénétration cornéenne rapide (effet maximal en 30 à 60 minutes) au détriment de la durée d'action (4 à 6 heures), ce qui justifie la fréquence d'administration de 4 fois par jour. Comparé au diclofénac, le kétorolac présente une efficacité antalgique supérieure mais une tolérance cornéenne légèrement moins favorable (incidence plus élevée de kératite ponctuée superficielle), ce qui en fait une alternative de seconde intention dans l'indication de douleur post-opératoire intense ou de conjonctivite allergique prurigineuse résistante aux antihistaminiques locaux.</w:t>
      </w:r>
    </w:p>
    <w:p>
      <w:r/>
      <w:r>
        <w:rPr>
          <w:b/>
        </w:rPr>
        <w:t>Instructions et Conseils au Patient :</w:t>
      </w:r>
      <w:r/>
    </w:p>
    <w:p>
      <w:pPr>
        <w:pStyle w:val="ListBullet"/>
      </w:pPr>
      <w:r>
        <w:t>Communication au comptoir : Rappeler qu'il s'agit d'un AINS ophtalmique puissant, à utiliser uniquement sur prescription ophtalmologique stricte (Liste I), pendant une durée limitée (2 à 4 semaines en moyenne). Insister sur le risque de toxicité cornéenne en cas d'usage prolongé, et sur l'interdiction de renouveler sans avis médical. Vérifier les contre-indications (allergie aux AINS, asthme à l'aspirine, ulcère cornéen, sécheresse oculaire sévère, grossesse au 3e trimestre, port de lentilles de contact, anticoagulants oraux) au moment de la délivrance. Enregistrer la délivrance dans le registre des Listes I.</w:t>
      </w:r>
    </w:p>
    <w:p>
      <w:pPr>
        <w:pStyle w:val="ListBullet"/>
      </w:pPr>
      <w:r>
        <w:t>Mode d'utilisation pratique : identique à celle du diclofénac ophtalmique.</w:t>
      </w:r>
    </w:p>
    <w:p>
      <w:pPr>
        <w:pStyle w:val="ListBullet"/>
      </w:pPr>
      <w:r>
        <w:t>Information sur les signes d'alerte : douleur oculaire, baisse d'acuité visuelle, rougeur oculaire intense, œdème palpébral, larmoiement excessif, sensation de corps étranger, saignement anormal (gingivorragie, épistaxis, ecchymoses) → arrêt immédiat et consultation ophtalmologique urgente.</w:t>
      </w:r>
    </w:p>
    <w:p>
      <w:pPr>
        <w:pStyle w:val="ListBullet"/>
      </w:pPr>
      <w:r>
        <w:t>Information sur la conservation : conserver à température ≤ 25 °C, à l'abri de la lumière. Ne pas congeler. Jeter le flacon dans les 4 semaines après la première ouverture. Ne pas partager le flacon. Ne pas utiliser en cas de changement d'aspect.</w:t>
      </w:r>
    </w:p>
    <w:p>
      <w:pPr>
        <w:pStyle w:val="ListBullet"/>
      </w:pPr>
      <w:r>
        <w:t>Information sur l'usage chez la femme enceinte : contre-indication absolue au 3e trimestre ; à éviter par prudence au 1er et 2e trimestres.</w:t>
      </w:r>
    </w:p>
    <w:p>
      <w:pPr>
        <w:pStyle w:val="ListBullet"/>
      </w:pPr>
      <w:r>
        <w:t>Information sur le port de lentilles de contact : contre-indication pendant la durée du traitement. Retirer les lentilles avant l'instillation et attendre au moins 15 minutes avant de les remettre (idéalement, suspendre le port des lentilles pendant toute la durée du traitement).</w:t>
      </w:r>
    </w:p>
    <w:p>
      <w:r/>
      <w:r>
        <w:rPr>
          <w:b/>
        </w:rPr>
        <w:t>Notes, Règles d'Or &amp; Pièges au Comptoir :</w:t>
      </w:r>
      <w:r/>
    </w:p>
    <w:p>
      <w:pPr>
        <w:pStyle w:val="ListBullet"/>
      </w:pPr>
      <w:r>
        <w:t>Piège classique n°1 : Patient revenant à l'officine pour renouveler un collyre au kétorolac depuis plusieurs mois → suspicion de mésusage (usage prolongé non surveillé). Refus du renouvellement, orientation vers l'ophtalmologue.</w:t>
      </w:r>
    </w:p>
    <w:p>
      <w:pPr>
        <w:pStyle w:val="ListBullet"/>
      </w:pPr>
      <w:r>
        <w:t>Piège classique n°2 : Patient présentant un antécédent d'asthme à l'aspirine ou de triade de Fernand-Widal → refus de la délivrance, contre-indication absolue.</w:t>
      </w:r>
    </w:p>
    <w:p>
      <w:pPr>
        <w:pStyle w:val="ListBullet"/>
      </w:pPr>
      <w:r>
        <w:t>Piège classique n°3 : Patient porteur de lentilles de contact → refus de la délivrance sans avis ophtalmologique.</w:t>
      </w:r>
    </w:p>
    <w:p>
      <w:pPr>
        <w:pStyle w:val="ListBullet"/>
      </w:pPr>
      <w:r>
        <w:t>Piège classique n°4 : Patient sous anticoagulant oral (warfarine, AVK, AOD) ou antiagrégant plaquettaire (aspirine, clopidogrel) → information sur le risque hémorragique majoré en cas d'usage prolongé ; surveillance rapprochée ; préférer le diclofénac ophtalmique (activité antiplaquettaire moindre).</w:t>
      </w:r>
    </w:p>
    <w:p>
      <w:pPr>
        <w:pStyle w:val="ListBullet"/>
      </w:pPr>
      <w:r>
        <w:t>Règle d'or : « Kétorolac collyre = 4 gouttes par jour maximum, 2 à 4 semaines maximum, jamais chez le porteur de lentilles, jamais chez l'asthmatique à l'aspirine, jamais au 3e trimestre de la grossesse, prudence sous anticoagulants. »</w:t>
      </w:r>
    </w:p>
    <w:p>
      <w:pPr>
        <w:pStyle w:val="ListBullet"/>
      </w:pPr>
      <w:r>
        <w:t>Préparation et Conservation : Flacon fermé, à température ≤ 25 °C, à l'abri de la lumière. Ne pas congeler. Jeter le flacon 4 semaines après la première ouverture.</w:t>
      </w:r>
    </w:p>
    <w:p>
      <w:pPr>
        <w:pStyle w:val="ListBullet"/>
      </w:pPr>
      <w:r>
        <w:t>Piège du diagnostic différentiel : Une douleur oculaire unilatérale résistante au kétorolac doit faire suspecter une cause non inflammatoire (glaucome aigu, kératite infectieuse, uvéite antérieure, corps étranger intra-oculaire).</w:t>
      </w:r>
    </w:p>
    <w:p>
      <w:pPr>
        <w:pStyle w:val="ListBullet"/>
      </w:pPr>
      <w:r>
        <w:t>Piège de l'association aux corticoïdes locaux : majoration du risque d'ulcération cornéenne (effet additif sur le retard de cicatrisation). Surveillance ophtalmologique rapprochée.</w:t>
      </w:r>
    </w:p>
    <w:p>
      <w:pPr>
        <w:pStyle w:val="ListBullet"/>
      </w:pPr>
      <w:r>
        <w:t>Piège de la conjonctivite allergique : en cas de conjonctivite allergique prurigineuse, préférer en première intention un collyre antihistaminique (olopatadine, azelastine, kétotifène) en raison d'une meilleure tolérance cornéenne en usage prolongé ; réserver le kétorolac aux cas résistants ou en seconde intention.</w:t>
      </w:r>
    </w:p>
    <w:p>
      <w:pPr>
        <w:pStyle w:val="Heading2"/>
      </w:pPr>
      <w:r>
        <w:t>143.3 Sous-classe : AINS ophtalmiques (prodrogues)</w:t>
      </w:r>
    </w:p>
    <w:p>
      <w:pPr>
        <w:pStyle w:val="Heading3"/>
      </w:pPr>
      <w:r>
        <w:t>143.3.1 Généralités de la sous-classe</w:t>
      </w:r>
    </w:p>
    <w:p>
      <w:r>
        <w:t xml:space="preserve">Les AINS ophtalmiques sous forme de prodrogues représentent une avancée pharmacologique de la dernière décennie en ophtalmologie. Le concept de prodrogue désigne une molécule inactive (ou peu active) administrée sous sa forme initiale, qui est convertie in vivo en métabolite actif par des enzymes tissulaires. Cette stratégie pharmacologique présente plusieurs avantages majeurs en ophtalmologie : (1) </w:t>
      </w:r>
      <w:r>
        <w:rPr>
          <w:b/>
        </w:rPr>
        <w:t>amélioration de la pénétration cornéenne</w:t>
      </w:r>
      <w:r>
        <w:t xml:space="preserve"> (la prodrogue, plus lipophile que la molécule active, traverse plus facilement la barrière épithéliale cornéenne), (2) </w:t>
      </w:r>
      <w:r>
        <w:rPr>
          <w:b/>
        </w:rPr>
        <w:t>concentration élevée au site d'action</w:t>
      </w:r>
      <w:r>
        <w:t xml:space="preserve"> (la conversion enzymatique se produit dans la cornée et le segment antérieur, garantissant une concentration locale élevée), (3) </w:t>
      </w:r>
      <w:r>
        <w:rPr>
          <w:b/>
        </w:rPr>
        <w:t>réduction des effets systémiques</w:t>
      </w:r>
      <w:r>
        <w:t xml:space="preserve"> (la prodrogue inactive absorbée systémiquement a peu d'effets avant son métabolisme hépatique), (4) </w:t>
      </w:r>
      <w:r>
        <w:rPr>
          <w:b/>
        </w:rPr>
        <w:t>profil de tolérance cornéenne amélioré</w:t>
      </w:r>
      <w:r>
        <w:t xml:space="preserve"> (en raison de la concentration locale élevée, la dose administrée peut être réduite). Le seul représentant de cette sous-classe disponible en Algérie est le </w:t>
      </w:r>
      <w:r>
        <w:rPr>
          <w:b/>
        </w:rPr>
        <w:t>népaénac</w:t>
      </w:r>
      <w:r>
        <w:t xml:space="preserve"> (prodrogue de l'amfenac), commercialisé sous le nom APFECTO (World Medecine). Le népaénac a été développé par les laboratoires Alcon (devenus Novartis) et commercialisé internationalement depuis 2005 sous le nom princeps Nevanac®. Son introduction en Algérie est récente (APFECTO, World Medecine), et son remboursement et son utilisation en pratique courante restent à évaluer dans le contexte algérien.</w:t>
      </w:r>
    </w:p>
    <w:p>
      <w:r>
        <w:t>Le mécanisme d'action du népaénac repose sur une conversion enzymatique en amfenac, métabolite actif de la famille des acides phénylacétiques (comme le diclofénac). Après instillation, le népaénac (sous forme d'amide) pénètre la cornée par diffusion passive grâce à sa lipophilie supérieure à celle de l'amfenac. Une fois dans le stroma cornéen et l'épithélium, le népaénac est hydrolysé en amfenac par les hydrolases tissulaires (amidases). L'amfenac ainsi libéré inhibe la cyclo-oxygénase (COX-1 et COX-2) de manière réversible, réduisant la production de prostaglandines au niveau du segment antérieur. Cette stratégie permet d'atteindre des concentrations intracamérulaires d'amfenac 3 à 5 fois supérieures à celles obtenues avec le diclofénac ou le kétorolac à dose équivalente, avec une meilleure tolérance cornéenne (la concentration épithéliale de principe actif reste plus faible, réduisant la toxicité épithéliale directe). L'effet anti-inflammatoire et antalgique persiste 6 à 8 heures après instillation, justifiant une administration 3 fois par jour.</w:t>
      </w:r>
    </w:p>
    <w:p>
      <w:r>
        <w:t>L'efficacité clinique du népaénac a été démontrée dans plusieurs essais cliniques de phase III internationaux, principalement dans l'indication de traitement de l'inflammation et de la douleur post-opératoires après chirurgie de la cataracte. Le népaénac a montré une supériorité par rapport au placebo et une équivalence par rapport au diclofénac et au kétorolac sur le critère principal (réduction de la chambre de tyndall et de la douleur post-opératoires), avec une meilleure tolérance cornéenne (incidence de kératite ponctuée superficielle réduite de 30 à 50 % par rapport au diclofénac). Le népaénac a également montré une efficacité dans la prévention de l'œdème maculaire cystoïde post-opératoire (syndrome d'Irvine-Gass), complication de la chirurgie de la cataracte liée à la libération de prostaglandines au niveau de la rétine. Cette indication spécifique n'est pas validée en AMM stricte mais est couramment utilisée en pratique ophtalmologique internationale.</w:t>
      </w:r>
    </w:p>
    <w:p>
      <w:r>
        <w:t xml:space="preserve">La principale iatrogénicité du népaénac est la </w:t>
      </w:r>
      <w:r>
        <w:rPr>
          <w:b/>
        </w:rPr>
        <w:t>toxicité épithéliale cornéenne</w:t>
      </w:r>
      <w:r>
        <w:t>, mais d'incidence réduite par rapport aux AINS ophtalmiques classiques (diclofénac, kétorolac, flurbiprofène). Le mécanisme physiopathologique est similaire (inhibition de la COX-1 épithéliale cytoprotective, toxicité directe des excipients, altération de la cicatrisation épithéliale), mais la stratégie de prodrogue permet de réduire la concentration épithéliale du métabolite actif. Les autres effets indésirables sont identiques à ceux des autres AINS ophtalmiques : picotements à l'instillation, hyperhémie conjonctivale, réactions allergiques (croisées possibles avec les autres AINS), exceptionnels cas d'asthme déclenché chez les patients présentant une triade de Fernand-Widal. Les contre-indications sont identiques à celles des autres AINS ophtalmiques : hypersensibilité, asthme à l'aspirine, ulcère cornéen, sécheresse oculaire sévère, 3e trimestre de la grossesse, port de lentilles de contact. La posologie standard est de 1 goutte 3 fois par jour dans l'œil à traiter, en commençant 1 jour avant la chirurgie et en poursuivant pendant 2 à 4 semaines après la chirurgie.</w:t>
      </w:r>
    </w:p>
    <w:p>
      <w:r>
        <w:t>Le marché algérien du népaénac est limité à une seule spécialité, APFECTO (World Medecine, laboratoire turc), en flacon de 5 mL (contenant 1,7 mL de suspension), en Liste I (statut plus restrictif que le diclofénac). Le statut Liste I reflète à la fois la puissance pharmacologique du népaénac (prodrogue à concentration élevée au site d'action) et la nécessité d'un encadrement médical strict. Le pharmacien d'officine doit être particulièrement attentif à la prescription médicale et à l'information du patient sur les conditions d'utilisation, les contre-indications et les risques. Le népaénac est prescrit en pratique courante en alternative au diclofénac ou au kétorolac, principalement dans les centres ophtalmologiques spécialisés et les cliniques privées pratiquant la chirurgie de la cataracte. Son utilisation en pratique de ville reste limitée en raison de son prix (plus élevé que le diclofénac) et de son statut Liste I.</w:t>
      </w:r>
    </w:p>
    <w:p>
      <w:pPr>
        <w:pStyle w:val="Heading3"/>
      </w:pPr>
      <w:r>
        <w:t>143.3.2 DCI : Népaénac</w:t>
      </w:r>
    </w:p>
    <w:p>
      <w:r/>
      <w:r>
        <w:rPr>
          <w:b/>
        </w:rPr>
        <w:t>Liste des Catégories :</w:t>
      </w:r>
      <w:r>
        <w:t xml:space="preserve"> Liste I (collyre en suspension).</w:t>
      </w:r>
    </w:p>
    <w:p>
      <w:r>
        <w:t>Le népaénac est une prodrogue de l'amfenac, ANS dérivé de l'acide phénylacétique (comme le diclofénac). Synthétisé dans les années 1990 par les laboratoires Alcon (devenus Novartis), il a été commercialisé internationalement depuis 2005 sous le nom princeps Nevanac®, avec une indication de traitement de l'inflammation et de la douleur post-opératoires après chirurgie de la cataracte. Sa structure chimique se caractérise par une fonction amide (au lieu de l'acide carboxylique libre de l'amfenac), qui masque la charge négative et améliore la lipophilie, facilitant ainsi la pénétration cornéenne. Après instillation, le népaénac est rapidement hydrolysé en amfenac par les amidases tissulaires de la cornée et du segment antérieur, atteignant des concentrations intracamérulaires 3 à 5 fois supérieures à celles du diclofénac à dose équivalente. En Algérie, le népaénac est disponible sous une seule spécialité, APFECTO (World Medecine, laboratoire turc), en flacon de 5 mL contenant 1,7 mL de suspension, en Liste I. Cette spécialité est l'unique représentant de la classe des AINS ophtalmiques prodrogues disponible en Algérie dans la nomenclature de 2026.</w:t>
      </w:r>
    </w:p>
    <w:p>
      <w:r/>
      <w:r>
        <w:rPr>
          <w:b/>
        </w:rPr>
        <w:t>Médicaments disponibles en Algérie (tableau commercial) :</w:t>
      </w:r>
      <w:r/>
    </w:p>
    <w:p>
      <w:r>
        <w:t>Formes ophtalmiques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APFECTO</w:t>
            </w:r>
          </w:p>
        </w:tc>
        <w:tc>
          <w:tcPr>
            <w:tcW w:type="dxa" w:w="1559"/>
          </w:tcPr>
          <w:p>
            <w:r>
              <w:rPr>
                <w:sz w:val="20"/>
              </w:rPr>
              <w:t>WORLD MEDECINE ILAC SAN.VE TIC.AS</w:t>
            </w:r>
          </w:p>
        </w:tc>
        <w:tc>
          <w:tcPr>
            <w:tcW w:type="dxa" w:w="1559"/>
          </w:tcPr>
          <w:p>
            <w:r>
              <w:rPr>
                <w:sz w:val="20"/>
              </w:rPr>
              <w:t>Collyre en suspension 0,3 % (3 mg/mL) népaénac</w:t>
            </w:r>
          </w:p>
        </w:tc>
        <w:tc>
          <w:tcPr>
            <w:tcW w:type="dxa" w:w="1559"/>
          </w:tcPr>
          <w:p>
            <w:r>
              <w:rPr>
                <w:sz w:val="20"/>
              </w:rPr>
              <w:t>Flacon de 5 mL (en LDPE, contenant 1,7 mL de suspension)</w:t>
            </w:r>
          </w:p>
        </w:tc>
        <w:tc>
          <w:tcPr>
            <w:tcW w:type="dxa" w:w="1559"/>
          </w:tcPr>
          <w:p>
            <w:r>
              <w:rPr>
                <w:sz w:val="20"/>
              </w:rPr>
              <w:t>Liste I</w:t>
            </w:r>
          </w:p>
        </w:tc>
        <w:tc>
          <w:tcPr>
            <w:tcW w:type="dxa" w:w="1559"/>
          </w:tcPr>
          <w:p>
            <w:r>
              <w:rPr>
                <w:sz w:val="20"/>
              </w:rPr>
              <w:t>Actif</w:t>
            </w:r>
          </w:p>
        </w:tc>
      </w:tr>
    </w:tbl>
    <w:p/>
    <w:p>
      <w:r>
        <w:t>Le népaénac ophtalmique est donc disponible en Algérie sous une seule spécialité (APFECTO, World Medecine). Cette mono-spécialité reflète à la fois la position de molécule de dernière génération (introduite récemment sur le marché algérien) et le statut Liste I qui en restreint l'usage à la prescription médicale stricte. Le pharmacien d'officine doit être particulièrement attentif à la concentration : la concentration ophtalmique (0,3 % ou 3 mg/mL) est strictement réservée à l'usage ophtalmologique. La spécialité APFECTO est conditionnée en flacon de 5 mL en polyéthylène basse densité (LDPE), contenant effectivement 1,7 mL de suspension (et non 5 mL comme l'indiquerait le conditionnement nominal — cette particularité s'explique par la concentration élevée en principe actif et la quantité nécessaire limitée pour un traitement post-opératoire court). La conservation se fait à température ≤ 25 °C, à l'abri de la lumière, et le flacon doit être agité doucement avant chaque instillation (en raison de la formulation en suspension, le principe actif peut sédimenter). Le flacon doit être jeté dans les 4 semaines suivant la première ouverture. Le statut Liste I impose la présentation d'une ordonnance médicale datée de moins de 12 mois pour la délivrance, et l'enregistrement de la délivrance dans le registre pharmaceutique.</w:t>
      </w:r>
    </w:p>
    <w:p>
      <w:r/>
      <w:r>
        <w:rPr>
          <w:b/>
        </w:rPr>
        <w:t>Sous-classe et Mécanisme d'action :</w:t>
      </w:r>
      <w:r/>
    </w:p>
    <w:p>
      <w:pPr>
        <w:pStyle w:val="ListBullet"/>
      </w:pPr>
      <w:r>
        <w:t>Sous-classe : AINS ophtalmique sous forme de prodrogue, appartenant à la famille des acides phénylacétiques (comme le diclofénac). Inhibiteur non sélectif de la cyclo-oxygénase (COX-1 et COX-2), via son métabolite actif l'amfenac.</w:t>
      </w:r>
    </w:p>
    <w:p>
      <w:pPr>
        <w:pStyle w:val="ListBullet"/>
      </w:pPr>
      <w:r>
        <w:t>Mécanisme d'action : Le népaénac est une prodrogue de l'amfenac, caractérisée par une fonction amide au lieu de l'acide carboxylique libre. Cette modification structurale augmente la lipophilie de la molécule (logP ≈ 3,0 pour le népaénac vs ≈ 2,0 pour l'amfenac), facilitant sa pénétration trans-épithéliale cornéenne par diffusion passive. Après instillation, le népaénac pénètre rapidement la couche épithéliale cornéenne (lipophile), atteint le stroma (hydrophile) où il est hydrolysé en amfenac par les amidases tissulaires (notamment les hydrolases à serine et les carboxylestérases). L'amfenac ainsi libéré inhibe la cyclo-oxygénase (COX-1 et COX-2) de manière réversible, réduisant la production de prostaglandines au niveau du segment antérieur. La concentration intracamérulaire d'amfenac atteint 3 à 5 fois celle du diclofénac à dose équivalente, ce qui explique l'efficacité anti-inflammatoire supérieure ou équivalente du népaénac par rapport aux AINS ophtalmiques classiques. L'effet persiste 6 à 8 heures après instillation, justifiant une administration 3 fois par jour. La stratégie de prodrogue permet également de réduire la concentration épithéliale du métabolite actif (l'amfenac est libéré dans le stroma, à distance de l'épithélium), ce qui explique la meilleure tolérance cornéenne du népaénac par rapport au diclofénac et au kétorolac.</w:t>
      </w:r>
    </w:p>
    <w:p>
      <w:pPr>
        <w:pStyle w:val="ListBullet"/>
      </w:pPr>
      <w:r>
        <w:t>Spectre d'action : Pas d'activité antibactérienne, antivirale ou antifongique. Action purement anti-inflammatoire et antalgique. Aucune activité mydriatique propre.</w:t>
      </w:r>
    </w:p>
    <w:p>
      <w:r/>
      <w:r>
        <w:rPr>
          <w:b/>
        </w:rPr>
        <w:t>Profil Pharmacologique :</w:t>
      </w:r>
      <w:r/>
    </w:p>
    <w:p>
      <w:pPr>
        <w:pStyle w:val="ListBullet"/>
      </w:pPr>
      <w:r>
        <w:t>Indications : (1) Traitement de l'inflammation et de la douleur post-opératoires après chirurgie de la cataracte par phaco-émulsification (indication principale, AMM stricte) ; (2) Prévention de l'œdème maculaire cystoïde post-opératoire (syndrome d'Irvine-Gass) chez les patients à risque (diabétiques, antécédent d'œdème maculaire à l'œil controlatéral) — indication courante hors AMM stricte, validée par de nombreuses études internationales ; (3) Traitement de la douleur post-opératoire après chirurgie réfractive (PKR, LASIK) — indication de seconde intention en cas d'échec ou de contre-indication du diclofénac ; (4) Traitement de l'inflammation post-opératoire du segment antérieur après vitrectomie antérieure, kératoplastie, chirurgie du glaucome.</w:t>
      </w:r>
    </w:p>
    <w:p>
      <w:pPr>
        <w:pStyle w:val="ListBullet"/>
      </w:pPr>
      <w:r>
        <w:t>Contre-indications : (1) Hypersensibilité au népaénac, à l'amfenac, à l'un des excipients (notamment chlorure de benzalkonium) ou à d'autres AINS ; (2) Antécédent d'asthme déclenché par les AINS (triade de Fernand-Widal) ; (3) Ulcère cornéen épithélial actif ou kératite épithéliale non cicatrisée ; (4) Sécheresse oculaire sévère ; (5) Troisième trimestre de la grossesse ; (6) Port de lentilles de contact ; (7) Enfant de moins de 18 ans (en l'absence d'études cliniques pédiatriques spécifiques).</w:t>
      </w:r>
    </w:p>
    <w:p>
      <w:pPr>
        <w:pStyle w:val="ListBullet"/>
      </w:pPr>
      <w:r>
        <w:t>Spectre d'action : Anti-inflammatoire et antalgique. Pas d'activité antibiotique ou antivirale. Efficacité supérieure ou équivalente au diclofénac dans l'indication post-opératoire de la cataracte, avec une meilleure tolérance cornéenne.</w:t>
      </w:r>
    </w:p>
    <w:p>
      <w:r/>
      <w:r>
        <w:rPr>
          <w:b/>
        </w:rPr>
        <w:t>Effets Indésirables :</w:t>
      </w:r>
      <w:r/>
    </w:p>
    <w:p>
      <w:pPr>
        <w:pStyle w:val="ListBullet"/>
      </w:pPr>
      <w:r/>
      <w:r>
        <w:rPr>
          <w:b/>
        </w:rPr>
        <w:t>Locaux précoces</w:t>
      </w:r>
      <w:r>
        <w:t xml:space="preserve"> (5 à 20 % des patients) : picotements à l'instillation (sensations de brûlure transitoires moins marquées qu'avec le diclofénac ou le kétorolac), sensation de corps étranger, hyperhémie conjonctivale modérée, larmoiement, vision trouble transitoire (liée à la diffusion de la suspension dans le film lacrymal), prurit oculaire modéré.</w:t>
      </w:r>
    </w:p>
    <w:p>
      <w:pPr>
        <w:pStyle w:val="ListBullet"/>
      </w:pPr>
      <w:r/>
      <w:r>
        <w:rPr>
          <w:b/>
        </w:rPr>
        <w:t>Locaux tardifs</w:t>
      </w:r>
      <w:r>
        <w:t xml:space="preserve"> (au-delà de 2 semaines d'usage) : kératite ponctuée superficielle (3 à 10 % selon les séries, incidence inférieure à celle du diclofénac et du kétorolac), retard de cicatrisation épithéliale (en cas de chirurgie cornéenne récente), ulcération cornéenne (rare, surtout en cas de facteurs de risque), œdème cornéen (en cas d'usage prolongé), exceptionnellement kératomalacie et perforation cornéenne.</w:t>
      </w:r>
    </w:p>
    <w:p>
      <w:pPr>
        <w:pStyle w:val="ListBullet"/>
      </w:pPr>
      <w:r/>
      <w:r>
        <w:rPr>
          <w:b/>
        </w:rPr>
        <w:t>Allergiques</w:t>
      </w:r>
      <w:r>
        <w:t xml:space="preserve"> (1 à 3 %) : kératoconjonctivite allergique, blépharite allergique, dermatite de contact palpébrale ; plus rarement réactions systémiques (urticaire, œdème de Quincke, exceptionnellement choc anaphylactique — allergies croisées possibles avec les autres AINS).</w:t>
      </w:r>
    </w:p>
    <w:p>
      <w:pPr>
        <w:pStyle w:val="ListBullet"/>
      </w:pPr>
      <w:r/>
      <w:r>
        <w:rPr>
          <w:b/>
        </w:rPr>
        <w:t>Systémiques</w:t>
      </w:r>
      <w:r>
        <w:t xml:space="preserve"> (liés au passage systémique, estimé à 3 à 8 % de la dose instillée — inférieur à celui du diclofénac en raison de la conversion locale en amfenac) : exceptionnels cas d'asthme déclenché chez les patients présentant une triade de Fernand-Widal, saignements gastro-intestinaux chez les patients prédisposés (à surveiller en cas de traitement prolongé).</w:t>
      </w:r>
    </w:p>
    <w:p>
      <w:pPr>
        <w:pStyle w:val="ListBullet"/>
      </w:pPr>
      <w:r/>
      <w:r>
        <w:rPr>
          <w:b/>
        </w:rPr>
        <w:t>Cornéens graves</w:t>
      </w:r>
      <w:r>
        <w:t xml:space="preserve"> : aucun cas publié de perforation cornéenne avec le népaénac (contrairement au diclofénac), ce qui suggère une tolérance cornéenne supérieure.</w:t>
      </w:r>
    </w:p>
    <w:p>
      <w:r/>
      <w:r>
        <w:rPr>
          <w:b/>
        </w:rPr>
        <w:t>Prévention et Gestion des Effets Indésirables :</w:t>
      </w:r>
      <w:r/>
    </w:p>
    <w:p>
      <w:pPr>
        <w:pStyle w:val="ListBullet"/>
      </w:pPr>
      <w:r>
        <w:t>Mesures préventives : identiques à celles du diclofénac ophtalmique. La stratégie de prodrogue permettant une meilleure tolérance cornéenne, les mesures préventives sont moins strictes que pour le diclofénac, mais doivent néanmoins être appliquées : évaluation de l'état cornéen avant prescription, limitation de la durée d'utilisation à la période post-opératoire immédiate (2 à 4 semaines), association à un substitut lacrymal sans conservateur, surveillance ophtalmologique régulière.</w:t>
      </w:r>
    </w:p>
    <w:p>
      <w:pPr>
        <w:pStyle w:val="ListBullet"/>
      </w:pPr>
      <w:r>
        <w:t>Conduite à tenir en cas de kératite ponctuée superficielle : arrêt du népaénac ; substitution par un substitut lacrymal sans conservateur ; surveillance ophtalmologique à 24-48 heures. En cas de nécessité absolue de maintenir un anti-inflammatoire local, substitution par une corticothérapie locale de courte durée (dexaméthasone, prednisolone), sous surveillance ophtalmologique rapprochée.</w:t>
      </w:r>
    </w:p>
    <w:p>
      <w:pPr>
        <w:pStyle w:val="ListBullet"/>
      </w:pPr>
      <w:r>
        <w:t>Conduite à tenir en cas de réaction allergique : arrêt immédiat ; antihistaminique local ; corticothérapie locale de courte durée en cas de réaction marquée ; en cas de réaction systémique, arrêt définitif de tous les AINS.</w:t>
      </w:r>
    </w:p>
    <w:p>
      <w:pPr>
        <w:pStyle w:val="ListBullet"/>
      </w:pPr>
      <w:r>
        <w:t>Conduite à tenir en cas d'asthme déclenché : arrêt immédiat ; traitement de la crise d'asthme ; contre-indication définitive de tous les AINS.</w:t>
      </w:r>
    </w:p>
    <w:p>
      <w:r/>
      <w:r>
        <w:rPr>
          <w:b/>
        </w:rPr>
        <w:t>Interactions Importantes :</w:t>
      </w:r>
      <w:r/>
    </w:p>
    <w:p>
      <w:pPr>
        <w:pStyle w:val="ListBullet"/>
      </w:pPr>
      <w:r>
        <w:t>Autres collyres contenant du chlorure de benzalkonium : majoration de la toxicité épithéliale cornéenne. Espacer les instillations de 10 à 15 minutes.</w:t>
      </w:r>
    </w:p>
    <w:p>
      <w:pPr>
        <w:pStyle w:val="ListBullet"/>
      </w:pPr>
      <w:r>
        <w:t>Corticoïdes ophtalmiques : association synergique sur le plan anti-inflammatoire, mais majoration du risque d'ulcération cornéenne et de retard de cicatrisation. À utiliser avec prudence et surveillance rapprochée.</w:t>
      </w:r>
    </w:p>
    <w:p>
      <w:pPr>
        <w:pStyle w:val="ListBullet"/>
      </w:pPr>
      <w:r>
        <w:t>Anticoagulants oraux et antiagrégants plaquettaires : majoration du risque hémorragique (le passage systémique du népaénac étant réduit, l'impact clinique est moindre qu'avec le kétorolac).</w:t>
      </w:r>
    </w:p>
    <w:p>
      <w:pPr>
        <w:pStyle w:val="ListBullet"/>
      </w:pPr>
      <w:r>
        <w:t>Autres AINS systémiques : cumul des effets indésirables et majoration du risque allergique croisé.</w:t>
      </w:r>
    </w:p>
    <w:p>
      <w:pPr>
        <w:pStyle w:val="ListBullet"/>
      </w:pPr>
      <w:r>
        <w:t>Lithium, diurétiques, IEC, ARA2 : interactions identiques à celles du diclofénac, mais d'impact clinique moindre en raison du passage systémique réduit du népaénac.</w:t>
      </w:r>
    </w:p>
    <w:p>
      <w:pPr>
        <w:pStyle w:val="ListBullet"/>
      </w:pPr>
      <w:r>
        <w:t>Mydriatiques (tropicamide, phényléphrine) : pas d'interaction, association habituelle en pré-opératoire de la cataracte.</w:t>
      </w:r>
    </w:p>
    <w:p>
      <w:r/>
      <w:r>
        <w:rPr>
          <w:b/>
        </w:rPr>
        <w:t>Grossesse et Allaitement :</w:t>
      </w:r>
      <w:r/>
    </w:p>
    <w:p>
      <w:pPr>
        <w:pStyle w:val="ListBullet"/>
      </w:pPr>
      <w:r>
        <w:t xml:space="preserve">Grossesse : Le népaénac ophtalmique est </w:t>
      </w:r>
      <w:r>
        <w:rPr>
          <w:b/>
        </w:rPr>
        <w:t>déconseillé pendant le 1er et le 2e trimestre</w:t>
      </w:r>
      <w:r>
        <w:t xml:space="preserve"> et </w:t>
      </w:r>
      <w:r>
        <w:rPr>
          <w:b/>
        </w:rPr>
        <w:t>contre-indiqué au 3e trimestre</w:t>
      </w:r>
      <w:r>
        <w:t xml:space="preserve"> de la grossesse, comme tous les AINS. En raison du passage systémique réduit du népaénac (prodrogue convertie localement), la prudence est moins renforcée qu'avec le kétorolac, mais les recommandations restent identiques à celles du diclofénac. Au 3e trimestre, la contre-indication est absolue. En cas de nécessité absolue au 1er ou 2e trimestre, préférer la prednisolone ophtalmique (compatible avec la grossesse aux posologies locales).</w:t>
      </w:r>
    </w:p>
    <w:p>
      <w:pPr>
        <w:pStyle w:val="ListBullet"/>
      </w:pPr>
      <w:r>
        <w:t xml:space="preserve">Allaitement : En raison du passage systémique réduit du népaénac, le népaénac ophtalmique est </w:t>
      </w:r>
      <w:r>
        <w:rPr>
          <w:b/>
        </w:rPr>
        <w:t>compatible avec l'allaitement en usage court (≤ 2 semaines)</w:t>
      </w:r>
      <w:r>
        <w:t xml:space="preserve"> aux posologies recommandées, avec surveillance de l'enfant allaité en cas d'usage prolongé ou répété.</w:t>
      </w:r>
    </w:p>
    <w:p>
      <w:pPr>
        <w:pStyle w:val="ListBullet"/>
      </w:pPr>
      <w:r>
        <w:t>Précautions : Éviter l'usage prolongé pendant la grossesse et l'allaitement. En cas de chirurgie oculaire programmée pendant la grossesse, planifier idéalement au 2e trimestre et limiter la durée d'utilisation post-opératoire à 1 semaine.</w:t>
      </w:r>
    </w:p>
    <w:p>
      <w:r/>
      <w:r>
        <w:rPr>
          <w:b/>
        </w:rPr>
        <w:t>Posologie et Mode d'administration (Standard) :</w:t>
      </w:r>
      <w:r/>
    </w:p>
    <w:p>
      <w:pPr>
        <w:pStyle w:val="ListBullet"/>
      </w:pPr>
      <w:r>
        <w:t>Adulte et adolescent de plus de 18 ans : 1 goutte dans l'œil à traiter, 3 fois par jour (matin, midi et soir), à espacer de 8 heures.</w:t>
      </w:r>
    </w:p>
    <w:p>
      <w:pPr>
        <w:pStyle w:val="ListBullet"/>
      </w:pPr>
      <w:r>
        <w:t>Traitement post-opératoire de la cataracte : commencer la veille de la chirurgie (1 goutte 3 fois par jour), poursuivre pendant 2 à 4 semaines après la chirurgie, en association avec un antibiotique local et un corticoïde local selon le protocole du chirurgien.</w:t>
      </w:r>
    </w:p>
    <w:p>
      <w:pPr>
        <w:pStyle w:val="ListBullet"/>
      </w:pPr>
      <w:r>
        <w:t>Prévention de l'œdème maculaire cystoïde post-opératoire : 1 goutte 3 fois par jour pendant 4 à 6 semaines après la chirurgie, en association avec un corticoïde local selon le protocole du chirurgien.</w:t>
      </w:r>
    </w:p>
    <w:p>
      <w:pPr>
        <w:pStyle w:val="ListBullet"/>
      </w:pPr>
      <w:r>
        <w:t>Posologie maximale : 3 gouttes par jour et par œil, à ne pas dépasser.</w:t>
      </w:r>
    </w:p>
    <w:p>
      <w:pPr>
        <w:pStyle w:val="ListBullet"/>
      </w:pPr>
      <w:r>
        <w:t>Enfant de moins de 18 ans : contre-indication en l'absence d'études cliniques pédiatriques spécifiques.</w:t>
      </w:r>
    </w:p>
    <w:p>
      <w:pPr>
        <w:pStyle w:val="ListBullet"/>
      </w:pPr>
      <w:r>
        <w:t>Mode d'administration : identique à celle du diclofénac ophtalmique, avec une précaution particulière : agiter doucement le flacon avant chaque instillation (en raison de la formulation en suspension, le principe actif peut sédimenter).</w:t>
      </w:r>
    </w:p>
    <w:p>
      <w:pPr>
        <w:pStyle w:val="ListBullet"/>
      </w:pPr>
      <w:r>
        <w:t>Durée maximale de traitement : 2 à 4 semaines en moyenne, sans dépassement sans avis ophtalmologique spécialisé.</w:t>
      </w:r>
    </w:p>
    <w:p>
      <w:r/>
      <w:r>
        <w:rPr>
          <w:b/>
        </w:rPr>
        <w:t>Arbitrage et Bénéfices des Formes Galéniques :</w:t>
      </w:r>
      <w:r/>
    </w:p>
    <w:p>
      <w:r>
        <w:t>La seule forme galénique disponible en Algérie pour le népaénac ophtalmique est le collyre en suspension à la concentration de 0,3 % (3 mg/mL), conditionné en flacon multidose de 5 mL en LDPE (contenant effectivement 1,7 mL de suspension). Le volume unitaire d'une goutte est d'environ 30 à 50 µL, ce qui correspond à une dose unitaire de 90 à 150 µg de népaénac. Le conditionnement en flacon contenant 1,7 mL correspond à environ 35 à 50 gouttes, ce qui couvre largement un traitement de 2 à 4 semaines à la posologie standard (3 gouttes par jour × 21 jours = 63 gouttes par traitement — le flacon est dimensionné pour permettre le traitement complet sans épuisement précoce). La formulation en suspension (vs solution) est imposée par la faible solubilité aqueuse du népaénac ; elle nécessite une agitation douce avant chaque instillation pour homogénéiser la suspension. Le chlorure de benzalkonium est utilisé comme conservateur à la concentration de 0,01 %. Aucune forme sans chlorure de benzalkonium n'est disponible en Algérie pour le népaénac. Comparé au diclofénac, le népaénac présente une efficacité supérieure ou équivalente dans l'indication post-opératoire de la cataracte, avec une meilleure tolérance cornéenne (incidence réduite de kératite ponctuée superficielle). Sa place dans l'arsenal thérapeutique algérien est en seconde intention, en cas d'intolérance ou de contre-indication au diclofénac, ou en cas de chirurgie de la cataracte à risque élevé d'œdème maculaire cystoïde (diabète, antécédent à l'œil controlatéral).</w:t>
      </w:r>
    </w:p>
    <w:p>
      <w:r/>
      <w:r>
        <w:rPr>
          <w:b/>
        </w:rPr>
        <w:t>Instructions et Conseils au Patient :</w:t>
      </w:r>
      <w:r/>
    </w:p>
    <w:p>
      <w:pPr>
        <w:pStyle w:val="ListBullet"/>
      </w:pPr>
      <w:r>
        <w:t>Communication au comptoir : Rappeler qu'il s'agit d'un AINS ophtalmique de dernière génération (prodrogue), à utiliser uniquement sur prescription ophtalmologique stricte (Liste I), pendant une durée limitée (2 à 4 semaines). Insister sur l'importance de l'agitation du flacon avant chaque instillation (en raison de la formulation en suspension). Vérifier les contre-indications (allergie aux AINS, asthme à l'aspirine, ulcère cornéen, sécheresse oculaire sévère, grossesse au 3e trimestre, port de lentilles de contact) au moment de la délivrance. Enregistrer la délivrance dans le registre des Listes I.</w:t>
      </w:r>
    </w:p>
    <w:p>
      <w:pPr>
        <w:pStyle w:val="ListBullet"/>
      </w:pPr>
      <w:r>
        <w:t>Mode d'utilisation pratique : identique à celle du diclofénac ophtalmique, avec une précaution particulière : agiter doucement le flacon avant chaque instillation.</w:t>
      </w:r>
    </w:p>
    <w:p>
      <w:pPr>
        <w:pStyle w:val="ListBullet"/>
      </w:pPr>
      <w:r>
        <w:t>Information sur les signes d'alerte : douleur oculaire, baisse d'acuité visuelle, rougeur oculaire intense, œdème palpébral, larmoiement excessif, sensation de corps étranger → arrêt immédiat et consultation ophtalmologique urgente.</w:t>
      </w:r>
    </w:p>
    <w:p>
      <w:pPr>
        <w:pStyle w:val="ListBullet"/>
      </w:pPr>
      <w:r>
        <w:t>Information sur la conservation : conserver à température ≤ 25 °C, à l'abri de la lumière. Ne pas congeler. Jeter le flacon dans les 4 semaines après la première ouverture. Ne pas partager le flacon. Ne pas utiliser en cas de changement d'aspect (modification de la couleur ou de la consistance de la suspension).</w:t>
      </w:r>
    </w:p>
    <w:p>
      <w:pPr>
        <w:pStyle w:val="ListBullet"/>
      </w:pPr>
      <w:r>
        <w:t>Information sur l'usage chez la femme enceinte : contre-indication absolue au 3e trimestre ; à éviter par prudence au 1er et 2e trimestres.</w:t>
      </w:r>
    </w:p>
    <w:p>
      <w:pPr>
        <w:pStyle w:val="ListBullet"/>
      </w:pPr>
      <w:r>
        <w:t>Information sur le port de lentilles de contact : contre-indication pendant la durée du traitement. Retirer les lentilles avant l'instillation et attendre au moins 15 minutes avant de les remettre (idéalement, suspendre le port des lentilles pendant toute la durée du traitement).</w:t>
      </w:r>
    </w:p>
    <w:p>
      <w:r/>
      <w:r>
        <w:rPr>
          <w:b/>
        </w:rPr>
        <w:t>Notes, Règles d'Or &amp; Pièges au Comptoir :</w:t>
      </w:r>
      <w:r/>
    </w:p>
    <w:p>
      <w:pPr>
        <w:pStyle w:val="ListBullet"/>
      </w:pPr>
      <w:r>
        <w:t>Piège classique n°1 : Patient revenant à l'officine pour renouveler un collyre au népaénac depuis plusieurs mois → suspicion de mésusage (usage prolongé non surveillé). Refus du renouvellement, orientation vers l'ophtalmologue.</w:t>
      </w:r>
    </w:p>
    <w:p>
      <w:pPr>
        <w:pStyle w:val="ListBullet"/>
      </w:pPr>
      <w:r>
        <w:t>Piège classique n°2 : Patient présentant un antécédent d'asthme à l'aspirine ou de triade de Fernand-Widal → refus de la délivrance, contre-indication absolue.</w:t>
      </w:r>
    </w:p>
    <w:p>
      <w:pPr>
        <w:pStyle w:val="ListBullet"/>
      </w:pPr>
      <w:r>
        <w:t>Piège classique n°3 : Patient porteur de lentilles de contact → refus de la délivrance sans avis ophtalmologique.</w:t>
      </w:r>
    </w:p>
    <w:p>
      <w:pPr>
        <w:pStyle w:val="ListBullet"/>
      </w:pPr>
      <w:r>
        <w:t>Piège classique n°4 : Patient n'ayant pas agité le flacon avant l'instillation → risque d'instillation de véhicule seul (sans principe actif, qui a sédimenté au fond du flacon) → inefficacité thérapeutique. Information sur l'importance de l'agitation douce avant chaque instillation.</w:t>
      </w:r>
    </w:p>
    <w:p>
      <w:pPr>
        <w:pStyle w:val="ListBullet"/>
      </w:pPr>
      <w:r>
        <w:t>Règle d'or : « Népaénac collyre = 3 gouttes par jour maximum, 2 à 4 semaines maximum, agiter avant chaque instillation, jamais chez le porteur de lentilles, jamais chez l'asthmatique à l'aspirine, jamais au 3e trimestre de la grossesse. »</w:t>
      </w:r>
    </w:p>
    <w:p>
      <w:pPr>
        <w:pStyle w:val="ListBullet"/>
      </w:pPr>
      <w:r>
        <w:t>Préparation et Conservation : Flacon fermé, à température ≤ 25 °C, à l'abri de la lumière. Ne pas congeler. Agiter doucement avant chaque instillation. Jeter le flacon 4 semaines après la première ouverture.</w:t>
      </w:r>
    </w:p>
    <w:p>
      <w:pPr>
        <w:pStyle w:val="ListBullet"/>
      </w:pPr>
      <w:r>
        <w:t>Piège du diagnostic différentiel : Une douleur oculaire unilatérale résistante au népaénac doit faire suspecter une cause non inflammatoire (glaucome aigu, kératite infectieuse, uvéite antérieure, corps étranger intra-oculaire).</w:t>
      </w:r>
    </w:p>
    <w:p>
      <w:pPr>
        <w:pStyle w:val="ListBullet"/>
      </w:pPr>
      <w:r>
        <w:t>Piège de la prescription hors AMM : le népaénac est parfois prescrit hors AMM stricte pour la prévention de l'œdème maculaire cystoïde post-opératoire. Cette prescription doit être effectuée par un ophtalmologue spécialisé en pathologie de la rétine, après évaluation du rapport bénéfice/risque.</w:t>
      </w:r>
    </w:p>
    <w:p>
      <w:pPr>
        <w:pStyle w:val="ListBullet"/>
      </w:pPr>
      <w:r>
        <w:t>Piège de la substitution : la substitution entre le népaénac (APFECTO) et les autres AINS ophtalmiques (diclofénac, kétorolac) n'est pas recommandée sans avis ophtalmologique, en raison des différences de pharmacocinétique, d'efficacité et de tolérance cornéenne.</w:t>
      </w:r>
    </w:p>
    <w:p>
      <w:pPr>
        <w:pStyle w:val="Heading2"/>
      </w:pPr>
      <w:r>
        <w:t>143.4 Sous-classe : Anesthésiques locaux ophtalmiques</w:t>
      </w:r>
    </w:p>
    <w:p>
      <w:pPr>
        <w:pStyle w:val="Heading3"/>
      </w:pPr>
      <w:r>
        <w:t>143.4.1 Généralités de la sous-classe</w:t>
      </w:r>
    </w:p>
    <w:p>
      <w:r>
        <w:t>Les anesthésiques locaux ophtalmiques constituent une classe thérapeutique homogène dont l'usage en ophtalmologie est strictement réservé au geste diagnostique ou thérapeutique court. Dérivés des amino-amides (lidocaïne, bupivacaïne) ou des amino-esters (tétracaïne, proparacaïne, oxybuprocaïne), ils partagent un mécanisme d'action commun : le blocage réversible des canaux sodiques voltage-dépendants des fibres nerveuses sensitives de la cornée, de la conjonctive et des paupières. Leur introduction en ophtalmologie remonte au début du XXe siècle, avec la synthèse de la cocaïne (premier anesthésique local utilisé en ophtalmologie par Carl Koller en 1884), puis de la proparacaïne et de la tétracaïne (années 1930), et enfin de l'oxybuprocaïne (années 1950, plus connue sous le nom de Benoxinate® ou Novesine®). Deux molécules d'anesthésiques locaux ophtalmiques sont (ou ont été) disponibles en Algérie : l'</w:t>
      </w:r>
      <w:r>
        <w:rPr>
          <w:b/>
        </w:rPr>
        <w:t>oxybuprocaïne</w:t>
      </w:r>
      <w:r>
        <w:t xml:space="preserve"> (sous les noms ANESTOCIL, CEBESINE, et historiquement NOVESINE) et la </w:t>
      </w:r>
      <w:r>
        <w:rPr>
          <w:b/>
        </w:rPr>
        <w:t>tétragaïne</w:t>
      </w:r>
      <w:r>
        <w:t xml:space="preserve"> (tétracaïne, autrefois commercialisée sous les noms ELUDRIL et OROMEDINE, mais qui n'est plus disponible en Algérie dans la nomenclature de 2026 — toutes les formes ont été retirées du marché). Cette diversité limitée reflète à la fois la contraction progressive du marché de l'anesthésie locale ophtalmique (liée à la concurrence des alternatives systémiques et à la préférence pour l'anesthésie loco-régionale péri-bulbaire dans la chirurgie oculaire) et la maturité de la classe (princeps des années 1930 à 1960).</w:t>
      </w:r>
    </w:p>
    <w:p>
      <w:r>
        <w:t xml:space="preserve">Le mécanisme d'action commun aux anesthésiques locaux ophtalmiques repose sur le </w:t>
      </w:r>
      <w:r>
        <w:rPr>
          <w:b/>
        </w:rPr>
        <w:t>blocage des canaux sodiques voltage-dépendants</w:t>
      </w:r>
      <w:r>
        <w:t xml:space="preserve"> des fibres nerveuses sensitives. Après instillation, l'anesthésique local diffuse à travers la cornée et la conjonctive, atteint les terminaisons nerveuses sensitives du plexus sous-épithélial (branches du nerf ophtalmique, V1). La molécule sous forme non ionisée (lipophile) traverse la membrane axonale et pénètre dans la fibre nerveuse. Une fois à l'intérieur, l'anesthésique local se protonise (forme ionisée hydrophile) et se fixe au récepteur intracellulaire du canal sodique, bloquant ainsi l'ouverture du canal lors de la dépolarisation. Sans entrée de sodium, le potentiel d'action ne peut pas être généré ni propagé, et la conduction nerveuse sensitive est interrompue. L'effet est obtenu en 30 secondes à 1 minute (latence courte), atteint son maximum en 1 à 5 minutes et persiste pendant 15 à 30 minutes selon la molécule. Cette cinétique ultra-rapide explique l'usage strictement diagnostique et thérapeutique court de ces molécules : extraction de corps étranger cornéen, mesurement de la pression intra-oculaire par aplanation (tonométrie), examen de la motilité oculaire, déchirure conjonctivale, sondage des voies lacrymales, application de lentilles de contact sclérales, bilan d'un strabisme avec couvercle, réalisation d'une conjonctivite allergique de provocation.</w:t>
      </w:r>
    </w:p>
    <w:p>
      <w:r>
        <w:t>L'efficacité clinique des anesthésiques locaux ophtalmiques est remarquable, permettant une anesthésie complète de la surface oculaire en moins de 5 minutes. L'oxybuprocaïne (0,4 %) et la tétracaïne (0,5 à 1 %) produisent une anesthésie de la cornée et de la conjonctive pendant 15 à 30 minutes, suffisante pour la plupart des gestes diagnostiques et thérapeutiques courts. L'effet est réversible et complète en 30 à 60 minutes, sans séquelle. Cette efficacité, combinée à la rapidité d'action, explique leur place irremplaçable en pratique ophtalmologique courante : aucun autre médicament ne permet une anesthésie aussi rapide et aussi complète de la surface oculaire. Les alternatives (anesthésie loco-régionale péri-bulbaire, anesthésie générale) sont réservées aux gestes chirurgicaux plus longs (chirurgie de la cataracte, vitrectomie, chirurgie rétinienne, chirurgie du strabisme).</w:t>
      </w:r>
    </w:p>
    <w:p>
      <w:r>
        <w:t xml:space="preserve">La principale iatrogénicité de la classe des anesthésiques locaux ophtalmiques est représentée par la </w:t>
      </w:r>
      <w:r>
        <w:rPr>
          <w:b/>
        </w:rPr>
        <w:t>toxicité cornéenne chronique</w:t>
      </w:r>
      <w:r>
        <w:t xml:space="preserve"> en cas d'usage répété ou prolongé. Le mécanisme physiopathologique implique plusieurs facteurs : (1) perte de la sensibilité cornéenne protective (la cornée insensible ne perçoit plus les agressions externes — poussière, corps étranger, lumière UV — ce qui expose à des microtraumatismes non perçus et à des ulcérations), (2) inhibition de la cicatrisation épithéliale (les anesthésiques locaux altèrent la migration et la prolifération des cellules épithéliales cornéennes), (3) toxicité directe sur les kératocytes du stroma (apoptose dose-dépendante), (4) altération du réflexe lacrymal (réduction de la sécrétion lacrymale réflexe, aggravant la sécheresse oculaire), (5) toxicité des excipients (notamment le chlorure de benzalkonium, présent dans la plupart des formulations multidoses, qui altère les jonctions serrées épithéliales). Les facteurs de risque de toxicité cornéenne sont : usage répété (plusieurs instillations par jour pendant plusieurs jours ou semaines), automédication (l'anesthésique local masque les symptômes et permet au patient de différer la consultation, aggravant la pathologie sous-jacente), cornée fragile (sécheresse oculaire, polyarthrite rhumatoïde, syndrome de Gougerot-Sjögren, déficit en vitamine A), port de lentilles de contact. La prévention repose sur : (1) l'interdiction stricte de l'usage prolongé (une seule instillation pour un geste diagnostique ou thérapeutique court, à ne pas renouveler sans avis médical), (2) l'interdiction absolue de l'automédication (jamais de prescription pour usage à domicile, jamais de délivrance sans ordonnance), (3) l'information du patient sur les risques de toxicité cornéenne en cas d'usage répété, (4) la surveillance ophtalmologique systématique en cas de geste répété.</w:t>
      </w:r>
    </w:p>
    <w:p>
      <w:r>
        <w:t xml:space="preserve">Outre la toxicité cornéenne, les anesthésiques locaux ophtalmiques exposent à des effets indésirables locaux et systémiques : (1) </w:t>
      </w:r>
      <w:r>
        <w:rPr>
          <w:b/>
        </w:rPr>
        <w:t>locaux précoces</w:t>
      </w:r>
      <w:r>
        <w:t xml:space="preserve"> : picotements à l'instillation (sensation de brûlure transitoire, plus marquée avec la tétracaïne qu'avec l'oxybuprocaïne), hyperhémie conjonctivale modérée, larmoiement réflexe, vision trouble transitoire (perte du réflexe de clignement, altération du film lacrymal) ; (2) </w:t>
      </w:r>
      <w:r>
        <w:rPr>
          <w:b/>
        </w:rPr>
        <w:t>allergiques</w:t>
      </w:r>
      <w:r>
        <w:t xml:space="preserve"> : exceptionnels cas de dermatite de contact palpébrale (surtout avec la tétracaïne, dérivée des amino-esters qui sont plus allergisants que les amino-amides), kératoconjonctivite allergique, exceptionnellement réactions systémiques (urticaire, œdème de Quincke, choc anaphylactique) ; (3) </w:t>
      </w:r>
      <w:r>
        <w:rPr>
          <w:b/>
        </w:rPr>
        <w:t>systémiques</w:t>
      </w:r>
      <w:r>
        <w:t xml:space="preserve"> (liés au passage systémique, surtout en cas d'instillations répétées) : exceptionnels cas de convulsions (à forte dose), de dépression respiratoire, de troubles du rythme cardiaque (effets cardiotoxiques et neurotoxiques des anesthésiques locaux à forte dose systémique). Les contre-indications des anesthésiques locaux ophtalmiques sont : (1) </w:t>
      </w:r>
      <w:r>
        <w:rPr>
          <w:b/>
        </w:rPr>
        <w:t>hypersensibilité à la substance active ou à l'un des excipients</w:t>
      </w:r>
      <w:r>
        <w:t xml:space="preserve"> (notamment aux dérivés de l'acide para-aminobenzoïque pour la tétracaïne), (2) </w:t>
      </w:r>
      <w:r>
        <w:rPr>
          <w:b/>
        </w:rPr>
        <w:t>antécédent d'allergie aux anesthésiques locaux de la même classe</w:t>
      </w:r>
      <w:r>
        <w:t xml:space="preserve"> (amino-esters pour la tétracaïne), (3) </w:t>
      </w:r>
      <w:r>
        <w:rPr>
          <w:b/>
        </w:rPr>
        <w:t>ulcère cornéen ou kératite épithéliale active</w:t>
      </w:r>
      <w:r>
        <w:t xml:space="preserve"> (en raison du risque de retard de cicatrisation et de perforation), (4) </w:t>
      </w:r>
      <w:r>
        <w:rPr>
          <w:b/>
        </w:rPr>
        <w:t>sécheresse oculaire sévère</w:t>
      </w:r>
      <w:r>
        <w:t xml:space="preserve">, (5) </w:t>
      </w:r>
      <w:r>
        <w:rPr>
          <w:b/>
        </w:rPr>
        <w:t>port de lentilles de contact</w:t>
      </w:r>
      <w:r>
        <w:t xml:space="preserve"> (à retirer avant l'instillation et à ne pas remettre pendant 30 minutes après), (6) </w:t>
      </w:r>
      <w:r>
        <w:rPr>
          <w:b/>
        </w:rPr>
        <w:t>usage prolongé ou répété</w:t>
      </w:r>
      <w:r>
        <w:t xml:space="preserve"> (contre-indication absolue), (7) </w:t>
      </w:r>
      <w:r>
        <w:rPr>
          <w:b/>
        </w:rPr>
        <w:t>automédication</w:t>
      </w:r>
      <w:r>
        <w:t xml:space="preserve"> (jamais de prescription pour usage à domicile sans supervision médicale).</w:t>
      </w:r>
    </w:p>
    <w:p>
      <w:r>
        <w:t>Le marché algérien des anesthésiques locaux ophtalmiques est dominé par l'</w:t>
      </w:r>
      <w:r>
        <w:rPr>
          <w:b/>
        </w:rPr>
        <w:t>oxybuprocaïne</w:t>
      </w:r>
      <w:r>
        <w:t xml:space="preserve">, disponible sous deux spécialités actives (ANESTOCIL par le Groupement Pharmaceutique Algérien, et CEBESINE par Chauvin S.A., laboratoire français) et une spécialité retirée (NOVESINE par MSD Chibret). Toutes les spécialités sont en collyre à la concentration de 0,4 %, en flacon de 5 mL ou 10 mL, en Liste I (statut restrictif reflétant le potentiel d'effets systémiques graves et le risque de mésusage). La </w:t>
      </w:r>
      <w:r>
        <w:rPr>
          <w:b/>
        </w:rPr>
        <w:t>tétragaïne</w:t>
      </w:r>
      <w:r>
        <w:t xml:space="preserve"> (tétracaïne) n'est plus disponible en Algérie dans la nomenclature de 2026 : les deux spécialités historiques (ELUDRIL par Pierre Fabre, et OROMEDINE par le Laboratoire Pharmaceutique Algérien) ont été retirées du marché. Le retrait de ces spécialités s'explique par la préférence pour l'oxybuprocaïne (meilleure tolérance locale, moins de réactions allergiques que la tétracaïne), la concurrence des alternatives systémiques (anesthésie loco-régionale péri-bulbaire dans la chirurgie oculaire), et le risque de mésusage (automédication pour masquer les symptômes de pathologies oculaires graves). Cette particularité algérienne impose une information claire du patient et du praticien sur la non-disponibilité de la tétragaïne en collyre et sur l'alternative disponible (oxybuprocaïne).</w:t>
      </w:r>
    </w:p>
    <w:p>
      <w:pPr>
        <w:pStyle w:val="Heading3"/>
      </w:pPr>
      <w:r>
        <w:t>143.4.2 DCI : Oxybuprocaïne (usage ophtalmique)</w:t>
      </w:r>
    </w:p>
    <w:p>
      <w:r/>
      <w:r>
        <w:rPr>
          <w:b/>
        </w:rPr>
        <w:t>Liste des Catégories :</w:t>
      </w:r>
      <w:r>
        <w:t xml:space="preserve"> Liste I (collyre en solution).</w:t>
      </w:r>
    </w:p>
    <w:p>
      <w:r>
        <w:t>L'oxybuprocaïne (également connue sous les noms benoxinate, benoxinatum) est un anesthésique local de la famille des amino-esters, dérivé de l'acide para-aminobenzoïque (PABA). Synthétisée dans les années 1950 par les laboratoires MSD Chibret, elle a été commercialisée sous le nom princeps Novesine® (collyre 0,4 %), devenu rapidement la référence internationale de l'anesthésie locale ophtalmique de surface. Sa structure chimique se caractérise par un groupe ester lié à un noyau aromatique amino-substitué, qui est hydrolysé in vivo par les cholinestérases plasmatiques et hépatiques en métabolites inactifs (acide para-aminobenzoïque et amino-alcool). Sa courte demi-vie d'élimination systémique (≈ 1 à 2 minutes) explique son excellente tolérance systémique, mais impose une administration unique pour un geste court. En Algérie, l'oxybuprocaïne est disponible sous deux spécialités actives : ANESTOCIL (Groupement Pharmaceutique Algérien, GPA) et CEBESINE (Chauvin S.A., laboratoire français). Une spécialité historique, NOVESINE (MSD Chibret), a été retirée du marché algérien. Toutes les spécialités sont en collyre à la concentration de 0,4 %, en flacon de 5 mL ou 10 mL, en Liste I.</w:t>
      </w:r>
    </w:p>
    <w:p>
      <w:r/>
      <w:r>
        <w:rPr>
          <w:b/>
        </w:rPr>
        <w:t>Médicaments disponibles en Algérie (tableau commercial) :</w:t>
      </w:r>
      <w:r/>
    </w:p>
    <w:p>
      <w:r>
        <w:t>Formes ophtalmiques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ANESTOCIL</w:t>
            </w:r>
          </w:p>
        </w:tc>
        <w:tc>
          <w:tcPr>
            <w:tcW w:type="dxa" w:w="1559"/>
          </w:tcPr>
          <w:p>
            <w:r>
              <w:rPr>
                <w:sz w:val="20"/>
              </w:rPr>
              <w:t>GROUPEMENT PHARMACEUTIQUE ALGERIEN (GPA)</w:t>
            </w:r>
          </w:p>
        </w:tc>
        <w:tc>
          <w:tcPr>
            <w:tcW w:type="dxa" w:w="1559"/>
          </w:tcPr>
          <w:p>
            <w:r>
              <w:rPr>
                <w:sz w:val="20"/>
              </w:rPr>
              <w:t>Collyre en solution 0,4 % (4 mg/mL) oxybuprocaïne chlorhydrate</w:t>
            </w:r>
          </w:p>
        </w:tc>
        <w:tc>
          <w:tcPr>
            <w:tcW w:type="dxa" w:w="1559"/>
          </w:tcPr>
          <w:p>
            <w:r>
              <w:rPr>
                <w:sz w:val="20"/>
              </w:rPr>
              <w:t>Flacon de 10 mL</w:t>
            </w:r>
          </w:p>
        </w:tc>
        <w:tc>
          <w:tcPr>
            <w:tcW w:type="dxa" w:w="1559"/>
          </w:tcPr>
          <w:p>
            <w:r>
              <w:rPr>
                <w:sz w:val="20"/>
              </w:rPr>
              <w:t>Liste I</w:t>
            </w:r>
          </w:p>
        </w:tc>
        <w:tc>
          <w:tcPr>
            <w:tcW w:type="dxa" w:w="1559"/>
          </w:tcPr>
          <w:p>
            <w:r>
              <w:rPr>
                <w:sz w:val="20"/>
              </w:rPr>
              <w:t>Actif</w:t>
            </w:r>
          </w:p>
        </w:tc>
      </w:tr>
      <w:tr>
        <w:tc>
          <w:tcPr>
            <w:tcW w:type="dxa" w:w="1559"/>
          </w:tcPr>
          <w:p>
            <w:r>
              <w:rPr>
                <w:sz w:val="20"/>
              </w:rPr>
              <w:t>CEBESINE</w:t>
            </w:r>
          </w:p>
        </w:tc>
        <w:tc>
          <w:tcPr>
            <w:tcW w:type="dxa" w:w="1559"/>
          </w:tcPr>
          <w:p>
            <w:r>
              <w:rPr>
                <w:sz w:val="20"/>
              </w:rPr>
              <w:t>CHAUVIN S.A.</w:t>
            </w:r>
          </w:p>
        </w:tc>
        <w:tc>
          <w:tcPr>
            <w:tcW w:type="dxa" w:w="1559"/>
          </w:tcPr>
          <w:p>
            <w:r>
              <w:rPr>
                <w:sz w:val="20"/>
              </w:rPr>
              <w:t>Collyre en solution 0,4 % (4 mg/mL) oxybuprocaïne chlorhydrate</w:t>
            </w:r>
          </w:p>
        </w:tc>
        <w:tc>
          <w:tcPr>
            <w:tcW w:type="dxa" w:w="1559"/>
          </w:tcPr>
          <w:p>
            <w:r>
              <w:rPr>
                <w:sz w:val="20"/>
              </w:rPr>
              <w:t>Flacon de 5 mL</w:t>
            </w:r>
          </w:p>
        </w:tc>
        <w:tc>
          <w:tcPr>
            <w:tcW w:type="dxa" w:w="1559"/>
          </w:tcPr>
          <w:p>
            <w:r>
              <w:rPr>
                <w:sz w:val="20"/>
              </w:rPr>
              <w:t>Liste I</w:t>
            </w:r>
          </w:p>
        </w:tc>
        <w:tc>
          <w:tcPr>
            <w:tcW w:type="dxa" w:w="1559"/>
          </w:tcPr>
          <w:p>
            <w:r>
              <w:rPr>
                <w:sz w:val="20"/>
              </w:rPr>
              <w:t>Actif</w:t>
            </w:r>
          </w:p>
        </w:tc>
      </w:tr>
    </w:tbl>
    <w:p/>
    <w:p>
      <w:r>
        <w:t>Forme ophtalmique retirée (incluse pour mémoire)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NOVESINE</w:t>
            </w:r>
          </w:p>
        </w:tc>
        <w:tc>
          <w:tcPr>
            <w:tcW w:type="dxa" w:w="1559"/>
          </w:tcPr>
          <w:p>
            <w:r>
              <w:rPr>
                <w:sz w:val="20"/>
              </w:rPr>
              <w:t>MERCK SHARP &amp; DHOME CHIBRET</w:t>
            </w:r>
          </w:p>
        </w:tc>
        <w:tc>
          <w:tcPr>
            <w:tcW w:type="dxa" w:w="1559"/>
          </w:tcPr>
          <w:p>
            <w:r>
              <w:rPr>
                <w:sz w:val="20"/>
              </w:rPr>
              <w:t>Collyre en solution 0,4 % (4 mg/mL) oxybuprocaïne chlorhydrate</w:t>
            </w:r>
          </w:p>
        </w:tc>
        <w:tc>
          <w:tcPr>
            <w:tcW w:type="dxa" w:w="1559"/>
          </w:tcPr>
          <w:p>
            <w:r>
              <w:rPr>
                <w:sz w:val="20"/>
              </w:rPr>
              <w:t>Flacon de 10 mL</w:t>
            </w:r>
          </w:p>
        </w:tc>
        <w:tc>
          <w:tcPr>
            <w:tcW w:type="dxa" w:w="1559"/>
          </w:tcPr>
          <w:p>
            <w:r>
              <w:rPr>
                <w:sz w:val="20"/>
              </w:rPr>
              <w:t>Liste I</w:t>
            </w:r>
          </w:p>
        </w:tc>
        <w:tc>
          <w:tcPr>
            <w:tcW w:type="dxa" w:w="1559"/>
          </w:tcPr>
          <w:p>
            <w:r>
              <w:rPr>
                <w:sz w:val="20"/>
              </w:rPr>
              <w:t>Retrait</w:t>
            </w:r>
          </w:p>
        </w:tc>
      </w:tr>
    </w:tbl>
    <w:p/>
    <w:p>
      <w:r>
        <w:t>L'oxybuprocaïne ophtalmique est donc disponible en Algérie sous deux spécialités strictement équivalentes en termes de dosage (0,4 % ou 4 mg/mL) et de statut réglementaire (Liste I). Les deux spécialités, ANESTOCIL (GPA, laboratoire algérien) et CEBESINE (Chauvin, laboratoire français), sont substituables entre elles. La spécialité historique NOVESINE (MSD Chibret, laboratoire américain), princeps international de l'oxybuprocaïne, a été retirée du marché algérien. Le pharmacien d'officine doit être particulièrement attentif à la concentration : la concentration ophtalmique (0,4 %) est strictement réservée à l'usage ophtalmologique et ne doit jamais être confondue avec les formes systémiques d'anesthésiques locaux (lidocaïne injectable, bupivacaïne injectable), dont l'instillation oculaire accidentelle serait gravement toxique. Les deux spécialités sont conditionnées en flacons multidoses de 5 mL (CEBESINE) ou 10 mL (ANESTOCIL), contenant du chlorure de benzalkonium comme conservateur. La conservation se fait à température ≤ 25 °C, à l'abri de la lumière, et le flacon doit être jeté dans les 4 semaines suivant la première ouverture. Le statut Liste I impose la présentation d'une ordonnance médicale datée de moins de 12 mois pour la délivrance, et l'enregistrement de la délivrance dans le registre pharmaceutique. En pratique, l'oxybuprocaïne est essentiellement utilisée en milieu ophtalmologique spécialisé (cabinet d'ophtalmologie, service d'urgences ophtalmologiques), et plus rarement délivrée en officine de ville (sauf prescription pour un geste ponctuel à domicile sous supervision médicale).</w:t>
      </w:r>
    </w:p>
    <w:p>
      <w:r/>
      <w:r>
        <w:rPr>
          <w:b/>
        </w:rPr>
        <w:t>Sous-classe et Mécanisme d'action :</w:t>
      </w:r>
      <w:r/>
    </w:p>
    <w:p>
      <w:pPr>
        <w:pStyle w:val="ListBullet"/>
      </w:pPr>
      <w:r>
        <w:t>Sous-classe : Anesthésique local ophtalmique de la famille des amino-esters, dérivé de l'acide para-aminobenzoïque (PABA). Métabolisme par hydrolyse enzymatique (cholinestérases plasmatiques et hépatiques) en métabolites inactifs.</w:t>
      </w:r>
    </w:p>
    <w:p>
      <w:pPr>
        <w:pStyle w:val="ListBullet"/>
      </w:pPr>
      <w:r>
        <w:t>Mécanisme d'action : L'oxybuprocaïne est un anesthésique local de surface, administré par instillation oculaire. Après instillation, l'oxybuprocaïne diffuse à travers la cornée et la conjonctive, atteint les terminaisons nerveuses sensitives du plexus sous-épithélial (branches du nerf ophtalmique, V1). La fraction non ionisée (lipophile) de la molécule traverse la membrane axonale et pénètre dans la fibre nerveuse. Une fois à l'intérieur, l'oxybuprocaïne se protonise (forme ionisée hydrophile) et se fixe au récepteur intracellulaire α du canal sodique voltage-dépendant, bloquant ainsi l'ouverture du canal lors de la dépolarisation. Sans entrée de sodium, le potentiel d'action ne peut pas être généré ni propagé, et la conduction nerveuse sensitive est interrompue. L'effet est obtenu en 30 secondes à 1 minute (latence courte), atteint son maximum en 1 à 5 minutes et persiste pendant 15 à 30 minutes. Cette cinétique ultra-rapide explique l'usage strictement diagnostique et thérapeutique court de l'oxybuprocaïne. L'anesthésie produite est complète (perte de la sensation douloureuse, tactile et thermique) et réversible (récupération complète en 30 à 60 minutes, sans séquelle). L'oxybuprocaïne n'a aucun effet sur la motilité oculaire (pas de blocage des fibres motrices, qui sont profondes et non accessibles à la diffusion topique), ni sur le réflexe photomoteur, ni sur la pression intra-oculaire.</w:t>
      </w:r>
    </w:p>
    <w:p>
      <w:pPr>
        <w:pStyle w:val="ListBullet"/>
      </w:pPr>
      <w:r>
        <w:t>Spectre d'action : Anesthésique local pur. Pas d'activité antibactérienne, antivirale, antifongique, anti-inflammatoire ou antalgique systémique. Action purement symptomatique (perte réversible de la sensation douloureuse de la surface oculaire). Aucune activité mydriatique ou cycloplégique propre.</w:t>
      </w:r>
    </w:p>
    <w:p>
      <w:r/>
      <w:r>
        <w:rPr>
          <w:b/>
        </w:rPr>
        <w:t>Profil Pharmacologique :</w:t>
      </w:r>
      <w:r/>
    </w:p>
    <w:p>
      <w:pPr>
        <w:pStyle w:val="ListBullet"/>
      </w:pPr>
      <w:r>
        <w:t>Indications : (1) Anesthésie de surface pour examen ophtalmologique (tonométrie par aplanation, gonioscopie, funduscopie avec lentille de contact, biomicroscopie avec lentille de contact) ; (2) Anesthésie de surface pour geste thérapeutique court (extraction de corps étranger cornéen ou conjonctival, sondage des voies lacrymales, ablation de suture cornéenne ou conjonctivale, dilatation des voies lacrymales, mise en place de lentilles de contact sclérales, pansement cornéen) ; (3) Anesthésie de surface pour bilan diagnostique (test de Schirmer II avec anesthésie, mesure du seuil de sensibilité cornéenne, esthésiométrie) ; (4) Anesthésie de surface pour réalisation d'une conjonctivite allergique de provocation (test diagnostique). L'usage est strictement ponctuel, en milieu ophtalmologique spécialisé, à l'exclusion de tout usage prolongé ou répété.</w:t>
      </w:r>
    </w:p>
    <w:p>
      <w:pPr>
        <w:pStyle w:val="ListBullet"/>
      </w:pPr>
      <w:r>
        <w:t>Contre-indications : (1) Hypersensibilité à l'oxybuprocaïne, à l'un des excipients (notamment chlorure de benzalkonium) ou aux dérivés de l'acide para-aminobenzoïque (PABA) — y compris les esters d'acide para-aminobenzoïque (benzocaïne, procaïne, tétracaïne) et les sunscreens contenant du PABA ; (2) Antécédent d'allergie aux anesthésiques locaux de la famille des amino-esters ; (3) Ulcère cornéen épithélial actif ou kératite épithéliale non cicatrisée (en raison du risque de retard de cicatrisation et de perforation) ; (4) Sécheresse oculaire sévère ; (5) Port de lentilles de contact (à retirer avant l'instillation et à ne pas remettre pendant 30 minutes après) ; (6) Usage prolongé ou répété (contre-indication absolue) ; (7) Automédication (jamais de prescription pour usage à domicile sans supervision médicale) ; (8) Patiente enceinte (par prudence, surtout au 1er trimestre) ; (9) Enfant de moins de 12 ans (en l'absence d'études cliniques pédiatriques spécifiques).</w:t>
      </w:r>
    </w:p>
    <w:p>
      <w:pPr>
        <w:pStyle w:val="ListBullet"/>
      </w:pPr>
      <w:r>
        <w:t>Spectre d'action : Anesthésique local de surface. Action purement symptomatique et réversible.</w:t>
      </w:r>
    </w:p>
    <w:p>
      <w:r/>
      <w:r>
        <w:rPr>
          <w:b/>
        </w:rPr>
        <w:t>Effets Indésirables :</w:t>
      </w:r>
      <w:r/>
    </w:p>
    <w:p>
      <w:pPr>
        <w:pStyle w:val="ListBullet"/>
      </w:pPr>
      <w:r/>
      <w:r>
        <w:rPr>
          <w:b/>
        </w:rPr>
        <w:t>Locaux précoces</w:t>
      </w:r>
      <w:r>
        <w:t xml:space="preserve"> (5 à 30 % des patients) : picotements à l'instillation (sensation de brûlure transitoire, qui se dissipe en quelques secondes du fait de l'effet anesthésique lui-même), hyperhémie conjonctivale modérée, larmoiement réflexe, vision trouble transitoire (perte du réflexe de clignement, altération du film lacrymal), mydriase transitoire légère (en cas d'instillation répétée, par diffusion au sphincter irien).</w:t>
      </w:r>
    </w:p>
    <w:p>
      <w:pPr>
        <w:pStyle w:val="ListBullet"/>
      </w:pPr>
      <w:r/>
      <w:r>
        <w:rPr>
          <w:b/>
        </w:rPr>
        <w:t>Locaux tardifs</w:t>
      </w:r>
      <w:r>
        <w:t xml:space="preserve"> (en cas d'usage répété ou prolongé — contre-indication absolue) : kératite ponctuée superficielle, kératite neurotrope (perte de la sensibilité cornéenne protective avec microtraumatismes non perçus et ulcérations), retard de cicatrisation épithéliale, ulcération cornéenne (notamment en cas d'automédication pour masquer une pathologie sous-jacente), infection secondaire (kératite bactérienne, kératite fongique, kératite à Acanthamoeba), exceptionnellement perforation cornéenne et endophtalmie.</w:t>
      </w:r>
    </w:p>
    <w:p>
      <w:pPr>
        <w:pStyle w:val="ListBullet"/>
      </w:pPr>
      <w:r/>
      <w:r>
        <w:rPr>
          <w:b/>
        </w:rPr>
        <w:t>Allergiques</w:t>
      </w:r>
      <w:r>
        <w:t xml:space="preserve"> (1 à 5 %, incidence supérieure aux amino-amides en raison de la métabolisation en PABA) : dermatite de contact palpébrale, kératoconjonctivite allergique, blépharite allergique ; plus rarement réactions systémiques (urticaire, œdème de Quincke, exceptionnellement choc anaphylactique — surtout décrits avec la tétracaïne, mais possibles avec l'oxybuprocaïne en raison de l'allergie croisée aux amino-esters).</w:t>
      </w:r>
    </w:p>
    <w:p>
      <w:pPr>
        <w:pStyle w:val="ListBullet"/>
      </w:pPr>
      <w:r/>
      <w:r>
        <w:rPr>
          <w:b/>
        </w:rPr>
        <w:t>Systémiques</w:t>
      </w:r>
      <w:r>
        <w:t xml:space="preserve"> (liés au passage systémique, surtout en cas d'instillations répétées — contre-indication absolue) : exceptionnels cas de convulsions (à forte dose systémique), de dépression respiratoire, de troubles du rythme cardiaque (effets cardiotoxiques et neurotoxiques des anesthésiques locaux à forte dose systémique). La courte demi-vie d'élimination de l'oxybuprocaïne (≈ 1 à 2 minutes, en raison de l'hydrolyse rapide par les cholinestérases) réduit considérablement le risque d'effets systémiques par rapport aux amino-amides (lidocaïne, bupivacaïne).</w:t>
      </w:r>
    </w:p>
    <w:p>
      <w:pPr>
        <w:pStyle w:val="ListBullet"/>
      </w:pPr>
      <w:r/>
      <w:r>
        <w:rPr>
          <w:b/>
        </w:rPr>
        <w:t>Cornéens graves</w:t>
      </w:r>
      <w:r>
        <w:t xml:space="preserve"> (en cas d'usage prolongé — contre-indication absolue) : plusieurs cas cliniques ont été rapportés dans la littérature internationale de patients ayant utilisé de l'oxybuprocaïne en automédication pendant plusieurs semaines pour masquer la douleur d'une kératite : évolution vers une kératite neurotrope sévère, ulcération cornéenne, infection secondaire et exceptionnellement perforation cornéenne et endophtalmie. Ces observations ont justifié une mise en garde renforcée par l'ANSM et la FDA, et le rappel de la nécessité d'un usage strictement ponctuel et supervisé médicalement.</w:t>
      </w:r>
    </w:p>
    <w:p>
      <w:r/>
      <w:r>
        <w:rPr>
          <w:b/>
        </w:rPr>
        <w:t>Prévention et Gestion des Effets Indésirables :</w:t>
      </w:r>
      <w:r/>
    </w:p>
    <w:p>
      <w:pPr>
        <w:pStyle w:val="ListBullet"/>
      </w:pPr>
      <w:r>
        <w:t>Mesures préventives : (1) Usage strictement ponctuel et supervisé médicalement (jamais d'automédication, jamais de prescription pour usage à domicile sans supervision médicale) ; (2) Une seule instillation pour un geste diagnostique ou thérapeutique court, à ne pas renouveler sans avis médical ; (3) Évaluation de l'état cornéen avant l'instillation (examen à la lampe à fente, recherche d'une KPS préexistante ou d'un ulcère cornéen) ; (4) Retrait des lentilles de contact avant l'instillation et attente de 30 minutes avant de les remettre ; (5) Information du patient sur les risques de toxicité cornéenne en cas d'usage répété, sur l'interdiction absolue de l'automédication, et sur la nécessité de consulter un ophtalmologue en cas de douleur oculaire ou de baisse d'acuité visuelle (ne jamais masquer les symptômes par un anesthésique local) ; (6) Surveillance ophtalmologique systématique en cas de geste répété (examen à la lampe à fente avec coloration à la fluorescéine à chaque consultation).</w:t>
      </w:r>
    </w:p>
    <w:p>
      <w:pPr>
        <w:pStyle w:val="ListBullet"/>
      </w:pPr>
      <w:r>
        <w:t>Conduite à tenir en cas de kératite ponctuée superficielle après instillation : arrêt de l'oxybuprocaïne ; substitution par un substitut lacrymal sans conservateur ; surveillance ophtalmologique à 24-48 heures ; prévention de la surinfection (antibiothérapie prophylactique locale selon le contexte).</w:t>
      </w:r>
    </w:p>
    <w:p>
      <w:pPr>
        <w:pStyle w:val="ListBullet"/>
      </w:pPr>
      <w:r>
        <w:t>Conduite à tenir en cas de réaction allergique : arrêt immédiat de l'oxybuprocaïne ; antihistaminique local (olopatadine, azelastine) ; corticothérapie locale de courte durée en cas de réaction inflammatoire marquée (à manier avec prudence) ; en cas de réaction systémique (urticaire, œdème de Quincke), arrêt définitif de tous les anesthésiques locaux de la famille des amino-esters (oxybuprocaïne, tétracaïne, proparacaïne, procaïne) et orientation vers un allergologue. Les amino-amides (lidocaïne, bupivacaïne) peuvent être utilisés en alternative en l'absence d'allergie croisée.</w:t>
      </w:r>
    </w:p>
    <w:p>
      <w:pPr>
        <w:pStyle w:val="ListBullet"/>
      </w:pPr>
      <w:r>
        <w:t>Conduite à tenir en cas d'usage prolongé (automédication) : arrêt immédiat de l'oxybuprocaïne ; examen ophtalmologique complet à la recherche d'une kératite neurotrope, d'une ulcération cornéenne, d'une infection secondaire ; traitement spécifique de la pathologie sous-jacente (qui était masquée par l'anesthésique local) ; information du patient sur la dangerosité de l'automédication par anesthésique local ophtalmique.</w:t>
      </w:r>
    </w:p>
    <w:p>
      <w:r/>
      <w:r>
        <w:rPr>
          <w:b/>
        </w:rPr>
        <w:t>Interactions Importantes :</w:t>
      </w:r>
      <w:r/>
    </w:p>
    <w:p>
      <w:pPr>
        <w:pStyle w:val="ListBullet"/>
      </w:pPr>
      <w:r>
        <w:t>Autres collyres contenant du chlorure de benzalkonium : majoration de la toxicité épithéliale cornéenne. Espacer les instillations de 10 à 15 minutes.</w:t>
      </w:r>
    </w:p>
    <w:p>
      <w:pPr>
        <w:pStyle w:val="ListBullet"/>
      </w:pPr>
      <w:r>
        <w:t>Autres anesthésiques locaux ophtalmiques (tétracaïne, proparacaïne) : contre-indication à l'association en raison du risque de majoration de la toxicité cornéenne et du risque d'allergie croisée aux amino-esters.</w:t>
      </w:r>
    </w:p>
    <w:p>
      <w:pPr>
        <w:pStyle w:val="ListBullet"/>
      </w:pPr>
      <w:r>
        <w:t>Sulfamides antibactériens (sulfaméthoxazole, sulfadiazine) : risque théorique d'allergie croisée avec les amino-esters (en raison de la parenté structurale avec le PABA), mais l'impact clinique est négligeable en pratique.</w:t>
      </w:r>
    </w:p>
    <w:p>
      <w:pPr>
        <w:pStyle w:val="ListBullet"/>
      </w:pPr>
      <w:r>
        <w:t>Anticholinestérasiques (néostigmine, pyridostigmine, édrophonium) : inhibition de l'hydrolyse de l'oxybuprocaïne par les cholinestérases, prolongeant la durée d'action et majorant le risque d'effets systémiques. Surveillance en cas d'association.</w:t>
      </w:r>
    </w:p>
    <w:p>
      <w:pPr>
        <w:pStyle w:val="ListBullet"/>
      </w:pPr>
      <w:r>
        <w:t>Inhibiteurs de l'acétylcholinestérase (donézépil, rivastigmine, galantamine, utilisés dans la maladie d'Alzheimer) : idem anticholinestérasiques.</w:t>
      </w:r>
    </w:p>
    <w:p>
      <w:pPr>
        <w:pStyle w:val="ListBullet"/>
      </w:pPr>
      <w:r>
        <w:t>Mydriatiques (tropicamide, phényléphrine) : pas d'interaction, association habituelle pour examen ophtalmologique complet.</w:t>
      </w:r>
    </w:p>
    <w:p>
      <w:pPr>
        <w:pStyle w:val="ListBullet"/>
      </w:pPr>
      <w:r>
        <w:t>Collyres à visée diagnostique (fluorescéine, rose Bengale) : pas d'interaction, association habituelle pour examen de la surface oculaire.</w:t>
      </w:r>
    </w:p>
    <w:p>
      <w:r/>
      <w:r>
        <w:rPr>
          <w:b/>
        </w:rPr>
        <w:t>Grossesse et Allaitement :</w:t>
      </w:r>
      <w:r/>
    </w:p>
    <w:p>
      <w:pPr>
        <w:pStyle w:val="ListBullet"/>
      </w:pPr>
      <w:r>
        <w:t xml:space="preserve">Grossesse : L'oxybuprocaïne ophtalmique est </w:t>
      </w:r>
      <w:r>
        <w:rPr>
          <w:b/>
        </w:rPr>
        <w:t>déconseillée pendant le 1er trimestre</w:t>
      </w:r>
      <w:r>
        <w:t xml:space="preserve"> de la grossesse, par prudence (en raison du passage systémique possible et de l'absence d'études cliniques spécifiques chez la femme enceinte). Aux 2e et 3e trimestres, l'utilisation peut être envisagée au cas par cas en cas de nécessité absolue (geste diagnostique ou thérapeutique court urgent). L'usage ponctuel unique ne justifie pas d'interruption de grossesse, et les données d'observation n'ont pas montré d'augmentation du risque de malformations en cas d'exposition ponctuelle au 1er trimestre. Préférer en alternative la lidocaïne ophtalmique (si disponible) ou les mesures non pharmacologiques (chaleur locale, lubrification).</w:t>
      </w:r>
    </w:p>
    <w:p>
      <w:pPr>
        <w:pStyle w:val="ListBullet"/>
      </w:pPr>
      <w:r>
        <w:t xml:space="preserve">Allaitement : L'oxybuprocaïne ophtalmique est </w:t>
      </w:r>
      <w:r>
        <w:rPr>
          <w:b/>
        </w:rPr>
        <w:t>compatible avec l'allaitement en usage ponctuel unique</w:t>
      </w:r>
      <w:r>
        <w:t xml:space="preserve"> aux posologies recommandées. Le passage dans le lait maternel est théorique et n'a pas été documenté comme significatif (en raison de la courte demi-vie d'élimination systémique de l'oxybuprocaïne, hydrolysée en métabolites inactifs en moins de 2 minutes). Surveillance de l'enfant allaité en cas d'usage répété (contre-indication absolue).</w:t>
      </w:r>
    </w:p>
    <w:p>
      <w:pPr>
        <w:pStyle w:val="ListBullet"/>
      </w:pPr>
      <w:r>
        <w:t>Précautions : Éviter l'usage prolongé pendant la grossesse et l'allaitement (contre-indication absolue, quel que soit le statut physiologique). En cas de geste ophtalmologique programmé pendant la grossesse, préférer le 2e trimestre et limiter l'usage à une instillation unique.</w:t>
      </w:r>
    </w:p>
    <w:p>
      <w:r/>
      <w:r>
        <w:rPr>
          <w:b/>
        </w:rPr>
        <w:t>Posologie et Mode d'administration (Standard) :</w:t>
      </w:r>
      <w:r/>
    </w:p>
    <w:p>
      <w:pPr>
        <w:pStyle w:val="ListBullet"/>
      </w:pPr>
      <w:r>
        <w:t>Adulte et adolescent de plus de 12 ans : 1 goutte dans l'œil à traiter, en instillation unique pour un geste diagnostique ou thérapeutique court. En cas de geste prolongé (extraction de corps étranger difficile), une deuxième instillation peut être effectuée après 5 minutes, à ne pas renouveler au-delà.</w:t>
      </w:r>
    </w:p>
    <w:p>
      <w:pPr>
        <w:pStyle w:val="ListBullet"/>
      </w:pPr>
      <w:r>
        <w:t>Posologie maximale : 2 gouttes par œil par séance, à ne pas dépasser. Pas d'entretien par instillations répétées (contre-indication absolue).</w:t>
      </w:r>
    </w:p>
    <w:p>
      <w:pPr>
        <w:pStyle w:val="ListBullet"/>
      </w:pPr>
      <w:r>
        <w:t>Enfant de moins de 12 ans : contre-indication en l'absence d'études cliniques pédiatriques spécifiques. En cas de nécessité absolue (examen ophtalmologique urgent), discussion au cas par cas avec l'ophtalmologue pédiatrique.</w:t>
      </w:r>
    </w:p>
    <w:p>
      <w:pPr>
        <w:pStyle w:val="ListBullet"/>
      </w:pPr>
      <w:r>
        <w:t>Sujet âgé (≥ 65 ans) : pas d'adaptation posologique en l'absence de contre-indication. Surveillance particulière en raison du risque de cornée fragile et de sécheresse oculaire accrue.</w:t>
      </w:r>
    </w:p>
    <w:p>
      <w:pPr>
        <w:pStyle w:val="ListBullet"/>
      </w:pPr>
      <w:r>
        <w:t>Insuffisant rénal ou hépatique : pas d'adaptation posologique en usage ponctuel unique (la courte demi-vie d'élimination systémique ne justifie pas d'adaptation).</w:t>
      </w:r>
    </w:p>
    <w:p>
      <w:pPr>
        <w:pStyle w:val="ListBullet"/>
      </w:pPr>
      <w:r>
        <w:t>Mode d'administration : se laver soigneusement les mains avant l'administration ; vérifier l'absence de corps étranger au niveau de l'embout ; pencher la tête en arrière ; tirer délicatement la paupière inférieure vers le bas pour former une gouttière ; approcher le flacon de l'œil sans toucher l'œil, les cils ou les paupières ; presser délicatement le flacon pour déposer une goutte dans le cul-de-sac conjonctival inférieur ; fermer l'œil doucement et exercer une légère pression digitale sur le canthus interne (point lacrymal) pendant 1 à 2 minutes pour limiter le passage naso-lacrymal et réduire la résorption systémique ; ne pas cligner pendant 30 secondes ; se laver les mains après l'administration ; attendre 5 minutes pour le début du geste (latence d'action) ; ne pas toucher l'œil ni les paupières pendant 30 minutes (perte de la sensibilité protective) ; retirer les lentilles de contact avant l'instillation et ne pas les remettre pendant 30 minutes après.</w:t>
      </w:r>
    </w:p>
    <w:p>
      <w:pPr>
        <w:pStyle w:val="ListBullet"/>
      </w:pPr>
      <w:r>
        <w:t>Durée maximale de traitement : usage ponctuel unique, jamais d'usage prolongé ou répété.</w:t>
      </w:r>
    </w:p>
    <w:p>
      <w:r/>
      <w:r>
        <w:rPr>
          <w:b/>
        </w:rPr>
        <w:t>Arbitrage et Bénéfices des Formes Galéniques :</w:t>
      </w:r>
      <w:r/>
    </w:p>
    <w:p>
      <w:r>
        <w:t>La seule forme galénique disponible en Algérie pour l'oxybuprocaïne ophtalmique est le collyre en solution à la concentration de 0,4 % (4 mg/mL), conditionné en flacon multidose de 5 mL (CEBESINE) ou 10 mL (ANESTOCIL). Le volume unitaire d'une goutte est d'environ 30 à 50 µL, ce qui correspond à une dose unitaire de 120 à 200 µg d'oxybuprocaïne chlorhydrate. Le conditionnement en flacon de 5 mL correspond à environ 100 à 150 gouttes, ce qui couvre largement un usage ponctuel répété en milieu ophtalmologique (plusieurs centaines de patients par flacon). La conservation se fait à température ≤ 25 °C, à l'abri de la lumière, et le flacon doit être jeté dans les 4 semaines suivant la première ouverture en raison du risque de contamination microbienne (notamment à Pseudomonas aeruginosa, particulièrement dangereux chez les porteurs de lentilles de contact et les patients à cornée anesthésiée). Le chlorure de benzalkonium est utilisé comme conservateur à la concentration de 0,01 %. Aucune forme sans chlorure de benzalkonium n'est disponible en Algérie pour l'oxybuprocaïne. La formulation en collyre (vs gel ophtalmique) privilégie la pénétration cornéenne rapide (effet maximal en 1 à 5 minutes) au détriment de la durée d'action (15 à 30 minutes), ce qui justifie son usage strictement ponctuel pour un geste court. La substitution entre les deux spécialités disponibles (ANESTOCIL, CEBESINE) est possible en raison de leur bioéquivalence démontrée. Comparée à la tétracaïne (autre amino-ester, non disponible en Algérie), l'oxybuprocaïne présente une latence d'action légèrement plus courte (30 secondes à 1 minute vs 1 à 2 minutes pour la tétracaïne) et une tolérance locale légèrement supérieure (moins de picotements à l'instillation, moins de réactions allergiques en raison de l'absence du groupe amino intermédiaire de la tétracaïne).</w:t>
      </w:r>
    </w:p>
    <w:p>
      <w:r/>
      <w:r>
        <w:rPr>
          <w:b/>
        </w:rPr>
        <w:t>Instructions et Conseils au Patient :</w:t>
      </w:r>
      <w:r/>
    </w:p>
    <w:p>
      <w:pPr>
        <w:pStyle w:val="ListBullet"/>
      </w:pPr>
      <w:r>
        <w:t>Communication au comptoir : Rappeler qu'il s'agit d'un anesthésique local ophtalmique strictement réservé à l'usage ponctuel en milieu ophtalmologique spécialisé (jamais d'automédication, jamais d'usage à domicile sans supervision médicale). Insister sur le risque majeur de toxicité cornéenne en cas d'usage répété (kératite neurotrope, ulcération, infection, perforation). Vérifier les contre-indications (allergie aux amino-esters, ulcère cornéen, sécheresse oculaire sévère, port de lentilles de contact) au moment de la délivrance. Enregistrer la délivrance dans le registre des Listes I. En pratique, l'oxybuprocaïne est essentiellement délivrée en officine de ville uniquement sur prescription d'un ophtalmologue, pour un geste ponctuel à domicile sous supervision médicale (par exemple, ablation de suture cornéenne par un infirmier à domicile). Dans la grande majorité des cas, l'oxybuprocaïne est utilisée directement au cabinet ophtalmologique et n'est pas délivrée en officine.</w:t>
      </w:r>
    </w:p>
    <w:p>
      <w:pPr>
        <w:pStyle w:val="ListBullet"/>
      </w:pPr>
      <w:r>
        <w:t>Mode d'utilisation pratique : identique à celle des autres collyres ophtalmologiques, avec une précaution particulière : ne pas toucher l'œil ni les paupières pendant 30 minutes après l'instillation (perte de la sensibilité protective, risque de microtraumatismes non perçus).</w:t>
      </w:r>
    </w:p>
    <w:p>
      <w:pPr>
        <w:pStyle w:val="ListBullet"/>
      </w:pPr>
      <w:r>
        <w:t>Information sur les signes d'alerte : douleur oculaire persistante au-delà de 30 minutes, baisse d'acuité visuelle, rougeur oculaire intense, œdème palpébral, larmoiement excessif, sensation de corps étranger → consultation ophtalmologique urgente.</w:t>
      </w:r>
    </w:p>
    <w:p>
      <w:pPr>
        <w:pStyle w:val="ListBullet"/>
      </w:pPr>
      <w:r>
        <w:t>Information sur la conservation : conserver à température ≤ 25 °C, à l'abri de la lumière. Ne pas congeler. Jeter le flacon dans les 4 semaines après la première ouverture. Ne pas partager le flacon. Ne pas utiliser en cas de changement d'aspect.</w:t>
      </w:r>
    </w:p>
    <w:p>
      <w:pPr>
        <w:pStyle w:val="ListBullet"/>
      </w:pPr>
      <w:r>
        <w:t>Information sur l'usage chez la femme enceinte : déconseillé au 1er trimestre ; à discuter au cas par cas aux 2e et 3e trimestres en cas de nécessité absolue.</w:t>
      </w:r>
    </w:p>
    <w:p>
      <w:pPr>
        <w:pStyle w:val="ListBullet"/>
      </w:pPr>
      <w:r>
        <w:t>Information sur le port de lentilles de contact : contre-indication pendant la durée d'action (30 minutes). Retirer les lentilles avant l'instillation et attendre au moins 30 minutes avant de les remettre.</w:t>
      </w:r>
    </w:p>
    <w:p>
      <w:pPr>
        <w:pStyle w:val="ListBullet"/>
      </w:pPr>
      <w:r>
        <w:t>Information sur la conduite automobile : ne pas conduire dans les 30 minutes suivant l'instillation (perte du réflexe de clignement, altération du film lacrymal, vision trouble transitoire).</w:t>
      </w:r>
    </w:p>
    <w:p>
      <w:r/>
      <w:r>
        <w:rPr>
          <w:b/>
        </w:rPr>
        <w:t>Notes, Règles d'Or &amp; Pièges au Comptoir :</w:t>
      </w:r>
      <w:r/>
    </w:p>
    <w:p>
      <w:pPr>
        <w:pStyle w:val="ListBullet"/>
      </w:pPr>
      <w:r>
        <w:t>Piège classique n°1 : Patient demandant de l'oxybuprocaïne en automédication pour masquer une douleur oculaire → refus absolu de la délivrance. Information sur la dangerosité majeure de l'automédication par anesthésique local ophtalmique (risque de kératite neurotrope, d'ulcération, de perforation, d'infection secondaire). Orientation immédiate vers l'ophtalmologue pour diagnostic et traitement de la cause sous-jacente.</w:t>
      </w:r>
    </w:p>
    <w:p>
      <w:pPr>
        <w:pStyle w:val="ListBullet"/>
      </w:pPr>
      <w:r>
        <w:t>Piège classique n°2 : Patient revenant à l'officine pour renouveler un flacon d'oxybuprocaïne depuis plusieurs semaines ou mois → suspicion majeure de mésusage (usage prolongé non surveillé). Refus du renouvellement, orientation vers l'ophtalmologue en urgence.</w:t>
      </w:r>
    </w:p>
    <w:p>
      <w:pPr>
        <w:pStyle w:val="ListBullet"/>
      </w:pPr>
      <w:r>
        <w:t>Piège classique n°3 : Patient présentant un antécédent d'allergie aux anesthésiques locaux (procaïne, lidocaïne, tétracaïne) → refus de la délivrance, contre-indication absolue (risque d'allergie croisée avec les amino-esters). Orientation vers l'ophtalmologue pour alternative (amino-amides si pas d'allergie croisée).</w:t>
      </w:r>
    </w:p>
    <w:p>
      <w:pPr>
        <w:pStyle w:val="ListBullet"/>
      </w:pPr>
      <w:r>
        <w:t>Piège classique n°4 : Patient porteur de lentilles de contact → refus de la délivrance sans avis ophtalmologique (le BAK est adsorbé par les lentilles souples, avec risque de toxicité cornéenne prolongée). Conseil de retirer les lentilles avant l'instillation et d'attendre au moins 30 minutes avant de les remettre.</w:t>
      </w:r>
    </w:p>
    <w:p>
      <w:pPr>
        <w:pStyle w:val="ListBullet"/>
      </w:pPr>
      <w:r>
        <w:t>Règle d'or : « Oxybuprocaïne collyre = 1 goutte, 1 fois, 1 geste court, jamais à domicile, jamais en automédication, jamais chez le porteur de lentilles, jamais chez l'allergique aux amino-esters. »</w:t>
      </w:r>
    </w:p>
    <w:p>
      <w:pPr>
        <w:pStyle w:val="ListBullet"/>
      </w:pPr>
      <w:r>
        <w:t>Préparation et Conservation : Flacon fermé, à température ≤ 25 °C, à l'abri de la lumière. Ne pas congeler. Jeter le flacon 4 semaines après la première ouverture.</w:t>
      </w:r>
    </w:p>
    <w:p>
      <w:pPr>
        <w:pStyle w:val="ListBullet"/>
      </w:pPr>
      <w:r>
        <w:t>Piège du diagnostic différentiel : Une douleur oculaire unilatérale nécessitant un anesthésique local pour être supportée doit faire suspecter une cause grave (glaucome aigu, kératite infectieuse, uvéite antérieure, corps étranger intra-oculaire, sclérite) → orientation vers l'ophtalmologue en urgence pour diagnostic étiologique.</w:t>
      </w:r>
    </w:p>
    <w:p>
      <w:pPr>
        <w:pStyle w:val="ListBullet"/>
      </w:pPr>
      <w:r>
        <w:t>Piège de la conduite automobile : le patient ne doit pas conduire dans les 30 minutes suivant l'instillation (perte du réflexe de clignement, altération du film lacrymal, vision trouble transitoire).</w:t>
      </w:r>
    </w:p>
    <w:p>
      <w:pPr>
        <w:pStyle w:val="ListBullet"/>
      </w:pPr>
      <w:r>
        <w:t>Piège de la prescription à domicile : la prescription d'oxybuprocaïne pour usage à domicile doit être exceptionnelle et strictement encadrée (ordonnance datée de moins de 12 mois, ordonnance d'un ophtalmologue, geste ponctuel unique sous supervision médicale ou infirmière).</w:t>
      </w:r>
    </w:p>
    <w:p>
      <w:pPr>
        <w:pStyle w:val="Heading3"/>
      </w:pPr>
      <w:r>
        <w:t>143.4.3 DCI : Tétragaïne (usage ophtalmique)</w:t>
      </w:r>
    </w:p>
    <w:p>
      <w:r/>
      <w:r>
        <w:rPr>
          <w:b/>
        </w:rPr>
        <w:t>Liste des Catégories :</w:t>
      </w:r>
      <w:r>
        <w:t xml:space="preserve"> Statut particulier — toutes les spécialités ont été retirées du marché algérien (nomenclature 2026).</w:t>
      </w:r>
    </w:p>
    <w:p>
      <w:r>
        <w:t>La tétragaïne (également connue sous le nom de tétracaïne, améthocaïne, pantocaïne) est un anesthésique local de la famille des amino-esters, dérivé de l'acide para-aminobenzoïque (PABA), comme l'oxybuprocaïne. Synthétisée en 1931 par les laboratoires Ciba-Geigy, elle a été commercialisée internationalement sous les noms princeps Pantocaïne® (Allemagne), Pontocaine® (États-Unis) et Amethocaine® (Royaume-Uni). Sa structure chimique se caractérise par un groupe ester lié à un noyau aromatique amino-substitué avec une chaîne latérale butylique (d'où le nom tétracaine, en référence aux 4 carbones de la chaîne butylique). Cette structure lui confère une lipophilie supérieure à celle de l'oxybuprocaïne, une puissance anesthésique supérieure (environ 2 à 3 fois plus puissante que l'oxybuprocaïne), mais aussi une toxicité systémique supérieure et une incidence plus élevée de réactions allergiques. En Algérie, la tétragaïne a été commercialisée sous deux formes associées en collutoire (et non en collyre ophtalmique) : ELUDRIL (Pierre Fabre, association chlorhexidine + tétracaïne, collutoire buccal) et OROMEDINE (Laboratoire Pharmaceutique Algérien, association hexamidine + tétracaïne, collutoire buccal). Ces deux spécialités ont été retirées du marché algérien et ne sont plus disponibles dans la nomenclature de 2026. Aucune forme de tétragaïne en collyre ophtalmique n'a jamais été commercialisée en Algérie. Cette particularité algérienne impose une information claire du patient et du praticien sur la non-disponibilité de la tétragaïne sous quelque forme que ce soit en Algérie, et sur l'alternative disponible (oxybuprocaïne).</w:t>
      </w:r>
    </w:p>
    <w:p>
      <w:r/>
      <w:r>
        <w:rPr>
          <w:b/>
        </w:rPr>
        <w:t>Médicaments disponibles en Algérie (tableau commercial) :</w:t>
      </w:r>
      <w:r/>
    </w:p>
    <w:p>
      <w:r>
        <w:t>Formes ophtalmiques : aucune disponible en Algérie dans la nomenclature de 2026.</w:t>
      </w:r>
    </w:p>
    <w:p>
      <w:r>
        <w:t>Formes buccales retirées (incluses pour mémoire — à noter que ces formes n'étaient pas indiquées pour l'usage ophtalmique)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ELUDRIL</w:t>
            </w:r>
          </w:p>
        </w:tc>
        <w:tc>
          <w:tcPr>
            <w:tcW w:type="dxa" w:w="1559"/>
          </w:tcPr>
          <w:p>
            <w:r>
              <w:rPr>
                <w:sz w:val="20"/>
              </w:rPr>
              <w:t>PIERRE FABRE</w:t>
            </w:r>
          </w:p>
        </w:tc>
        <w:tc>
          <w:tcPr>
            <w:tcW w:type="dxa" w:w="1559"/>
          </w:tcPr>
          <w:p>
            <w:r>
              <w:rPr>
                <w:sz w:val="20"/>
              </w:rPr>
              <w:t>Collutoire buccal (chlorhexidine 50 mg + tétracaïne 15 mg pour 100 mL)</w:t>
            </w:r>
          </w:p>
        </w:tc>
        <w:tc>
          <w:tcPr>
            <w:tcW w:type="dxa" w:w="1559"/>
          </w:tcPr>
          <w:p>
            <w:r>
              <w:rPr>
                <w:sz w:val="20"/>
              </w:rPr>
              <w:t>Flacon de 55 mL</w:t>
            </w:r>
          </w:p>
        </w:tc>
        <w:tc>
          <w:tcPr>
            <w:tcW w:type="dxa" w:w="1559"/>
          </w:tcPr>
          <w:p>
            <w:r>
              <w:rPr>
                <w:sz w:val="20"/>
              </w:rPr>
              <w:t>Hors liste</w:t>
            </w:r>
          </w:p>
        </w:tc>
        <w:tc>
          <w:tcPr>
            <w:tcW w:type="dxa" w:w="1559"/>
          </w:tcPr>
          <w:p>
            <w:r>
              <w:rPr>
                <w:sz w:val="20"/>
              </w:rPr>
              <w:t>Retrait</w:t>
            </w:r>
          </w:p>
        </w:tc>
      </w:tr>
      <w:tr>
        <w:tc>
          <w:tcPr>
            <w:tcW w:type="dxa" w:w="1559"/>
          </w:tcPr>
          <w:p>
            <w:r>
              <w:rPr>
                <w:sz w:val="20"/>
              </w:rPr>
              <w:t>OROMEDINE</w:t>
            </w:r>
          </w:p>
        </w:tc>
        <w:tc>
          <w:tcPr>
            <w:tcW w:type="dxa" w:w="1559"/>
          </w:tcPr>
          <w:p>
            <w:r>
              <w:rPr>
                <w:sz w:val="20"/>
              </w:rPr>
              <w:t>LABORATOIRE PHARMACEUTIQUE ALGERIEN (LPA)</w:t>
            </w:r>
          </w:p>
        </w:tc>
        <w:tc>
          <w:tcPr>
            <w:tcW w:type="dxa" w:w="1559"/>
          </w:tcPr>
          <w:p>
            <w:r>
              <w:rPr>
                <w:sz w:val="20"/>
              </w:rPr>
              <w:t>Collutoire buccal (hexamidine 0,1 g + tétracaïne 0,05 g pour 100 mL)</w:t>
            </w:r>
          </w:p>
        </w:tc>
        <w:tc>
          <w:tcPr>
            <w:tcW w:type="dxa" w:w="1559"/>
          </w:tcPr>
          <w:p>
            <w:r>
              <w:rPr>
                <w:sz w:val="20"/>
              </w:rPr>
              <w:t>Flacon de 30 mL</w:t>
            </w:r>
          </w:p>
        </w:tc>
        <w:tc>
          <w:tcPr>
            <w:tcW w:type="dxa" w:w="1559"/>
          </w:tcPr>
          <w:p>
            <w:r>
              <w:rPr>
                <w:sz w:val="20"/>
              </w:rPr>
              <w:t>Hors liste</w:t>
            </w:r>
          </w:p>
        </w:tc>
        <w:tc>
          <w:tcPr>
            <w:tcW w:type="dxa" w:w="1559"/>
          </w:tcPr>
          <w:p>
            <w:r>
              <w:rPr>
                <w:sz w:val="20"/>
              </w:rPr>
              <w:t>Retrait</w:t>
            </w:r>
          </w:p>
        </w:tc>
      </w:tr>
    </w:tbl>
    <w:p/>
    <w:p>
      <w:r/>
      <w:r>
        <w:rPr>
          <w:b/>
        </w:rPr>
        <w:t>Note importante sur la disponibilité de la tétragaïne en Algérie :</w:t>
      </w:r>
      <w:r>
        <w:t xml:space="preserve"> La tétragaïne (tétracaïne) n'est plus disponible en Algérie sous quelque forme que ce soit dans la nomenclature Avril 2026. Les deux spécialités historiques (ELUDRIL par Pierre Fabre, et OROMEDINE par le Laboratoire Pharmaceutique Algérien) étaient des collutoires buccaux indiqués pour les affections de la cavité buccale (gingivites, stomatites, aphtes) et n'étaient pas indiquées pour l'usage ophtalmologique. Aucune forme de tétragaïne en collyre ophtalmique n'a jamais été commercialisée en Algérie. Le retrait de ces spécialités s'explique par plusieurs facteurs : (1) la préférence pour l'oxybuprocaïne en anesthésie locale ophtalmique (meilleure tolérance locale, moins de réactions allergiques), (2) la concurrence des alternatives systémiques en anesthésie buccale (lidocaïne en spray, benzocaïne en pastilles), (3) le risque de mésusage (automédication pour masquer les symptômes de pathologies oculaires graves, en particulier en cas de disponibilité sous forme de collutoire buccal pouvant être détourné en instillation oculaire), (4) la mise à jour des recommandations internationales sur les antiseptiques et anesthésiques locaux buccaux. Le présent chapitre traite néanmoins la DCI tétragaïne pour mémoire académique et pour permettre au pharmacien d'officine de répondre de manière informée aux questions éventuelles des patients sur la disponibilité de cette molécule à l'étranger (notamment chez les patients revenant de France, d'Europe ou du Maghreb avec une prescription de tétracaïne collyre ou de collutoire).</w:t>
      </w:r>
    </w:p>
    <w:p>
      <w:r/>
      <w:r>
        <w:rPr>
          <w:b/>
        </w:rPr>
        <w:t>Sous-classe et Mécanisme d'action :</w:t>
      </w:r>
      <w:r/>
    </w:p>
    <w:p>
      <w:pPr>
        <w:pStyle w:val="ListBullet"/>
      </w:pPr>
      <w:r>
        <w:t>Sous-classe : Anesthésique local ophtalmique de la famille des amino-esters, dérivé de l'acide para-aminobenzoïque (PABA), comme l'oxybuprocaïne. Métabolisme par hydrolyse enzymatique (cholinestérases plasmatiques et hépatiques) en métabolites inactifs (acide para-aminobenzoïque et amino-alcool).</w:t>
      </w:r>
    </w:p>
    <w:p>
      <w:pPr>
        <w:pStyle w:val="ListBullet"/>
      </w:pPr>
      <w:r>
        <w:t>Mécanisme d'action : La tétragaïne est un anesthésique local de surface, administré par instillation oculaire (à l'international, sous forme de collyre 0,5 à 1 %) ou par application locale sur les muqueuses (sous forme de collutoire, crème, gel). Après instillation, la tétragaïne diffuse à travers la cornée et la conjonctive, atteint les terminaisons nerveuses sensitives du plexus sous-épithélial. La fraction non ionisée (lipophile) de la molécule traverse la membrane axonale et pénètre dans la fibre nerveuse. Une fois à l'intérieur, la tétragaïne se protonise (forme ionisée hydrophile) et se fixe au récepteur intracellulaire α du canal sodique voltage-dépendant, bloquant ainsi l'ouverture du canal lors de la dépolarisation. Sans entrée de sodium, le potentiel d'action ne peut pas être généré ni propagé, et la conduction nerveuse sensitive est interrompue. L'effet est obtenu en 1 à 2 minutes (latence légèrement plus longue que l'oxybuprocaïne), atteint son maximum en 5 à 10 minutes et persiste pendant 30 à 60 minutes (durée d'action plus longue que l'oxybuprocaïne, en raison d'une lipophilie supérieure et d'une affinité supérieure pour les canaux sodiques). La puissance anesthésique de la tétragaïne est 2 à 3 fois supérieure à celle de l'oxybuprocaïne. En usage buccal (collutoire), la tétragaïne agit par le même mécanisme sur les terminaisons nerveuses sensitives de la muqueuse buccale, produisant une anesthésie locale de 20 à 30 minutes.</w:t>
      </w:r>
    </w:p>
    <w:p>
      <w:pPr>
        <w:pStyle w:val="ListBullet"/>
      </w:pPr>
      <w:r>
        <w:t>Spectre d'action : Anesthésique local de surface. Action purement symptomatique et réversible. Pas d'activité antibactérienne, antivirale, antifongique ou anti-inflammatoire. Dans les associations ELUDRIL (chlorhexidine + tétracaïne) et OROMEDINE (hexamidine + tétracaïne), l'activité antiseptique est apportée par la chlorhexidine ou l'hexamidine, et l'activité anesthésique locale par la tétracaïne.</w:t>
      </w:r>
    </w:p>
    <w:p>
      <w:r/>
      <w:r>
        <w:rPr>
          <w:b/>
        </w:rPr>
        <w:t>Profil Pharmacologique :</w:t>
      </w:r>
      <w:r/>
    </w:p>
    <w:p>
      <w:pPr>
        <w:pStyle w:val="ListBullet"/>
      </w:pPr>
      <w:r>
        <w:t>Indications (données internationales, en l'absence de disponibilité en Algérie) : (1) Anesthésie de surface pour examen ophtalmologique (tonométrie par aplanation, gonioscopie, biomicroscopie avec lentille de contact) ; (2) Anesthésie de surface pour geste thérapeutique court (extraction de corps étranger cornéen ou conjonctival, sondage des voies lacrymales, ablation de suture cornéenne ou conjonctivale) ; (3) Anesthésie de surface pour bilan diagnostique (esthésiométrie cornéenne). En usage buccal (collutoire ELUDRIL, OROMEDINE), les indications étaient les affections de la cavité buccale (gingivites, stomatites, aphtes, douleurs dentaires post-opératoires).</w:t>
      </w:r>
    </w:p>
    <w:p>
      <w:pPr>
        <w:pStyle w:val="ListBullet"/>
      </w:pPr>
      <w:r>
        <w:t>Contre-indications : (1) Hypersensibilité à la tétragaïne, à l'un des excipients ou aux dérivés de l'acide para-aminobenzoïque (PABA) — y compris les esters d'acide para-aminobenzoïque (benzocaïne, procaïne, oxybuprocaïne) et les sunscreens contenant du PABA ; (2) Antécédent d'allergie aux anesthésiques locaux de la famille des amino-esters ; (3) Ulcère cornéen épithélial actif ou kératite épithéliale non cicatrisée (en cas d'usage ophtalmique) ; (4) Sécheresse oculaire sévère ; (5) Port de lentilles de contact (à retirer avant l'instillation et à ne pas remettre pendant 30 minutes après) ; (6) Usage prolongé ou répété (contre-indication absolue) ; (7) Automédication (jamais de prescription pour usage à domicile sans supervision médicale) ; (8) Patiente enceinte (par prudence, surtout au 1er trimestre) ; (9) Enfant de moins de 12 ans (en l'absence d'études cliniques pédiatriques spécifiques) ; (10) Insuffisance cardiaque sévère ou troubles du rythme (en raison du risque cardiotoxique à forte dose systémique).</w:t>
      </w:r>
    </w:p>
    <w:p>
      <w:pPr>
        <w:pStyle w:val="ListBullet"/>
      </w:pPr>
      <w:r>
        <w:t>Spectre d'action : Anesthésique local de surface. Action purement symptomatique et réversible.</w:t>
      </w:r>
    </w:p>
    <w:p>
      <w:r/>
      <w:r>
        <w:rPr>
          <w:b/>
        </w:rPr>
        <w:t>Effets Indésirables :</w:t>
      </w:r>
      <w:r/>
    </w:p>
    <w:p>
      <w:pPr>
        <w:pStyle w:val="ListBullet"/>
      </w:pPr>
      <w:r/>
      <w:r>
        <w:rPr>
          <w:b/>
        </w:rPr>
        <w:t>Locaux précoces</w:t>
      </w:r>
      <w:r>
        <w:t xml:space="preserve"> (10 à 40 % des patients, incidence supérieure à l'oxybuprocaïne en raison de la lipophilie supérieure et de la puissance anesthésique supérieure) : picotements à l'instillation (sensation de brûlure transitoire plus marquée qu'avec l'oxybuprocaïne), hyperhémie conjonctivale modérée, larmoiement réflexe, vision trouble transitoire.</w:t>
      </w:r>
    </w:p>
    <w:p>
      <w:pPr>
        <w:pStyle w:val="ListBullet"/>
      </w:pPr>
      <w:r/>
      <w:r>
        <w:rPr>
          <w:b/>
        </w:rPr>
        <w:t>Locaux tardifs</w:t>
      </w:r>
      <w:r>
        <w:t xml:space="preserve"> (en cas d'usage répété ou prolongé — contre-indication absolue) : kératite ponctuée superficielle (incidence supérieure à l'oxybuprocaïne), kératite neurotrope (perte de la sensibilité cornéenne protective avec microtraumatismes non perçus et ulcérations), retard de cicatrisation épithéliale, ulcération cornéenne, infection secondaire, exceptionnellement perforation cornéenne et endophtalmie. La toxicité épithéliale de la tétragaïne est supérieure à celle de l'oxybuprocaïne, ce qui explique en partie la préférence internationale pour l'oxybuprocaïne en anesthésie locale ophtalmique.</w:t>
      </w:r>
    </w:p>
    <w:p>
      <w:pPr>
        <w:pStyle w:val="ListBullet"/>
      </w:pPr>
      <w:r/>
      <w:r>
        <w:rPr>
          <w:b/>
        </w:rPr>
        <w:t>Allergiques</w:t>
      </w:r>
      <w:r>
        <w:t xml:space="preserve"> (5 à 10 %, incidence supérieure à l'oxybuprocaïne en raison de la métabolisation en PABA et de la présence du groupe amino intermédiaire, plus immunogène) : dermatite de contact palpébrale, kératoconjonctivite allergique, blépharite allergique ; plus rarement réactions systémiques (urticaire, œdème de Quincke, exceptionnellement choc anaphylactique — incidence supérieure aux amino-amides).</w:t>
      </w:r>
    </w:p>
    <w:p>
      <w:pPr>
        <w:pStyle w:val="ListBullet"/>
      </w:pPr>
      <w:r/>
      <w:r>
        <w:rPr>
          <w:b/>
        </w:rPr>
        <w:t>Systémiques</w:t>
      </w:r>
      <w:r>
        <w:t xml:space="preserve"> (liés au passage systémique, surtout en cas d'instillations répétées — contre-indication absolue) : convulsions (à forte dose systémique), dépression respiratoire, troubles du rythme cardiaque (effets cardiotoxiques des anesthésiques locaux à forte dose systémique), hypotension, bradycardie, arrêt cardiorespiratoire (à dose massive). La tétragaïne est l'anesthésique local de la famille des amino-esters le plus cardiotoxique, ce qui explique la prudence particulière requise à son utilisation et son retrait progressif du marché international au profit de l'oxybuprocaïne et de la proparacaïne.</w:t>
      </w:r>
    </w:p>
    <w:p>
      <w:pPr>
        <w:pStyle w:val="ListBullet"/>
      </w:pPr>
      <w:r/>
      <w:r>
        <w:rPr>
          <w:b/>
        </w:rPr>
        <w:t>Cornéens graves</w:t>
      </w:r>
      <w:r>
        <w:t xml:space="preserve"> (en cas d'usage prolongé — contre-indication absolue) : plusieurs cas cliniques ont été rapportés dans la littérature internationale de patients ayant utilisé de la tétragaïne en automédication pendant plusieurs semaines pour masquer la douleur d'une kératite : évolution vers une kératite neurotrope sévère, ulcération cornéenne, infection secondaire et exceptionnellement perforation cornéenne et endophtalmie. Ces observations ont justifié le retrait progressif de la tétragaïne ophtalmique du marché international et sa mise en Liste I dans la plupart des pays.</w:t>
      </w:r>
    </w:p>
    <w:p>
      <w:r/>
      <w:r>
        <w:rPr>
          <w:b/>
        </w:rPr>
        <w:t>Prévention et Gestion des Effets Indésirables :</w:t>
      </w:r>
      <w:r/>
    </w:p>
    <w:p>
      <w:pPr>
        <w:pStyle w:val="ListBullet"/>
      </w:pPr>
      <w:r>
        <w:t>Mesures préventives : identiques à celles de l'oxybuprocaïne, avec une prudence renforcée en raison de la toxicité supérieure de la tétragaïne (toxicité épithéliale, cardiotoxicité, incidence allergique supérieure). En Algérie, ces mesures sont théoriques en raison de la non-disponibilité de la tétragaïne, mais doivent être connues du pharmacien d'officine pour répondre aux questions éventuelles des patients.</w:t>
      </w:r>
    </w:p>
    <w:p>
      <w:pPr>
        <w:pStyle w:val="ListBullet"/>
      </w:pPr>
      <w:r>
        <w:t>Conduite à tenir en cas d'effet indésirable (données internationales) : identique à celle de l'oxybuprocaïne.</w:t>
      </w:r>
    </w:p>
    <w:p>
      <w:pPr>
        <w:pStyle w:val="ListBullet"/>
      </w:pPr>
      <w:r>
        <w:t>Conduite à tenir en cas d'usage prolongé (automédication) : identique à celle de l'oxybuprocaïne.</w:t>
      </w:r>
    </w:p>
    <w:p>
      <w:r/>
      <w:r>
        <w:rPr>
          <w:b/>
        </w:rPr>
        <w:t>Interactions Importantes :</w:t>
      </w:r>
      <w:r/>
    </w:p>
    <w:p>
      <w:pPr>
        <w:pStyle w:val="ListBullet"/>
      </w:pPr>
      <w:r>
        <w:t>Autres collyres contenant du chlorure de benzalkonium : majoration de la toxicité épithéliale cornéenne (à noter que la tétragaïne n'est pas formulée avec du BAK à l'international, mais peut l'être dans certaines génériques).</w:t>
      </w:r>
    </w:p>
    <w:p>
      <w:pPr>
        <w:pStyle w:val="ListBullet"/>
      </w:pPr>
      <w:r>
        <w:t>Autres anesthésiques locaux ophtalmiques (oxybuprocaïne, proparacaïne) : contre-indication à l'association en raison du risque de majoration de la toxicité cornéenne et du risque d'allergie croisée aux amino-esters.</w:t>
      </w:r>
    </w:p>
    <w:p>
      <w:pPr>
        <w:pStyle w:val="ListBullet"/>
      </w:pPr>
      <w:r>
        <w:t>Sulfamides antibactériens (sulfaméthoxazole, sulfadiazine) : risque théorique d'allergie croisée avec les amino-esters (en raison de la parenté structurale avec le PABA), mais l'impact clinique est négligeable en pratique.</w:t>
      </w:r>
    </w:p>
    <w:p>
      <w:pPr>
        <w:pStyle w:val="ListBullet"/>
      </w:pPr>
      <w:r>
        <w:t>Anticholinestérasiques (néostigmine, pyridostigmine, édrophonium) et inhibiteurs de l'acétylcholinestérase (donézépil, rivastigmine, galantamine) : inhibition de l'hydrolyse de la tétragaïne par les cholinestérases, prolongeant la durée d'action et majorant le risque d'effets systémiques.</w:t>
      </w:r>
    </w:p>
    <w:p>
      <w:pPr>
        <w:pStyle w:val="ListBullet"/>
      </w:pPr>
      <w:r>
        <w:t>Bêtabloquants et anti-arythmiques (amiodarone, propafénone) : majoration du risque cardiotoxique en cas de passage systémique.</w:t>
      </w:r>
    </w:p>
    <w:p>
      <w:pPr>
        <w:pStyle w:val="ListBullet"/>
      </w:pPr>
      <w:r>
        <w:t>Mydriatiques (tropicamide, phényléphrine) : pas d'interaction, association habituelle pour examen ophtalmologique complet.</w:t>
      </w:r>
    </w:p>
    <w:p>
      <w:pPr>
        <w:pStyle w:val="ListBullet"/>
      </w:pPr>
      <w:r>
        <w:t>Collyres à visée diagnostique (fluorescéine, rose Bengale) : pas d'interaction, association habituelle pour examen de la surface oculaire.</w:t>
      </w:r>
    </w:p>
    <w:p>
      <w:r/>
      <w:r>
        <w:rPr>
          <w:b/>
        </w:rPr>
        <w:t>Grossesse et Allaitement :</w:t>
      </w:r>
      <w:r/>
    </w:p>
    <w:p>
      <w:pPr>
        <w:pStyle w:val="ListBullet"/>
      </w:pPr>
      <w:r>
        <w:t xml:space="preserve">Grossesse : La tétragaïne ophtalmique est </w:t>
      </w:r>
      <w:r>
        <w:rPr>
          <w:b/>
        </w:rPr>
        <w:t>déconseillée pendant le 1er trimestre</w:t>
      </w:r>
      <w:r>
        <w:t xml:space="preserve"> de la grossesse, par prudence (en raison du passage systémique possible et de la cardiotoxicité supérieure à l'oxybuprocaïne). Aux 2e et 3e trimestres, l'utilisation peut être envisagée au cas par cas en cas de nécessité absolue, en privilégiant l'oxybuprocaïne si disponible. En Algérie, ces recommandations sont théoriques en raison de la non-disponibilité de la tétragaïne.</w:t>
      </w:r>
    </w:p>
    <w:p>
      <w:pPr>
        <w:pStyle w:val="ListBullet"/>
      </w:pPr>
      <w:r>
        <w:t xml:space="preserve">Allaitement : La tétragaïne ophtalmique est </w:t>
      </w:r>
      <w:r>
        <w:rPr>
          <w:b/>
        </w:rPr>
        <w:t>déconseillée pendant l'allaitement</w:t>
      </w:r>
      <w:r>
        <w:t xml:space="preserve"> par prudence, en raison du passage possible dans le lait maternel et de la cardiotoxicité supérieure à l'oxybuprocaïne. Préférer l'oxybuprocaïne en cas de nécessité absolue.</w:t>
      </w:r>
    </w:p>
    <w:p>
      <w:pPr>
        <w:pStyle w:val="ListBullet"/>
      </w:pPr>
      <w:r>
        <w:t>Précautions : Éviter l'usage prolongé pendant la grossesse et l'allaitement (contre-indication absolue, quel que soit le statut physiologique). En Algérie, ces précautions sont théoriques en raison de la non-disponibilité de la tétragaïne.</w:t>
      </w:r>
    </w:p>
    <w:p>
      <w:r/>
      <w:r>
        <w:rPr>
          <w:b/>
        </w:rPr>
        <w:t>Posologie et Mode d'administration (Standard) :</w:t>
      </w:r>
      <w:r/>
    </w:p>
    <w:p>
      <w:pPr>
        <w:pStyle w:val="ListBullet"/>
      </w:pPr>
      <w:r>
        <w:t>Adulte et adolescent de plus de 12 ans (données internationales, en l'absence de disponibilité en Algérie) : 1 goutte dans l'œil à traiter, en instillation unique pour un geste diagnostique ou thérapeutique court. En cas de geste prolongé, une deuxième instillation peut être effectuée après 5 minutes, à ne pas renouveler au-delà.</w:t>
      </w:r>
    </w:p>
    <w:p>
      <w:pPr>
        <w:pStyle w:val="ListBullet"/>
      </w:pPr>
      <w:r>
        <w:t>Posologie maximale : 2 gouttes par œil par séance, à ne pas dépasser. Pas d'entretien par instillations répétées (contre-indication absolue).</w:t>
      </w:r>
    </w:p>
    <w:p>
      <w:pPr>
        <w:pStyle w:val="ListBullet"/>
      </w:pPr>
      <w:r>
        <w:t>Enfant de moins de 12 ans : contre-indication en l'absence d'études cliniques pédiatriques spécifiques.</w:t>
      </w:r>
    </w:p>
    <w:p>
      <w:pPr>
        <w:pStyle w:val="ListBullet"/>
      </w:pPr>
      <w:r>
        <w:t>Mode d'administration : identique à celui de l'oxybuprocaïne.</w:t>
      </w:r>
    </w:p>
    <w:p>
      <w:pPr>
        <w:pStyle w:val="ListBullet"/>
      </w:pPr>
      <w:r>
        <w:t>Durée maximale de traitement : usage ponctuel unique, jamais d'usage prolongé ou répété.</w:t>
      </w:r>
    </w:p>
    <w:p>
      <w:pPr>
        <w:pStyle w:val="ListBullet"/>
      </w:pPr>
      <w:r>
        <w:t>En Algérie, en raison de la non-disponibilité de la tétragaïne, l'alternative disponible est l'oxybuprocaïne (ANESTOCIL, CEBESINE, collyre 0,4 %), avec une posologie identique.</w:t>
      </w:r>
    </w:p>
    <w:p>
      <w:r/>
      <w:r>
        <w:rPr>
          <w:b/>
        </w:rPr>
        <w:t>Arbitrage et Bénéfices des Formes Galéniques :</w:t>
      </w:r>
      <w:r/>
    </w:p>
    <w:p>
      <w:r>
        <w:t>En Algérie, aucune forme galénique de tétragaïne n'est disponible dans la nomenclature de 2026. Les deux formes historiques (ELUDRIL par Pierre Fabre, et OROMEDINE par le Laboratoire Pharmaceutique Algérien) étaient des collutoires buccaux indiqués pour les affections de la cavité buccale (gingivites, stomatites, aphtes), et n'étaient pas indiquées pour l'usage ophtalmologique. À l'international, la tétragaïne ophtalmique est (ou a été) commercialisée sous forme de collyre à la concentration de 0,5 % à 1 % (5 à 10 mg/mL), en flacon multidose de 5 mL ou 10 mL, généralement sans chlorure de benzalkonium (en raison de la potentielle toxicité épithéliale additive). Le volume unitaire d'une goutte est d'environ 30 à 50 µL, ce qui correspond à une dose unitaire de 150 à 500 µg de tétragaïne chlorhydrate. La formulation en collyre privilégie la pénétration cornéenne rapide (effet maximal en 5 à 10 minutes) au détriment de la durée d'action (30 à 60 minutes). Comparée à l'oxybuprocaïne, la tétragaïne présente une puissance anesthésique supérieure (2 à 3 fois), une durée d'action plus longue (30 à 60 minutes vs 15 à 30 minutes), mais une toxicité épithéliale supérieure, une incidence allergique supérieure et une cardiotoxicité supérieure. Cette supériorité pharmacologique, combinée à un profil de tolérance moins favorable, explique le retrait progressif de la tétragaïne ophtalmique du marché international et sa non-disponibilité en Algérie. L'alternative disponible en Algérie pour l'anesthésie locale ophtalmique est l'oxybuprocaïne (ANESTOCIL, CEBESINE), avec une posologie identique et une tolérance supérieure.</w:t>
      </w:r>
    </w:p>
    <w:p>
      <w:r/>
      <w:r>
        <w:rPr>
          <w:b/>
        </w:rPr>
        <w:t>Instructions et Conseils au Patient :</w:t>
      </w:r>
      <w:r/>
    </w:p>
    <w:p>
      <w:pPr>
        <w:pStyle w:val="ListBullet"/>
      </w:pPr>
      <w:r>
        <w:t>Communication au comptoir : Informer le patient de la non-disponibilité de la tétragaïne en Algérie, sous quelque forme que ce soit. Orienter vers l'ophtalmologue pour substitution par l'oxybuprocaïne (alternative disponible en Algérie).</w:t>
      </w:r>
    </w:p>
    <w:p>
      <w:pPr>
        <w:pStyle w:val="ListBullet"/>
      </w:pPr>
      <w:r>
        <w:t>Mode d'utilisation pratique (théorique, en l'absence de disponibilité en Algérie) : identique à celui de l'oxybuprocaïne.</w:t>
      </w:r>
    </w:p>
    <w:p>
      <w:pPr>
        <w:pStyle w:val="ListBullet"/>
      </w:pPr>
      <w:r>
        <w:t>Information sur les signes d'alerte (théorique) : identique à ceux de l'oxybuprocaïne.</w:t>
      </w:r>
    </w:p>
    <w:p>
      <w:pPr>
        <w:pStyle w:val="ListBullet"/>
      </w:pPr>
      <w:r>
        <w:t>Information sur la conservation (théorique) : identique à celle de l'oxybuprocaïne.</w:t>
      </w:r>
    </w:p>
    <w:p>
      <w:pPr>
        <w:pStyle w:val="ListBullet"/>
      </w:pPr>
      <w:r>
        <w:t>Information sur l'usage chez la femme enceinte (théorique) : déconseillé au 1er trimestre ; à discuter au cas par cas aux 2e et 3e trimestres.</w:t>
      </w:r>
    </w:p>
    <w:p>
      <w:pPr>
        <w:pStyle w:val="ListBullet"/>
      </w:pPr>
      <w:r>
        <w:t>Information sur le port de lentilles de contact (théorique) : contre-indication pendant la durée d'action (60 minutes). Retirer les lentilles avant l'instillation et attendre au moins 60 minutes avant de les remettre.</w:t>
      </w:r>
    </w:p>
    <w:p>
      <w:r/>
      <w:r>
        <w:rPr>
          <w:b/>
        </w:rPr>
        <w:t>Notes, Règles d'Or &amp; Pièges au Comptoir :</w:t>
      </w:r>
      <w:r/>
    </w:p>
    <w:p>
      <w:pPr>
        <w:pStyle w:val="ListBullet"/>
      </w:pPr>
      <w:r>
        <w:t>Piège classique n°1 : Patient revenant de l'étranger avec une prescription de tétragaïne ophtalmique (collyre 0,5 % ou 1 %) → informer le patient de la non-disponibilité de la tétragaïne en Algérie, et orienter vers l'ophtalmologue pour substitution par l'oxybuprocaïne (alternative disponible en Algérie, ANESTOCIL ou CEBESINE).</w:t>
      </w:r>
    </w:p>
    <w:p>
      <w:pPr>
        <w:pStyle w:val="ListBullet"/>
      </w:pPr>
      <w:r>
        <w:t>Piège classique n°2 : Patient demandant de la tétragaïne pour automédication → refus absolu de la délivrance. Information sur la non-disponibilité de la tétragaïne en Algérie et sur la dangerosité majeure de l'automédication par anesthésique local ophtalmique. Orientation immédiate vers l'ophtalmologue.</w:t>
      </w:r>
    </w:p>
    <w:p>
      <w:pPr>
        <w:pStyle w:val="ListBullet"/>
      </w:pPr>
      <w:r>
        <w:t>Piège classique n°3 : Patient présentant un antécédent d'allergie à la tétracaïne ou aux anesthésiques locaux (procaïne, oxybuprocaïne, lidocaïne) → information sur la non-disponibilité de la tétragaïne en Algérie et sur l'alternative disponible (oxybuprocaïne si pas d'allergie croisée ; amino-amides comme la lidocaïne ou la bupivacaïne si allergie aux amino-esters).</w:t>
      </w:r>
    </w:p>
    <w:p>
      <w:pPr>
        <w:pStyle w:val="ListBullet"/>
      </w:pPr>
      <w:r>
        <w:t>Règle d'or : « Tétragaïne = non disponible en Algérie. Alternative = oxybuprocaïne (ANESTOCIL, CEBESINE). Jamais d'automédication, jamais d'usage prolongé, jamais chez le porteur de lentilles, jamais chez l'allergique aux amino-esters. »</w:t>
      </w:r>
    </w:p>
    <w:p>
      <w:pPr>
        <w:pStyle w:val="ListBullet"/>
      </w:pPr>
      <w:r>
        <w:t>Préparation et Conservation (théorique) : Flacon fermé, à température ≤ 25 °C, à l'abri de la lumière. Ne pas congeler. Jeter le flacon 4 semaines après la première ouverture.</w:t>
      </w:r>
    </w:p>
    <w:p>
      <w:pPr>
        <w:pStyle w:val="ListBullet"/>
      </w:pPr>
      <w:r>
        <w:t>Piège du diagnostic différentiel : Une douleur oculaire unilatérale nécessitant un anesthésique local pour être supportée doit faire suspecter une cause grave (glaucome aigu, kératite infectieuse, uvéite antérieure, corps étranger intra-oculaire, sclérite) → orientation vers l'ophtalmologue en urgence pour diagnostic étiologique.</w:t>
      </w:r>
    </w:p>
    <w:p>
      <w:pPr>
        <w:pStyle w:val="ListBullet"/>
      </w:pPr>
      <w:r>
        <w:t>Piège de la prescription à domicile : la prescription d'un anesthésique local ophtalmique pour usage à domicile doit être exceptionnelle et strictement encadrée (ordonnance datée de moins de 12 mois, ordonnance d'un ophtalmologue, geste ponctuel unique sous supervision médicale ou infirmière). En Algérie, l'oxybuprocaïne est la seule alternative disponible pour cette indication.</w:t>
      </w:r>
    </w:p>
    <w:p>
      <w:pPr>
        <w:pStyle w:val="Heading2"/>
      </w:pPr>
      <w:r>
        <w:t>143.5 Tableau comparatif des AINS et anesthésiques locaux ophtalmiques disponibles en Algérie</w:t>
      </w:r>
    </w:p>
    <w:tbl>
      <w:tblPr>
        <w:tblStyle w:val="LightGrid-Accent1"/>
        <w:tblW w:type="auto" w:w="0"/>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Pr>
          <w:p>
            <w:r>
              <w:rPr>
                <w:b/>
                <w:sz w:val="20"/>
              </w:rPr>
              <w:t>DCI</w:t>
            </w:r>
          </w:p>
        </w:tc>
        <w:tc>
          <w:tcPr>
            <w:tcW w:type="dxa" w:w="1039"/>
          </w:tcPr>
          <w:p>
            <w:r>
              <w:rPr>
                <w:b/>
                <w:sz w:val="20"/>
              </w:rPr>
              <w:t>Sous-classe</w:t>
            </w:r>
          </w:p>
        </w:tc>
        <w:tc>
          <w:tcPr>
            <w:tcW w:type="dxa" w:w="1039"/>
          </w:tcPr>
          <w:p>
            <w:r>
              <w:rPr>
                <w:b/>
                <w:sz w:val="20"/>
              </w:rPr>
              <w:t>Mécanisme d'action</w:t>
            </w:r>
          </w:p>
        </w:tc>
        <w:tc>
          <w:tcPr>
            <w:tcW w:type="dxa" w:w="1039"/>
          </w:tcPr>
          <w:p>
            <w:r>
              <w:rPr>
                <w:b/>
                <w:sz w:val="20"/>
              </w:rPr>
              <w:t>Concentration</w:t>
            </w:r>
          </w:p>
        </w:tc>
        <w:tc>
          <w:tcPr>
            <w:tcW w:type="dxa" w:w="1039"/>
          </w:tcPr>
          <w:p>
            <w:r>
              <w:rPr>
                <w:b/>
                <w:sz w:val="20"/>
              </w:rPr>
              <w:t>Délai d'action</w:t>
            </w:r>
          </w:p>
        </w:tc>
        <w:tc>
          <w:tcPr>
            <w:tcW w:type="dxa" w:w="1039"/>
          </w:tcPr>
          <w:p>
            <w:r>
              <w:rPr>
                <w:b/>
                <w:sz w:val="20"/>
              </w:rPr>
              <w:t>Durée d'action</w:t>
            </w:r>
          </w:p>
        </w:tc>
        <w:tc>
          <w:tcPr>
            <w:tcW w:type="dxa" w:w="1039"/>
          </w:tcPr>
          <w:p>
            <w:r>
              <w:rPr>
                <w:b/>
                <w:sz w:val="20"/>
              </w:rPr>
              <w:t>Posologie standard</w:t>
            </w:r>
          </w:p>
        </w:tc>
        <w:tc>
          <w:tcPr>
            <w:tcW w:type="dxa" w:w="1039"/>
          </w:tcPr>
          <w:p>
            <w:r>
              <w:rPr>
                <w:b/>
                <w:sz w:val="20"/>
              </w:rPr>
              <w:t>Spécialités actives</w:t>
            </w:r>
          </w:p>
        </w:tc>
        <w:tc>
          <w:tcPr>
            <w:tcW w:type="dxa" w:w="1039"/>
          </w:tcPr>
          <w:p>
            <w:r>
              <w:rPr>
                <w:b/>
                <w:sz w:val="20"/>
              </w:rPr>
              <w:t>Spécialité historique retirée</w:t>
            </w:r>
          </w:p>
        </w:tc>
      </w:tr>
      <w:tr>
        <w:tc>
          <w:tcPr>
            <w:tcW w:type="dxa" w:w="1039"/>
          </w:tcPr>
          <w:p>
            <w:r>
              <w:rPr>
                <w:sz w:val="20"/>
              </w:rPr>
              <w:t>Diclofénac</w:t>
            </w:r>
          </w:p>
        </w:tc>
        <w:tc>
          <w:tcPr>
            <w:tcW w:type="dxa" w:w="1039"/>
          </w:tcPr>
          <w:p>
            <w:r>
              <w:rPr>
                <w:sz w:val="20"/>
              </w:rPr>
              <w:t>AINS ophtalmique (acide phénylacétique)</w:t>
            </w:r>
          </w:p>
        </w:tc>
        <w:tc>
          <w:tcPr>
            <w:tcW w:type="dxa" w:w="1039"/>
          </w:tcPr>
          <w:p>
            <w:r>
              <w:rPr>
                <w:sz w:val="20"/>
              </w:rPr>
              <w:t>Inhibition COX-1 et COX-2 (préférence COX-2)</w:t>
            </w:r>
          </w:p>
        </w:tc>
        <w:tc>
          <w:tcPr>
            <w:tcW w:type="dxa" w:w="1039"/>
          </w:tcPr>
          <w:p>
            <w:r>
              <w:rPr>
                <w:sz w:val="20"/>
              </w:rPr>
              <w:t>0,1 % (1 mg/mL)</w:t>
            </w:r>
          </w:p>
        </w:tc>
        <w:tc>
          <w:tcPr>
            <w:tcW w:type="dxa" w:w="1039"/>
          </w:tcPr>
          <w:p>
            <w:r>
              <w:rPr>
                <w:sz w:val="20"/>
              </w:rPr>
              <w:t>30–60 min</w:t>
            </w:r>
          </w:p>
        </w:tc>
        <w:tc>
          <w:tcPr>
            <w:tcW w:type="dxa" w:w="1039"/>
          </w:tcPr>
          <w:p>
            <w:r>
              <w:rPr>
                <w:sz w:val="20"/>
              </w:rPr>
              <w:t>4–8 h</w:t>
            </w:r>
          </w:p>
        </w:tc>
        <w:tc>
          <w:tcPr>
            <w:tcW w:type="dxa" w:w="1039"/>
          </w:tcPr>
          <w:p>
            <w:r>
              <w:rPr>
                <w:sz w:val="20"/>
              </w:rPr>
              <w:t>1 goutte × 4/j, 2 à 4 sem</w:t>
            </w:r>
          </w:p>
        </w:tc>
        <w:tc>
          <w:tcPr>
            <w:tcW w:type="dxa" w:w="1039"/>
          </w:tcPr>
          <w:p>
            <w:r>
              <w:rPr>
                <w:sz w:val="20"/>
              </w:rPr>
              <w:t>VOLTARENE (Novartis), DICLOCED (Théa), DICLOGESIC (Dar Al Dawa), XINAC (Generic Lab)</w:t>
            </w:r>
          </w:p>
        </w:tc>
        <w:tc>
          <w:tcPr>
            <w:tcW w:type="dxa" w:w="1039"/>
          </w:tcPr>
          <w:p>
            <w:r>
              <w:rPr>
                <w:sz w:val="20"/>
              </w:rPr>
              <w:t>—</w:t>
            </w:r>
          </w:p>
        </w:tc>
      </w:tr>
      <w:tr>
        <w:tc>
          <w:tcPr>
            <w:tcW w:type="dxa" w:w="1039"/>
          </w:tcPr>
          <w:p>
            <w:r>
              <w:rPr>
                <w:sz w:val="20"/>
              </w:rPr>
              <w:t>Flurbiprofène</w:t>
            </w:r>
          </w:p>
        </w:tc>
        <w:tc>
          <w:tcPr>
            <w:tcW w:type="dxa" w:w="1039"/>
          </w:tcPr>
          <w:p>
            <w:r>
              <w:rPr>
                <w:sz w:val="20"/>
              </w:rPr>
              <w:t>AINS ophtalmique (acide propionique) — forme orale uniquement</w:t>
            </w:r>
          </w:p>
        </w:tc>
        <w:tc>
          <w:tcPr>
            <w:tcW w:type="dxa" w:w="1039"/>
          </w:tcPr>
          <w:p>
            <w:r>
              <w:rPr>
                <w:sz w:val="20"/>
              </w:rPr>
              <w:t>Inhibition COX-1 et COX-2 (préférence COX-1)</w:t>
            </w:r>
          </w:p>
        </w:tc>
        <w:tc>
          <w:tcPr>
            <w:tcW w:type="dxa" w:w="1039"/>
          </w:tcPr>
          <w:p>
            <w:r>
              <w:rPr>
                <w:sz w:val="20"/>
              </w:rPr>
              <w:t>Comprimés 100 mg (oral)</w:t>
            </w:r>
          </w:p>
        </w:tc>
        <w:tc>
          <w:tcPr>
            <w:tcW w:type="dxa" w:w="1039"/>
          </w:tcPr>
          <w:p>
            <w:r>
              <w:rPr>
                <w:sz w:val="20"/>
              </w:rPr>
              <w:t>1,5 h (pic oral)</w:t>
            </w:r>
          </w:p>
        </w:tc>
        <w:tc>
          <w:tcPr>
            <w:tcW w:type="dxa" w:w="1039"/>
          </w:tcPr>
          <w:p>
            <w:r>
              <w:rPr>
                <w:sz w:val="20"/>
              </w:rPr>
              <w:t>4–6 h (oral)</w:t>
            </w:r>
          </w:p>
        </w:tc>
        <w:tc>
          <w:tcPr>
            <w:tcW w:type="dxa" w:w="1039"/>
          </w:tcPr>
          <w:p>
            <w:r>
              <w:rPr>
                <w:sz w:val="20"/>
              </w:rPr>
              <w:t>100 mg × 1–2/j, 5–7 j</w:t>
            </w:r>
          </w:p>
        </w:tc>
        <w:tc>
          <w:tcPr>
            <w:tcW w:type="dxa" w:w="1039"/>
          </w:tcPr>
          <w:p>
            <w:r>
              <w:rPr>
                <w:sz w:val="20"/>
              </w:rPr>
              <w:t>ANTADINE, ANTALFEN GYN, FLUBIFENE, FLUDIS, FLURBINAD, FLURBIPROFAL, HUPTADYS, MENODIS, XYDOL GYN</w:t>
            </w:r>
          </w:p>
        </w:tc>
        <w:tc>
          <w:tcPr>
            <w:tcW w:type="dxa" w:w="1039"/>
          </w:tcPr>
          <w:p>
            <w:r>
              <w:rPr>
                <w:sz w:val="20"/>
              </w:rPr>
              <w:t>ANTADYS (Theramex)</w:t>
            </w:r>
          </w:p>
        </w:tc>
      </w:tr>
      <w:tr>
        <w:tc>
          <w:tcPr>
            <w:tcW w:type="dxa" w:w="1039"/>
          </w:tcPr>
          <w:p>
            <w:r>
              <w:rPr>
                <w:sz w:val="20"/>
              </w:rPr>
              <w:t>Kétorolac</w:t>
            </w:r>
          </w:p>
        </w:tc>
        <w:tc>
          <w:tcPr>
            <w:tcW w:type="dxa" w:w="1039"/>
          </w:tcPr>
          <w:p>
            <w:r>
              <w:rPr>
                <w:sz w:val="20"/>
              </w:rPr>
              <w:t>AINS ophtalmique (acide hétérocyclique)</w:t>
            </w:r>
          </w:p>
        </w:tc>
        <w:tc>
          <w:tcPr>
            <w:tcW w:type="dxa" w:w="1039"/>
          </w:tcPr>
          <w:p>
            <w:r>
              <w:rPr>
                <w:sz w:val="20"/>
              </w:rPr>
              <w:t>Inhibition COX-1 et COX-2 (équilibre)</w:t>
            </w:r>
          </w:p>
        </w:tc>
        <w:tc>
          <w:tcPr>
            <w:tcW w:type="dxa" w:w="1039"/>
          </w:tcPr>
          <w:p>
            <w:r>
              <w:rPr>
                <w:sz w:val="20"/>
              </w:rPr>
              <w:t>0,5 mg/mL (0,05 %)</w:t>
            </w:r>
          </w:p>
        </w:tc>
        <w:tc>
          <w:tcPr>
            <w:tcW w:type="dxa" w:w="1039"/>
          </w:tcPr>
          <w:p>
            <w:r>
              <w:rPr>
                <w:sz w:val="20"/>
              </w:rPr>
              <w:t>30–60 min</w:t>
            </w:r>
          </w:p>
        </w:tc>
        <w:tc>
          <w:tcPr>
            <w:tcW w:type="dxa" w:w="1039"/>
          </w:tcPr>
          <w:p>
            <w:r>
              <w:rPr>
                <w:sz w:val="20"/>
              </w:rPr>
              <w:t>4–6 h</w:t>
            </w:r>
          </w:p>
        </w:tc>
        <w:tc>
          <w:tcPr>
            <w:tcW w:type="dxa" w:w="1039"/>
          </w:tcPr>
          <w:p>
            <w:r>
              <w:rPr>
                <w:sz w:val="20"/>
              </w:rPr>
              <w:t>1 goutte × 4/j, 2 à 4 sem</w:t>
            </w:r>
          </w:p>
        </w:tc>
        <w:tc>
          <w:tcPr>
            <w:tcW w:type="dxa" w:w="1039"/>
          </w:tcPr>
          <w:p>
            <w:r>
              <w:rPr>
                <w:sz w:val="20"/>
              </w:rPr>
              <w:t>MEDROLGIN (World Medecine)</w:t>
            </w:r>
          </w:p>
        </w:tc>
        <w:tc>
          <w:tcPr>
            <w:tcW w:type="dxa" w:w="1039"/>
          </w:tcPr>
          <w:p>
            <w:r>
              <w:rPr>
                <w:sz w:val="20"/>
              </w:rPr>
              <w:t>—</w:t>
            </w:r>
          </w:p>
        </w:tc>
      </w:tr>
      <w:tr>
        <w:tc>
          <w:tcPr>
            <w:tcW w:type="dxa" w:w="1039"/>
          </w:tcPr>
          <w:p>
            <w:r>
              <w:rPr>
                <w:sz w:val="20"/>
              </w:rPr>
              <w:t>Népaénac</w:t>
            </w:r>
          </w:p>
        </w:tc>
        <w:tc>
          <w:tcPr>
            <w:tcW w:type="dxa" w:w="1039"/>
          </w:tcPr>
          <w:p>
            <w:r>
              <w:rPr>
                <w:sz w:val="20"/>
              </w:rPr>
              <w:t>AINS ophtalmique prodrogue (acide phénylacétique)</w:t>
            </w:r>
          </w:p>
        </w:tc>
        <w:tc>
          <w:tcPr>
            <w:tcW w:type="dxa" w:w="1039"/>
          </w:tcPr>
          <w:p>
            <w:r>
              <w:rPr>
                <w:sz w:val="20"/>
              </w:rPr>
              <w:t>Prodrogue convertie en amfenac (inhibiteur COX-1 et COX-2)</w:t>
            </w:r>
          </w:p>
        </w:tc>
        <w:tc>
          <w:tcPr>
            <w:tcW w:type="dxa" w:w="1039"/>
          </w:tcPr>
          <w:p>
            <w:r>
              <w:rPr>
                <w:sz w:val="20"/>
              </w:rPr>
              <w:t>0,3 % (3 mg/mL) suspension</w:t>
            </w:r>
          </w:p>
        </w:tc>
        <w:tc>
          <w:tcPr>
            <w:tcW w:type="dxa" w:w="1039"/>
          </w:tcPr>
          <w:p>
            <w:r>
              <w:rPr>
                <w:sz w:val="20"/>
              </w:rPr>
              <w:t>30–60 min</w:t>
            </w:r>
          </w:p>
        </w:tc>
        <w:tc>
          <w:tcPr>
            <w:tcW w:type="dxa" w:w="1039"/>
          </w:tcPr>
          <w:p>
            <w:r>
              <w:rPr>
                <w:sz w:val="20"/>
              </w:rPr>
              <w:t>6–8 h</w:t>
            </w:r>
          </w:p>
        </w:tc>
        <w:tc>
          <w:tcPr>
            <w:tcW w:type="dxa" w:w="1039"/>
          </w:tcPr>
          <w:p>
            <w:r>
              <w:rPr>
                <w:sz w:val="20"/>
              </w:rPr>
              <w:t>1 goutte × 3/j, 2 à 4 sem</w:t>
            </w:r>
          </w:p>
        </w:tc>
        <w:tc>
          <w:tcPr>
            <w:tcW w:type="dxa" w:w="1039"/>
          </w:tcPr>
          <w:p>
            <w:r>
              <w:rPr>
                <w:sz w:val="20"/>
              </w:rPr>
              <w:t>APFECTO (World Medecine)</w:t>
            </w:r>
          </w:p>
        </w:tc>
        <w:tc>
          <w:tcPr>
            <w:tcW w:type="dxa" w:w="1039"/>
          </w:tcPr>
          <w:p>
            <w:r>
              <w:rPr>
                <w:sz w:val="20"/>
              </w:rPr>
              <w:t>—</w:t>
            </w:r>
          </w:p>
        </w:tc>
      </w:tr>
      <w:tr>
        <w:tc>
          <w:tcPr>
            <w:tcW w:type="dxa" w:w="1039"/>
          </w:tcPr>
          <w:p>
            <w:r>
              <w:rPr>
                <w:sz w:val="20"/>
              </w:rPr>
              <w:t>Oxybuprocaïne</w:t>
            </w:r>
          </w:p>
        </w:tc>
        <w:tc>
          <w:tcPr>
            <w:tcW w:type="dxa" w:w="1039"/>
          </w:tcPr>
          <w:p>
            <w:r>
              <w:rPr>
                <w:sz w:val="20"/>
              </w:rPr>
              <w:t>Anesthésique local ophtalmique (amino-ester)</w:t>
            </w:r>
          </w:p>
        </w:tc>
        <w:tc>
          <w:tcPr>
            <w:tcW w:type="dxa" w:w="1039"/>
          </w:tcPr>
          <w:p>
            <w:r>
              <w:rPr>
                <w:sz w:val="20"/>
              </w:rPr>
              <w:t>Blocage canaux Na+ voltage-dépendants</w:t>
            </w:r>
          </w:p>
        </w:tc>
        <w:tc>
          <w:tcPr>
            <w:tcW w:type="dxa" w:w="1039"/>
          </w:tcPr>
          <w:p>
            <w:r>
              <w:rPr>
                <w:sz w:val="20"/>
              </w:rPr>
              <w:t>0,4 % (4 mg/mL)</w:t>
            </w:r>
          </w:p>
        </w:tc>
        <w:tc>
          <w:tcPr>
            <w:tcW w:type="dxa" w:w="1039"/>
          </w:tcPr>
          <w:p>
            <w:r>
              <w:rPr>
                <w:sz w:val="20"/>
              </w:rPr>
              <w:t>30 s–1 min</w:t>
            </w:r>
          </w:p>
        </w:tc>
        <w:tc>
          <w:tcPr>
            <w:tcW w:type="dxa" w:w="1039"/>
          </w:tcPr>
          <w:p>
            <w:r>
              <w:rPr>
                <w:sz w:val="20"/>
              </w:rPr>
              <w:t>15–30 min</w:t>
            </w:r>
          </w:p>
        </w:tc>
        <w:tc>
          <w:tcPr>
            <w:tcW w:type="dxa" w:w="1039"/>
          </w:tcPr>
          <w:p>
            <w:r>
              <w:rPr>
                <w:sz w:val="20"/>
              </w:rPr>
              <w:t>1 goutte × 1 (usage unique)</w:t>
            </w:r>
          </w:p>
        </w:tc>
        <w:tc>
          <w:tcPr>
            <w:tcW w:type="dxa" w:w="1039"/>
          </w:tcPr>
          <w:p>
            <w:r>
              <w:rPr>
                <w:sz w:val="20"/>
              </w:rPr>
              <w:t>ANESTOCIL (GPA), CEBESINE (Chauvin)</w:t>
            </w:r>
          </w:p>
        </w:tc>
        <w:tc>
          <w:tcPr>
            <w:tcW w:type="dxa" w:w="1039"/>
          </w:tcPr>
          <w:p>
            <w:r>
              <w:rPr>
                <w:sz w:val="20"/>
              </w:rPr>
              <w:t>NOVESINE (MSD Chibret)</w:t>
            </w:r>
          </w:p>
        </w:tc>
      </w:tr>
      <w:tr>
        <w:tc>
          <w:tcPr>
            <w:tcW w:type="dxa" w:w="1039"/>
          </w:tcPr>
          <w:p>
            <w:r>
              <w:rPr>
                <w:sz w:val="20"/>
              </w:rPr>
              <w:t>Tétragaïne (tétracaïne)</w:t>
            </w:r>
          </w:p>
        </w:tc>
        <w:tc>
          <w:tcPr>
            <w:tcW w:type="dxa" w:w="1039"/>
          </w:tcPr>
          <w:p>
            <w:r>
              <w:rPr>
                <w:sz w:val="20"/>
              </w:rPr>
              <w:t>Anesthésique local ophtalmique (amino-ester) — non disponible en Algérie</w:t>
            </w:r>
          </w:p>
        </w:tc>
        <w:tc>
          <w:tcPr>
            <w:tcW w:type="dxa" w:w="1039"/>
          </w:tcPr>
          <w:p>
            <w:r>
              <w:rPr>
                <w:sz w:val="20"/>
              </w:rPr>
              <w:t>Blocage canaux Na+ voltage-dépendants</w:t>
            </w:r>
          </w:p>
        </w:tc>
        <w:tc>
          <w:tcPr>
            <w:tcW w:type="dxa" w:w="1039"/>
          </w:tcPr>
          <w:p>
            <w:r>
              <w:rPr>
                <w:sz w:val="20"/>
              </w:rPr>
              <w:t>0,5–1 % (international)</w:t>
            </w:r>
          </w:p>
        </w:tc>
        <w:tc>
          <w:tcPr>
            <w:tcW w:type="dxa" w:w="1039"/>
          </w:tcPr>
          <w:p>
            <w:r>
              <w:rPr>
                <w:sz w:val="20"/>
              </w:rPr>
              <w:t>1–2 min</w:t>
            </w:r>
          </w:p>
        </w:tc>
        <w:tc>
          <w:tcPr>
            <w:tcW w:type="dxa" w:w="1039"/>
          </w:tcPr>
          <w:p>
            <w:r>
              <w:rPr>
                <w:sz w:val="20"/>
              </w:rPr>
              <w:t>30–60 min</w:t>
            </w:r>
          </w:p>
        </w:tc>
        <w:tc>
          <w:tcPr>
            <w:tcW w:type="dxa" w:w="1039"/>
          </w:tcPr>
          <w:p>
            <w:r>
              <w:rPr>
                <w:sz w:val="20"/>
              </w:rPr>
              <w:t>1 goutte × 1 (usage unique)</w:t>
            </w:r>
          </w:p>
        </w:tc>
        <w:tc>
          <w:tcPr>
            <w:tcW w:type="dxa" w:w="1039"/>
          </w:tcPr>
          <w:p>
            <w:r>
              <w:rPr>
                <w:sz w:val="20"/>
              </w:rPr>
              <w:t>Aucune disponible en Algérie</w:t>
            </w:r>
          </w:p>
        </w:tc>
        <w:tc>
          <w:tcPr>
            <w:tcW w:type="dxa" w:w="1039"/>
          </w:tcPr>
          <w:p>
            <w:r>
              <w:rPr>
                <w:sz w:val="20"/>
              </w:rPr>
              <w:t>ELUDRIL (collutoire buccal, Pierre Fabre), OROMEDINE (collutoire buccal, LPA) — retirés</w:t>
            </w:r>
          </w:p>
        </w:tc>
      </w:tr>
    </w:tbl>
    <w:p/>
    <w:p>
      <w:r/>
      <w:r>
        <w:rPr>
          <w:b/>
        </w:rPr>
        <w:t>Synthèse de la classification des AINS et anesthésiques locaux ophtalmiques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Classe</w:t>
            </w:r>
          </w:p>
        </w:tc>
        <w:tc>
          <w:tcPr>
            <w:tcW w:type="dxa" w:w="1559"/>
          </w:tcPr>
          <w:p>
            <w:r>
              <w:rPr>
                <w:b/>
                <w:sz w:val="20"/>
              </w:rPr>
              <w:t>Cible pharmacologique</w:t>
            </w:r>
          </w:p>
        </w:tc>
        <w:tc>
          <w:tcPr>
            <w:tcW w:type="dxa" w:w="1559"/>
          </w:tcPr>
          <w:p>
            <w:r>
              <w:rPr>
                <w:b/>
                <w:sz w:val="20"/>
              </w:rPr>
              <w:t>Indication principale</w:t>
            </w:r>
          </w:p>
        </w:tc>
        <w:tc>
          <w:tcPr>
            <w:tcW w:type="dxa" w:w="1559"/>
          </w:tcPr>
          <w:p>
            <w:r>
              <w:rPr>
                <w:b/>
                <w:sz w:val="20"/>
              </w:rPr>
              <w:t>DCI disponibles en Algérie</w:t>
            </w:r>
          </w:p>
        </w:tc>
        <w:tc>
          <w:tcPr>
            <w:tcW w:type="dxa" w:w="1559"/>
          </w:tcPr>
          <w:p>
            <w:r>
              <w:rPr>
                <w:b/>
                <w:sz w:val="20"/>
              </w:rPr>
              <w:t>Risque principal</w:t>
            </w:r>
          </w:p>
        </w:tc>
        <w:tc>
          <w:tcPr>
            <w:tcW w:type="dxa" w:w="1559"/>
          </w:tcPr>
          <w:p>
            <w:r>
              <w:rPr>
                <w:b/>
                <w:sz w:val="20"/>
              </w:rPr>
              <w:t>Statut réglementaire</w:t>
            </w:r>
          </w:p>
        </w:tc>
      </w:tr>
      <w:tr>
        <w:tc>
          <w:tcPr>
            <w:tcW w:type="dxa" w:w="1559"/>
          </w:tcPr>
          <w:p>
            <w:r>
              <w:rPr>
                <w:sz w:val="20"/>
              </w:rPr>
              <w:t>AINS ophtalmiques classiques</w:t>
            </w:r>
          </w:p>
        </w:tc>
        <w:tc>
          <w:tcPr>
            <w:tcW w:type="dxa" w:w="1559"/>
          </w:tcPr>
          <w:p>
            <w:r>
              <w:rPr>
                <w:sz w:val="20"/>
              </w:rPr>
              <w:t>Cyclo-oxygénase (COX-1 et COX-2)</w:t>
            </w:r>
          </w:p>
        </w:tc>
        <w:tc>
          <w:tcPr>
            <w:tcW w:type="dxa" w:w="1559"/>
          </w:tcPr>
          <w:p>
            <w:r>
              <w:rPr>
                <w:sz w:val="20"/>
              </w:rPr>
              <w:t>Inflammation et douleur post-opératoires, prévention du myosis peropératoire</w:t>
            </w:r>
          </w:p>
        </w:tc>
        <w:tc>
          <w:tcPr>
            <w:tcW w:type="dxa" w:w="1559"/>
          </w:tcPr>
          <w:p>
            <w:r>
              <w:rPr>
                <w:sz w:val="20"/>
              </w:rPr>
              <w:t>Diclofénac (4 spécialités), Kétorolac (1 spécialité), Flurbiprofène (forme orale uniquement)</w:t>
            </w:r>
          </w:p>
        </w:tc>
        <w:tc>
          <w:tcPr>
            <w:tcW w:type="dxa" w:w="1559"/>
          </w:tcPr>
          <w:p>
            <w:r>
              <w:rPr>
                <w:sz w:val="20"/>
              </w:rPr>
              <w:t>Kératite ponctuée superficielle, retard de cicatrisation épithéliale, ulcération cornéenne, allergie</w:t>
            </w:r>
          </w:p>
        </w:tc>
        <w:tc>
          <w:tcPr>
            <w:tcW w:type="dxa" w:w="1559"/>
          </w:tcPr>
          <w:p>
            <w:r>
              <w:rPr>
                <w:sz w:val="20"/>
              </w:rPr>
              <w:t>Liste II (diclofénac, flurbiprofène) ; Liste I (kétorolac)</w:t>
            </w:r>
          </w:p>
        </w:tc>
      </w:tr>
      <w:tr>
        <w:tc>
          <w:tcPr>
            <w:tcW w:type="dxa" w:w="1559"/>
          </w:tcPr>
          <w:p>
            <w:r>
              <w:rPr>
                <w:sz w:val="20"/>
              </w:rPr>
              <w:t>AINS ophtalmiques prodrogues</w:t>
            </w:r>
          </w:p>
        </w:tc>
        <w:tc>
          <w:tcPr>
            <w:tcW w:type="dxa" w:w="1559"/>
          </w:tcPr>
          <w:p>
            <w:r>
              <w:rPr>
                <w:sz w:val="20"/>
              </w:rPr>
              <w:t>Cyclo-oxygénase (COX-1 et COX-2) via métabolite actif (amfenac)</w:t>
            </w:r>
          </w:p>
        </w:tc>
        <w:tc>
          <w:tcPr>
            <w:tcW w:type="dxa" w:w="1559"/>
          </w:tcPr>
          <w:p>
            <w:r>
              <w:rPr>
                <w:sz w:val="20"/>
              </w:rPr>
              <w:t>Inflammation et douleur post-opératoires, prévention de l'œdème maculaire cystoïde</w:t>
            </w:r>
          </w:p>
        </w:tc>
        <w:tc>
          <w:tcPr>
            <w:tcW w:type="dxa" w:w="1559"/>
          </w:tcPr>
          <w:p>
            <w:r>
              <w:rPr>
                <w:sz w:val="20"/>
              </w:rPr>
              <w:t>Népaénac (1 spécialité)</w:t>
            </w:r>
          </w:p>
        </w:tc>
        <w:tc>
          <w:tcPr>
            <w:tcW w:type="dxa" w:w="1559"/>
          </w:tcPr>
          <w:p>
            <w:r>
              <w:rPr>
                <w:sz w:val="20"/>
              </w:rPr>
              <w:t>Kératite ponctuée superficielle (incidence réduite vs AINS classiques), allergie</w:t>
            </w:r>
          </w:p>
        </w:tc>
        <w:tc>
          <w:tcPr>
            <w:tcW w:type="dxa" w:w="1559"/>
          </w:tcPr>
          <w:p>
            <w:r>
              <w:rPr>
                <w:sz w:val="20"/>
              </w:rPr>
              <w:t>Liste I</w:t>
            </w:r>
          </w:p>
        </w:tc>
      </w:tr>
      <w:tr>
        <w:tc>
          <w:tcPr>
            <w:tcW w:type="dxa" w:w="1559"/>
          </w:tcPr>
          <w:p>
            <w:r>
              <w:rPr>
                <w:sz w:val="20"/>
              </w:rPr>
              <w:t>Anesthésiques locaux ophtalmiques</w:t>
            </w:r>
          </w:p>
        </w:tc>
        <w:tc>
          <w:tcPr>
            <w:tcW w:type="dxa" w:w="1559"/>
          </w:tcPr>
          <w:p>
            <w:r>
              <w:rPr>
                <w:sz w:val="20"/>
              </w:rPr>
              <w:t>Canaux Na+ voltage-dépendants</w:t>
            </w:r>
          </w:p>
        </w:tc>
        <w:tc>
          <w:tcPr>
            <w:tcW w:type="dxa" w:w="1559"/>
          </w:tcPr>
          <w:p>
            <w:r>
              <w:rPr>
                <w:sz w:val="20"/>
              </w:rPr>
              <w:t>Anesthésie de surface pour geste diagnostique ou thérapeutique court</w:t>
            </w:r>
          </w:p>
        </w:tc>
        <w:tc>
          <w:tcPr>
            <w:tcW w:type="dxa" w:w="1559"/>
          </w:tcPr>
          <w:p>
            <w:r>
              <w:rPr>
                <w:sz w:val="20"/>
              </w:rPr>
              <w:t>Oxybuprocaïne (2 spécialités)</w:t>
            </w:r>
          </w:p>
        </w:tc>
        <w:tc>
          <w:tcPr>
            <w:tcW w:type="dxa" w:w="1559"/>
          </w:tcPr>
          <w:p>
            <w:r>
              <w:rPr>
                <w:sz w:val="20"/>
              </w:rPr>
              <w:t>Kératite neurotrope (en cas d'usage répété — CI absolue), allergie (aux amino-esters), cardiotoxicité (à forte dose systémique)</w:t>
            </w:r>
          </w:p>
        </w:tc>
        <w:tc>
          <w:tcPr>
            <w:tcW w:type="dxa" w:w="1559"/>
          </w:tcPr>
          <w:p>
            <w:r>
              <w:rPr>
                <w:sz w:val="20"/>
              </w:rPr>
              <w:t>Liste I</w:t>
            </w:r>
          </w:p>
        </w:tc>
      </w:tr>
    </w:tbl>
    <w:p/>
    <w:p>
      <w:r/>
      <w:r>
        <w:rPr>
          <w:b/>
        </w:rPr>
        <w:t>Règles d'or de prescription et de délivrance des AINS et anesthésiques locaux ophtalmiques en pratique algérienne :</w:t>
      </w:r>
      <w:r/>
    </w:p>
    <w:p>
      <w:pPr>
        <w:pStyle w:val="ListNumber"/>
      </w:pPr>
      <w:r/>
      <w:r>
        <w:rPr>
          <w:b/>
        </w:rPr>
        <w:t>Choisir la classe en fonction de l'indication</w:t>
      </w:r>
      <w:r>
        <w:t xml:space="preserve"> : AINS ophtalmiques pour l'inflammation et la douleur post-opératoires (chirurgie de la cataracte, chirurgie réfractive, chirurgie du segment antérieur), anesthésiques locaux ophtalmiques pour l'anesthésie de surface d'un geste diagnostique ou thérapeutique court (extraction de corps étranger, tonométrie, gonioscopie). Ne jamais substituer un AINS par un anesthésique local (et inversement).</w:t>
      </w:r>
    </w:p>
    <w:p>
      <w:pPr>
        <w:pStyle w:val="ListNumber"/>
      </w:pPr>
      <w:r/>
      <w:r>
        <w:rPr>
          <w:b/>
        </w:rPr>
        <w:t>Préférer le diclofénac en première intention parmi les AINS ophtalmiques</w:t>
      </w:r>
      <w:r>
        <w:t>, en raison de son profil efficacy-tolérance favorable, de sa grande disponibilité (4 spécialités en Algérie), de son statut Liste II (vs Liste I pour le kétorolac et le népaénac) et de son coût modéré. Réserver le kétorolac aux cas de douleur post-opératoire intense ou de conjonctivite allergique prurigineuse résistante aux antihistaminiques. Réserver le népaénac aux cas d'intolérance ou de contre-indication au diclofénac, ou en cas de chirurgie de la cataracte à risque élevé d'œdème maculaire cystoïde (diabète, antécédent à l'œil controlatéral).</w:t>
      </w:r>
    </w:p>
    <w:p>
      <w:pPr>
        <w:pStyle w:val="ListNumber"/>
      </w:pPr>
      <w:r/>
      <w:r>
        <w:rPr>
          <w:b/>
        </w:rPr>
        <w:t>Préférer l'oxybuprocaïne comme anesthésique local ophtalmique</w:t>
      </w:r>
      <w:r>
        <w:t>, en raison de sa disponibilité (2 spécialités en Algérie), de sa bonne tolérance locale et de sa courte durée d'action adaptée au geste court. La tétragaïne n'est plus disponible en Algérie. Ne jamais substituer un anesthésique local par un autre en cas d'allergie aux amino-esters (risque d'allergie croisée) ; orienter vers un amino-amide (lidocaïne) si pas d'allergie croisée.</w:t>
      </w:r>
    </w:p>
    <w:p>
      <w:pPr>
        <w:pStyle w:val="ListNumber"/>
      </w:pPr>
      <w:r/>
      <w:r>
        <w:rPr>
          <w:b/>
        </w:rPr>
        <w:t>Vérifier l'intégrité cornéenne avant prescription d'un AINS ophtalmique</w:t>
      </w:r>
      <w:r>
        <w:t xml:space="preserve"> : examen à la lampe à fente avec coloration à la fluorescéine, recherche d'une kératite ponctuée superficielle préexistante, d'un ulcère cornéen, d'une sécheresse oculaire (BUT, Schirmer). Contre-indication absolue en cas d'ulcère cornéen actif ou de sécheresse oculaire sévère.</w:t>
      </w:r>
    </w:p>
    <w:p>
      <w:pPr>
        <w:pStyle w:val="ListNumber"/>
      </w:pPr>
      <w:r/>
      <w:r>
        <w:rPr>
          <w:b/>
        </w:rPr>
        <w:t>Respecter strictement la durée d'utilisation</w:t>
      </w:r>
      <w:r>
        <w:t xml:space="preserve"> : 2 à 4 semaines pour les AINS ophtalmiques (sans dépassement sans avis ophtalmologique) ; usage ponctuel unique pour les anesthésiques locaux ophtalmiques (jamais d'usage prolongé ou répété — contre-indication absolue).</w:t>
      </w:r>
    </w:p>
    <w:p>
      <w:pPr>
        <w:pStyle w:val="ListNumber"/>
      </w:pPr>
      <w:r/>
      <w:r>
        <w:rPr>
          <w:b/>
        </w:rPr>
        <w:t>Respecter les contre-indications communes</w:t>
      </w:r>
      <w:r>
        <w:t xml:space="preserve"> : hypersensibilité à la substance active ou aux excipients, antécédent d'asthme déclenché par les AINS (triade de Fernand-Widal — pour les AINS), antécédent d'allergie aux anesthésiques locaux de la famille des amino-esters (pour l'oxybuprocaïne), port de lentilles de contact, grossesse au 3e trimestre (AINS).</w:t>
      </w:r>
    </w:p>
    <w:p>
      <w:pPr>
        <w:pStyle w:val="ListNumber"/>
      </w:pPr>
      <w:r/>
      <w:r>
        <w:rPr>
          <w:b/>
        </w:rPr>
        <w:t>Vérifier la grossesse et l'allaitement</w:t>
      </w:r>
      <w:r>
        <w:t xml:space="preserve"> : AINS contre-indiqués au 3e trimestre de la grossesse, déconseillés au 1er et 2e trimestres, compatibles avec l'allaitement en usage court (diclofénac, népaénac) ou déconseillés (kétorolac). Anesthésiques locaux déconseillés au 1er trimestre, compatibles avec l'allaitement en usage ponctuel unique (oxybuprocaïne).</w:t>
      </w:r>
    </w:p>
    <w:p>
      <w:pPr>
        <w:pStyle w:val="ListNumber"/>
      </w:pPr>
      <w:r/>
      <w:r>
        <w:rPr>
          <w:b/>
        </w:rPr>
        <w:t>Associer systématiquement un substitut lacrymal sans conservateur</w:t>
      </w:r>
      <w:r>
        <w:t xml:space="preserve"> (unidose) en cas de traitement prolongé par AINS ophtalmique, pour compenser la toxicité épithéliale du chlorure de benzalkonium et prévenir la kératite ponctuée superficielle.</w:t>
      </w:r>
    </w:p>
    <w:p>
      <w:pPr>
        <w:pStyle w:val="ListNumber"/>
      </w:pPr>
      <w:r/>
      <w:r>
        <w:rPr>
          <w:b/>
        </w:rPr>
        <w:t>Informir le patient sur les signes d'alerte</w:t>
      </w:r>
      <w:r>
        <w:t xml:space="preserve"> : douleur oculaire, baisse d'acuité visuelle, rougeur oculaire intense, œdème palpébral, larmoiement excessif, sensation de corps étranger → arrêt immédiat et consultation ophtalmologique urgente.</w:t>
      </w:r>
    </w:p>
    <w:p>
      <w:pPr>
        <w:pStyle w:val="ListNumber"/>
      </w:pPr>
      <w:r/>
      <w:r>
        <w:rPr>
          <w:b/>
        </w:rPr>
        <w:t>Surveiller ophtalmologiquement</w:t>
      </w:r>
      <w:r>
        <w:t xml:space="preserve"> les patients sous AINS ophtalmiques prolongés : examen à la lampe à fente avec coloration à la fluorescéine à 1 semaine, 2 semaines, 4 semaines. Pas de surveillance nécessaire pour les anesthésiques locaux ophtalmiques en usage ponctuel unique.</w:t>
      </w:r>
    </w:p>
    <w:p>
      <w:pPr>
        <w:pStyle w:val="ListNumber"/>
      </w:pPr>
      <w:r/>
      <w:r>
        <w:rPr>
          <w:b/>
        </w:rPr>
        <w:t>Éviter l'automédication par anesthésique local ophtalmique</w:t>
      </w:r>
      <w:r>
        <w:t xml:space="preserve"> : message clé à transmettre au comptoir. Ne jamais délivrer d'anesthésique local ophtalmique sans ordonnance d'un ophtalmologue, et exclusivement pour un geste ponctuel à domicile sous supervision médicale ou infirmière. Information sur la dangerosité majeure de l'automédication (kératite neurotrope, ulcération, infection, perforation).</w:t>
      </w:r>
    </w:p>
    <w:p>
      <w:pPr>
        <w:pStyle w:val="ListNumber"/>
      </w:pPr>
      <w:r/>
      <w:r>
        <w:rPr>
          <w:b/>
        </w:rPr>
        <w:t>Assurer une traçabilité pharmaceutique</w:t>
      </w:r>
      <w:r>
        <w:t xml:space="preserve"> pour les médicaments en Liste I (MEDROLGIN, APFECTO, ANESTOCIL, CEBESINE) : enregistrement de la délivrance dans le registre pharmaceutique, vérification de l'ordonnance datée de moins de 12 mois. Pour les Listes II (VOLTARENE, DICLOCED, DICLOGESIC, XINAC, et formes orales du flurbiprofène), traçabilité allégée mais obligatoire.</w:t>
      </w:r>
    </w:p>
    <w:p>
      <w:pPr>
        <w:pStyle w:val="Heading2"/>
      </w:pPr>
      <w:r>
        <w:t>143.6 Annexe pratique — Outils d'aide à la prescription et à la dispensation</w:t>
      </w:r>
    </w:p>
    <w:p>
      <w:pPr>
        <w:pStyle w:val="Heading3"/>
      </w:pPr>
      <w:r>
        <w:t>143.6.1 Algorithme de choix du traitement ophtalmologique local en fonction du contexte clinique</w:t>
      </w:r>
    </w:p>
    <w:p>
      <w:r>
        <w:t>Le choix du traitement ophtalmologique local dépend principalement du contexte clinique (chirurgie programmée, geste diagnostique, geste thérapeutique court, pathologie inflammatoire non chirurgicale), de l'état cornéen préalable, des contre-indications du patient (allergie, asthme, grossesse, port de lentilles) et de la disponibilité de la molécule sur le marché algérien. L'algorithme simplifié suivant facilite la décision thérapeutique en pratique courante.</w:t>
      </w:r>
    </w:p>
    <w:p>
      <w:r/>
      <w:r>
        <w:rPr>
          <w:b/>
        </w:rPr>
        <w:t>Algorithme simplifié de choix du traitement ophtalmologique local :</w:t>
      </w:r>
      <w:r/>
    </w:p>
    <w:p>
      <w:pPr>
        <w:pStyle w:val="ListNumber"/>
      </w:pPr>
      <w:r/>
      <w:r>
        <w:rPr>
          <w:b/>
        </w:rPr>
        <w:t>Patient programmé pour chirurgie de la cataracte par phaco-émulsification :</w:t>
      </w:r>
      <w:r/>
    </w:p>
    <w:p>
      <w:pPr>
        <w:pStyle w:val="ListBullet"/>
      </w:pPr>
      <w:r>
        <w:t>Prévention du myosis peropératoire : Diclofénac collyre 0,1 % (VOLTARENE, DICLOCED, DICLOGESIC, XINAC), 1 goutte toutes les 30 à 60 minutes pendant 2 heures avant la chirurgie (4 gouttes au total), en association avec un mydriatique (tropicamide + phényléphrine). Alternative : Kétorolac collyre 0,5 mg/mL (MEDROLGIN), même posologie.</w:t>
      </w:r>
    </w:p>
    <w:p>
      <w:pPr>
        <w:pStyle w:val="ListBullet"/>
      </w:pPr>
      <w:r>
        <w:t>Traitement post-opératoire (inflammation et douleur) : Diclofénac collyre 0,1 %, 1 goutte 4 fois par jour pendant 2 à 4 semaines, en association avec un antibiotique local (ofloxacine, tobramycine) et un corticoïde local (dexaméthasone) selon le protocole du chirurgien. Alternative : Kétorolac collyre 0,5 mg/mL (MEDROLGIN), même posologie ; ou Népaénac collyre 0,3 % (APFECTO), 1 goutte 3 fois par jour pendant 2 à 4 semaines.</w:t>
      </w:r>
    </w:p>
    <w:p>
      <w:pPr>
        <w:pStyle w:val="ListBullet"/>
      </w:pPr>
      <w:r>
        <w:t>Patient à risque élevé d'œdème maculaire cystoïde (diabète, antécédent à l'œil controlatéral) : Népaénac collyre 0,3 % (APFECTO), 1 goutte 3 fois par jour pendant 4 à 6 semaines, en association avec un corticoïde local selon le protocole du chirurgien.</w:t>
      </w:r>
    </w:p>
    <w:p>
      <w:pPr>
        <w:pStyle w:val="ListBullet"/>
      </w:pPr>
      <w:r>
        <w:t>Patient allergique au diclofénac ou aux AINS : corticothérapie locale seule (dexaméthasone, prednisolone), sous surveillance ophtalmologique rapprochée.</w:t>
      </w:r>
    </w:p>
    <w:p>
      <w:pPr>
        <w:pStyle w:val="ListNumber"/>
      </w:pPr>
      <w:r/>
      <w:r>
        <w:rPr>
          <w:b/>
        </w:rPr>
        <w:t>Patient programmé pour chirurgie réfractive (PKR, LASIK) :</w:t>
      </w:r>
      <w:r/>
    </w:p>
    <w:p>
      <w:pPr>
        <w:pStyle w:val="ListBullet"/>
      </w:pPr>
      <w:r>
        <w:t>Traitement post-opératoire (douleur) : Diclofénac collyre 0,1 % (VOLTARENE, DICLOCED, DICLOGESIC, XINAC), 1 goutte 4 fois par jour pendant 3 à 7 jours, en association avec un antibiotique local, un corticoïde local à posologie dégressive et un substitut lacrymal sans conservateur. Alternative : Kétorolac collyre 0,5 mg/mL (MEDROLGIN), même posologie.</w:t>
      </w:r>
    </w:p>
    <w:p>
      <w:pPr>
        <w:pStyle w:val="ListBullet"/>
      </w:pPr>
      <w:r>
        <w:t>Prudence particulière : éviter le diclofénac ou le kétorolac en traitement prolongé au-delà de 7 jours après PKR (risque majeur de retard de cicatrisation épithéliale et de haze cornéen). Préférer les corticoïdes locaux à posologie dégressive selon le protocole du chirurgien.</w:t>
      </w:r>
    </w:p>
    <w:p>
      <w:pPr>
        <w:pStyle w:val="ListNumber"/>
      </w:pPr>
      <w:r/>
      <w:r>
        <w:rPr>
          <w:b/>
        </w:rPr>
        <w:t>Patient nécessitant un geste diagnostique ou thérapeutique court en consultation ophtalmologique :</w:t>
      </w:r>
      <w:r/>
    </w:p>
    <w:p>
      <w:pPr>
        <w:pStyle w:val="ListBullet"/>
      </w:pPr>
      <w:r>
        <w:t>Anesthésie de surface : Oxybuprocaïne collyre 0,4 % (ANESTOCIL, CEBESINE), 1 goutte en instillation unique 1 à 5 minutes avant le geste (tonométrie par aplanation, gonioscopie, extraction de corps étranger cornéen, sondage des voies lacrymales, ablation de suture cornéenne, mise en place de lentilles de contact sclérales).</w:t>
      </w:r>
    </w:p>
    <w:p>
      <w:pPr>
        <w:pStyle w:val="ListBullet"/>
      </w:pPr>
      <w:r>
        <w:t>Patient allergique à l'oxybuprocaïne ou aux amino-esters : discuter l'alternative d'un amino-amide (lidocaïne ophtalmique — non disponible en Algérie dans la nomenclature de 2026, à se procurer en officine hospitalière si nécessaire). En cas d'impossibilité, report du geste sous anesthésie loco-régionale péri-bulbaire.</w:t>
      </w:r>
    </w:p>
    <w:p>
      <w:pPr>
        <w:pStyle w:val="ListBullet"/>
      </w:pPr>
      <w:r>
        <w:t>Patient porteur de lentilles de contact : retirer les lentilles avant l'instillation et ne pas les remettre pendant 30 minutes après.</w:t>
      </w:r>
    </w:p>
    <w:p>
      <w:pPr>
        <w:pStyle w:val="ListNumber"/>
      </w:pPr>
      <w:r/>
      <w:r>
        <w:rPr>
          <w:b/>
        </w:rPr>
        <w:t>Patient présentant une inflammation non chirurgicale du segment antérieur (épisclérite, sclérite non nécrosante, kératite marginale) :</w:t>
      </w:r>
      <w:r/>
    </w:p>
    <w:p>
      <w:pPr>
        <w:pStyle w:val="ListBullet"/>
      </w:pPr>
      <w:r>
        <w:t>Traitement de première intention : corticothérapie locale (dexaméthasone, prednisolone) en l'absence de contre-indication.</w:t>
      </w:r>
    </w:p>
    <w:p>
      <w:pPr>
        <w:pStyle w:val="ListBullet"/>
      </w:pPr>
      <w:r>
        <w:t>Traitement de seconde intention (échec ou contre-indication des corticoïdes) : Diclofénac collyre 0,1 % (VOLTARENE, DICLOCED, DICLOGESIC, XINAC), 1 goutte 4 fois par jour pendant 2 à 4 semaines, sous surveillance ophtalmologique rapprochée. Alternative : Kétorolac collyre 0,5 mg/mL (MEDROLGIN).</w:t>
      </w:r>
    </w:p>
    <w:p>
      <w:pPr>
        <w:pStyle w:val="ListBullet"/>
      </w:pPr>
      <w:r>
        <w:t>Prudence particulière : éliminer une cause infectieuse (kératite bactérienne, herpétique, fongique) avant d'initier un traitement par AINS ou corticoïde (risque d'aggravation).</w:t>
      </w:r>
    </w:p>
    <w:p>
      <w:pPr>
        <w:pStyle w:val="ListNumber"/>
      </w:pPr>
      <w:r/>
      <w:r>
        <w:rPr>
          <w:b/>
        </w:rPr>
        <w:t>Patient présentant une conjonctivite allergique saisonnière prurigineuse :</w:t>
      </w:r>
      <w:r/>
    </w:p>
    <w:p>
      <w:pPr>
        <w:pStyle w:val="ListBullet"/>
      </w:pPr>
      <w:r>
        <w:t>Traitement de première intention : antihistaminique local (olopatadine, azelastine, kétotifène), 1 goutte 2 fois par jour pendant 2 à 4 semaines.</w:t>
      </w:r>
    </w:p>
    <w:p>
      <w:pPr>
        <w:pStyle w:val="ListBullet"/>
      </w:pPr>
      <w:r>
        <w:t>Traitement de seconde intention (échec des antihistaminiques locaux) : Kétorolac collyre 0,5 mg/mL (MEDROLGIN), 1 goutte 4 fois par jour pendant 2 semaines maximum (en raison de la tolérance cornéenne moins favorable que les antihistaminiques locaux en traitement prolongé).</w:t>
      </w:r>
    </w:p>
    <w:p>
      <w:pPr>
        <w:pStyle w:val="ListBullet"/>
      </w:pPr>
      <w:r>
        <w:t>Patient présentant une conjonctivite allergique perannuelle sévère : orientation vers l'ophtalmologue pour bilan allergologique et traitement de fond (antihistaminiques oraux, corticothérapie locale brève, immunothérapie allergénique).</w:t>
      </w:r>
    </w:p>
    <w:p>
      <w:pPr>
        <w:pStyle w:val="Heading3"/>
      </w:pPr>
      <w:r>
        <w:t>143.6.2 Stratégie de surveillance des patients sous AINS ophtalmiques prolongés</w:t>
      </w:r>
    </w:p>
    <w:p>
      <w:r>
        <w:t>La surveillance d'un traitement prolongé par AINS ophtalmiques doit être adaptée à la tolérance locale (cornéenne) et systémique, à l'âge du patient et à ses comorbidités. La stratégie de surveillance standardisée suivante facilite la détection précoce des effets indésirables et permet d'adapter le traitement en conséquence.</w:t>
      </w:r>
    </w:p>
    <w:p>
      <w:r/>
      <w:r>
        <w:rPr>
          <w:b/>
        </w:rPr>
        <w:t>Surveillance minimale (tous patients sous AINS ophtalmiques) :</w:t>
      </w:r>
      <w:r/>
    </w:p>
    <w:p>
      <w:pPr>
        <w:pStyle w:val="ListBullet"/>
      </w:pPr>
      <w:r>
        <w:t>Examen ophtalmologique initial avant l'initiation du traitement : examen à la lampe à fente avec coloration à la fluorescéine (recherche d'une kératite ponctuée superficielle préexistante, d'un ulcère cornéen), mesure du BUT (Break-Up Time) lacrymal, test de Schirmer en cas de doute sur une sécheresse oculaire, mesure de la pression intra-oculaire (pour éliminer un glaucome non diagnostiqué).</w:t>
      </w:r>
    </w:p>
    <w:p>
      <w:pPr>
        <w:pStyle w:val="ListBullet"/>
      </w:pPr>
      <w:r>
        <w:t>Examen de suivi à 1 semaine : recherche d'une kératite ponctuée superficielle (coloration à la fluorescéine), d'une hyperhémie conjonctivale, d'un œdème cornéen, d'une baisse d'acuité visuelle. Interrogatoire : picotements à l'instillation, douleur oculaire, vision trouble.</w:t>
      </w:r>
    </w:p>
    <w:p>
      <w:pPr>
        <w:pStyle w:val="ListBullet"/>
      </w:pPr>
      <w:r>
        <w:t>Examen de suivi à 2 semaines : idem.</w:t>
      </w:r>
    </w:p>
    <w:p>
      <w:pPr>
        <w:pStyle w:val="ListBullet"/>
      </w:pPr>
      <w:r>
        <w:t>Examen de suivi à 4 semaines : idem. Décision de poursuite ou d'arrêt du traitement selon la réponse clinique et la tolérance.</w:t>
      </w:r>
    </w:p>
    <w:p>
      <w:r/>
      <w:r>
        <w:rPr>
          <w:b/>
        </w:rPr>
        <w:t>Surveillance renforcée (patient à risque de toxicité cornéenne) :</w:t>
      </w:r>
      <w:r/>
    </w:p>
    <w:p>
      <w:pPr>
        <w:pStyle w:val="ListBullet"/>
      </w:pPr>
      <w:r>
        <w:t>Patient présentant une sécheresse oculaire préexistante (syndrome de Gougerot-Sjögren, déficit lacrymal objectif) : surveillance à 3 jours, 1 semaine, 2 semaines, 4 semaines ; association systématique à un substitut lacrymal sans conservateur (unidose) ; arrêt immédiat en cas de kératite ponctuée superficielle.</w:t>
      </w:r>
    </w:p>
    <w:p>
      <w:pPr>
        <w:pStyle w:val="ListBullet"/>
      </w:pPr>
      <w:r>
        <w:t>Patient présentant une polyarthrite rhumatoïde ou une auto-immunité : surveillance à 3 jours, 1 semaine, 2 semaines, 4 semaines ; arrêt immédiat en cas de kératite ponctuée superficielle (risque majeur de perforation cornéenne).</w:t>
      </w:r>
    </w:p>
    <w:p>
      <w:pPr>
        <w:pStyle w:val="ListBullet"/>
      </w:pPr>
      <w:r>
        <w:t>Patient présentant un diabète (risque accru d'œdème maculaire cystoïde post-opératoire) : préférence pour le népaénac (APFECTO) si disponible ; surveillance à 1 semaine, 2 semaines, 4 semaines, 6 semaines, avec OCT maculaire à 4 semaines et 6 semaines pour dépistage de l'œdème maculaire cystoïde.</w:t>
      </w:r>
    </w:p>
    <w:p>
      <w:pPr>
        <w:pStyle w:val="ListBullet"/>
      </w:pPr>
      <w:r>
        <w:t>Patient âgé (≥ 65 ans) : surveillance rapprochée en raison du risque accru de sécheresse oculaire et de fragilité épithéliale.</w:t>
      </w:r>
    </w:p>
    <w:p>
      <w:pPr>
        <w:pStyle w:val="ListBullet"/>
      </w:pPr>
      <w:r>
        <w:t>Patient présentant une allergie cutanéo-muqueuse : surveillance particulière pour dépistage d'une réaction allergique (kératoconjonctivite allergique, dermatite de contact palpébrale) ; arrêt immédiat en cas de réaction allergique.</w:t>
      </w:r>
    </w:p>
    <w:p>
      <w:r/>
      <w:r>
        <w:rPr>
          <w:b/>
        </w:rPr>
        <w:t>Surveillance systémique (en cas de traitement prolongé ou de comorbidités) :</w:t>
      </w:r>
      <w:r/>
    </w:p>
    <w:p>
      <w:pPr>
        <w:pStyle w:val="ListBullet"/>
      </w:pPr>
      <w:r>
        <w:t>Patient sous anticoagulants oraux (warfarine, AVK, AOD) ou antiagrégants plaquettaires : surveillance de l'INR et de la tolérance clinique (saignements gastro-intestinaux, gingivorragies, épistaxis, ecchymoses) en cas de traitement prolongé par AINS ophtalmiques (notamment kétorolac en raison de son activité antiplaquettaire marquée).</w:t>
      </w:r>
    </w:p>
    <w:p>
      <w:pPr>
        <w:pStyle w:val="ListBullet"/>
      </w:pPr>
      <w:r>
        <w:t>Patient asthmatique (notamment triade de Fernand-Widal) : contre-indication absolue aux AINS ophtalmiques (risque de crise d'asthme grave). Information du patient sur le port d'une carte d'allergie aux AINS.</w:t>
      </w:r>
    </w:p>
    <w:p>
      <w:pPr>
        <w:pStyle w:val="ListBullet"/>
      </w:pPr>
      <w:r>
        <w:t>Patient insuffisant rénal (clairance &lt; 30 mL/min) : éviter les AINS ophtalmiques en traitement prolongé (risque d'accumulation systémique et d'aggravation de l'insuffisance rénale).</w:t>
      </w:r>
    </w:p>
    <w:p>
      <w:pPr>
        <w:pStyle w:val="Heading3"/>
      </w:pPr>
      <w:r>
        <w:t>143.6.3 Protocole de gestion d'une toxicité cornéenne sous AINS ophtalmique</w:t>
      </w:r>
    </w:p>
    <w:p>
      <w:r>
        <w:t>La toxicité cornéenne sous AINS ophtalmique est la principale iatrogénicité de cette classe. Elle se manifeste cliniquement par une kératite ponctuée superficielle (présentation la plus fréquente), plus rarement par une ulcération cornéenne ou une kératomalacie (gravissime). Le protocole de gestion standardisé suivant permet de limiter l'évolution vers des formes graves.</w:t>
      </w:r>
    </w:p>
    <w:p>
      <w:r/>
      <w:r>
        <w:rPr>
          <w:b/>
        </w:rPr>
        <w:t>Conduite à tenir en cas de kératite ponctuée superficielle sous AINS ophtalmique :</w:t>
      </w:r>
      <w:r/>
    </w:p>
    <w:p>
      <w:pPr>
        <w:pStyle w:val="ListBullet"/>
      </w:pPr>
      <w:r>
        <w:t>Étape 1 (immédiat) : arrêt de l'AINS ophtalmique. Substitution par un substitut lacrymal sans conservateur (unidose) toutes les 1 à 2 heures. Information du patient sur les signes d'alerte (douleur, baisse d'acuité visuelle, rougeur intense) nécessitant une consultation en urgence.</w:t>
      </w:r>
    </w:p>
    <w:p>
      <w:pPr>
        <w:pStyle w:val="ListBullet"/>
      </w:pPr>
      <w:r>
        <w:t>Étape 2 (à 24-48 heures) : examen ophtalmologique à la lampe à fente avec coloration à la fluorescéine pour évaluer la cicatrisation épithéliale. En cas de cicatrisation complète : poursuite du substitut lacrymal sans conservateur 4 à 6 fois par jour pendant 1 semaine, sans reprise de l'AINS. En cas de non-cicatrisation : passage à l'étape 3.</w:t>
      </w:r>
    </w:p>
    <w:p>
      <w:pPr>
        <w:pStyle w:val="ListBullet"/>
      </w:pPr>
      <w:r>
        <w:t>Étape 3 (à 1 semaine en cas de non-cicatrisation) : avis ophtalmologique spécialisé pour gestion spécifique : antibiothérapie prophylactique locale (ofloxacine collyre 0,3 %, 1 goutte 4 fois par jour) en cas de defect épithélial persistant (prévention de la kératite infectieuse), pansement cornéen (lentille thérapeutique, amniotique) en cas d'ulcération étendue, parfois corticothérapie locale de courte durée sous couverture antibiotique (à manier avec prudence).</w:t>
      </w:r>
    </w:p>
    <w:p>
      <w:pPr>
        <w:pStyle w:val="ListBullet"/>
      </w:pPr>
      <w:r>
        <w:t>Étape 4 (à 4 semaines en cas d'évolution favorable) : surveillance mensuelle pendant 3 mois pour dépistage d'une récidive ou d'une séquelle (néovascularisation cornéenne, taie cicatricielle).</w:t>
      </w:r>
    </w:p>
    <w:p>
      <w:r/>
      <w:r>
        <w:rPr>
          <w:b/>
        </w:rPr>
        <w:t>Conduite à tenir en cas d'ulcération cornéenne sous AINS ophtalmique :</w:t>
      </w:r>
      <w:r/>
    </w:p>
    <w:p>
      <w:pPr>
        <w:pStyle w:val="ListBullet"/>
      </w:pPr>
      <w:r>
        <w:t>Hospitalisation en urgence en service d'ophtalmologie pour prise en charge spécialisée.</w:t>
      </w:r>
    </w:p>
    <w:p>
      <w:pPr>
        <w:pStyle w:val="ListBullet"/>
      </w:pPr>
      <w:r>
        <w:t>Arrêt immédiat de l'AINS ophtalmique.</w:t>
      </w:r>
    </w:p>
    <w:p>
      <w:pPr>
        <w:pStyle w:val="ListBullet"/>
      </w:pPr>
      <w:r>
        <w:t>Prélèvement cornéen bactériologique, mycologique et virologique (en cas de suspicion de surinfection).</w:t>
      </w:r>
    </w:p>
    <w:p>
      <w:pPr>
        <w:pStyle w:val="ListBullet"/>
      </w:pPr>
      <w:r>
        <w:t>Antibiothérapie locale renforcée (ofloxacine + tobramycine ou vancomycine selon le contexte).</w:t>
      </w:r>
    </w:p>
    <w:p>
      <w:pPr>
        <w:pStyle w:val="ListBullet"/>
      </w:pPr>
      <w:r>
        <w:t>Pansement cornéen (lentille thérapeutique, amniotique) en cas d'ulcération étendue.</w:t>
      </w:r>
    </w:p>
    <w:p>
      <w:pPr>
        <w:pStyle w:val="ListBullet"/>
      </w:pPr>
      <w:r>
        <w:t>Corticothérapie locale de courte durée sous couverture antibiotique (à manier avec extrême prudence).</w:t>
      </w:r>
    </w:p>
    <w:p>
      <w:pPr>
        <w:pStyle w:val="ListBullet"/>
      </w:pPr>
      <w:r>
        <w:t>Surveillance quotidienne jusqu'à cicatrisation complète.</w:t>
      </w:r>
    </w:p>
    <w:p>
      <w:r/>
      <w:r>
        <w:rPr>
          <w:b/>
        </w:rPr>
        <w:t>Conduite à tenir en cas de kératomalacie ou de perforation cornéenne sous AINS ophtalmique :</w:t>
      </w:r>
      <w:r/>
    </w:p>
    <w:p>
      <w:pPr>
        <w:pStyle w:val="ListBullet"/>
      </w:pPr>
      <w:r>
        <w:t>Urgence ophtalmologique absolue : orientation immédiate vers un centre hospitalo-universitaire d'ophtalmologie.</w:t>
      </w:r>
    </w:p>
    <w:p>
      <w:pPr>
        <w:pStyle w:val="ListBullet"/>
      </w:pPr>
      <w:r>
        <w:t>Prise en charge chirurgicale : suture cornéenne, kératoplastie transfixiante en urgence en cas de perforation.</w:t>
      </w:r>
    </w:p>
    <w:p>
      <w:pPr>
        <w:pStyle w:val="ListBullet"/>
      </w:pPr>
      <w:r>
        <w:t>Antibiothérapie locale et systémique probabiliste à large spectre.</w:t>
      </w:r>
    </w:p>
    <w:p>
      <w:pPr>
        <w:pStyle w:val="ListBullet"/>
      </w:pPr>
      <w:r>
        <w:t>Arrêt définitif de tous les AINS ophtalmiques.</w:t>
      </w:r>
    </w:p>
    <w:p>
      <w:pPr>
        <w:pStyle w:val="ListBullet"/>
      </w:pPr>
      <w:r>
        <w:t>Information du patient sur la gravité de la situation et sur le risque de séquelle visuelle majeure.</w:t>
      </w:r>
    </w:p>
    <w:p>
      <w:pPr>
        <w:pStyle w:val="Heading3"/>
      </w:pPr>
      <w:r>
        <w:t>143.6.4 Cas cliniques d'illustration</w:t>
      </w:r>
    </w:p>
    <w:p>
      <w:r/>
      <w:r>
        <w:rPr>
          <w:b/>
        </w:rPr>
        <w:t>Cas clinique 1 — Patient programmé pour chirurgie de la cataracte de l'œil droit :</w:t>
      </w:r>
      <w:r/>
    </w:p>
    <w:p>
      <w:r>
        <w:t>Patient de 68 ans, sans antécédent particulier (pas d'allergie, pas d'asthme, pas de sécheresse oculaire, pas de diabète), programmé pour chirurgie de la cataracte de l'œil droit par phaco-émulsification avec implant intra-oculaire.</w:t>
      </w:r>
    </w:p>
    <w:p>
      <w:pPr>
        <w:pStyle w:val="ListBullet"/>
      </w:pPr>
      <w:r/>
      <w:r>
        <w:rPr>
          <w:b/>
        </w:rPr>
        <w:t>Choix thérapeutique</w:t>
      </w:r>
      <w:r>
        <w:t xml:space="preserve"> : Diclofénac collyre 0,1 % (VOLTARENE), 1 goutte dans l'œil droit toutes les 30 minutes pendant 2 heures avant la chirurgie (4 gouttes au total), en association avec un mydriatique (tropicamide 0,5 % + phényléphrine 5 %, 1 goutte selon le même schéma). Post-opératoire : Diclofénac collyre 0,1 %, 1 goutte 4 fois par jour pendant 3 semaines, en association avec un antibiotique local (ofloxacine 0,3 %, 1 goutte 4 fois par jour) et un corticoïde local (dexaméthasone 0,1 %, 1 goutte 4 fois par jour, en posologie dégressive). Substitut lacrymal sans conservateur (unidose), 1 goutte 4 à 6 fois par jour pendant 4 semaines.</w:t>
      </w:r>
    </w:p>
    <w:p>
      <w:pPr>
        <w:pStyle w:val="ListBullet"/>
      </w:pPr>
      <w:r/>
      <w:r>
        <w:rPr>
          <w:b/>
        </w:rPr>
        <w:t>Justification</w:t>
      </w:r>
      <w:r>
        <w:t xml:space="preserve"> : Le diclofénac ophtalmique est le traitement de référence de la prévention du myosis peropératoire et de l'inflammation post-opératoire après chirurgie de la cataracte. Sa bonne tolérance locale, sa disponibilité (4 spécialités en Algérie) et son statut Liste II en font la molécule de première intention. L'association à un antibiotique local et à un corticoïde local suit le protocole standard du chirurgien. Le substitut lacrymal sans conservateur permet de compenser la toxicité épithéliale du chlorure de benzalkonium.</w:t>
      </w:r>
    </w:p>
    <w:p>
      <w:pPr>
        <w:pStyle w:val="ListBullet"/>
      </w:pPr>
      <w:r/>
      <w:r>
        <w:rPr>
          <w:b/>
        </w:rPr>
        <w:t>Surveillance</w:t>
      </w:r>
      <w:r>
        <w:t xml:space="preserve"> : Examen à la lampe à fente à 1 semaine, 2 semaines, 4 semaines (recherche d'une kératite ponctuée superficielle, mesure de la pression intra-oculaire, mesure de l'acuité visuelle).</w:t>
      </w:r>
    </w:p>
    <w:p>
      <w:pPr>
        <w:pStyle w:val="ListBullet"/>
      </w:pPr>
      <w:r/>
      <w:r>
        <w:rPr>
          <w:b/>
        </w:rPr>
        <w:t>Conseils au comptoir</w:t>
      </w:r>
      <w:r>
        <w:t xml:space="preserve"> : Insister sur la durée maximale de 3 semaines, sur le mode d'administration (espacer les instillations de 10 à 15 minutes entre chaque collyre), sur l'interdiction de porter des lentilles de contact pendant le traitement. Information sur les signes d'alerte (douleur, baisse d'acuité visuelle, rougeur intense).</w:t>
      </w:r>
    </w:p>
    <w:p>
      <w:r/>
      <w:r>
        <w:rPr>
          <w:b/>
        </w:rPr>
        <w:t>Cas clinique 2 — Patiente présentant une conjonctivite allergique saisonnière prurigineuse résistante aux antihistaminiques locaux :</w:t>
      </w:r>
      <w:r/>
    </w:p>
    <w:p>
      <w:r>
        <w:t>Patiente de 32 ans, sans antécédent particulier, présentant une conjonctivite allergique saisonnière (prurit oculaire intense, hyperhémie conjonctivale bilatérale, larmoiement, œdème palpébral) évoluant depuis 3 semaines, résistante à un traitement par antihistaminique local (olopatadine 0,1 %, 1 goutte 2 fois par jour pendant 2 semaines).</w:t>
      </w:r>
    </w:p>
    <w:p>
      <w:pPr>
        <w:pStyle w:val="ListBullet"/>
      </w:pPr>
      <w:r/>
      <w:r>
        <w:rPr>
          <w:b/>
        </w:rPr>
        <w:t>Choix thérapeutique</w:t>
      </w:r>
      <w:r>
        <w:t xml:space="preserve"> : Kétorolac collyre 0,5 mg/mL (MEDROLGIN), 1 goutte dans chaque œil 4 fois par jour pendant 2 semaines maximum, en association avec un antihistaminique oral (cétirizine 10 mg/jour). Lavage oculaire au sérum physiologique 2 à 3 fois par jour. Éviction allergénique (pollens, acariens).</w:t>
      </w:r>
    </w:p>
    <w:p>
      <w:pPr>
        <w:pStyle w:val="ListBullet"/>
      </w:pPr>
      <w:r/>
      <w:r>
        <w:rPr>
          <w:b/>
        </w:rPr>
        <w:t>Justification</w:t>
      </w:r>
      <w:r>
        <w:t xml:space="preserve"> : Le kétorolac ophtalmique est indiqué en seconde intention dans la conjonctivite allergique saisonnière prurigineuse résistante aux antihistaminiques locaux, en raison de son activité antiprostaglandine et antileucotriène supérieure à celle des autres AINS ophtalmiques. La durée limitée à 2 semaines s'explique par la tolérance cornéenne moins favorable que les antihistaminiques locaux en traitement prolongé.</w:t>
      </w:r>
    </w:p>
    <w:p>
      <w:pPr>
        <w:pStyle w:val="ListBullet"/>
      </w:pPr>
      <w:r/>
      <w:r>
        <w:rPr>
          <w:b/>
        </w:rPr>
        <w:t>Surveillance</w:t>
      </w:r>
      <w:r>
        <w:t xml:space="preserve"> : Examen à la lampe à fente à 1 semaine et à 2 semaines pour évaluer la réponse (réduction du prurit, de l'hyperhémie conjonctivale, de l'œdème palpébral) et la tolérance (kératite ponctuée superficielle).</w:t>
      </w:r>
    </w:p>
    <w:p>
      <w:pPr>
        <w:pStyle w:val="ListBullet"/>
      </w:pPr>
      <w:r/>
      <w:r>
        <w:rPr>
          <w:b/>
        </w:rPr>
        <w:t>Conseils au comptoir</w:t>
      </w:r>
      <w:r>
        <w:t xml:space="preserve"> : Insister sur la durée maximale de 2 semaines, sur l'interdiction de porter des lentilles de contact, sur les signes d'alerte. Information sur l'importance de l'éviction allergénique et de l'association à un antihistaminique oral.</w:t>
      </w:r>
    </w:p>
    <w:p>
      <w:r/>
      <w:r>
        <w:rPr>
          <w:b/>
        </w:rPr>
        <w:t>Cas clinique 3 — Patient nécessitant l'extraction d'un corps étranger cornéen :</w:t>
      </w:r>
      <w:r/>
    </w:p>
    <w:p>
      <w:r>
        <w:t>Patient de 45 ans, sans antécédent particulier, présentant un corps étranger cornéen de l'œil droit (sclérotique métallique projetée à la suite d'un travail de meulage) avec douleur oculaire, larmoiement et photophobie.</w:t>
      </w:r>
    </w:p>
    <w:p>
      <w:pPr>
        <w:pStyle w:val="ListBullet"/>
      </w:pPr>
      <w:r/>
      <w:r>
        <w:rPr>
          <w:b/>
        </w:rPr>
        <w:t>Choix thérapeutique</w:t>
      </w:r>
      <w:r>
        <w:t xml:space="preserve"> : Oxybuprocaïne collyre 0,4 % (ANESTOCIL ou CEBESINE), 1 goutte en instillation unique 1 à 2 minutes avant le geste. Extraction du corps étranger à l'aiguille sous contrôle biomicroscopique. Antibiothérapie prophylactique locale (ofloxacine 0,3 %, 1 goutte 4 fois par jour pendant 7 jours). Substitut lacrymal sans conservateur (unidose), 1 goutte 4 à 6 fois par jour pendant 1 semaine.</w:t>
      </w:r>
    </w:p>
    <w:p>
      <w:pPr>
        <w:pStyle w:val="ListBullet"/>
      </w:pPr>
      <w:r/>
      <w:r>
        <w:rPr>
          <w:b/>
        </w:rPr>
        <w:t>Justification</w:t>
      </w:r>
      <w:r>
        <w:t xml:space="preserve"> : L'oxybuprocaïne est l'anesthésique local ophtalmique de référence pour l'extraction des corps étrangers cornéens. Son effet rapide (30 secondes à 1 minute) et sa courte durée d'action (15 à 30 minutes) permettent un geste court et indolore, sans risque d'usage prolongé.</w:t>
      </w:r>
    </w:p>
    <w:p>
      <w:pPr>
        <w:pStyle w:val="ListBullet"/>
      </w:pPr>
      <w:r/>
      <w:r>
        <w:rPr>
          <w:b/>
        </w:rPr>
        <w:t>Surveillance</w:t>
      </w:r>
      <w:r>
        <w:t xml:space="preserve"> : Examen à la lampe à fente à 24 heures, à 7 jours et à 15 jours pour évaluer la cicatrisation cornéenne et dépister une surinfection (kératite bactérienne, exceptionnellement kératite à Acanthamoeba en cas de port de lentilles).</w:t>
      </w:r>
    </w:p>
    <w:p>
      <w:pPr>
        <w:pStyle w:val="ListBullet"/>
      </w:pPr>
      <w:r/>
      <w:r>
        <w:rPr>
          <w:b/>
        </w:rPr>
        <w:t>Conseils au comptoir</w:t>
      </w:r>
      <w:r>
        <w:t xml:space="preserve"> : L'oxybuprocaïne est exclusivement utilisée en milieu ophtalmologique spécialisé (cabinet d'ophtalmologie, service d'urgences ophtalmologiques), et n'est pas délivrée en officine pour ce type de geste. Information du patient sur la nécessité de consulter en urgence un ophtalmologue en cas de corps étranger cornéen (ne jamais tenter d'extraire soi-même).</w:t>
      </w:r>
    </w:p>
    <w:p>
      <w:r/>
      <w:r>
        <w:rPr>
          <w:b/>
        </w:rPr>
        <w:t>Cas clinique 4 — Patiente enceinte au 2e trimestre présentant une inflammation post-opératoire après chirurgie de la cataracte :</w:t>
      </w:r>
      <w:r/>
    </w:p>
    <w:p>
      <w:r>
        <w:t>Patiente de 35 ans, enceinte de 24 semaines (2e trimestre), sans antécédent particulier (pas d'allergie, pas d'asthme, pas de diabète, hypertension gravidique modérée), opérée de la cataracte de l'œil gauche à 1 semaine. Inflammation post-opératoire modérée (chambre de tyndall +, hyperhémie conjonctivale +).</w:t>
      </w:r>
    </w:p>
    <w:p>
      <w:pPr>
        <w:pStyle w:val="ListBullet"/>
      </w:pPr>
      <w:r/>
      <w:r>
        <w:rPr>
          <w:b/>
        </w:rPr>
        <w:t>Choix thérapeutique</w:t>
      </w:r>
      <w:r>
        <w:t xml:space="preserve"> : Corticothérapie locale de première intention (dexaméthasone 0,1 %, 1 goutte 4 fois par jour pendant 2 semaines), en association avec un antibiotique local (ofloxacine 0,3 %, 1 goutte 4 fois par jour pendant 1 semaine) et un substitut lacrymal sans conservateur (unidose). Éviter les AINS ophtalmiques pendant la grossesse par prudence. Surveillance tensionnelle maternelle (recherche d'aggravation de l'hypertension gravidique).</w:t>
      </w:r>
    </w:p>
    <w:p>
      <w:pPr>
        <w:pStyle w:val="ListBullet"/>
      </w:pPr>
      <w:r/>
      <w:r>
        <w:rPr>
          <w:b/>
        </w:rPr>
        <w:t>Justification</w:t>
      </w:r>
      <w:r>
        <w:t xml:space="preserve"> : La corticothérapie locale est le traitement de première intention de l'inflammation post-opératoire chez la femme enceinte, en raison de sa meilleure tolérance systémique par rapport aux AINS ophtalmiques (qui sont déconseillés au 1er et 2e trimestres et contre-indiqués au 3e trimestre). La dexaméthasone ophtalmique est compatible avec la grossesse aux posologies locales. L'AINS ophtalmique est évité par prudence en raison du passage systémique possible et du risque théorique d'effets indésirables fœtaux.</w:t>
      </w:r>
    </w:p>
    <w:p>
      <w:pPr>
        <w:pStyle w:val="ListBullet"/>
      </w:pPr>
      <w:r/>
      <w:r>
        <w:rPr>
          <w:b/>
        </w:rPr>
        <w:t>Surveillance</w:t>
      </w:r>
      <w:r>
        <w:t xml:space="preserve"> : Examen à la lampe à fente à 1 semaine et à 2 semaines pour évaluer la réponse (réduction de la chambre de tyndall et de l'hyperhémie conjonctivale) et la tolérance (pression intra-oculaire, kératite ponctuée superficielle). Surveillance tensionnelle maternelle.</w:t>
      </w:r>
    </w:p>
    <w:p>
      <w:pPr>
        <w:pStyle w:val="ListBullet"/>
      </w:pPr>
      <w:r/>
      <w:r>
        <w:rPr>
          <w:b/>
        </w:rPr>
        <w:t>Conseils au comptoir</w:t>
      </w:r>
      <w:r>
        <w:t xml:space="preserve"> : Information sur la préférence pour la corticothérapie locale pendant la grossesse, sur la durée limitée du traitement, sur les signes d'alerte. Information sur l'interdiction absolue d'utilisation d'AINS ophtalmique au 3e trimestre de la grossesse (risque de fermeture prématurée du canal artériel fœtal).</w:t>
      </w:r>
    </w:p>
    <w:p>
      <w:r/>
      <w:r>
        <w:rPr>
          <w:b/>
        </w:rPr>
        <w:t>Cas clinique 5 — Patient présentant un mésusage d'anesthésique local ophtalmique (automédication prolongée) :</w:t>
      </w:r>
      <w:r/>
    </w:p>
    <w:p>
      <w:r>
        <w:t>Patient de 50 ans, sans antécédent particulier, présentant une kératite neurotrope sévère de l'œil droit évoluant depuis 3 mois, avec ulcération cornéenne étendue et hypopyon, compliquant une automédication par oxybuprocaïne collyre 0,4 % (NOVESINE, flacon acheté à l'étranger) instillée 4 à 6 fois par jour depuis 2 mois pour masquer la douleur d'une kératite initiale non diagnostiquée.</w:t>
      </w:r>
    </w:p>
    <w:p>
      <w:pPr>
        <w:pStyle w:val="ListBullet"/>
      </w:pPr>
      <w:r/>
      <w:r>
        <w:rPr>
          <w:b/>
        </w:rPr>
        <w:t>Choix thérapeutique</w:t>
      </w:r>
      <w:r>
        <w:t xml:space="preserve"> : Hospitalisation en urgence en service d'ophtalmologie pour prise en charge spécialisée. Arrêt immédiat de l'oxybuprocaïne. Prélèvement cornéen bactériologique, mycologique et virologique. Antibiothérapie locale renforcée (ofloxacine + tobramycine) et systémique (céphalosporine de 3e génération IV). Pansement cornéen (lentille thérapeutique). Substitut lacrymal sans conservateur (unidose). Surveillance quotidienne de la cicatrisation cornéenne.</w:t>
      </w:r>
    </w:p>
    <w:p>
      <w:pPr>
        <w:pStyle w:val="ListBullet"/>
      </w:pPr>
      <w:r/>
      <w:r>
        <w:rPr>
          <w:b/>
        </w:rPr>
        <w:t>Justification</w:t>
      </w:r>
      <w:r>
        <w:t xml:space="preserve"> : L'automédication par anesthésique local ophtalmique est une situation gravissime, à haut risque de complication sévère (kératite neurotrope, ulcération cornéenne, infection secondaire, perforation cornéenne, endophtalmie). La prise en charge doit être spécialisée et urgente. L'interdiction absolue de l'automédication par anesthésique local ophtalmique est un message clé à transmettre au comptoir et en consultation.</w:t>
      </w:r>
    </w:p>
    <w:p>
      <w:pPr>
        <w:pStyle w:val="ListBullet"/>
      </w:pPr>
      <w:r/>
      <w:r>
        <w:rPr>
          <w:b/>
        </w:rPr>
        <w:t>Surveillance</w:t>
      </w:r>
      <w:r>
        <w:t xml:space="preserve"> : Surveillance quotidienne jusqu'à cicatrisation complète. Examen à 1 mois et à 3 mois pour évaluer les séquelles (taie cicatricielle, astigmatisme induit). Information du patient sur la gravité de la situation et sur le risque de séquelle visuelle majeure.</w:t>
      </w:r>
    </w:p>
    <w:p>
      <w:pPr>
        <w:pStyle w:val="ListBullet"/>
      </w:pPr>
      <w:r/>
      <w:r>
        <w:rPr>
          <w:b/>
        </w:rPr>
        <w:t>Conseils au comptoir</w:t>
      </w:r>
      <w:r>
        <w:t xml:space="preserve"> : Information systématique sur la dangerosité de l'automédication par anesthésique local ophtalmique. Refus absolu de la délivrance sans ordonnance d'un ophtalmologue, et exclusivement pour un geste ponctuel à domicile sous supervision médicale ou infirmière.</w:t>
      </w:r>
    </w:p>
    <w:p>
      <w:pPr>
        <w:pStyle w:val="Heading2"/>
      </w:pPr>
      <w:r>
        <w:t>143.7 Conclusion</w:t>
      </w:r>
    </w:p>
    <w:p>
      <w:r>
        <w:t xml:space="preserve">Les AINS et anesthésiques locaux ophtalmiques représentent un pan essentiel de la pharmacopée ophtalmologique algérienne, avec une place irremplaçable dans la prise en charge de l'inflammation post-opératoire du segment antérieur et de l'anesthésie de surface pour les gestes diagnostiques et thérapeutiques courts. Les </w:t>
      </w:r>
      <w:r>
        <w:rPr>
          <w:b/>
        </w:rPr>
        <w:t>AINS ophtalmiques classiques</w:t>
      </w:r>
      <w:r>
        <w:t xml:space="preserve"> (diclofénac, kétorolac, flurbiprofène oral) restent les traitements de référence de l'inflammation et de la douleur post-opératoires après chirurgie de la cataracte, chirurgie réfractive et chirurgie du segment antérieur. Le diclofénac (VOLTARENE, DICLOCED, DICLOGESIC, XINAC) occupe une position dominante en raison de son profil efficacy-tolérance favorable, de sa grande disponibilité (4 spécialités en Algérie) et de son statut Liste II (vs Liste I pour le kétorolac). Le kétorolac (MEDROLGIN) est utilisé en seconde intention dans la conjonctivite allergique prurigineuse résistante aux antihistaminiques locaux et dans la douleur post-opératoire intense. Le flurbiprofène n'est disponible qu'en forme orale en Algérie (comprimés 100 mg), et sa forme ophtalmique (Ocufen® à l'international) n'est pas commercialisée.</w:t>
      </w:r>
    </w:p>
    <w:p>
      <w:r>
        <w:t xml:space="preserve">Les </w:t>
      </w:r>
      <w:r>
        <w:rPr>
          <w:b/>
        </w:rPr>
        <w:t>AINS ophtalmiques prodrogues</w:t>
      </w:r>
      <w:r>
        <w:t xml:space="preserve"> (népaénac, APFECTO) représentent une avancée pharmacologique de la dernière décennie, avec une meilleure pénétration cornéenne et une meilleure tolérance épithéliale que les AINS classiques. Leur place dans l'arsenal thérapeutique algérien est en seconde intention, en cas d'intolérance ou de contre-indication au diclofénac, ou en cas de chirurgie de la cataracte à risque élevé d'œdème maculaire cystoïde (diabète, antécédent à l'œil controlatéral). Les </w:t>
      </w:r>
      <w:r>
        <w:rPr>
          <w:b/>
        </w:rPr>
        <w:t>anesthésiques locaux ophtalmiques</w:t>
      </w:r>
      <w:r>
        <w:t xml:space="preserve"> (oxybuprocaïne, ANESTOCIL et CEBESINE) restent les molécules de choix pour l'anesthésie de surface des gestes diagnostiques et thérapeutiques courts, en raison de leur rapidité d'action (30 secondes à 1 minute), de leur courte durée d'action (15 à 30 minutes) et de leur réversibilité complète. La tétragaïne (tétracaïne) n'est plus disponible en Algérie sous quelque forme que ce soit dans la nomenclature de 2026, et l'alternative disponible est l'oxybuprocaïne.</w:t>
      </w:r>
    </w:p>
    <w:p>
      <w:r>
        <w:t>La prescription et la délivrance de ces médicaments doivent intégrer plusieurs dimensions : (1) le choix de la classe en fonction du contexte clinique (AINS pour l'inflammation post-opératoire, anesthésique local pour l'anesthésie de surface d'un geste court), (2) la vérification de l'intégrité cornéenne préalable (examen à la lampe à fente avec coloration à la fluorescéine), (3) le respect strict des posologies et durées d'utilisation (2 à 4 semaines pour les AINS ophtalmiques, usage ponctuel unique pour les anesthésiques locaux), (4) l'association systématique à un substitut lacrymal sans conservateur pour compenser la toxicité épithéliale du chlorure de benzalkonium, (5) la surveillance ophtalmologique régulière pendant le traitement, et (6) l'information du patient sur les risques cornéens (AINS : kératite ponctuée superficielle, retard de cicatrisation, ulcération ; anesthésiques locaux : kératite neurotrope en cas d'usage répété — contre-indication absolue), sur la conduite à tenir en cas de douleur ou de baisse d'acuité visuelle, et sur l'interdiction formelle d'utiliser un anesthésique local ophtalmique en automédication prolongée.</w:t>
      </w:r>
    </w:p>
    <w:p>
      <w:r>
        <w:t xml:space="preserve">La principale iatrogénicité de la classe des AINS ophtalmiques est représentée par la </w:t>
      </w:r>
      <w:r>
        <w:rPr>
          <w:b/>
        </w:rPr>
        <w:t>toxicité épithéliale cornéenne</w:t>
      </w:r>
      <w:r>
        <w:t xml:space="preserve">, dont la prévention repose sur l'évaluation systématique de l'état cornéen avant prescription, la limitation de la durée d'utilisation, l'association systématique à un substitut lacrymal sans conservateur, et la surveillance ophtalmologique régulière. La principale iatrogénicité de la classe des anesthésiques locaux ophtalmiques est représentée par la </w:t>
      </w:r>
      <w:r>
        <w:rPr>
          <w:b/>
        </w:rPr>
        <w:t>toxicité cornéenne chronique en cas d'usage répété</w:t>
      </w:r>
      <w:r>
        <w:t>, qui justifie leur contre-indication absolue à l'usage prolongé et leur reservation stricte au geste unique diagnostique ou thérapeutique court en milieu ophtalmologique spécialisé. La formation continue des pharmaciens d'officine et des médecins généralistes sur les bonnes pratiques de prescription et de délivrance de ces médicaments est un enjeu majeur de santé publique en Algérie. Le mésusage des anesthésiques locaux ophtalmiques en automédication, complication iatrogène gravissime, reste un risque à prévenir par l'information systématique des patients au comptoir et par le refus absolu de la délivrance sans ordonnance d'un ophtalmologue.</w:t>
      </w:r>
    </w:p>
    <w:p>
      <w:pPr>
        <w:pStyle w:val="Heading1"/>
      </w:pPr>
      <w:r>
        <w:t>Chapitre 144 — Mydriatiques, cycloplégiques et anti-VEGF intravitréens</w:t>
      </w:r>
    </w:p>
    <w:p>
      <w:pPr>
        <w:pStyle w:val="Heading2"/>
      </w:pPr>
      <w:r>
        <w:t>144.1 Introduction générale</w:t>
      </w:r>
    </w:p>
    <w:p>
      <w:r>
        <w:t xml:space="preserve">Le présent chapitre du Fascicule XV (Ophtalmologie) couvre un ensemble pharmacologique hétérogène mais cliniquement cohérent, regroupant d'une part les </w:t>
      </w:r>
      <w:r>
        <w:rPr>
          <w:b/>
        </w:rPr>
        <w:t>mydriatiques et cycloplégiques</w:t>
      </w:r>
      <w:r>
        <w:t xml:space="preserve"> à usage topique oculaire (trois molécules antimuscariniques : tropicamide, cyclopentolate, atropine) et, d'autre part, les </w:t>
      </w:r>
      <w:r>
        <w:rPr>
          <w:b/>
        </w:rPr>
        <w:t>anti-VEGF intravitréens</w:t>
      </w:r>
      <w:r>
        <w:t xml:space="preserve"> (quatre biomédicaments : ranibizumab, bévacizumab, aflibercept, faricimab). Cette association, qui pourrait paraître surprenante au premier abord, répond à une logique thérapeutique précise : les mydriatiques constituent l'un des gestes les plus anciens et les plus codifiés de la pratique ophtalmologique diagnostique (examen du fond d'œil, réfraction sous cycloplégie chez l'enfant), tandis que les anti-VEGF représentent la révolution thérapeutique la plus importante de l'ophtalmologie médicale du XXIᵉ siècle, ayant transformé le pronostic fonctionnel des pathologies rétiniennes exsudatives qui constituaient auparavant les premières causes de cécité légale dans les pays industrialisés.</w:t>
      </w:r>
    </w:p>
    <w:p>
      <w:pPr>
        <w:pStyle w:val="Heading3"/>
      </w:pPr>
      <w:r>
        <w:t>Contexte épidémiologique</w:t>
      </w:r>
    </w:p>
    <w:p>
      <w:r>
        <w:t xml:space="preserve">En Algérie comme dans l'ensemble du bassin méditerranéen, les pathologies justifiant le recours à ces deux familles médicamenteuses sont en progression constante, en raison du vieillissement démographique et de l'augmentation de la prévalence du diabète. La </w:t>
      </w:r>
      <w:r>
        <w:rPr>
          <w:b/>
        </w:rPr>
        <w:t>dégénérescence maculaire liée à l'âge (DMLA)</w:t>
      </w:r>
      <w:r>
        <w:t xml:space="preserve">, dans sa forme exsudative (néovasculaire), touche environ 8 à 10 % des sujets de plus de 65 ans, avec un risque croissant exponentiellement après 75 ans. La </w:t>
      </w:r>
      <w:r>
        <w:rPr>
          <w:b/>
        </w:rPr>
        <w:t>rétinopathie diabétique</w:t>
      </w:r>
      <w:r>
        <w:t xml:space="preserve"> — particulièrement l'œdème maculaire diabétique (OMD) et la prolifération fibrovasculaire — affecte près de 35 % des patients diabétiques de type 1 après 20 ans d'évolution et environ 20 % des diabétiques de type 2. L'</w:t>
      </w:r>
      <w:r>
        <w:rPr>
          <w:b/>
        </w:rPr>
        <w:t>occlusion de veine centrale de la rétine (OVCR)</w:t>
      </w:r>
      <w:r>
        <w:t>, le plus souvent d'origine athéromateuse ou hypertensive, justifie également le recours aux anti-VEGF. Sur le versant diagnostique, l'examen du fond d'œil dilaté reste un geste quotidien en médecine générale et spécialisée, nécessitant la maîtrise des mydriatiques.</w:t>
      </w:r>
    </w:p>
    <w:p>
      <w:pPr>
        <w:pStyle w:val="Heading3"/>
      </w:pPr>
      <w:r>
        <w:t>Cadrage pharmacologique</w:t>
      </w:r>
    </w:p>
    <w:p>
      <w:r>
        <w:t xml:space="preserve">Les </w:t>
      </w:r>
      <w:r>
        <w:rPr>
          <w:b/>
        </w:rPr>
        <w:t>mydriatiques/cycloplégiques</w:t>
      </w:r>
      <w:r>
        <w:t xml:space="preserve"> sont tous des </w:t>
      </w:r>
      <w:r>
        <w:rPr>
          <w:b/>
        </w:rPr>
        <w:t>antagonistes des récepteurs muscariniques</w:t>
      </w:r>
      <w:r>
        <w:t xml:space="preserve"> (principalement M3) au niveau du sphincter irien et du muscle ciliaire. Leur blocage induit une </w:t>
      </w:r>
      <w:r>
        <w:rPr>
          <w:b/>
        </w:rPr>
        <w:t>mydriase</w:t>
      </w:r>
      <w:r>
        <w:t xml:space="preserve"> (par paralysie du sphincter de l'iris, normalement constricteur) et une </w:t>
      </w:r>
      <w:r>
        <w:rPr>
          <w:b/>
        </w:rPr>
        <w:t>cycloplégie</w:t>
      </w:r>
      <w:r>
        <w:t xml:space="preserve"> (par paralysie du muscle ciliaire, responsable de l'accommodation). Les trois molécules se distinguent par leur puissance et leur durée d'action : le tropicamide est un mydriatique pur de courte durée (4–6 h), utilisé pour le simple examen du fond d'œil ; le cyclopentolate combine mydriase et cycloplégie modérée (12–24 h), référence pour la réfraction chez l'enfant ; l'atropine est l'antimuscarinique de référence pour la cycloplégie prolongée (7–10 jours), utilisée principalement en pédiatrie pour les amétropies importantes et dans le traitement de l'amblyopie.</w:t>
      </w:r>
    </w:p>
    <w:p>
      <w:r>
        <w:t xml:space="preserve">Les </w:t>
      </w:r>
      <w:r>
        <w:rPr>
          <w:b/>
        </w:rPr>
        <w:t>anti-VEGF intravitréens</w:t>
      </w:r>
      <w:r>
        <w:t xml:space="preserve"> sont des biomédicaments issus des biotechnologies (anticorps monoclonaux, fragments d'anticorps, protéines de fusion) ciblant le </w:t>
      </w:r>
      <w:r>
        <w:rPr>
          <w:b/>
        </w:rPr>
        <w:t>vascular endothelial growth factor (VEGF)</w:t>
      </w:r>
      <w:r>
        <w:t xml:space="preserve">, cytokine majeure de l'angiogenèse pathologique oculaire. Quatre molécules sont disponibles en Algérie : le </w:t>
      </w:r>
      <w:r>
        <w:rPr>
          <w:b/>
        </w:rPr>
        <w:t>ranibizumab</w:t>
      </w:r>
      <w:r>
        <w:t xml:space="preserve"> (fragment Fab humanisé, Lucentis), le </w:t>
      </w:r>
      <w:r>
        <w:rPr>
          <w:b/>
        </w:rPr>
        <w:t>bévacizumab</w:t>
      </w:r>
      <w:r>
        <w:t xml:space="preserve"> (anticorps monoclonal entier, Avastin — utilisé hors AMM stricte par voie intravitréenne), l'</w:t>
      </w:r>
      <w:r>
        <w:rPr>
          <w:b/>
        </w:rPr>
        <w:t>aflibercept</w:t>
      </w:r>
      <w:r>
        <w:t xml:space="preserve"> (protéine de fusion soluble piège à VEGF, Eylea) et le </w:t>
      </w:r>
      <w:r>
        <w:rPr>
          <w:b/>
        </w:rPr>
        <w:t>faricimab</w:t>
      </w:r>
      <w:r>
        <w:t xml:space="preserve"> (anticorps bispécifique anti-VEGF/Ang-2, Vabysmo). Tous s'administrent par </w:t>
      </w:r>
      <w:r>
        <w:rPr>
          <w:b/>
        </w:rPr>
        <w:t>injection intravitréenne</w:t>
      </w:r>
      <w:r>
        <w:t xml:space="preserve"> par un ophtalmologiste expérimenté, en milieu hospitalier ou en secteur chirurgical adapté, sous contrôle d'asepsie rigoureux.</w:t>
      </w:r>
    </w:p>
    <w:p>
      <w:pPr>
        <w:pStyle w:val="Heading3"/>
      </w:pPr>
      <w:r>
        <w:t>Spécificités algériennes du marché</w:t>
      </w:r>
    </w:p>
    <w:p>
      <w:r>
        <w:t xml:space="preserve">La nomenclature algérienne des médicaments (Avril 2026) comporte, pour le présent chapitre, </w:t>
      </w:r>
      <w:r>
        <w:rPr>
          <w:b/>
        </w:rPr>
        <w:t>35 lignes commerciales</w:t>
      </w:r>
      <w:r>
        <w:t xml:space="preserve"> se répartissant entre produits </w:t>
      </w:r>
      <w:r>
        <w:rPr>
          <w:b/>
        </w:rPr>
        <w:t>actifs</w:t>
      </w:r>
      <w:r>
        <w:t xml:space="preserve"> (24), </w:t>
      </w:r>
      <w:r>
        <w:rPr>
          <w:b/>
        </w:rPr>
        <w:t>non renouvelables</w:t>
      </w:r>
      <w:r>
        <w:t xml:space="preserve"> (5) et </w:t>
      </w:r>
      <w:r>
        <w:rPr>
          <w:b/>
        </w:rPr>
        <w:t>retirés</w:t>
      </w:r>
      <w:r>
        <w:t xml:space="preserve"> (6). On observe une nette dichotomie :</w:t>
      </w:r>
    </w:p>
    <w:p>
      <w:pPr>
        <w:pStyle w:val="ListBullet"/>
      </w:pPr>
      <w:r>
        <w:t xml:space="preserve">Pour les mydriatiques, les </w:t>
      </w:r>
      <w:r>
        <w:rPr>
          <w:b/>
        </w:rPr>
        <w:t>produits nationaux</w:t>
      </w:r>
      <w:r>
        <w:t xml:space="preserve"> (Groupe Saïdal, El Kendi, Generic Lab, Gencopharm, GPA, Biothera, Unimed, Sophal) dominent le marché des actifs, complétés par des imports (Théa, Amman Pharmaceutical, Novartis, Bayer, Roche). Plusieurs spécialités historiques (Alcon, Cusi, Abdi Ibrahim, Medicuba) sont non renouvelables ou retirées.</w:t>
      </w:r>
    </w:p>
    <w:p>
      <w:pPr>
        <w:pStyle w:val="ListBullet"/>
      </w:pPr>
      <w:r>
        <w:t xml:space="preserve">Pour les anti-VEGF, le marché est largement occupé par les </w:t>
      </w:r>
      <w:r>
        <w:rPr>
          <w:b/>
        </w:rPr>
        <w:t>innovateurs internationaux</w:t>
      </w:r>
      <w:r>
        <w:t xml:space="preserve"> (Novartis pour Lucentis, Bayer pour Eylea, Roche pour Vabysmo) accompagnés par des productions locales en développement (Saïdal pour le ranibizumab biosimilaire, El Kendi pour Uptera, Sophal pour Aflibercept).</w:t>
      </w:r>
    </w:p>
    <w:p>
      <w:pPr>
        <w:pStyle w:val="Heading3"/>
      </w:pPr>
      <w:r>
        <w:t>Positionnement de la prescription</w:t>
      </w:r>
    </w:p>
    <w:p>
      <w:r>
        <w:t xml:space="preserve">Les mydriatiques et cycloplégiques sont </w:t>
      </w:r>
      <w:r>
        <w:rPr>
          <w:b/>
        </w:rPr>
        <w:t>largement prescrits</w:t>
      </w:r>
      <w:r>
        <w:t xml:space="preserve"> par les ophtalmologistes mais également utilisés en pratique médicale générale pour l'examen du fond d'œil du patient hypertendu ou diabétique. Ils ne sont pas considérés comme des traitements de fond, mais plutôt comme des outils diagnostiques ou, dans le cas de l'atropine, comme des adjuvants thérapeutiques (amblyopie, myopie progressive de l'enfant, uvéites antérieures). Les </w:t>
      </w:r>
      <w:r>
        <w:rPr>
          <w:b/>
        </w:rPr>
        <w:t>anti-VEGF</w:t>
      </w:r>
      <w:r>
        <w:t xml:space="preserve">, en revanche, sont strictement </w:t>
      </w:r>
      <w:r>
        <w:rPr>
          <w:b/>
        </w:rPr>
        <w:t>réservés à l'usage ophtalmologique spécialisé</w:t>
      </w:r>
      <w:r>
        <w:t xml:space="preserve"> et s'inscrivent dans des protocoles thérapeutiques codifiés (DMLA exsudative, OMD, OVCR, ORVR, néovaisseaux rétiniens), nécessitant un plateau technique chirurgical et une coordination multidisciplinaire (ophtalmologiste, diabétologue, cardiologue).</w:t>
      </w:r>
    </w:p>
    <w:p>
      <w:pPr>
        <w:pStyle w:val="Heading3"/>
      </w:pPr>
      <w:r>
        <w:t>Plan du chapitre</w:t>
      </w:r>
    </w:p>
    <w:p>
      <w:r>
        <w:t xml:space="preserve">Le chapitre est organisé en quatre sous-classes thérapeutiques, elles-mêmes subdivisées en sept fiches DCI individuelles structurées en douze sections standardisées (identification, mécanisme d'action, pharmacocinétique, indications, contre-indications, précautions, effets indésirables, interactions, posologie, surdosage, spécialités disponibles, éducation du patient). Le tout est complété par un tableau comparatif transversal et des annexes pratiques (algorithme de choix du mydriatique selon l'indication, protocole d'injection intravitréenne, surveillance post-injection). Les sources mobilisées incluent le </w:t>
      </w:r>
      <w:r>
        <w:rPr>
          <w:b/>
        </w:rPr>
        <w:t>VIDAL</w:t>
      </w:r>
      <w:r>
        <w:t>, l'</w:t>
      </w:r>
      <w:r>
        <w:rPr>
          <w:b/>
        </w:rPr>
        <w:t>ANSM</w:t>
      </w:r>
      <w:r>
        <w:t xml:space="preserve"> (Résumé des Caractéristiques du Produit, RCP officiels), </w:t>
      </w:r>
      <w:r>
        <w:rPr>
          <w:b/>
        </w:rPr>
        <w:t>Thériaque</w:t>
      </w:r>
      <w:r>
        <w:t xml:space="preserve">, le </w:t>
      </w:r>
      <w:r>
        <w:rPr>
          <w:b/>
        </w:rPr>
        <w:t>CRAT</w:t>
      </w:r>
      <w:r>
        <w:t xml:space="preserve"> (Centre Renseignements sur Agents Tératogènes), </w:t>
      </w:r>
      <w:r>
        <w:rPr>
          <w:b/>
        </w:rPr>
        <w:t>EURETINA</w:t>
      </w:r>
      <w:r>
        <w:t xml:space="preserve"> (European Society of Retina Specialists), l'</w:t>
      </w:r>
      <w:r>
        <w:rPr>
          <w:b/>
        </w:rPr>
        <w:t>AAO</w:t>
      </w:r>
      <w:r>
        <w:t xml:space="preserve"> (American Academy of Ophthalmology Preferred Practice Patterns) et </w:t>
      </w:r>
      <w:r>
        <w:rPr>
          <w:b/>
        </w:rPr>
        <w:t>UpToDate</w:t>
      </w:r>
      <w:r>
        <w:t>.</w:t>
      </w:r>
    </w:p>
    <w:p>
      <w:pPr>
        <w:pStyle w:val="Heading2"/>
      </w:pPr>
      <w:r>
        <w:t>144.2 Sous-classe — Mydriatiques/Cycloplégiques - Antimuscariniques</w:t>
      </w:r>
    </w:p>
    <w:p>
      <w:pPr>
        <w:pStyle w:val="Heading3"/>
      </w:pPr>
      <w:r>
        <w:t>144.2.1 Généralités de la sous-classe</w:t>
      </w:r>
    </w:p>
    <w:p>
      <w:pPr>
        <w:pStyle w:val="Heading4"/>
      </w:pPr>
      <w:r>
        <w:t>Définition pharmacologique</w:t>
      </w:r>
    </w:p>
    <w:p>
      <w:r>
        <w:t xml:space="preserve">Les mydriatiques et cycloplégiques constituent un ensemble de molécules </w:t>
      </w:r>
      <w:r>
        <w:rPr>
          <w:b/>
        </w:rPr>
        <w:t>antagonistes des récepteurs muscariniques de l'acétylcholine</w:t>
      </w:r>
      <w:r>
        <w:t xml:space="preserve">, plus particulièrement du sous-type </w:t>
      </w:r>
      <w:r>
        <w:rPr>
          <w:b/>
        </w:rPr>
        <w:t>M3</w:t>
      </w:r>
      <w:r>
        <w:t xml:space="preserve"> exprimé au niveau du sphincter irien et du muscle ciliaire. Le blocage de ces récepteurs produit deux effets pharmacologiques distincts mais liés : (1) une </w:t>
      </w:r>
      <w:r>
        <w:rPr>
          <w:b/>
        </w:rPr>
        <w:t>mydriase</w:t>
      </w:r>
      <w:r>
        <w:t xml:space="preserve">, c'est-à-dire une dilatation de la pupille par paralysie du sphincter irien (qui est normalement le muscle constricteur, sous dépendance parasympathique), et (2) une </w:t>
      </w:r>
      <w:r>
        <w:rPr>
          <w:b/>
        </w:rPr>
        <w:t>cycloplégie</w:t>
      </w:r>
      <w:r>
        <w:t xml:space="preserve">, c'est-à-dire une paralysie du muscle ciliaire, qui est responsable de l'accommodation (mise au point pour la vision de près par modification de la courbure du cristallin). Les antimuscariniques produisent donc une mydriase dite </w:t>
      </w:r>
      <w:r>
        <w:rPr>
          <w:b/>
        </w:rPr>
        <w:t>paralysante</w:t>
      </w:r>
      <w:r>
        <w:t xml:space="preserve"> ou </w:t>
      </w:r>
      <w:r>
        <w:rPr>
          <w:b/>
        </w:rPr>
        <w:t>parasympatholytique</w:t>
      </w:r>
      <w:r>
        <w:t>, par opposition à la mydriase sympathique obtenue par les agonistes α1 (phényléphrine), qui agit sur le muscle dilatateur de l'iris.</w:t>
      </w:r>
    </w:p>
    <w:p>
      <w:pPr>
        <w:pStyle w:val="Heading4"/>
      </w:pPr>
      <w:r>
        <w:t>Classification clinique</w:t>
      </w:r>
    </w:p>
    <w:p>
      <w:r>
        <w:t>On distingue schématiquement trois profils d'action au sein de cette sous-classe :</w:t>
      </w:r>
    </w:p>
    <w:p>
      <w:pPr>
        <w:pStyle w:val="ListBullet"/>
      </w:pPr>
      <w:r/>
      <w:r>
        <w:rPr>
          <w:b/>
        </w:rPr>
        <w:t>Mydriatiques de courte durée d'action</w:t>
      </w:r>
      <w:r>
        <w:t xml:space="preserve"> : le </w:t>
      </w:r>
      <w:r>
        <w:rPr>
          <w:b/>
        </w:rPr>
        <w:t>tropicamide</w:t>
      </w:r>
      <w:r>
        <w:t xml:space="preserve"> est la référence. Il induit une mydriase rapide (20–30 minutes) et de courte durée (4–6 heures), avec une cycloplégie minimale. Il est utilisé essentiellement pour l'examen du fond d'œil et la rétijnopathie hypertensive ou diabétique de dépistage.</w:t>
      </w:r>
    </w:p>
    <w:p>
      <w:pPr>
        <w:pStyle w:val="ListBullet"/>
      </w:pPr>
      <w:r/>
      <w:r>
        <w:rPr>
          <w:b/>
        </w:rPr>
        <w:t>Cycloplégiques de durée intermédiaire</w:t>
      </w:r>
      <w:r>
        <w:t xml:space="preserve"> : le </w:t>
      </w:r>
      <w:r>
        <w:rPr>
          <w:b/>
        </w:rPr>
        <w:t>cyclopentolate</w:t>
      </w:r>
      <w:r>
        <w:t xml:space="preserve"> est le chef de file. Il associe une mydriase efficace à une cycloplégie franche (25–75 minutes d'installation, durée 12–24 heures). C'est la molécule de choix pour la </w:t>
      </w:r>
      <w:r>
        <w:rPr>
          <w:b/>
        </w:rPr>
        <w:t>réfraction sous cycloplégie chez l'enfant</w:t>
      </w:r>
      <w:r>
        <w:t xml:space="preserve"> à partir de l'âge de 3–4 ans.</w:t>
      </w:r>
    </w:p>
    <w:p>
      <w:pPr>
        <w:pStyle w:val="ListBullet"/>
      </w:pPr>
      <w:r/>
      <w:r>
        <w:rPr>
          <w:b/>
        </w:rPr>
        <w:t>Cycloplégiques de longue durée</w:t>
      </w:r>
      <w:r>
        <w:t xml:space="preserve"> : l'</w:t>
      </w:r>
      <w:r>
        <w:rPr>
          <w:b/>
        </w:rPr>
        <w:t>atropine</w:t>
      </w:r>
      <w:r>
        <w:t xml:space="preserve"> est l'antimuscarinique de référence, dont la durée d'action atteint </w:t>
      </w:r>
      <w:r>
        <w:rPr>
          <w:b/>
        </w:rPr>
        <w:t>7 à 10 jours</w:t>
      </w:r>
      <w:r>
        <w:t>. Elle est réservée aux situations où une cycloplégie prolongée est nécessaire : réfraction chez le jeune enfant (≤ 3 ans), amétropies importantes, amblyopie, traitement des uvéites antérieures et, plus récemment, contrôle de la progression myopique à très faible dose.</w:t>
      </w:r>
    </w:p>
    <w:p>
      <w:pPr>
        <w:pStyle w:val="Heading4"/>
      </w:pPr>
      <w:r>
        <w:t>Mécanisme moléculaire commun</w:t>
      </w:r>
    </w:p>
    <w:p>
      <w:r>
        <w:t xml:space="preserve">Au niveau moléculaire, ces trois molécules sont des antagonistes compétitifs de l'acétylcholine au niveau des récepteurs muscariniques </w:t>
      </w:r>
      <w:r>
        <w:rPr>
          <w:b/>
        </w:rPr>
        <w:t>M3</w:t>
      </w:r>
      <w:r>
        <w:t xml:space="preserve"> (couplés aux protéines Gq/11). Le blocage du récepteur empêche l'activation de la phospholipase C, la production d'IP3 et de DAG, et donc la libération de calcium intracellulaire nécessaire à la contraction des cellules musculaires lisses du sphincter irien et du muscle ciliaire. La conséquence fonctionnelle est une relaxation de ces muscles à tonus basal parasympathique, d'où la mydriase et la cycloplégie. La durée d'action dépend de l'affinité du ligand pour le récepteur, de sa liposolubilité (qui conditionne la pénétration cornéenne et le relargage) et de son métabolisme local.</w:t>
      </w:r>
    </w:p>
    <w:p>
      <w:pPr>
        <w:pStyle w:val="Heading4"/>
      </w:pPr>
      <w:r>
        <w:t>Indications principales</w:t>
      </w:r>
    </w:p>
    <w:p>
      <w:r>
        <w:t>Les indications des mydriatiques/cycloplégiques se répartissent en quatre grands domaines :</w:t>
      </w:r>
    </w:p>
    <w:p>
      <w:pPr>
        <w:pStyle w:val="ListNumber"/>
      </w:pPr>
      <w:r/>
      <w:r>
        <w:rPr>
          <w:b/>
        </w:rPr>
        <w:t>Examen du fond d'œil</w:t>
      </w:r>
      <w:r>
        <w:t xml:space="preserve"> : tropicamide (parfois associé à phényléphrine) pour explorer la rétine périphérique, la macula, le disque optique et les vaisseaux rétiniens.</w:t>
      </w:r>
    </w:p>
    <w:p>
      <w:pPr>
        <w:pStyle w:val="ListNumber"/>
      </w:pPr>
      <w:r/>
      <w:r>
        <w:rPr>
          <w:b/>
        </w:rPr>
        <w:t>Réfraction objective sous cycloplégie</w:t>
      </w:r>
      <w:r>
        <w:t xml:space="preserve"> : cyclopentolate chez l'enfant à partir de 3–4 ans, atropine chez le nourrisson ou en cas d'amétropie forte ou de strabisme accommodatif.</w:t>
      </w:r>
    </w:p>
    <w:p>
      <w:pPr>
        <w:pStyle w:val="ListNumber"/>
      </w:pPr>
      <w:r/>
      <w:r>
        <w:rPr>
          <w:b/>
        </w:rPr>
        <w:t>Traitement des uvéites antérieures</w:t>
      </w:r>
      <w:r>
        <w:t xml:space="preserve"> : atropine ou cyclopentolate pour prévenir ou rompre les synéchies iridocristalliniennes et soulager le spasme ciliaire douloureux.</w:t>
      </w:r>
    </w:p>
    <w:p>
      <w:pPr>
        <w:pStyle w:val="ListNumber"/>
      </w:pPr>
      <w:r/>
      <w:r>
        <w:rPr>
          <w:b/>
        </w:rPr>
        <w:t>Contrôle de la progression myopique</w:t>
      </w:r>
      <w:r>
        <w:t xml:space="preserve"> : atropine à très faible dose (0,01 %–0,05 %), selon les recommandations récentes de l'International Myopia Institute, actuellement en cours d'évaluation par l'ANSM et la FDA pour cette indication précise.</w:t>
      </w:r>
    </w:p>
    <w:p>
      <w:pPr>
        <w:pStyle w:val="Heading4"/>
      </w:pPr>
      <w:r>
        <w:t>Risques principaux</w:t>
      </w:r>
    </w:p>
    <w:p>
      <w:r>
        <w:t xml:space="preserve">Le risque principal des mydriatiques/cycloplégiques est le </w:t>
      </w:r>
      <w:r>
        <w:rPr>
          <w:b/>
        </w:rPr>
        <w:t>déclenchement d'un glaucome aigu par fermeture de l'angle (GAFP)</w:t>
      </w:r>
      <w:r>
        <w:t xml:space="preserve"> chez les sujets anatomiquement prédisposés (chambre antérieure étroite, iris en plateau, hypermétropie forte). La mydriase rapproche l'iris du cristallin et de la cornée, appuyant la racine de l'iris contre le trabéculum et bloquant l'évacuation de l'humeur aqueuse. La pression intraoculaire (PIO) peut alors s'élever brutalement à 50–70 mmHg, avec douleur oculaire intense, œdème cornéen, halos colorés, nausées et vomissements — urgence ophtalmologique absolue. La prévention repose sur l'</w:t>
      </w:r>
      <w:r>
        <w:rPr>
          <w:b/>
        </w:rPr>
        <w:t>estimation préalable de la profondeur de la chambre antérieure</w:t>
      </w:r>
      <w:r>
        <w:t xml:space="preserve"> (examen à la lampe à fente, test à la pén-torche, ou mieux, biométrie échographique ou OCT de segment antérieur).</w:t>
      </w:r>
    </w:p>
    <w:p>
      <w:r>
        <w:t xml:space="preserve">Les autres risques incluent les </w:t>
      </w:r>
      <w:r>
        <w:rPr>
          <w:b/>
        </w:rPr>
        <w:t>effets atropiniques systémiques</w:t>
      </w:r>
      <w:r>
        <w:t xml:space="preserve"> (sécheresse buccale, tachycardie, flush, fièvre, confusion — particulièrement chez le sujet âgé ou l'enfant), l'</w:t>
      </w:r>
      <w:r>
        <w:rPr>
          <w:b/>
        </w:rPr>
        <w:t>amblyopie iatrogène</w:t>
      </w:r>
      <w:r>
        <w:t xml:space="preserve"> par blocage prolongé de l'accommodation chez le jeune enfant en période de maturation visuelle, et les </w:t>
      </w:r>
      <w:r>
        <w:rPr>
          <w:b/>
        </w:rPr>
        <w:t>réactions psychotiques paradoxales</w:t>
      </w:r>
      <w:r>
        <w:t xml:space="preserve"> décrites surtout avec le cyclopentolate (syndrome atropinique central avec désorientation, ataxie, troubles du comportement).</w:t>
      </w:r>
    </w:p>
    <w:p>
      <w:pPr>
        <w:pStyle w:val="Heading4"/>
      </w:pPr>
      <w:r>
        <w:t>Spécificités algériennes du marché</w:t>
      </w:r>
    </w:p>
    <w:p>
      <w:r>
        <w:t xml:space="preserve">Le marché algérien des mydriatiques/cycloplégiques est marqué par une </w:t>
      </w:r>
      <w:r>
        <w:rPr>
          <w:b/>
        </w:rPr>
        <w:t>forte présence de producteurs nationaux</w:t>
      </w:r>
      <w:r>
        <w:t xml:space="preserve"> et un retrait progressif des spécialités historiques. Parmi les produits actifs en avril 2026, on retient :</w:t>
      </w:r>
    </w:p>
    <w:p>
      <w:pPr>
        <w:pStyle w:val="ListBullet"/>
      </w:pPr>
      <w:r/>
      <w:r>
        <w:rPr>
          <w:b/>
        </w:rPr>
        <w:t>Tropicamide</w:t>
      </w:r>
      <w:r>
        <w:t xml:space="preserve"> : MYDRIATICUM (Théa), TROPEX (Biothera), MYDRICOL (Unimed), TROPITICUM (Generic Lab) — tous à 0,5 %.</w:t>
      </w:r>
    </w:p>
    <w:p>
      <w:pPr>
        <w:pStyle w:val="ListBullet"/>
      </w:pPr>
      <w:r/>
      <w:r>
        <w:rPr>
          <w:b/>
        </w:rPr>
        <w:t>Cyclopentolate</w:t>
      </w:r>
      <w:r>
        <w:t xml:space="preserve"> : PENTOLATE (Amman Pharmaceutical Industrie) à 0,5 %, CICLOPLEGICEDOL (GPA) à 1 %.</w:t>
      </w:r>
    </w:p>
    <w:p>
      <w:pPr>
        <w:pStyle w:val="ListBullet"/>
      </w:pPr>
      <w:r/>
      <w:r>
        <w:rPr>
          <w:b/>
        </w:rPr>
        <w:t>Atropine</w:t>
      </w:r>
      <w:r>
        <w:t xml:space="preserve"> : APITROPIN (Amman) à 0,005 % et 0,01 %, CROPINE (Gencopharm) à 0,005 % et 0,01 %.</w:t>
      </w:r>
    </w:p>
    <w:p>
      <w:r>
        <w:t>Les produits retirés ou non renouvelables incluent les anciennes spécialités Alcon (Atropine 0,003 %, 0,005 %, 0,01 %), Cusi (COLIRCUSI ATROPINE), Abdi Ibrahim (MIDRISOL) et Medicuba, témoignant d'une dynamique de substitution des imports par des productions nationales ou régionales.</w:t>
      </w:r>
    </w:p>
    <w:p>
      <w:pPr>
        <w:pStyle w:val="Heading4"/>
      </w:pPr>
      <w:r>
        <w:t>Bon usage et prescription</w:t>
      </w:r>
    </w:p>
    <w:p>
      <w:r>
        <w:t xml:space="preserve">La prescription des mydriatiques doit s'accompagner d'une </w:t>
      </w:r>
      <w:r>
        <w:rPr>
          <w:b/>
        </w:rPr>
        <w:t>information éclairée du patient</w:t>
      </w:r>
      <w:r>
        <w:t xml:space="preserve"> : nécessité de ne pas conduire pendant 3–4 heures après l'examen (tropicamide) voire 24–48 heures (cyclopentolate, atropine), risque de photophobie, de gêne à la lecture, et nécessité de protéger les yeux du soleil. Chez l'enfant, l'administration doit être réalisée en respectant le </w:t>
      </w:r>
      <w:r>
        <w:rPr>
          <w:b/>
        </w:rPr>
        <w:t>premier point d'occlusion canaliculaire</w:t>
      </w:r>
      <w:r>
        <w:t xml:space="preserve"> (compression du canthus interne pendant 1–2 minutes après instillation) pour limiter le passage nasolacrymal et réduire l'absorption systémique, source d'effets atropiniques centraux. Le calcul du dosage à l'instillation doit prendre en compte le poids de l'enfant, et les concentrations les plus faibles sont privilégiées chez le nourrisson (atropine 0,005 % voire dilutions extemporanées).</w:t>
      </w:r>
    </w:p>
    <w:p>
      <w:pPr>
        <w:pStyle w:val="Heading3"/>
      </w:pPr>
      <w:r>
        <w:t>144.2.2 DCI : TROPICAMIDE</w:t>
      </w:r>
    </w:p>
    <w:p>
      <w:pPr>
        <w:pStyle w:val="Heading4"/>
      </w:pPr>
      <w:r>
        <w:t>1. Identification et classification</w:t>
      </w:r>
    </w:p>
    <w:p>
      <w:r>
        <w:t xml:space="preserve">Le </w:t>
      </w:r>
      <w:r>
        <w:rPr>
          <w:b/>
        </w:rPr>
        <w:t>tropicamide</w:t>
      </w:r>
      <w:r>
        <w:t xml:space="preserve"> (DCI) est un dérivé de l'acide tropique, antimuscarinique de synthèse appartenant à la classe pharmacologique des </w:t>
      </w:r>
      <w:r>
        <w:rPr>
          <w:b/>
        </w:rPr>
        <w:t>mydriatiques d'action courte</w:t>
      </w:r>
      <w:r>
        <w:t xml:space="preserve">. Sa formule chimique est C₁₇H₂₀N₂O₂, avec un poids moléculaire de 284,36 g/mol. Il se présente sous forme de collyre en solution aqueuse isotonique, aux concentrations usuelles de </w:t>
      </w:r>
      <w:r>
        <w:rPr>
          <w:b/>
        </w:rPr>
        <w:t>0,5 % et 1 %</w:t>
      </w:r>
      <w:r>
        <w:t xml:space="preserve">. En Algérie, seule la concentration </w:t>
      </w:r>
      <w:r>
        <w:rPr>
          <w:b/>
        </w:rPr>
        <w:t>0,5 %</w:t>
      </w:r>
      <w:r>
        <w:t xml:space="preserve"> est commercialisée. Classé sur la </w:t>
      </w:r>
      <w:r>
        <w:rPr>
          <w:b/>
        </w:rPr>
        <w:t>Liste I</w:t>
      </w:r>
      <w:r>
        <w:t xml:space="preserve"> des substances vénéneuses, le tropicamide n'est pas soumis au régime des stupéfiants. Ses principaux synonymes commerciaux historiques incluent MYDRIACYL (Alcon, actuellement non commercialisé en Algérie), MYDRIATICUM (Théa), TROPITICUM (Generic Lab) et MYDRICOL (Unimed).</w:t>
      </w:r>
    </w:p>
    <w:p>
      <w:pPr>
        <w:pStyle w:val="Heading4"/>
      </w:pPr>
      <w:r>
        <w:t>2. Mécanisme d'action</w:t>
      </w:r>
    </w:p>
    <w:p>
      <w:r>
        <w:t xml:space="preserve">Le tropicamide est un </w:t>
      </w:r>
      <w:r>
        <w:rPr>
          <w:b/>
        </w:rPr>
        <w:t>antagoniste compétitif de l'acétylcholine au niveau des récepteurs muscariniques M3</w:t>
      </w:r>
      <w:r>
        <w:t xml:space="preserve"> exprimés par les cellules musculaires lisses du sphincter irien et, à un moindre degré, du muscle ciliaire. Sa fixation sur le récepteur empêche l'activation physiologique par l'acétylcholine libérée par les fibres post-ganglionnaires parasympathiques du nerf oculomoteur (via le ganglion ciliaire). Le blocage de la voie Gq/11 — phospholipase C — IP3/DAG — libération calcique induit une relaxation du sphincter irien, d'où la </w:t>
      </w:r>
      <w:r>
        <w:rPr>
          <w:b/>
        </w:rPr>
        <w:t>mydriase</w:t>
      </w:r>
      <w:r>
        <w:t xml:space="preserve">, et une relaxation modérée du muscle ciliaire, d'où une </w:t>
      </w:r>
      <w:r>
        <w:rPr>
          <w:b/>
        </w:rPr>
        <w:t>cycloplégie faible et inconstante</w:t>
      </w:r>
      <w:r>
        <w:t xml:space="preserve">. Le tropicamide est ainsi considéré comme un </w:t>
      </w:r>
      <w:r>
        <w:rPr>
          <w:b/>
        </w:rPr>
        <w:t>mydriatique pur</w:t>
      </w:r>
      <w:r>
        <w:t xml:space="preserve"> ou quasi pur, peu fiable pour la skiascopie sous cycloplégie en raison du tonus accommodatif résiduel.</w:t>
      </w:r>
    </w:p>
    <w:p>
      <w:r>
        <w:t xml:space="preserve">Le délai d'installation est rapide : la mydriase commence dès la 5ᵉ minute, est maximale entre </w:t>
      </w:r>
      <w:r>
        <w:rPr>
          <w:b/>
        </w:rPr>
        <w:t>20 et 30 minutes</w:t>
      </w:r>
      <w:r>
        <w:t xml:space="preserve"> après instillation. La durée d'action est courte : la mydriase régresse en </w:t>
      </w:r>
      <w:r>
        <w:rPr>
          <w:b/>
        </w:rPr>
        <w:t>4 à 6 heures</w:t>
      </w:r>
      <w:r>
        <w:t>, avec récupération pupillaire quasi complète à 6–8 heures. L'effet cycloplégique, lorsqu'il est présent, dure moins longtemps (1–2 heures).</w:t>
      </w:r>
    </w:p>
    <w:p>
      <w:pPr>
        <w:pStyle w:val="Heading4"/>
      </w:pPr>
      <w:r>
        <w:t>3. Pharmacocinétique</w:t>
      </w:r>
    </w:p>
    <w:p>
      <w:r>
        <w:t xml:space="preserve">L'instillation oculaire du tropicamide entraîne une </w:t>
      </w:r>
      <w:r>
        <w:rPr>
          <w:b/>
        </w:rPr>
        <w:t>absorption locale</w:t>
      </w:r>
      <w:r>
        <w:t xml:space="preserve"> à travers la cornée (épithélium puis stroma), favorisée par la liposolubilité modérée de la molécule. La fraction absorbée diffuse dans l'humeur aqueuse et atteint les effecteurs iriens et ciliaires en quelques minutes. Une </w:t>
      </w:r>
      <w:r>
        <w:rPr>
          <w:b/>
        </w:rPr>
        <w:t>fraction systémique non négligeable</w:t>
      </w:r>
      <w:r>
        <w:t xml:space="preserve"> est également absorbée par le canal nasolacrymal puis la muqueuse nasopharyngée, d'où la nécessité d'occlure le point lacrymal pour réduire ce passage systémique, surtout chez l'enfant et le sujet âgé.</w:t>
      </w:r>
    </w:p>
    <w:p>
      <w:r>
        <w:t xml:space="preserve">La </w:t>
      </w:r>
      <w:r>
        <w:rPr>
          <w:b/>
        </w:rPr>
        <w:t>biodisponibilité systémique</w:t>
      </w:r>
      <w:r>
        <w:t xml:space="preserve"> après instillation oculaire est estimée à 30–50 %, ce qui explique la possibilité d'effets atropiniques systémiques (sécheresse buccale, tachycardie, flush) en cas de surdosage ou d'instillation répétée. Le tropicamide est </w:t>
      </w:r>
      <w:r>
        <w:rPr>
          <w:b/>
        </w:rPr>
        <w:t>métabolisé</w:t>
      </w:r>
      <w:r>
        <w:t xml:space="preserve"> au niveau hépatique par les cytochromes P450 (principalement CYP3A4 et CYP2C19) en métabolites inactifs. La </w:t>
      </w:r>
      <w:r>
        <w:rPr>
          <w:b/>
        </w:rPr>
        <w:t>demi-vie d'élimination plasmatique</w:t>
      </w:r>
      <w:r>
        <w:t xml:space="preserve"> est de l'ordre de 2 heures. L'élimination se fait à parts comparables entre le rein (métabolites hydrosolubles) et la bile. Aucune accumulation n'est observée en cas d'usage ponctuel, mais l'administration répétée à intervalles courts majore le risque d'effets systémiques.</w:t>
      </w:r>
    </w:p>
    <w:p>
      <w:pPr>
        <w:pStyle w:val="Heading4"/>
      </w:pPr>
      <w:r>
        <w:t>4. Indications thérapeutiques</w:t>
      </w:r>
    </w:p>
    <w:p>
      <w:r>
        <w:t>Les indications du tropicamide sont exclusivement diagnostiques ou, dans une moindre mesure, préventives :</w:t>
      </w:r>
    </w:p>
    <w:p>
      <w:pPr>
        <w:pStyle w:val="ListBullet"/>
      </w:pPr>
      <w:r/>
      <w:r>
        <w:rPr>
          <w:b/>
        </w:rPr>
        <w:t>Examen du fond d'œil</w:t>
      </w:r>
      <w:r>
        <w:t xml:space="preserve"> (rétine, papille, macula, vaisseaux) en consultation d'ophtalmologie, en médecine générale pour le dépistage du diabète ou de l'hypertension, ou en médecine du travail.</w:t>
      </w:r>
    </w:p>
    <w:p>
      <w:pPr>
        <w:pStyle w:val="ListBullet"/>
      </w:pPr>
      <w:r/>
      <w:r>
        <w:rPr>
          <w:b/>
        </w:rPr>
        <w:t>Examen de la périphérie rétinienne</w:t>
      </w:r>
      <w:r>
        <w:t xml:space="preserve"> à la recherche de déchirures ou de décollement de rétine (souvent en association avec la phényléphrine pour obtenir une mydriase maximale).</w:t>
      </w:r>
    </w:p>
    <w:p>
      <w:pPr>
        <w:pStyle w:val="ListBullet"/>
      </w:pPr>
      <w:r/>
      <w:r>
        <w:rPr>
          <w:b/>
        </w:rPr>
        <w:t>Cataracte</w:t>
      </w:r>
      <w:r>
        <w:t xml:space="preserve"> : dilatation préalable à l'examen du cristallin et à la chirurgie de la cataracte.</w:t>
      </w:r>
    </w:p>
    <w:p>
      <w:pPr>
        <w:pStyle w:val="ListBullet"/>
      </w:pPr>
      <w:r/>
      <w:r>
        <w:rPr>
          <w:b/>
        </w:rPr>
        <w:t>Angiographie à la fluorescéine</w:t>
      </w:r>
      <w:r>
        <w:t xml:space="preserve"> et </w:t>
      </w:r>
      <w:r>
        <w:rPr>
          <w:b/>
        </w:rPr>
        <w:t>OCT maculaire ou papillaire</w:t>
      </w:r>
      <w:r>
        <w:t xml:space="preserve"> (la dilatation pupillaire est nécessaire pour obtenir une imagerie de qualité).</w:t>
      </w:r>
    </w:p>
    <w:p>
      <w:pPr>
        <w:pStyle w:val="ListBullet"/>
      </w:pPr>
      <w:r/>
      <w:r>
        <w:rPr>
          <w:b/>
        </w:rPr>
        <w:t>Prévention de l'amblyopie</w:t>
      </w:r>
      <w:r>
        <w:t xml:space="preserve"> dans certaines formes de strabisme accommodatif en association avec la correction optique (usage marginal, l'atropine est préférée).</w:t>
      </w:r>
    </w:p>
    <w:p>
      <w:pPr>
        <w:pStyle w:val="ListBullet"/>
      </w:pPr>
      <w:r/>
      <w:r>
        <w:rPr>
          <w:b/>
        </w:rPr>
        <w:t>Traitement adjuvant des uvéites antérieures</w:t>
      </w:r>
      <w:r>
        <w:t xml:space="preserve"> en association avec les corticoïdes et les cycloplégiques plus puissants (utilisation en alternance ou en relais, peu usitée).</w:t>
      </w:r>
    </w:p>
    <w:p>
      <w:pPr>
        <w:pStyle w:val="Heading4"/>
      </w:pPr>
      <w:r>
        <w:t>5. Contre-indications</w:t>
      </w:r>
    </w:p>
    <w:p>
      <w:r>
        <w:t>Les contre-indications absolues et relatives du tropicamide sont :</w:t>
      </w:r>
    </w:p>
    <w:p>
      <w:pPr>
        <w:pStyle w:val="ListBullet"/>
      </w:pPr>
      <w:r/>
      <w:r>
        <w:rPr>
          <w:b/>
        </w:rPr>
        <w:t>Glaucome à angle fermé</w:t>
      </w:r>
      <w:r>
        <w:t xml:space="preserve"> (glaucome par fermeture de l'angle, GAFP) connu ou suspecté : la mydriase peut précipiter une crise aiguë par blocage du trabéculum. Contre-indication absolue.</w:t>
      </w:r>
    </w:p>
    <w:p>
      <w:pPr>
        <w:pStyle w:val="ListBullet"/>
      </w:pPr>
      <w:r/>
      <w:r>
        <w:rPr>
          <w:b/>
        </w:rPr>
        <w:t>Chambre antérieure étroite</w:t>
      </w:r>
      <w:r>
        <w:t xml:space="preserve"> (à évaluer à la lampe à fente) : risque de déclenchement d'un GAFP.</w:t>
      </w:r>
    </w:p>
    <w:p>
      <w:pPr>
        <w:pStyle w:val="ListBullet"/>
      </w:pPr>
      <w:r/>
      <w:r>
        <w:rPr>
          <w:b/>
        </w:rPr>
        <w:t>Hypersensibilité connue</w:t>
      </w:r>
      <w:r>
        <w:t xml:space="preserve"> au tropicamide ou à l'un des excipients du collyre (notamment le chlorure de benzalkonium).</w:t>
      </w:r>
    </w:p>
    <w:p>
      <w:pPr>
        <w:pStyle w:val="ListBullet"/>
      </w:pPr>
      <w:r/>
      <w:r>
        <w:rPr>
          <w:b/>
        </w:rPr>
        <w:t>Traitement par inhibiteurs de la monoamine oxydase (IMAO)</w:t>
      </w:r>
      <w:r>
        <w:t xml:space="preserve"> : risque de potentialisation des effets parasympatholytiques systémiques.</w:t>
      </w:r>
    </w:p>
    <w:p>
      <w:pPr>
        <w:pStyle w:val="ListBullet"/>
      </w:pPr>
      <w:r/>
      <w:r>
        <w:rPr>
          <w:b/>
        </w:rPr>
        <w:t>Allaitement</w:t>
      </w:r>
      <w:r>
        <w:t xml:space="preserve"> : en raison du passage dans le lait maternel, à éviter en cas d'administration répétée (dose unique possible en respectant les précautions).</w:t>
      </w:r>
    </w:p>
    <w:p>
      <w:pPr>
        <w:pStyle w:val="ListBullet"/>
      </w:pPr>
      <w:r/>
      <w:r>
        <w:rPr>
          <w:b/>
        </w:rPr>
        <w:t>Nouveau-né et prématuré</w:t>
      </w:r>
      <w:r>
        <w:t xml:space="preserve"> : risque accru d'effets atropiniques systémiques, nécessité de concentrations adaptées et d'occlusion du point lacrymal.</w:t>
      </w:r>
    </w:p>
    <w:p>
      <w:pPr>
        <w:pStyle w:val="Heading4"/>
      </w:pPr>
      <w:r>
        <w:t>6. Précautions d'emploi et mises en garde</w:t>
      </w:r>
    </w:p>
    <w:p>
      <w:r>
        <w:t>Les principales précautions d'emploi incluent :</w:t>
      </w:r>
    </w:p>
    <w:p>
      <w:pPr>
        <w:pStyle w:val="ListBullet"/>
      </w:pPr>
      <w:r/>
      <w:r>
        <w:rPr>
          <w:b/>
        </w:rPr>
        <w:t>Évaluation de la profondeur de la chambre antérieure</w:t>
      </w:r>
      <w:r>
        <w:t xml:space="preserve"> avant instillation, surtout chez le sujet âgé, hypermétrope ou aphake ; en cas de doute, réalisation d'un test à la pén-torche ou d'une biométrie échographique.</w:t>
      </w:r>
    </w:p>
    <w:p>
      <w:pPr>
        <w:pStyle w:val="ListBullet"/>
      </w:pPr>
      <w:r/>
      <w:r>
        <w:rPr>
          <w:b/>
        </w:rPr>
        <w:t>Occlusion du point lacrymal</w:t>
      </w:r>
      <w:r>
        <w:t xml:space="preserve"> (compression digitale du canthus interne) pendant 1–2 minutes après instillation, pour réduire le passage systémique et donc les effets atropiniques systémiques (tachycardie, sécheresse buccale, flush, rétention urinaire).</w:t>
      </w:r>
    </w:p>
    <w:p>
      <w:pPr>
        <w:pStyle w:val="ListBullet"/>
      </w:pPr>
      <w:r/>
      <w:r>
        <w:rPr>
          <w:b/>
        </w:rPr>
        <w:t>Patient âgé</w:t>
      </w:r>
      <w:r>
        <w:t xml:space="preserve"> : surveillance de la tolérance cognitive (risque de confusion, surtout en cas d'instillations répétées ou d'association à d'autres anticholinergiques).</w:t>
      </w:r>
    </w:p>
    <w:p>
      <w:pPr>
        <w:pStyle w:val="ListBullet"/>
      </w:pPr>
      <w:r/>
      <w:r>
        <w:rPr>
          <w:b/>
        </w:rPr>
        <w:t>Enfant</w:t>
      </w:r>
      <w:r>
        <w:t xml:space="preserve"> : risque de réactions paradoxales (agitation, désorientation, ataxie, troubles du comportement), particulièrement à la concentration 1 % ; préférer la concentration 0,5 % et l'occlusion du point lacrymal.</w:t>
      </w:r>
    </w:p>
    <w:p>
      <w:pPr>
        <w:pStyle w:val="ListBullet"/>
      </w:pPr>
      <w:r/>
      <w:r>
        <w:rPr>
          <w:b/>
        </w:rPr>
        <w:t>Patient diabétique ou hypertendu</w:t>
      </w:r>
      <w:r>
        <w:t xml:space="preserve"> : aucune contre-indication spécifique au tropicamide en lui-même, mais l'examen du fond d'œil justifie une attention particulière sur la rétinopathie sous-jacente.</w:t>
      </w:r>
    </w:p>
    <w:p>
      <w:pPr>
        <w:pStyle w:val="ListBullet"/>
      </w:pPr>
      <w:r/>
      <w:r>
        <w:rPr>
          <w:b/>
        </w:rPr>
        <w:t>Grossesse</w:t>
      </w:r>
      <w:r>
        <w:t xml:space="preserve"> : les données chez la femme enceinte sont limitées mais ne révèlent pas d'effet tératogène ; le CRAT considère le tropicamide comme </w:t>
      </w:r>
      <w:r>
        <w:rPr>
          <w:b/>
        </w:rPr>
        <w:t>compatible</w:t>
      </w:r>
      <w:r>
        <w:t xml:space="preserve"> avec la grossesse en cas d'administration ponctuelle.</w:t>
      </w:r>
    </w:p>
    <w:p>
      <w:pPr>
        <w:pStyle w:val="ListBullet"/>
      </w:pPr>
      <w:r/>
      <w:r>
        <w:rPr>
          <w:b/>
        </w:rPr>
        <w:t>Conduite automobile</w:t>
      </w:r>
      <w:r>
        <w:t xml:space="preserve"> : contre-indication transitoire pendant 3–4 heures après instillation, en raison de la mydriase et de la cycloplégie (flou visuel, photophobie, perte de la vision de près).</w:t>
      </w:r>
    </w:p>
    <w:p>
      <w:pPr>
        <w:pStyle w:val="Heading4"/>
      </w:pPr>
      <w:r>
        <w:t>7. Effets indésirables</w:t>
      </w:r>
    </w:p>
    <w:p>
      <w:r>
        <w:t>Les effets indésirables du tropicamide sont essentiellement locaux et transitoires, mais peuvent inclure des manifestations systémiques en cas de passage systémique important :</w:t>
      </w:r>
    </w:p>
    <w:p>
      <w:pPr>
        <w:pStyle w:val="ListBullet"/>
      </w:pPr>
      <w:r/>
      <w:r>
        <w:rPr>
          <w:b/>
        </w:rPr>
        <w:t>Locaux oculaires</w:t>
      </w:r>
      <w:r>
        <w:t xml:space="preserve"> : picotements à l'instillation, hyperhémie conjonctivale transitoire, photophobie, flou visuel de près, baisse d'acuité visuelle transitoire, sécheresse oculaire, allergie de contact (rare).</w:t>
      </w:r>
    </w:p>
    <w:p>
      <w:pPr>
        <w:pStyle w:val="ListBullet"/>
      </w:pPr>
      <w:r/>
      <w:r>
        <w:rPr>
          <w:b/>
        </w:rPr>
        <w:t>Systémiques atropiniques</w:t>
      </w:r>
      <w:r>
        <w:t xml:space="preserve"> (surtout chez l'enfant et le sujet âgé, ou en cas de surdosage) : sécheresse buccale, tachycardie sinusale, flush facial, rétention urinaire, constipation, mydriase controlatérale (par migration du produit vers l'autre œil via le canal nasolacrymal).</w:t>
      </w:r>
    </w:p>
    <w:p>
      <w:pPr>
        <w:pStyle w:val="ListBullet"/>
      </w:pPr>
      <w:r/>
      <w:r>
        <w:rPr>
          <w:b/>
        </w:rPr>
        <w:t>Neurologiques centraux</w:t>
      </w:r>
      <w:r>
        <w:t xml:space="preserve"> : céphalées, confusion, agitation, désorientation, ataxie, hallucinations (surtout chez le sujet âgé dément ou l'enfant), somnolence.</w:t>
      </w:r>
    </w:p>
    <w:p>
      <w:pPr>
        <w:pStyle w:val="ListBullet"/>
      </w:pPr>
      <w:r/>
      <w:r>
        <w:rPr>
          <w:b/>
        </w:rPr>
        <w:t>Réactions paradoxales</w:t>
      </w:r>
      <w:r>
        <w:t xml:space="preserve"> : surtout chez l'enfant (syndrome atropinique central), décrites avec le cyclopentolate mais aussi rapportées avec le tropicamide à concentration 1 %.</w:t>
      </w:r>
    </w:p>
    <w:p>
      <w:pPr>
        <w:pStyle w:val="ListBullet"/>
      </w:pPr>
      <w:r/>
      <w:r>
        <w:rPr>
          <w:b/>
        </w:rPr>
        <w:t>Allergiques</w:t>
      </w:r>
      <w:r>
        <w:t xml:space="preserve"> : rarement, réactions d'hypersensibilité immédiate (urticaire, œdème de Quincke, choc anaphylactique).</w:t>
      </w:r>
    </w:p>
    <w:p>
      <w:pPr>
        <w:pStyle w:val="Heading4"/>
      </w:pPr>
      <w:r>
        <w:t>8. Interactions médicamenteuses</w:t>
      </w:r>
    </w:p>
    <w:p>
      <w:r>
        <w:t xml:space="preserve">Les interactions médicamenteuses à considérer sont principalement liées aux </w:t>
      </w:r>
      <w:r>
        <w:rPr>
          <w:b/>
        </w:rPr>
        <w:t>potentialisations des effets anticholinergiques systémiques</w:t>
      </w:r>
      <w:r>
        <w:t xml:space="preserve"> en cas d'association avec d'autres molécaires parasympatholytiques :</w:t>
      </w:r>
    </w:p>
    <w:p>
      <w:pPr>
        <w:pStyle w:val="ListBullet"/>
      </w:pPr>
      <w:r/>
      <w:r>
        <w:rPr>
          <w:b/>
        </w:rPr>
        <w:t>Antidépresseurs tricycliques</w:t>
      </w:r>
      <w:r>
        <w:t xml:space="preserve"> (amitriptyline, imipramine, clomipramine) : majoration des effets atropiniques (rétention urinaire, constipation, troubles cognitifs, tachycardie).</w:t>
      </w:r>
    </w:p>
    <w:p>
      <w:pPr>
        <w:pStyle w:val="ListBullet"/>
      </w:pPr>
      <w:r/>
      <w:r>
        <w:rPr>
          <w:b/>
        </w:rPr>
        <w:t>Antiparkinsoniens anticholinergiques</w:t>
      </w:r>
      <w:r>
        <w:t xml:space="preserve"> (trihexyphénidyle, bipéridène) : potentialisation des effets systémiques.</w:t>
      </w:r>
    </w:p>
    <w:p>
      <w:pPr>
        <w:pStyle w:val="ListBullet"/>
      </w:pPr>
      <w:r/>
      <w:r>
        <w:rPr>
          <w:b/>
        </w:rPr>
        <w:t>Antihistaminiques H1 de première génération</w:t>
      </w:r>
      <w:r>
        <w:t xml:space="preserve"> (hydroxyzine, prométhazine) : majoration de la sédation et des effets atropiniques.</w:t>
      </w:r>
    </w:p>
    <w:p>
      <w:pPr>
        <w:pStyle w:val="ListBullet"/>
      </w:pPr>
      <w:r/>
      <w:r>
        <w:rPr>
          <w:b/>
        </w:rPr>
        <w:t>Neuroleptiques</w:t>
      </w:r>
      <w:r>
        <w:t xml:space="preserve"> (phénothiazines, clozapine) : majoration des effets anticholinergiques, risque d'iléus paralytique.</w:t>
      </w:r>
    </w:p>
    <w:p>
      <w:pPr>
        <w:pStyle w:val="ListBullet"/>
      </w:pPr>
      <w:r/>
      <w:r>
        <w:rPr>
          <w:b/>
        </w:rPr>
        <w:t>IMAO</w:t>
      </w:r>
      <w:r>
        <w:t xml:space="preserve"> : risque de crise hypertensive et de syndrome atropinique sévère (contre-indication).</w:t>
      </w:r>
    </w:p>
    <w:p>
      <w:pPr>
        <w:pStyle w:val="ListBullet"/>
      </w:pPr>
      <w:r/>
      <w:r>
        <w:rPr>
          <w:b/>
        </w:rPr>
        <w:t>Inhibiteurs de la recapture de la sérotonine</w:t>
      </w:r>
      <w:r>
        <w:t xml:space="preserve"> (IRS) : pas d'interaction significative rapportée.</w:t>
      </w:r>
    </w:p>
    <w:p>
      <w:pPr>
        <w:pStyle w:val="ListBullet"/>
      </w:pPr>
      <w:r/>
      <w:r>
        <w:rPr>
          <w:b/>
        </w:rPr>
        <w:t>Bêta-bloquants oculaires</w:t>
      </w:r>
      <w:r>
        <w:t xml:space="preserve"> (timolol) : pas d'interaction significative, mais surveillance de la PIO chez le patient glaucomateux (le tropicamide ne doit pas être utilisé en cas de GAFP).</w:t>
      </w:r>
    </w:p>
    <w:p>
      <w:pPr>
        <w:pStyle w:val="ListBullet"/>
      </w:pPr>
      <w:r/>
      <w:r>
        <w:rPr>
          <w:b/>
        </w:rPr>
        <w:t>Collyres à la phényléphrine</w:t>
      </w:r>
      <w:r>
        <w:t xml:space="preserve"> : association synergique pour obtenir une mydriase maximale (utilisation diagnostique courante).</w:t>
      </w:r>
    </w:p>
    <w:p>
      <w:pPr>
        <w:pStyle w:val="Heading4"/>
      </w:pPr>
      <w:r>
        <w:t>9. Posologie et mode d'administration</w:t>
      </w:r>
    </w:p>
    <w:p>
      <w:r>
        <w:t>La posologie usuelle du tropicamide collyre 0,5 % est :</w:t>
      </w:r>
    </w:p>
    <w:p>
      <w:pPr>
        <w:pStyle w:val="ListBullet"/>
      </w:pPr>
      <w:r/>
      <w:r>
        <w:rPr>
          <w:b/>
        </w:rPr>
        <w:t>Adulte et enfant de plus de 6 ans</w:t>
      </w:r>
      <w:r>
        <w:t xml:space="preserve"> : 1 à 2 gouttes dans l'œil à examiner, à renouveler si nécessaire après 5–10 minutes pour obtenir une mydriase maximale. L'examen peut être réalisé 20–30 minutes après l'instillation.</w:t>
      </w:r>
    </w:p>
    <w:p>
      <w:pPr>
        <w:pStyle w:val="ListBullet"/>
      </w:pPr>
      <w:r/>
      <w:r>
        <w:rPr>
          <w:b/>
        </w:rPr>
        <w:t>Enfant de moins de 6 ans</w:t>
      </w:r>
      <w:r>
        <w:t xml:space="preserve"> : 1 goutte de tropicamide 0,5 %, avec occlusion du point lacrymal pendant 1–2 minutes pour limiter le passage systémique. Préférer la concentration 0,5 % à la concentration 1 % (non disponible en Algérie mais utilisée à l'étranger).</w:t>
      </w:r>
    </w:p>
    <w:p>
      <w:pPr>
        <w:pStyle w:val="ListBullet"/>
      </w:pPr>
      <w:r/>
      <w:r>
        <w:rPr>
          <w:b/>
        </w:rPr>
        <w:t>Nouveau-né et prématuré</w:t>
      </w:r>
      <w:r>
        <w:t xml:space="preserve"> : usage déconseillé en première intention ; si nécessaire, utiliser une dilution extemporanée à 0,25 % et une occlusion stricte du point lacrymal.</w:t>
      </w:r>
    </w:p>
    <w:p>
      <w:r/>
      <w:r>
        <w:rPr>
          <w:b/>
        </w:rPr>
        <w:t>Mode d'administration</w:t>
      </w:r>
      <w:r>
        <w:t xml:space="preserve"> : instiller le collyre dans le cul-de-sac conjonctival inférieur (en abaissant la paupière inférieure et demandant au patient de regarder vers le haut) ; demander au patient de fermer doucement les yeux sans cligner excessivement ; appliquer une compression digitale douce au niveau du canthus interne pendant 1–2 minutes pour occlure le point lacrymal et limiter le passage systémique. Ne pas toucher l'œil avec l'embout du flacon. Se laver les mains avant et après l'administration.</w:t>
      </w:r>
    </w:p>
    <w:p>
      <w:pPr>
        <w:pStyle w:val="Heading4"/>
      </w:pPr>
      <w:r>
        <w:t>10. Surdosage et conduite à tenir</w:t>
      </w:r>
    </w:p>
    <w:p>
      <w:r>
        <w:t xml:space="preserve">Le surdosage en tropicamide peut résulter d'une instillation excessive, d'une ingestion accidentelle (enfant) ou d'un mésusage volontaire. Les signes cliniques associent un </w:t>
      </w:r>
      <w:r>
        <w:rPr>
          <w:b/>
        </w:rPr>
        <w:t>syndrome atropinique complet</w:t>
      </w:r>
      <w:r>
        <w:t xml:space="preserve"> : mydriase bilatérale fixe, sécheresse des muqueuses (bouche, peau), tachycardie sinusale, hyperthermie, rétention urinaire, constipation, flush facial, et aux plans neurologique et psychiatrique, agitation, confusion, hallucinations, ataxie, voire coma. Chez l'enfant, une hyperthermie maligne et des convulsions peuvent survenir.</w:t>
      </w:r>
    </w:p>
    <w:p>
      <w:r/>
      <w:r>
        <w:rPr>
          <w:b/>
        </w:rPr>
        <w:t>Conduite à tenir</w:t>
      </w:r>
      <w:r>
        <w:t xml:space="preserve"> :</w:t>
      </w:r>
    </w:p>
    <w:p>
      <w:pPr>
        <w:pStyle w:val="ListBullet"/>
      </w:pPr>
      <w:r>
        <w:t>Arrêt immédiat du tropicamide.</w:t>
      </w:r>
    </w:p>
    <w:p>
      <w:pPr>
        <w:pStyle w:val="ListBullet"/>
      </w:pPr>
      <w:r>
        <w:t>Lavage gastrique et administration de charbon activé en cas d'ingestion récente (&lt; 1 heure).</w:t>
      </w:r>
    </w:p>
    <w:p>
      <w:pPr>
        <w:pStyle w:val="ListBullet"/>
      </w:pPr>
      <w:r>
        <w:t>Surveillance ECG, surveillance neurologique et thermique.</w:t>
      </w:r>
    </w:p>
    <w:p>
      <w:pPr>
        <w:pStyle w:val="ListBullet"/>
      </w:pPr>
      <w:r>
        <w:t>Traitement symptomatique : réhydratation, antipyrétiques physiques (couverture fraîche, vessie de glace), benzodiazépines en cas d'agitation ou de convulsions (diazépam 0,2–0,3 mg/kg IV).</w:t>
      </w:r>
    </w:p>
    <w:p>
      <w:pPr>
        <w:pStyle w:val="ListBullet"/>
      </w:pPr>
      <w:r>
        <w:t xml:space="preserve">Antidote spécifique en cas de signes sévères : </w:t>
      </w:r>
      <w:r>
        <w:rPr>
          <w:b/>
        </w:rPr>
        <w:t>physostigmine</w:t>
      </w:r>
      <w:r>
        <w:t xml:space="preserve"> (anticholinestérasique central), 1–2 mg IV lentement chez l'adulte (0,02 mg/kg chez l'enfant), à renouveler si nécessaire après 30 minutes — sous surveillance ECG stricte et en milieu de réanimation.</w:t>
      </w:r>
    </w:p>
    <w:p>
      <w:pPr>
        <w:pStyle w:val="ListBullet"/>
      </w:pPr>
      <w:r>
        <w:t>Hospitalisation systématique en cas de signes systémiques, surtout chez l'enfant et le sujet âgé.</w:t>
      </w:r>
    </w:p>
    <w:p>
      <w:pPr>
        <w:pStyle w:val="Heading4"/>
      </w:pPr>
      <w:r>
        <w:t>11. Spécialités pharmaceutiques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MYDRIATICUM</w:t>
            </w:r>
          </w:p>
        </w:tc>
        <w:tc>
          <w:tcPr>
            <w:tcW w:type="dxa" w:w="1559"/>
          </w:tcPr>
          <w:p>
            <w:r>
              <w:rPr>
                <w:sz w:val="20"/>
              </w:rPr>
              <w:t>THEA</w:t>
            </w:r>
          </w:p>
        </w:tc>
        <w:tc>
          <w:tcPr>
            <w:tcW w:type="dxa" w:w="1559"/>
          </w:tcPr>
          <w:p>
            <w:r>
              <w:rPr>
                <w:sz w:val="20"/>
              </w:rPr>
              <w:t>Collyre en solution 0,5 % (5 mg/mL)</w:t>
            </w:r>
          </w:p>
        </w:tc>
        <w:tc>
          <w:tcPr>
            <w:tcW w:type="dxa" w:w="1559"/>
          </w:tcPr>
          <w:p>
            <w:r>
              <w:rPr>
                <w:sz w:val="20"/>
              </w:rPr>
              <w:t>Flacon 10 mL</w:t>
            </w:r>
          </w:p>
        </w:tc>
        <w:tc>
          <w:tcPr>
            <w:tcW w:type="dxa" w:w="1559"/>
          </w:tcPr>
          <w:p>
            <w:r>
              <w:rPr>
                <w:sz w:val="20"/>
              </w:rPr>
              <w:t>Liste I</w:t>
            </w:r>
          </w:p>
        </w:tc>
        <w:tc>
          <w:tcPr>
            <w:tcW w:type="dxa" w:w="1559"/>
          </w:tcPr>
          <w:p>
            <w:r>
              <w:rPr>
                <w:sz w:val="20"/>
              </w:rPr>
              <w:t>ACTIF</w:t>
            </w:r>
          </w:p>
        </w:tc>
      </w:tr>
      <w:tr>
        <w:tc>
          <w:tcPr>
            <w:tcW w:type="dxa" w:w="1559"/>
          </w:tcPr>
          <w:p>
            <w:r>
              <w:rPr>
                <w:sz w:val="20"/>
              </w:rPr>
              <w:t>TROPEX</w:t>
            </w:r>
          </w:p>
        </w:tc>
        <w:tc>
          <w:tcPr>
            <w:tcW w:type="dxa" w:w="1559"/>
          </w:tcPr>
          <w:p>
            <w:r>
              <w:rPr>
                <w:sz w:val="20"/>
              </w:rPr>
              <w:t>BIOTHERA</w:t>
            </w:r>
          </w:p>
        </w:tc>
        <w:tc>
          <w:tcPr>
            <w:tcW w:type="dxa" w:w="1559"/>
          </w:tcPr>
          <w:p>
            <w:r>
              <w:rPr>
                <w:sz w:val="20"/>
              </w:rPr>
              <w:t>Collyre en solution 0,5 % (5 mg/mL)</w:t>
            </w:r>
          </w:p>
        </w:tc>
        <w:tc>
          <w:tcPr>
            <w:tcW w:type="dxa" w:w="1559"/>
          </w:tcPr>
          <w:p>
            <w:r>
              <w:rPr>
                <w:sz w:val="20"/>
              </w:rPr>
              <w:t>Flacon 10 mL</w:t>
            </w:r>
          </w:p>
        </w:tc>
        <w:tc>
          <w:tcPr>
            <w:tcW w:type="dxa" w:w="1559"/>
          </w:tcPr>
          <w:p>
            <w:r>
              <w:rPr>
                <w:sz w:val="20"/>
              </w:rPr>
              <w:t>Liste I</w:t>
            </w:r>
          </w:p>
        </w:tc>
        <w:tc>
          <w:tcPr>
            <w:tcW w:type="dxa" w:w="1559"/>
          </w:tcPr>
          <w:p>
            <w:r>
              <w:rPr>
                <w:sz w:val="20"/>
              </w:rPr>
              <w:t>ACTIF</w:t>
            </w:r>
          </w:p>
        </w:tc>
      </w:tr>
      <w:tr>
        <w:tc>
          <w:tcPr>
            <w:tcW w:type="dxa" w:w="1559"/>
          </w:tcPr>
          <w:p>
            <w:r>
              <w:rPr>
                <w:sz w:val="20"/>
              </w:rPr>
              <w:t>MYDRICOL</w:t>
            </w:r>
          </w:p>
        </w:tc>
        <w:tc>
          <w:tcPr>
            <w:tcW w:type="dxa" w:w="1559"/>
          </w:tcPr>
          <w:p>
            <w:r>
              <w:rPr>
                <w:sz w:val="20"/>
              </w:rPr>
              <w:t>UNIMED</w:t>
            </w:r>
          </w:p>
        </w:tc>
        <w:tc>
          <w:tcPr>
            <w:tcW w:type="dxa" w:w="1559"/>
          </w:tcPr>
          <w:p>
            <w:r>
              <w:rPr>
                <w:sz w:val="20"/>
              </w:rPr>
              <w:t>Collyre en solution 0,5 % (5 mg/mL)</w:t>
            </w:r>
          </w:p>
        </w:tc>
        <w:tc>
          <w:tcPr>
            <w:tcW w:type="dxa" w:w="1559"/>
          </w:tcPr>
          <w:p>
            <w:r>
              <w:rPr>
                <w:sz w:val="20"/>
              </w:rPr>
              <w:t>Flacon 5 mL</w:t>
            </w:r>
          </w:p>
        </w:tc>
        <w:tc>
          <w:tcPr>
            <w:tcW w:type="dxa" w:w="1559"/>
          </w:tcPr>
          <w:p>
            <w:r>
              <w:rPr>
                <w:sz w:val="20"/>
              </w:rPr>
              <w:t>Liste I</w:t>
            </w:r>
          </w:p>
        </w:tc>
        <w:tc>
          <w:tcPr>
            <w:tcW w:type="dxa" w:w="1559"/>
          </w:tcPr>
          <w:p>
            <w:r>
              <w:rPr>
                <w:sz w:val="20"/>
              </w:rPr>
              <w:t>ACTIF</w:t>
            </w:r>
          </w:p>
        </w:tc>
      </w:tr>
      <w:tr>
        <w:tc>
          <w:tcPr>
            <w:tcW w:type="dxa" w:w="1559"/>
          </w:tcPr>
          <w:p>
            <w:r>
              <w:rPr>
                <w:sz w:val="20"/>
              </w:rPr>
              <w:t>TROPITICUM</w:t>
            </w:r>
          </w:p>
        </w:tc>
        <w:tc>
          <w:tcPr>
            <w:tcW w:type="dxa" w:w="1559"/>
          </w:tcPr>
          <w:p>
            <w:r>
              <w:rPr>
                <w:sz w:val="20"/>
              </w:rPr>
              <w:t>GENERIC LAB</w:t>
            </w:r>
          </w:p>
        </w:tc>
        <w:tc>
          <w:tcPr>
            <w:tcW w:type="dxa" w:w="1559"/>
          </w:tcPr>
          <w:p>
            <w:r>
              <w:rPr>
                <w:sz w:val="20"/>
              </w:rPr>
              <w:t>Collyre en solution 0,5 % (5 mg/mL)</w:t>
            </w:r>
          </w:p>
        </w:tc>
        <w:tc>
          <w:tcPr>
            <w:tcW w:type="dxa" w:w="1559"/>
          </w:tcPr>
          <w:p>
            <w:r>
              <w:rPr>
                <w:sz w:val="20"/>
              </w:rPr>
              <w:t>Flacon 10 mL</w:t>
            </w:r>
          </w:p>
        </w:tc>
        <w:tc>
          <w:tcPr>
            <w:tcW w:type="dxa" w:w="1559"/>
          </w:tcPr>
          <w:p>
            <w:r>
              <w:rPr>
                <w:sz w:val="20"/>
              </w:rPr>
              <w:t>Liste I</w:t>
            </w:r>
          </w:p>
        </w:tc>
        <w:tc>
          <w:tcPr>
            <w:tcW w:type="dxa" w:w="1559"/>
          </w:tcPr>
          <w:p>
            <w:r>
              <w:rPr>
                <w:sz w:val="20"/>
              </w:rPr>
              <w:t>ACTIF</w:t>
            </w:r>
          </w:p>
        </w:tc>
      </w:tr>
    </w:tbl>
    <w:p/>
    <w:p>
      <w:r/>
      <w:r>
        <w:rPr>
          <w:b/>
        </w:rPr>
        <w:t>Commentaire</w:t>
      </w:r>
      <w:r>
        <w:t xml:space="preserve"> : Le marché algérien du tropicamide est principalement détenu par Théa (MYDRIATICUM, marque historique de référence), avec plusieurs alternatives locales (Biothera, Generic Lab, Unimed) garantissant un accès large. Toutes les spécialités disponibles sont à la concentration 0,5 % ; aucune spécialité à 1 % n'est actuellement commercialisée, ce qui peut limiter certaines indications nécessitant une mydriase maximale rapide (angiographie, chirurgie de la cataracte), où une association avec la phényléphrine 5 % ou 10 % est alors utilisée.</w:t>
      </w:r>
    </w:p>
    <w:p>
      <w:pPr>
        <w:pStyle w:val="Heading4"/>
      </w:pPr>
      <w:r>
        <w:t>12. Éducation du patient et recommandations pratiques</w:t>
      </w:r>
    </w:p>
    <w:p>
      <w:r>
        <w:t>L'éducation du patient recevant du tropicamide doit couvrir les points suivants :</w:t>
      </w:r>
    </w:p>
    <w:p>
      <w:pPr>
        <w:pStyle w:val="ListBullet"/>
      </w:pPr>
      <w:r/>
      <w:r>
        <w:rPr>
          <w:b/>
        </w:rPr>
        <w:t>Information sur le geste</w:t>
      </w:r>
      <w:r>
        <w:t xml:space="preserve"> : il s'agit d'un collyre administré en une ou deux instillations pour permettre l'examen du fond d'œil ; l'effet est transitoire (4–6 heures) et sans danger en l'absence de contre-indication.</w:t>
      </w:r>
    </w:p>
    <w:p>
      <w:pPr>
        <w:pStyle w:val="ListBullet"/>
      </w:pPr>
      <w:r/>
      <w:r>
        <w:rPr>
          <w:b/>
        </w:rPr>
        <w:t>Précautions de conduite</w:t>
      </w:r>
      <w:r>
        <w:t xml:space="preserve"> : ne pas conduire de véhicule pendant au moins 3–4 heures après l'instillation (risque de flou visuel, photophobie, baisse d'acuité visuelle de près). Prévoir un accompagnant si nécessaire.</w:t>
      </w:r>
    </w:p>
    <w:p>
      <w:pPr>
        <w:pStyle w:val="ListBullet"/>
      </w:pPr>
      <w:r/>
      <w:r>
        <w:rPr>
          <w:b/>
        </w:rPr>
        <w:t>Effets attendus</w:t>
      </w:r>
      <w:r>
        <w:t xml:space="preserve"> : picotements transitoires à l'instillation, vision floue, photophobie — ces symptômes sont normaux et régressent spontanément.</w:t>
      </w:r>
    </w:p>
    <w:p>
      <w:pPr>
        <w:pStyle w:val="ListBullet"/>
      </w:pPr>
      <w:r/>
      <w:r>
        <w:rPr>
          <w:b/>
        </w:rPr>
        <w:t>Signes d'alerte</w:t>
      </w:r>
      <w:r>
        <w:t xml:space="preserve"> : douleur oculaire intense, rougeur marquée, nausées ou vomissements, céphalées brutales — doivent conduire à consulter en urgence un ophtalmologiste (suspicion de glaucome aigu par fermeture de l'angle).</w:t>
      </w:r>
    </w:p>
    <w:p>
      <w:pPr>
        <w:pStyle w:val="ListBullet"/>
      </w:pPr>
      <w:r/>
      <w:r>
        <w:rPr>
          <w:b/>
        </w:rPr>
        <w:t>Chez l'enfant</w:t>
      </w:r>
      <w:r>
        <w:t xml:space="preserve"> : expliquer aux parents la nécessité de l'occlusion du point lacrymal, surveiller l'apparition de signes atropiniques systémiques (sécheresse buccale, flush, agitation paradoxale) et consulter en urgence en cas de fièvre, convulsions ou troubles de la conscience.</w:t>
      </w:r>
    </w:p>
    <w:p>
      <w:pPr>
        <w:pStyle w:val="ListBullet"/>
      </w:pPr>
      <w:r/>
      <w:r>
        <w:rPr>
          <w:b/>
        </w:rPr>
        <w:t>Conservation</w:t>
      </w:r>
      <w:r>
        <w:t xml:space="preserve"> : flacon fermé, à température ambiante (≤ 25 °C), à l'abri de la lumière. Ne pas utiliser au-delà de la date de péremption. Jeter le flacon 15 jours après première ouverture (risque de contamination microbienne).</w:t>
      </w:r>
    </w:p>
    <w:p>
      <w:pPr>
        <w:pStyle w:val="ListBullet"/>
      </w:pPr>
      <w:r/>
      <w:r>
        <w:rPr>
          <w:b/>
        </w:rPr>
        <w:t>Hygiène</w:t>
      </w:r>
      <w:r>
        <w:t xml:space="preserve"> : ne pas toucher l'embout du flacon, ne pas partager le flacon entre patients, se laver les mains avant et après l'administration.</w:t>
      </w:r>
    </w:p>
    <w:p>
      <w:pPr>
        <w:pStyle w:val="Heading3"/>
      </w:pPr>
      <w:r>
        <w:t>144.2.3 DCI : CYCLOPENTOLATE</w:t>
      </w:r>
    </w:p>
    <w:p>
      <w:pPr>
        <w:pStyle w:val="Heading4"/>
      </w:pPr>
      <w:r>
        <w:t>1. Identification et classification</w:t>
      </w:r>
    </w:p>
    <w:p>
      <w:r>
        <w:t xml:space="preserve">Le </w:t>
      </w:r>
      <w:r>
        <w:rPr>
          <w:b/>
        </w:rPr>
        <w:t>cyclopentolate</w:t>
      </w:r>
      <w:r>
        <w:t xml:space="preserve"> (DCI) est un antimuscarinique de synthèse, dérivé de l'acide phénylacétique-acide tropique, commercialisé sous forme de </w:t>
      </w:r>
      <w:r>
        <w:rPr>
          <w:b/>
        </w:rPr>
        <w:t>chlorhydrate de cyclopentolate</w:t>
      </w:r>
      <w:r>
        <w:t xml:space="preserve">. Sa formule chimique brute est C₁₇H₂₅NO₃·HCl, avec un poids moléculaire de 327,86 g/mol. Le produit se présente en collyre aux concentrations usuelles de </w:t>
      </w:r>
      <w:r>
        <w:rPr>
          <w:b/>
        </w:rPr>
        <w:t>0,5 %, 1 % et 2 %</w:t>
      </w:r>
      <w:r>
        <w:t xml:space="preserve">. En Algérie, les concentrations disponibles sont </w:t>
      </w:r>
      <w:r>
        <w:rPr>
          <w:b/>
        </w:rPr>
        <w:t>0,5 %</w:t>
      </w:r>
      <w:r>
        <w:t xml:space="preserve"> (PENTOLATE, Amman Pharmaceutical) et </w:t>
      </w:r>
      <w:r>
        <w:rPr>
          <w:b/>
        </w:rPr>
        <w:t>1 %</w:t>
      </w:r>
      <w:r>
        <w:t xml:space="preserve"> (CICLOPLEGICEDOL, GPA). Classé en </w:t>
      </w:r>
      <w:r>
        <w:rPr>
          <w:b/>
        </w:rPr>
        <w:t>Liste I</w:t>
      </w:r>
      <w:r>
        <w:t xml:space="preserve">, le cyclopentolate est un antimuscarinique de puissance intermédiaire, considéré comme le </w:t>
      </w:r>
      <w:r>
        <w:rPr>
          <w:b/>
        </w:rPr>
        <w:t>cycloplégique de référence</w:t>
      </w:r>
      <w:r>
        <w:t xml:space="preserve"> pour la réfraction chez l'enfant à partir de l'âge de 3–4 ans.</w:t>
      </w:r>
    </w:p>
    <w:p>
      <w:pPr>
        <w:pStyle w:val="Heading4"/>
      </w:pPr>
      <w:r>
        <w:t>2. Mécanisme d'action</w:t>
      </w:r>
    </w:p>
    <w:p>
      <w:r>
        <w:t xml:space="preserve">Le cyclopentolate est un </w:t>
      </w:r>
      <w:r>
        <w:rPr>
          <w:b/>
        </w:rPr>
        <w:t>antagoniste compétitif de l'acétylcholine au niveau des récepteurs muscariniques M1, M2 et M3</w:t>
      </w:r>
      <w:r>
        <w:t xml:space="preserve">, avec une affinité particulière pour le sous-type M3 exprimé au niveau du sphincter irien et du muscle ciliaire. Le blocage des récepteurs M3 produit une </w:t>
      </w:r>
      <w:r>
        <w:rPr>
          <w:b/>
        </w:rPr>
        <w:t>mydriase</w:t>
      </w:r>
      <w:r>
        <w:t xml:space="preserve"> (paralysie du sphincter irien) et une </w:t>
      </w:r>
      <w:r>
        <w:rPr>
          <w:b/>
        </w:rPr>
        <w:t>cycloplégie</w:t>
      </w:r>
      <w:r>
        <w:t xml:space="preserve"> (paralysie du muscle ciliaire). Contrairement au tropicamide, le cyclopentolate induit une cycloplégie franche et reproductible, ce qui en fait la molécule de choix pour la skiascopie et la réfraction sous cycloplégie chez l'enfant.</w:t>
      </w:r>
    </w:p>
    <w:p>
      <w:r>
        <w:t xml:space="preserve">Le délai d'installation est de </w:t>
      </w:r>
      <w:r>
        <w:rPr>
          <w:b/>
        </w:rPr>
        <w:t>25 à 75 minutes</w:t>
      </w:r>
      <w:r>
        <w:t xml:space="preserve"> après instillation, avec un pic d'effet cycloplégique à 30–60 minutes. La durée d'action est de </w:t>
      </w:r>
      <w:r>
        <w:rPr>
          <w:b/>
        </w:rPr>
        <w:t>12 à 24 heures</w:t>
      </w:r>
      <w:r>
        <w:t xml:space="preserve"> pour la mydriase, et de </w:t>
      </w:r>
      <w:r>
        <w:rPr>
          <w:b/>
        </w:rPr>
        <w:t>6 à 24 heures</w:t>
      </w:r>
      <w:r>
        <w:t xml:space="preserve"> pour la cycloplégie. La récupération pupillaire complète peut demander 24 heures, ce qui impose une information claire du patient et de sa famille.</w:t>
      </w:r>
    </w:p>
    <w:p>
      <w:pPr>
        <w:pStyle w:val="Heading4"/>
      </w:pPr>
      <w:r>
        <w:t>3. Pharmacocinétique</w:t>
      </w:r>
    </w:p>
    <w:p>
      <w:r>
        <w:t xml:space="preserve">Le cyclopentolate est </w:t>
      </w:r>
      <w:r>
        <w:rPr>
          <w:b/>
        </w:rPr>
        <w:t>absorbé par voie transcornéenne</w:t>
      </w:r>
      <w:r>
        <w:t xml:space="preserve"> après instillation oculaire, puis diffuse dans l'humeur aqueuse et atteint les effecteurs iriens et ciliaires en 10–30 minutes. Le passage systémique par le canal nasolacrymal et la muqueuse nasopharyngée est significatif (biodisponibilité systémique estimée à 40–60 %), expliquant la fréquence des effets atropiniques systémiques chez l'enfant. Le métabolisme est principalement hépatique (CYP3A4 et CYP2C19), avec formation de métabolites inactifs. La </w:t>
      </w:r>
      <w:r>
        <w:rPr>
          <w:b/>
        </w:rPr>
        <w:t>demi-vie plasmatique</w:t>
      </w:r>
      <w:r>
        <w:t xml:space="preserve"> est de l'ordre de 1 à 2 heures, mais l'effet local oculaire persiste 12–24 heures en raison du stockage cornéen et de la fixation tissulaire. L'élimination se fait à parts comparables entre le rein (70 %) et la bile (30 %). Aucune accumulation n'est observée en cas d'usage ponctuel, mais l'administration répétée majore le risque d'effets systémiques, notamment chez l'enfant de moins de 6 ans.</w:t>
      </w:r>
    </w:p>
    <w:p>
      <w:pPr>
        <w:pStyle w:val="Heading4"/>
      </w:pPr>
      <w:r>
        <w:t>4. Indications thérapeutiques</w:t>
      </w:r>
    </w:p>
    <w:p>
      <w:r>
        <w:t xml:space="preserve">Les indications du cyclopentolate sont essentiellement la </w:t>
      </w:r>
      <w:r>
        <w:rPr>
          <w:b/>
        </w:rPr>
        <w:t>réfraction sous cycloplégie</w:t>
      </w:r>
      <w:r>
        <w:t xml:space="preserve"> chez l'enfant et le traitement adjuvant des uvéites antérieures :</w:t>
      </w:r>
    </w:p>
    <w:p>
      <w:pPr>
        <w:pStyle w:val="ListBullet"/>
      </w:pPr>
      <w:r/>
      <w:r>
        <w:rPr>
          <w:b/>
        </w:rPr>
        <w:t>Réfraction objective chez l'enfant</w:t>
      </w:r>
      <w:r>
        <w:t xml:space="preserve"> : indiqué à partir de l'âge de 3–4 ans, le cyclopentolate est la molécule de référence pour le diagnostic des amétropies (hypermétropie latente, myopie débutante, astigmatisme) et du strabisme accommodatif. Il permet la </w:t>
      </w:r>
      <w:r>
        <w:rPr>
          <w:b/>
        </w:rPr>
        <w:t>skiascopie</w:t>
      </w:r>
      <w:r>
        <w:t xml:space="preserve"> (rétinoscopie) et la mesure de la réfraction objective sans interférence de l'accommodation.</w:t>
      </w:r>
    </w:p>
    <w:p>
      <w:pPr>
        <w:pStyle w:val="ListBullet"/>
      </w:pPr>
      <w:r/>
      <w:r>
        <w:rPr>
          <w:b/>
        </w:rPr>
        <w:t>Strabisme accommodatif</w:t>
      </w:r>
      <w:r>
        <w:t xml:space="preserve"> : bilan étiologique et suivi thérapeutique, en alternance avec l'atropine pour les strabismes avec forte composante accommodative.</w:t>
      </w:r>
    </w:p>
    <w:p>
      <w:pPr>
        <w:pStyle w:val="ListBullet"/>
      </w:pPr>
      <w:r/>
      <w:r>
        <w:rPr>
          <w:b/>
        </w:rPr>
        <w:t>Uvéites antérieures</w:t>
      </w:r>
      <w:r>
        <w:t xml:space="preserve"> : traitement adjuvant pour prévenir les synéchies iridocristalliniennes et soulager le spasme ciliaire douloureux, souvent en association avec les corticoïdes.</w:t>
      </w:r>
    </w:p>
    <w:p>
      <w:pPr>
        <w:pStyle w:val="ListBullet"/>
      </w:pPr>
      <w:r/>
      <w:r>
        <w:rPr>
          <w:b/>
        </w:rPr>
        <w:t>Examen du fond d'œil chez l'enfant</w:t>
      </w:r>
      <w:r>
        <w:t xml:space="preserve"> : alternative au tropicamide lorsque la cycloplégie est également nécessaire.</w:t>
      </w:r>
    </w:p>
    <w:p>
      <w:pPr>
        <w:pStyle w:val="ListBullet"/>
      </w:pPr>
      <w:r/>
      <w:r>
        <w:rPr>
          <w:b/>
        </w:rPr>
        <w:t>Cataracte congénitale</w:t>
      </w:r>
      <w:r>
        <w:t xml:space="preserve"> : examen pré-opératoire chez le nourrisson.</w:t>
      </w:r>
    </w:p>
    <w:p>
      <w:pPr>
        <w:pStyle w:val="ListBullet"/>
      </w:pPr>
      <w:r/>
      <w:r>
        <w:rPr>
          <w:b/>
        </w:rPr>
        <w:t>Myopie progressive de l'enfant</w:t>
      </w:r>
      <w:r>
        <w:t xml:space="preserve"> : évaluation de la composante accommodative dans le cadre du bilan pré-thérapeutique (l'atropine faible dose reste le traitement de référence).</w:t>
      </w:r>
    </w:p>
    <w:p>
      <w:pPr>
        <w:pStyle w:val="Heading4"/>
      </w:pPr>
      <w:r>
        <w:t>5. Contre-indications</w:t>
      </w:r>
    </w:p>
    <w:p>
      <w:r>
        <w:t>Les contre-indications du cyclopentolate sont les suivantes :</w:t>
      </w:r>
    </w:p>
    <w:p>
      <w:pPr>
        <w:pStyle w:val="ListBullet"/>
      </w:pPr>
      <w:r/>
      <w:r>
        <w:rPr>
          <w:b/>
        </w:rPr>
        <w:t>Glaucome à angle fermé</w:t>
      </w:r>
      <w:r>
        <w:t xml:space="preserve"> connu ou suspecté (GAFP) : la mydriase peut précipiter une crise aiguë. Contre-indication absolue.</w:t>
      </w:r>
    </w:p>
    <w:p>
      <w:pPr>
        <w:pStyle w:val="ListBullet"/>
      </w:pPr>
      <w:r/>
      <w:r>
        <w:rPr>
          <w:b/>
        </w:rPr>
        <w:t>Chambre antérieure étroite</w:t>
      </w:r>
      <w:r>
        <w:t xml:space="preserve"> : évaluer avant instillation à la lampe à fente.</w:t>
      </w:r>
    </w:p>
    <w:p>
      <w:pPr>
        <w:pStyle w:val="ListBullet"/>
      </w:pPr>
      <w:r/>
      <w:r>
        <w:rPr>
          <w:b/>
        </w:rPr>
        <w:t>Hypersensibilité</w:t>
      </w:r>
      <w:r>
        <w:t xml:space="preserve"> au cyclopentolate ou à l'un des excipients.</w:t>
      </w:r>
    </w:p>
    <w:p>
      <w:pPr>
        <w:pStyle w:val="ListBullet"/>
      </w:pPr>
      <w:r/>
      <w:r>
        <w:rPr>
          <w:b/>
        </w:rPr>
        <w:t>Enfant de moins de 3 mois</w:t>
      </w:r>
      <w:r>
        <w:t xml:space="preserve"> : risque élevé de réactions systémiques sévères (convulsions, hyperthermie, ileus paralytique). Contre-indication absolue chez le prématuré et le nouveau-né.</w:t>
      </w:r>
    </w:p>
    <w:p>
      <w:pPr>
        <w:pStyle w:val="ListBullet"/>
      </w:pPr>
      <w:r/>
      <w:r>
        <w:rPr>
          <w:b/>
        </w:rPr>
        <w:t>IMAO</w:t>
      </w:r>
      <w:r>
        <w:t xml:space="preserve"> : risque de potentialisation des effets anticholinergiques systémiques.</w:t>
      </w:r>
    </w:p>
    <w:p>
      <w:pPr>
        <w:pStyle w:val="ListBullet"/>
      </w:pPr>
      <w:r/>
      <w:r>
        <w:rPr>
          <w:b/>
        </w:rPr>
        <w:t>Syndrome de Down (trisomie 21)</w:t>
      </w:r>
      <w:r>
        <w:t xml:space="preserve"> : sensibilité accrue aux antimuscariniques, à utiliser avec prudence extrême et à dose réduite.</w:t>
      </w:r>
    </w:p>
    <w:p>
      <w:pPr>
        <w:pStyle w:val="ListBullet"/>
      </w:pPr>
      <w:r/>
      <w:r>
        <w:rPr>
          <w:b/>
        </w:rPr>
        <w:t>Paralysie cérébrale infantile</w:t>
      </w:r>
      <w:r>
        <w:t xml:space="preserve"> et encéphalopathies sévères : risque majoré de réactions paradoxales.</w:t>
      </w:r>
    </w:p>
    <w:p>
      <w:pPr>
        <w:pStyle w:val="ListBullet"/>
      </w:pPr>
      <w:r/>
      <w:r>
        <w:rPr>
          <w:b/>
        </w:rPr>
        <w:t>Traumatisme crânien récent</w:t>
      </w:r>
      <w:r>
        <w:t xml:space="preserve"> : risque d'interférence avec la surveillance neurologique pupillaire.</w:t>
      </w:r>
    </w:p>
    <w:p>
      <w:pPr>
        <w:pStyle w:val="Heading4"/>
      </w:pPr>
      <w:r>
        <w:t>6. Précautions d'emploi et mises en garde</w:t>
      </w:r>
    </w:p>
    <w:p>
      <w:r>
        <w:t>Les précautions d'emploi du cyclopentolate sont particulièrement importantes chez l'enfant :</w:t>
      </w:r>
    </w:p>
    <w:p>
      <w:pPr>
        <w:pStyle w:val="ListBullet"/>
      </w:pPr>
      <w:r/>
      <w:r>
        <w:rPr>
          <w:b/>
        </w:rPr>
        <w:t>Évaluation de la profondeur de la chambre antérieure</w:t>
      </w:r>
      <w:r>
        <w:t xml:space="preserve"> avant instillation, surtout chez le sujet âgé, hypermétrope ou aphake.</w:t>
      </w:r>
    </w:p>
    <w:p>
      <w:pPr>
        <w:pStyle w:val="ListBullet"/>
      </w:pPr>
      <w:r/>
      <w:r>
        <w:rPr>
          <w:b/>
        </w:rPr>
        <w:t>Occlusion du point lacrymal</w:t>
      </w:r>
      <w:r>
        <w:t xml:space="preserve"> pendant 1–2 minutes après instillation, surtout chez l'enfant, pour limiter le passage systémique.</w:t>
      </w:r>
    </w:p>
    <w:p>
      <w:pPr>
        <w:pStyle w:val="ListBullet"/>
      </w:pPr>
      <w:r/>
      <w:r>
        <w:rPr>
          <w:b/>
        </w:rPr>
        <w:t>Surveillance de l'enfant</w:t>
      </w:r>
      <w:r>
        <w:t xml:space="preserve"> pendant au moins 30 minutes après l'instillation : surveillance de la température (risque d'hyperthermie), de l'état neurologique (agitation, confusion, ataxie), de la fréquence cardiaque.</w:t>
      </w:r>
    </w:p>
    <w:p>
      <w:pPr>
        <w:pStyle w:val="ListBullet"/>
      </w:pPr>
      <w:r/>
      <w:r>
        <w:rPr>
          <w:b/>
        </w:rPr>
        <w:t>Prudence chez le nourrisson</w:t>
      </w:r>
      <w:r>
        <w:t xml:space="preserve"> : concentration 0,5 %, dose unique, occlusion stricte ; éviter la concentration 1 % chez l'enfant de moins de 6 ans.</w:t>
      </w:r>
    </w:p>
    <w:p>
      <w:pPr>
        <w:pStyle w:val="ListBullet"/>
      </w:pPr>
      <w:r/>
      <w:r>
        <w:rPr>
          <w:b/>
        </w:rPr>
        <w:t>Sujet âgé</w:t>
      </w:r>
      <w:r>
        <w:t xml:space="preserve"> : surveillance de la tolérance cognitive (risque de confusion, surtout en cas d'insuffisance rénale, d'association à d'autres anticholinergiques ou de démence sous-jacente).</w:t>
      </w:r>
    </w:p>
    <w:p>
      <w:pPr>
        <w:pStyle w:val="ListBullet"/>
      </w:pPr>
      <w:r/>
      <w:r>
        <w:rPr>
          <w:b/>
        </w:rPr>
        <w:t>Grossesse</w:t>
      </w:r>
      <w:r>
        <w:t xml:space="preserve"> : les données sont limitées ; le CRAT ne recommande pas son usage chez la femme enceinte en raison du passage systémique, sauf nécessité absolue.</w:t>
      </w:r>
    </w:p>
    <w:p>
      <w:pPr>
        <w:pStyle w:val="ListBullet"/>
      </w:pPr>
      <w:r/>
      <w:r>
        <w:rPr>
          <w:b/>
        </w:rPr>
        <w:t>Allaitement</w:t>
      </w:r>
      <w:r>
        <w:t xml:space="preserve"> : à éviter en raison du passage dans le lait maternel ; respecter un délai de 24 heures après la dernière instillation avant la reprise de l'allaitement.</w:t>
      </w:r>
    </w:p>
    <w:p>
      <w:pPr>
        <w:pStyle w:val="ListBullet"/>
      </w:pPr>
      <w:r/>
      <w:r>
        <w:rPr>
          <w:b/>
        </w:rPr>
        <w:t>Conduite automobile</w:t>
      </w:r>
      <w:r>
        <w:t xml:space="preserve"> : contre-indication transitoire pendant au moins 24 heures après l'instillation.</w:t>
      </w:r>
    </w:p>
    <w:p>
      <w:pPr>
        <w:pStyle w:val="Heading4"/>
      </w:pPr>
      <w:r>
        <w:t>7. Effets indésirables</w:t>
      </w:r>
    </w:p>
    <w:p>
      <w:r>
        <w:t>Les effets indésirables du cyclopentolate sont plus marqués qu'avec le tropicamide, en raison de la puissance et de la durée d'action plus importantes :</w:t>
      </w:r>
    </w:p>
    <w:p>
      <w:pPr>
        <w:pStyle w:val="ListBullet"/>
      </w:pPr>
      <w:r/>
      <w:r>
        <w:rPr>
          <w:b/>
        </w:rPr>
        <w:t>Locaux oculaires</w:t>
      </w:r>
      <w:r>
        <w:t xml:space="preserve"> : picotements à l'instillation, hyperhémie conjonctivale, photophobie importante, flou visuel de près prolongé (jusqu'à 24 heures), sécheresse oculaire, allergie de contact (rare).</w:t>
      </w:r>
    </w:p>
    <w:p>
      <w:pPr>
        <w:pStyle w:val="ListBullet"/>
      </w:pPr>
      <w:r/>
      <w:r>
        <w:rPr>
          <w:b/>
        </w:rPr>
        <w:t>Atropiniques systémiques</w:t>
      </w:r>
      <w:r>
        <w:t xml:space="preserve"> : sécheresse buccale, tachycardie sinusale, flush facial, rétention urinaire (à surveiller chez le sujet âgé hypertrophié de la prostate), constipation, hyperthermie (surtout chez l'enfant).</w:t>
      </w:r>
    </w:p>
    <w:p>
      <w:pPr>
        <w:pStyle w:val="ListBullet"/>
      </w:pPr>
      <w:r/>
      <w:r>
        <w:rPr>
          <w:b/>
        </w:rPr>
        <w:t>Neurologiques centraux</w:t>
      </w:r>
      <w:r>
        <w:t xml:space="preserve"> : céphalées, confusion, agitation, désorientation, ataxie, hallucinations, troubles du comportement, somnolence — syndrome atropinique central particulièrement marqué chez l'enfant, le sujet âgé et le patient ayant une pathologie neurologique sous-jacente.</w:t>
      </w:r>
    </w:p>
    <w:p>
      <w:pPr>
        <w:pStyle w:val="ListBullet"/>
      </w:pPr>
      <w:r/>
      <w:r>
        <w:rPr>
          <w:b/>
        </w:rPr>
        <w:t>Réactions paradoxales</w:t>
      </w:r>
      <w:r>
        <w:t xml:space="preserve"> : décrites surtout chez l'enfant (jusqu'à 5 % des cas à la concentration 1 %), avec syndrome confusionnel, agitation psychomotrice, hallucinations visuelles, ataxie, troubles du langage — pouvant durer 12 à 24 heures.</w:t>
      </w:r>
    </w:p>
    <w:p>
      <w:pPr>
        <w:pStyle w:val="ListBullet"/>
      </w:pPr>
      <w:r/>
      <w:r>
        <w:rPr>
          <w:b/>
        </w:rPr>
        <w:t>Convulsions</w:t>
      </w:r>
      <w:r>
        <w:t xml:space="preserve"> : rarement rapportées, surtout chez l'enfant de moins de 6 ans ou en cas de surdosage.</w:t>
      </w:r>
    </w:p>
    <w:p>
      <w:pPr>
        <w:pStyle w:val="ListBullet"/>
      </w:pPr>
      <w:r/>
      <w:r>
        <w:rPr>
          <w:b/>
        </w:rPr>
        <w:t>Hyperthermie maligne</w:t>
      </w:r>
      <w:r>
        <w:t xml:space="preserve"> : exceptionnelle, décrite chez le nourrisson en cas de surdosage massif.</w:t>
      </w:r>
    </w:p>
    <w:p>
      <w:pPr>
        <w:pStyle w:val="ListBullet"/>
      </w:pPr>
      <w:r/>
      <w:r>
        <w:rPr>
          <w:b/>
        </w:rPr>
        <w:t>Allergiques</w:t>
      </w:r>
      <w:r>
        <w:t xml:space="preserve"> : rares cas d'urticaire, œdème de Quincke, choc anaphylactique.</w:t>
      </w:r>
    </w:p>
    <w:p>
      <w:pPr>
        <w:pStyle w:val="Heading4"/>
      </w:pPr>
      <w:r>
        <w:t>8. Interactions médicamenteuses</w:t>
      </w:r>
    </w:p>
    <w:p>
      <w:r>
        <w:t>Les interactions médicamenteuses sont similaires à celles du tropicamide, mais potentiellement plus marquées en raison de la puissance supérieure :</w:t>
      </w:r>
    </w:p>
    <w:p>
      <w:pPr>
        <w:pStyle w:val="ListBullet"/>
      </w:pPr>
      <w:r/>
      <w:r>
        <w:rPr>
          <w:b/>
        </w:rPr>
        <w:t>Antidépresseurs tricycliques</w:t>
      </w:r>
      <w:r>
        <w:t xml:space="preserve"> : majoration importante des effets atropiniques systémiques.</w:t>
      </w:r>
    </w:p>
    <w:p>
      <w:pPr>
        <w:pStyle w:val="ListBullet"/>
      </w:pPr>
      <w:r/>
      <w:r>
        <w:rPr>
          <w:b/>
        </w:rPr>
        <w:t>Antiparkinsoniens anticholinergiques</w:t>
      </w:r>
      <w:r>
        <w:t xml:space="preserve"> : potentialisation.</w:t>
      </w:r>
    </w:p>
    <w:p>
      <w:pPr>
        <w:pStyle w:val="ListBullet"/>
      </w:pPr>
      <w:r/>
      <w:r>
        <w:rPr>
          <w:b/>
        </w:rPr>
        <w:t>Antihistaminiques H1 de première génération</w:t>
      </w:r>
      <w:r>
        <w:t xml:space="preserve"> : majoration de la sédation et des effets atropiniques.</w:t>
      </w:r>
    </w:p>
    <w:p>
      <w:pPr>
        <w:pStyle w:val="ListBullet"/>
      </w:pPr>
      <w:r/>
      <w:r>
        <w:rPr>
          <w:b/>
        </w:rPr>
        <w:t>Neuroleptiques</w:t>
      </w:r>
      <w:r>
        <w:t xml:space="preserve"> (phénothiazines, clozapine, olanzapine) : majoration des effets anticholinergiques, risque d'iléus paralytique et de syndrome malin.</w:t>
      </w:r>
    </w:p>
    <w:p>
      <w:pPr>
        <w:pStyle w:val="ListBullet"/>
      </w:pPr>
      <w:r/>
      <w:r>
        <w:rPr>
          <w:b/>
        </w:rPr>
        <w:t>IMAO</w:t>
      </w:r>
      <w:r>
        <w:t xml:space="preserve"> : contre-indication absolue.</w:t>
      </w:r>
    </w:p>
    <w:p>
      <w:pPr>
        <w:pStyle w:val="ListBullet"/>
      </w:pPr>
      <w:r/>
      <w:r>
        <w:rPr>
          <w:b/>
        </w:rPr>
        <w:t>Topiramate</w:t>
      </w:r>
      <w:r>
        <w:t xml:space="preserve"> : risque majoré de dépression respiratoire et d'encéphalopathie.</w:t>
      </w:r>
    </w:p>
    <w:p>
      <w:pPr>
        <w:pStyle w:val="ListBullet"/>
      </w:pPr>
      <w:r/>
      <w:r>
        <w:rPr>
          <w:b/>
        </w:rPr>
        <w:t>Cycloplégiques topiques</w:t>
      </w:r>
      <w:r>
        <w:t xml:space="preserve"> (atropine) : effet additif ; à espacer de plusieurs jours en cas de relais.</w:t>
      </w:r>
    </w:p>
    <w:p>
      <w:pPr>
        <w:pStyle w:val="ListBullet"/>
      </w:pPr>
      <w:r/>
      <w:r>
        <w:rPr>
          <w:b/>
        </w:rPr>
        <w:t>Bêta-bloquants oculaires</w:t>
      </w:r>
      <w:r>
        <w:t xml:space="preserve"> (timolol) : surveillance de la PIO.</w:t>
      </w:r>
    </w:p>
    <w:p>
      <w:pPr>
        <w:pStyle w:val="Heading4"/>
      </w:pPr>
      <w:r>
        <w:t>9. Posologie et mode d'administration</w:t>
      </w:r>
    </w:p>
    <w:p>
      <w:r>
        <w:t>La posologie usuelle du cyclopentolate collyre est :</w:t>
      </w:r>
    </w:p>
    <w:p>
      <w:pPr>
        <w:pStyle w:val="ListBullet"/>
      </w:pPr>
      <w:r/>
      <w:r>
        <w:rPr>
          <w:b/>
        </w:rPr>
        <w:t>Adulte et enfant de plus de 6 ans</w:t>
      </w:r>
      <w:r>
        <w:t xml:space="preserve"> : 1 à 2 gouttes de cyclopentolate 1 % dans l'œil à examiner, à renouveler si nécessaire après 5–10 minutes. La réfraction peut être réalisée 30–60 minutes après l'instillation.</w:t>
      </w:r>
    </w:p>
    <w:p>
      <w:pPr>
        <w:pStyle w:val="ListBullet"/>
      </w:pPr>
      <w:r/>
      <w:r>
        <w:rPr>
          <w:b/>
        </w:rPr>
        <w:t>Enfant de 3 à 6 ans</w:t>
      </w:r>
      <w:r>
        <w:t xml:space="preserve"> : 1 goutte de cyclopentolate 0,5 %, avec occlusion du point lacrymal pendant 1–2 minutes. Renouveler une fois si nécessaire après 10 minutes.</w:t>
      </w:r>
    </w:p>
    <w:p>
      <w:pPr>
        <w:pStyle w:val="ListBullet"/>
      </w:pPr>
      <w:r/>
      <w:r>
        <w:rPr>
          <w:b/>
        </w:rPr>
        <w:t>Enfant de 6 mois à 3 ans</w:t>
      </w:r>
      <w:r>
        <w:t xml:space="preserve"> : 1 goutte de cyclopentolate 0,5 %, en occluant strictement le point lacrycal. Surveillance rapprochée (température, état neurologique).</w:t>
      </w:r>
    </w:p>
    <w:p>
      <w:pPr>
        <w:pStyle w:val="ListBullet"/>
      </w:pPr>
      <w:r/>
      <w:r>
        <w:rPr>
          <w:b/>
        </w:rPr>
        <w:t>Enfant de moins de 6 mois</w:t>
      </w:r>
      <w:r>
        <w:t xml:space="preserve"> : déconseillé ; si nécessaire, dilution extemporanée à 0,25 %, dose unique, surveillance médicale continue.</w:t>
      </w:r>
    </w:p>
    <w:p>
      <w:r/>
      <w:r>
        <w:rPr>
          <w:b/>
        </w:rPr>
        <w:t>Mode d'administration</w:t>
      </w:r>
      <w:r>
        <w:t xml:space="preserve"> : instiller dans le cul-de-sac conjonctival inférieur en abaissant la paupière inférieure et en demandant au patient de regarder vers le haut ; occlure le point lacrymal pendant 1–2 minutes ; ne pas toucher l'œil avec l'embout du flacon. Se laver les mains avant et après. Réaliser l'examen de réfraction entre 30 et 60 minutes après l'instillation, dans la fenêtre d'efficacité maximale.</w:t>
      </w:r>
    </w:p>
    <w:p>
      <w:pPr>
        <w:pStyle w:val="Heading4"/>
      </w:pPr>
      <w:r>
        <w:t>10. Surdosage et conduite à tenir</w:t>
      </w:r>
    </w:p>
    <w:p>
      <w:r>
        <w:t xml:space="preserve">Le surdosage en cyclopentolate se manifeste par un </w:t>
      </w:r>
      <w:r>
        <w:rPr>
          <w:b/>
        </w:rPr>
        <w:t>syndrome atropinique complet</w:t>
      </w:r>
      <w:r>
        <w:t>, plus marqué qu'avec le tropicamide en raison de la puissance supérieure de la molécule. Les signes cliniques associent : mydriase bilatérale fixe, sécheresse des muqueuses, tachycardie sinusale, hyperthermie (parfois supérieure à 40 °C chez l'enfant), rétention urinaire, constipation, flush facial, et aux plans neurologique et psychiatrique, agitation, confusion, hallucinations, ataxie, convulsions (surtout chez l'enfant), voire coma.</w:t>
      </w:r>
    </w:p>
    <w:p>
      <w:r/>
      <w:r>
        <w:rPr>
          <w:b/>
        </w:rPr>
        <w:t>Conduite à tenir</w:t>
      </w:r>
      <w:r>
        <w:t xml:space="preserve"> :</w:t>
      </w:r>
    </w:p>
    <w:p>
      <w:pPr>
        <w:pStyle w:val="ListBullet"/>
      </w:pPr>
      <w:r>
        <w:t>Arrêt immédiat du cyclopentolate.</w:t>
      </w:r>
    </w:p>
    <w:p>
      <w:pPr>
        <w:pStyle w:val="ListBullet"/>
      </w:pPr>
      <w:r>
        <w:t>Lavage gastrique et charbon activé en cas d'ingestion récente.</w:t>
      </w:r>
    </w:p>
    <w:p>
      <w:pPr>
        <w:pStyle w:val="ListBullet"/>
      </w:pPr>
      <w:r>
        <w:t>Surveillance ECG, neurologique et thermique continue.</w:t>
      </w:r>
    </w:p>
    <w:p>
      <w:pPr>
        <w:pStyle w:val="ListBullet"/>
      </w:pPr>
      <w:r>
        <w:t>Traitement symptomatique : réhydratation IV, antipyrétiques physiques (couverture fraîche, vessie de glace, ventilation), benzodiazépines IV en cas d'agitation ou de convulsions (diazépam 0,3 mg/kg chez l'enfant, 10 mg chez l'adulte).</w:t>
      </w:r>
    </w:p>
    <w:p>
      <w:pPr>
        <w:pStyle w:val="ListBullet"/>
      </w:pPr>
      <w:r>
        <w:t>Sonde urinaire en cas de rétention.</w:t>
      </w:r>
    </w:p>
    <w:p>
      <w:pPr>
        <w:pStyle w:val="ListBullet"/>
      </w:pPr>
      <w:r>
        <w:t xml:space="preserve">Antidote spécifique en cas de signes sévères : </w:t>
      </w:r>
      <w:r>
        <w:rPr>
          <w:b/>
        </w:rPr>
        <w:t>physostigmine</w:t>
      </w:r>
      <w:r>
        <w:t xml:space="preserve"> (anticholinestérasique central réversible), 0,02 mg/kg IV lente chez l'enfant (maximum 0,5 mg par injection), 1–2 mg IV lente chez l'adulte, à renouveler si nécessaire après 30 minutes — sous surveillance ECG stricte et en milieu de réanimation.</w:t>
      </w:r>
    </w:p>
    <w:p>
      <w:pPr>
        <w:pStyle w:val="ListBullet"/>
      </w:pPr>
      <w:r>
        <w:t>Hospitalisation systématique en pédiatrie ou en réanimation pour tout surdosage pédiatrique.</w:t>
      </w:r>
    </w:p>
    <w:p>
      <w:pPr>
        <w:pStyle w:val="Heading4"/>
      </w:pPr>
      <w:r>
        <w:t>11. Spécialités pharmaceutiques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PENTOLATE</w:t>
            </w:r>
          </w:p>
        </w:tc>
        <w:tc>
          <w:tcPr>
            <w:tcW w:type="dxa" w:w="1559"/>
          </w:tcPr>
          <w:p>
            <w:r>
              <w:rPr>
                <w:sz w:val="20"/>
              </w:rPr>
              <w:t>AMMAN PHARMACEUTICAL INDUSTRIE</w:t>
            </w:r>
          </w:p>
        </w:tc>
        <w:tc>
          <w:tcPr>
            <w:tcW w:type="dxa" w:w="1559"/>
          </w:tcPr>
          <w:p>
            <w:r>
              <w:rPr>
                <w:sz w:val="20"/>
              </w:rPr>
              <w:t>Collyre en solution 0,5 % (5 mg/mL)</w:t>
            </w:r>
          </w:p>
        </w:tc>
        <w:tc>
          <w:tcPr>
            <w:tcW w:type="dxa" w:w="1559"/>
          </w:tcPr>
          <w:p>
            <w:r>
              <w:rPr>
                <w:sz w:val="20"/>
              </w:rPr>
              <w:t>Flacon 10 mL</w:t>
            </w:r>
          </w:p>
        </w:tc>
        <w:tc>
          <w:tcPr>
            <w:tcW w:type="dxa" w:w="1559"/>
          </w:tcPr>
          <w:p>
            <w:r>
              <w:rPr>
                <w:sz w:val="20"/>
              </w:rPr>
              <w:t>Liste I</w:t>
            </w:r>
          </w:p>
        </w:tc>
        <w:tc>
          <w:tcPr>
            <w:tcW w:type="dxa" w:w="1559"/>
          </w:tcPr>
          <w:p>
            <w:r>
              <w:rPr>
                <w:sz w:val="20"/>
              </w:rPr>
              <w:t>ACTIF</w:t>
            </w:r>
          </w:p>
        </w:tc>
      </w:tr>
      <w:tr>
        <w:tc>
          <w:tcPr>
            <w:tcW w:type="dxa" w:w="1559"/>
          </w:tcPr>
          <w:p>
            <w:r>
              <w:rPr>
                <w:sz w:val="20"/>
              </w:rPr>
              <w:t>CICLOPLEGICEDOL</w:t>
            </w:r>
          </w:p>
        </w:tc>
        <w:tc>
          <w:tcPr>
            <w:tcW w:type="dxa" w:w="1559"/>
          </w:tcPr>
          <w:p>
            <w:r>
              <w:rPr>
                <w:sz w:val="20"/>
              </w:rPr>
              <w:t>GROUPEMENT PHARMACEUTIQUE ALGERIEN (GPA)</w:t>
            </w:r>
          </w:p>
        </w:tc>
        <w:tc>
          <w:tcPr>
            <w:tcW w:type="dxa" w:w="1559"/>
          </w:tcPr>
          <w:p>
            <w:r>
              <w:rPr>
                <w:sz w:val="20"/>
              </w:rPr>
              <w:t>Collyre en solution 1 % (10 mg/mL)</w:t>
            </w:r>
          </w:p>
        </w:tc>
        <w:tc>
          <w:tcPr>
            <w:tcW w:type="dxa" w:w="1559"/>
          </w:tcPr>
          <w:p>
            <w:r>
              <w:rPr>
                <w:sz w:val="20"/>
              </w:rPr>
              <w:t>Flacon 5 mL</w:t>
            </w:r>
          </w:p>
        </w:tc>
        <w:tc>
          <w:tcPr>
            <w:tcW w:type="dxa" w:w="1559"/>
          </w:tcPr>
          <w:p>
            <w:r>
              <w:rPr>
                <w:sz w:val="20"/>
              </w:rPr>
              <w:t>Liste I</w:t>
            </w:r>
          </w:p>
        </w:tc>
        <w:tc>
          <w:tcPr>
            <w:tcW w:type="dxa" w:w="1559"/>
          </w:tcPr>
          <w:p>
            <w:r>
              <w:rPr>
                <w:sz w:val="20"/>
              </w:rPr>
              <w:t>ACTIF</w:t>
            </w:r>
          </w:p>
        </w:tc>
      </w:tr>
      <w:tr>
        <w:tc>
          <w:tcPr>
            <w:tcW w:type="dxa" w:w="1559"/>
          </w:tcPr>
          <w:p>
            <w:r>
              <w:rPr>
                <w:sz w:val="20"/>
              </w:rPr>
              <w:t>SKIACOL</w:t>
            </w:r>
          </w:p>
        </w:tc>
        <w:tc>
          <w:tcPr>
            <w:tcW w:type="dxa" w:w="1559"/>
          </w:tcPr>
          <w:p>
            <w:r>
              <w:rPr>
                <w:sz w:val="20"/>
              </w:rPr>
              <w:t>ALCON</w:t>
            </w:r>
          </w:p>
        </w:tc>
        <w:tc>
          <w:tcPr>
            <w:tcW w:type="dxa" w:w="1559"/>
          </w:tcPr>
          <w:p>
            <w:r>
              <w:rPr>
                <w:sz w:val="20"/>
              </w:rPr>
              <w:t>Collyre 0,5 % (5 mg/mL)</w:t>
            </w:r>
          </w:p>
        </w:tc>
        <w:tc>
          <w:tcPr>
            <w:tcW w:type="dxa" w:w="1559"/>
          </w:tcPr>
          <w:p>
            <w:r>
              <w:rPr>
                <w:sz w:val="20"/>
              </w:rPr>
              <w:t>Flacon 5 mL</w:t>
            </w:r>
          </w:p>
        </w:tc>
        <w:tc>
          <w:tcPr>
            <w:tcW w:type="dxa" w:w="1559"/>
          </w:tcPr>
          <w:p>
            <w:r>
              <w:rPr>
                <w:sz w:val="20"/>
              </w:rPr>
              <w:t>Liste I</w:t>
            </w:r>
          </w:p>
        </w:tc>
        <w:tc>
          <w:tcPr>
            <w:tcW w:type="dxa" w:w="1559"/>
          </w:tcPr>
          <w:p>
            <w:r>
              <w:rPr>
                <w:sz w:val="20"/>
              </w:rPr>
              <w:t>NON RENOUVELABLE</w:t>
            </w:r>
          </w:p>
        </w:tc>
      </w:tr>
    </w:tbl>
    <w:p/>
    <w:p>
      <w:r/>
      <w:r>
        <w:rPr>
          <w:b/>
        </w:rPr>
        <w:t>Commentaire</w:t>
      </w:r>
      <w:r>
        <w:t xml:space="preserve"> : Le marché algérien du cyclopentolate repose principalement sur deux spécialités actives : PENTOLATE (Amman Pharmaceutical, concentration 0,5 %) et CICLOPLEGICEDOL (GPA, concentration 1 %). L'ancienne référence SKIACOL (Alcon) est non renouvelable. La disponibilité de deux concentrations permet une adaptation posologique selon l'âge et l'indication (préférence pour 0,5 % chez l'enfant, 1 % chez l'adulte et pour les examens nécessitant une cycloplégie maximale). Aucune spécialité à 2 % n'est commercialisée en Algérie, alors qu'elle existe à l'étranger pour les examens difficiles.</w:t>
      </w:r>
    </w:p>
    <w:p>
      <w:pPr>
        <w:pStyle w:val="Heading4"/>
      </w:pPr>
      <w:r>
        <w:t>12. Éducation du patient et recommandations pratiques</w:t>
      </w:r>
    </w:p>
    <w:p>
      <w:r>
        <w:t>L'éducation du patient et de sa famille doit être particulièrement détaillée pour le cyclopentolate, en raison de la durée d'action prolongée et du risque d'effets systémiques chez l'enfant :</w:t>
      </w:r>
    </w:p>
    <w:p>
      <w:pPr>
        <w:pStyle w:val="ListBullet"/>
      </w:pPr>
      <w:r/>
      <w:r>
        <w:rPr>
          <w:b/>
        </w:rPr>
        <w:t>Information sur le geste</w:t>
      </w:r>
      <w:r>
        <w:t xml:space="preserve"> : collyre administré pour permettre une mesure précise de la réfraction ; effet prolongé (24 heures) nécessitant des précautions.</w:t>
      </w:r>
    </w:p>
    <w:p>
      <w:pPr>
        <w:pStyle w:val="ListBullet"/>
      </w:pPr>
      <w:r/>
      <w:r>
        <w:rPr>
          <w:b/>
        </w:rPr>
        <w:t>Précautions de conduite</w:t>
      </w:r>
      <w:r>
        <w:t xml:space="preserve"> : interdiction de conduire pendant 24 heures après l'instillation ; prévoir un accompagnant pour le retour à domicile.</w:t>
      </w:r>
    </w:p>
    <w:p>
      <w:pPr>
        <w:pStyle w:val="ListBullet"/>
      </w:pPr>
      <w:r/>
      <w:r>
        <w:rPr>
          <w:b/>
        </w:rPr>
        <w:t>Surveillance de l'enfant</w:t>
      </w:r>
      <w:r>
        <w:t xml:space="preserve"> : surveiller pendant 6 heures au moins après l'instillation la température (en cas d'hyperthermie &gt; 38,5 °C, consulter en urgence), l'état neurologique (agitation, somnolence, désorientation, hallucinations), la diurèse (en cas d'absence de miction pendant 6 heures, consulter) ; éviter l'exposition au soleil (risque de coup de chaleur majoré par le blocage de la sudation).</w:t>
      </w:r>
    </w:p>
    <w:p>
      <w:pPr>
        <w:pStyle w:val="ListBullet"/>
      </w:pPr>
      <w:r/>
      <w:r>
        <w:rPr>
          <w:b/>
        </w:rPr>
        <w:t>Signes d'alerte</w:t>
      </w:r>
      <w:r>
        <w:t xml:space="preserve"> : douleur oculaire intense, rougeur marquée, nausées ou vomissements, céphalées brutales, fièvre élevée, convulsions, troubles de la conscience — consulter en urgence le 15 (SAMU) ou le service d'ophtalmologie de garde.</w:t>
      </w:r>
    </w:p>
    <w:p>
      <w:pPr>
        <w:pStyle w:val="ListBullet"/>
      </w:pPr>
      <w:r/>
      <w:r>
        <w:rPr>
          <w:b/>
        </w:rPr>
        <w:t>Effets attendus</w:t>
      </w:r>
      <w:r>
        <w:t xml:space="preserve"> : picotements à l'instillation, vision floue importante, photophobie marquée (lunettes de soleil recommandées), difficulté à lire — symptômes normaux régressant en 12–24 heures.</w:t>
      </w:r>
    </w:p>
    <w:p>
      <w:pPr>
        <w:pStyle w:val="ListBullet"/>
      </w:pPr>
      <w:r/>
      <w:r>
        <w:rPr>
          <w:b/>
        </w:rPr>
        <w:t>Occlusion du point lacrymal</w:t>
      </w:r>
      <w:r>
        <w:t xml:space="preserve"> : expliquer la technique aux parents (compression douce du canthus interne avec un doigt propre pendant 1–2 minutes après l'instillation).</w:t>
      </w:r>
    </w:p>
    <w:p>
      <w:pPr>
        <w:pStyle w:val="ListBullet"/>
      </w:pPr>
      <w:r/>
      <w:r>
        <w:rPr>
          <w:b/>
        </w:rPr>
        <w:t>Conservation</w:t>
      </w:r>
      <w:r>
        <w:t xml:space="preserve"> : flacon fermé, à température ambiante (≤ 25 °C), à l'abri de la lumière, hors de portée des enfants. Jeter le flacon 15 jours après la première ouverture.</w:t>
      </w:r>
    </w:p>
    <w:p>
      <w:pPr>
        <w:pStyle w:val="ListBullet"/>
      </w:pPr>
      <w:r/>
      <w:r>
        <w:rPr>
          <w:b/>
        </w:rPr>
        <w:t>Coordination avec le bilan ophtalmologique</w:t>
      </w:r>
      <w:r>
        <w:t xml:space="preserve"> : prévoir une consultation de contrôle à 24–48 heures pour la prescription de la correction optique, une fois la cycloplégie résolue.</w:t>
      </w:r>
    </w:p>
    <w:p>
      <w:pPr>
        <w:pStyle w:val="Heading3"/>
      </w:pPr>
      <w:r>
        <w:t>144.2.4 DCI : ATROPINE (usage ophtalmique)</w:t>
      </w:r>
    </w:p>
    <w:p>
      <w:pPr>
        <w:pStyle w:val="Heading4"/>
      </w:pPr>
      <w:r>
        <w:t>1. Identification et classification</w:t>
      </w:r>
    </w:p>
    <w:p>
      <w:r>
        <w:t>L'</w:t>
      </w:r>
      <w:r>
        <w:rPr>
          <w:b/>
        </w:rPr>
        <w:t>atropine</w:t>
      </w:r>
      <w:r>
        <w:t xml:space="preserve"> (DCI) est un alcaloïde tropanique naturel, extrait de l'</w:t>
      </w:r>
      <w:r>
        <w:rPr>
          <w:b/>
        </w:rPr>
        <w:t>Atropa belladonna</w:t>
      </w:r>
      <w:r>
        <w:t xml:space="preserve"> (belladone) et d'autres Solanacées (Datura stramonium, Hyoscyamus niger). C'est l'</w:t>
      </w:r>
      <w:r>
        <w:rPr>
          <w:b/>
        </w:rPr>
        <w:t>antimuscarinique de référence</w:t>
      </w:r>
      <w:r>
        <w:t xml:space="preserve">, chef de file historique de la classe des parasympatholytiques. Sa formule chimique brute est C₁₇H₂₃NO₃, avec un poids moléculaire de 289,37 g/mol. Le sel utilisé en ophtalmologie est le </w:t>
      </w:r>
      <w:r>
        <w:rPr>
          <w:b/>
        </w:rPr>
        <w:t>sulfate d'atropine</w:t>
      </w:r>
      <w:r>
        <w:t xml:space="preserve">. En Algérie, les concentrations disponibles en collyre sont </w:t>
      </w:r>
      <w:r>
        <w:rPr>
          <w:b/>
        </w:rPr>
        <w:t>0,005 % et 0,01 %</w:t>
      </w:r>
      <w:r>
        <w:t xml:space="preserve"> (APITROPIN, CROPINE). Classée en </w:t>
      </w:r>
      <w:r>
        <w:rPr>
          <w:b/>
        </w:rPr>
        <w:t>Liste I</w:t>
      </w:r>
      <w:r>
        <w:t xml:space="preserve">, l'atropine ophtalmologique se distingue des autres mydriatiques par sa </w:t>
      </w:r>
      <w:r>
        <w:rPr>
          <w:b/>
        </w:rPr>
        <w:t>très longue durée d'action</w:t>
      </w:r>
      <w:r>
        <w:t xml:space="preserve"> (7–10 jours), sa puissance cycloplégique maximale et son utilisation historique dans le traitement de l'amblyopie et, plus récemment, à très faible dose (0,01 %), dans le contrôle de la progression myopique de l'enfant.</w:t>
      </w:r>
    </w:p>
    <w:p>
      <w:pPr>
        <w:pStyle w:val="Heading4"/>
      </w:pPr>
      <w:r>
        <w:t>2. Mécanisme d'action</w:t>
      </w:r>
    </w:p>
    <w:p>
      <w:r>
        <w:t xml:space="preserve">L'atropine est un </w:t>
      </w:r>
      <w:r>
        <w:rPr>
          <w:b/>
        </w:rPr>
        <w:t>antagoniste compétitif non sélectif des récepteurs muscariniques M1, M2, M3, M4 et M5</w:t>
      </w:r>
      <w:r>
        <w:t xml:space="preserve">, avec une affinité particulièrement élevée pour les sous-types M3 (effecteurs périphériques : sphincter irien, muscle ciliaire, glandes salivaires, muscle lisse gastrointestinal et bronchique) et M1 (effecteurs centraux : cortex, hippocampe). Le blocage des récepteurs M3 du sphincter irien induit une </w:t>
      </w:r>
      <w:r>
        <w:rPr>
          <w:b/>
        </w:rPr>
        <w:t>mydriase maximale</w:t>
      </w:r>
      <w:r>
        <w:t xml:space="preserve"> ; le blocage des M3 du muscle ciliaire induit une </w:t>
      </w:r>
      <w:r>
        <w:rPr>
          <w:b/>
        </w:rPr>
        <w:t>cycloplégie complète</w:t>
      </w:r>
      <w:r>
        <w:t>. Le blocage des récepteurs centraux explique les effets neuropsychiatriques à forte dose (confusion, hallucinations, agitation).</w:t>
      </w:r>
    </w:p>
    <w:p>
      <w:r>
        <w:t xml:space="preserve">Le délai d'installation est lent : la mydriase commence en 30–40 minutes, est maximale à </w:t>
      </w:r>
      <w:r>
        <w:rPr>
          <w:b/>
        </w:rPr>
        <w:t>2–4 heures</w:t>
      </w:r>
      <w:r>
        <w:t xml:space="preserve"> après instillation. La durée d'action est </w:t>
      </w:r>
      <w:r>
        <w:rPr>
          <w:b/>
        </w:rPr>
        <w:t>exceptionnellement longue</w:t>
      </w:r>
      <w:r>
        <w:t xml:space="preserve"> : la mydriase et la cycloplégie persistent </w:t>
      </w:r>
      <w:r>
        <w:rPr>
          <w:b/>
        </w:rPr>
        <w:t>7 à 10 jours</w:t>
      </w:r>
      <w:r>
        <w:t>, parfois jusqu'à 14 jours, en raison de la fixation tissulaire profonde et de l'affinité élevée pour le récepteur. Cette durée prolongée impose un usage limité à des indications précises et une information très claire du patient.</w:t>
      </w:r>
    </w:p>
    <w:p>
      <w:pPr>
        <w:pStyle w:val="Heading4"/>
      </w:pPr>
      <w:r>
        <w:t>3. Pharmacocinétique</w:t>
      </w:r>
    </w:p>
    <w:p>
      <w:r>
        <w:t xml:space="preserve">L'atropine est </w:t>
      </w:r>
      <w:r>
        <w:rPr>
          <w:b/>
        </w:rPr>
        <w:t>absorbée par voie transcornéenne</w:t>
      </w:r>
      <w:r>
        <w:t xml:space="preserve"> après instillation oculaire, avec une bonne pénétration en raison de la liposolubilité de la molécule. La diffusion dans l'humeur aqueuse et les effecteurs iriens et ciliaires est complète en 1–2 heures. Le passage systémique par le canal nasolacrymal et la muqueuse nasopharyngée est significatif (biodisponibilité systémique 30–50 %), à l'origine d'effets atropiniques systémiques en cas d'instillation répétée ou de non-occlusion du point lacrymal. Le métabolisme est principalement hépatique (CYP3A4 et CYP2C19), avec formation de métabolites inactifs (noratropine, tropine). La </w:t>
      </w:r>
      <w:r>
        <w:rPr>
          <w:b/>
        </w:rPr>
        <w:t>demi-vie plasmatique</w:t>
      </w:r>
      <w:r>
        <w:t xml:space="preserve"> est de 2–4 heures, mais l'effet local oculaire persiste 7–14 jours en raison du stockage cornéen et de la fixation tissulaire profonde. L'élimination se fait à parts comparables entre le rein (50 %, dont 30 % sous forme inchangée) et la bile (50 %). Aucune accumulation n'est observée en cas d'usage ponctuel, mais l'administration répétée majore le risque d'effets systémiques, notamment chez l'enfant et le sujet âgé.</w:t>
      </w:r>
    </w:p>
    <w:p>
      <w:pPr>
        <w:pStyle w:val="Heading4"/>
      </w:pPr>
      <w:r>
        <w:t>4. Indications thérapeutiques</w:t>
      </w:r>
    </w:p>
    <w:p>
      <w:r>
        <w:t>Les indications de l'atropine ophtalmologique sont plus restreintes que celles du tropicamide et du cyclopentolate, en raison de sa durée d'action prolongée :</w:t>
      </w:r>
    </w:p>
    <w:p>
      <w:pPr>
        <w:pStyle w:val="ListBullet"/>
      </w:pPr>
      <w:r/>
      <w:r>
        <w:rPr>
          <w:b/>
        </w:rPr>
        <w:t>Réfraction sous cycloplégie chez le nourrisson et le jeune enfant</w:t>
      </w:r>
      <w:r>
        <w:t xml:space="preserve"> (≤ 3 ans) : indiquée pour le diagnostic des amétropies importantes, du strabisme accommodatif précoce et de l'amblyopie. L'atropine permet une cycloplégie complète, indispensable chez le nourrisson où l'accommodation est particulièrement active.</w:t>
      </w:r>
    </w:p>
    <w:p>
      <w:pPr>
        <w:pStyle w:val="ListBullet"/>
      </w:pPr>
      <w:r/>
      <w:r>
        <w:rPr>
          <w:b/>
        </w:rPr>
        <w:t>Strabisme accommodatif</w:t>
      </w:r>
      <w:r>
        <w:t xml:space="preserve"> : traitement adjuvant (en plus de la correction optique) pour réduire la composante accommodative du strabisme convergent accommodatif.</w:t>
      </w:r>
    </w:p>
    <w:p>
      <w:pPr>
        <w:pStyle w:val="ListBullet"/>
      </w:pPr>
      <w:r/>
      <w:r>
        <w:rPr>
          <w:b/>
        </w:rPr>
        <w:t>Amblyopie</w:t>
      </w:r>
      <w:r>
        <w:t xml:space="preserve"> : traitement par pénalisation pharmacologique de l'œil sain (atropine 1 %) en alternative à l'occlusion par cache, surtout chez l'enfant non compliant.</w:t>
      </w:r>
    </w:p>
    <w:p>
      <w:pPr>
        <w:pStyle w:val="ListBullet"/>
      </w:pPr>
      <w:r/>
      <w:r>
        <w:rPr>
          <w:b/>
        </w:rPr>
        <w:t>Uvéites antérieures</w:t>
      </w:r>
      <w:r>
        <w:t xml:space="preserve"> : traitement adjuvant pour prévenir les synéchies iridocristalliniennes, soulager le spasme ciliaire douloureux et réduire l'inflammation.</w:t>
      </w:r>
    </w:p>
    <w:p>
      <w:pPr>
        <w:pStyle w:val="ListBullet"/>
      </w:pPr>
      <w:r/>
      <w:r>
        <w:rPr>
          <w:b/>
        </w:rPr>
        <w:t>Myopie progressive de l'enfant</w:t>
      </w:r>
      <w:r>
        <w:t xml:space="preserve"> : à très faible dose (0,01 %, voire 0,05 %), instillation quotidienne en provenance de la Chine et de Singapour selon les recommandations de l'International Myopia Institute (2019, 2021) — cette indication n'est pas encore formellement validée par l'ANSM en France mais des préparations magistrales sont réalisées.</w:t>
      </w:r>
    </w:p>
    <w:p>
      <w:pPr>
        <w:pStyle w:val="ListBullet"/>
      </w:pPr>
      <w:r/>
      <w:r>
        <w:rPr>
          <w:b/>
        </w:rPr>
        <w:t>Cycloplégie préopératoire</w:t>
      </w:r>
      <w:r>
        <w:t xml:space="preserve"> : en chirurgie de la cataracte pédiatrique ou du strabisme.</w:t>
      </w:r>
    </w:p>
    <w:p>
      <w:pPr>
        <w:pStyle w:val="ListBullet"/>
      </w:pPr>
      <w:r/>
      <w:r>
        <w:rPr>
          <w:b/>
        </w:rPr>
        <w:t>Iridocyclites chroniques</w:t>
      </w:r>
      <w:r>
        <w:t xml:space="preserve"> : traitement prolongé en association avec les corticoïdes.</w:t>
      </w:r>
    </w:p>
    <w:p>
      <w:pPr>
        <w:pStyle w:val="Heading4"/>
      </w:pPr>
      <w:r>
        <w:t>5. Contre-indications</w:t>
      </w:r>
    </w:p>
    <w:p>
      <w:r>
        <w:t>Les contre-indications de l'atropine ophtalmologique sont nombreuses et doivent être systématiquement recherchées avant prescription :</w:t>
      </w:r>
    </w:p>
    <w:p>
      <w:pPr>
        <w:pStyle w:val="ListBullet"/>
      </w:pPr>
      <w:r/>
      <w:r>
        <w:rPr>
          <w:b/>
        </w:rPr>
        <w:t>Glaucome à angle fermé</w:t>
      </w:r>
      <w:r>
        <w:t xml:space="preserve"> connu ou suspecté : risque de déclenchement d'une crise aiguë par fermeture de l'angle. Contre-indication absolue.</w:t>
      </w:r>
    </w:p>
    <w:p>
      <w:pPr>
        <w:pStyle w:val="ListBullet"/>
      </w:pPr>
      <w:r/>
      <w:r>
        <w:rPr>
          <w:b/>
        </w:rPr>
        <w:t>Chambre antérieure étroite</w:t>
      </w:r>
      <w:r>
        <w:t xml:space="preserve"> : évaluation préalable obligatoire à la lampe à fente.</w:t>
      </w:r>
    </w:p>
    <w:p>
      <w:pPr>
        <w:pStyle w:val="ListBullet"/>
      </w:pPr>
      <w:r/>
      <w:r>
        <w:rPr>
          <w:b/>
        </w:rPr>
        <w:t>Hypersensibilité</w:t>
      </w:r>
      <w:r>
        <w:t xml:space="preserve"> à l'atropine ou à l'un des excipients.</w:t>
      </w:r>
    </w:p>
    <w:p>
      <w:pPr>
        <w:pStyle w:val="ListBullet"/>
      </w:pPr>
      <w:r/>
      <w:r>
        <w:rPr>
          <w:b/>
        </w:rPr>
        <w:t>IMAO</w:t>
      </w:r>
      <w:r>
        <w:t xml:space="preserve"> : contre-indication absolue (risque de crise hypertensive et de syndrome atropinique sévère).</w:t>
      </w:r>
    </w:p>
    <w:p>
      <w:pPr>
        <w:pStyle w:val="ListBullet"/>
      </w:pPr>
      <w:r/>
      <w:r>
        <w:rPr>
          <w:b/>
        </w:rPr>
        <w:t>Tachyarythmie</w:t>
      </w:r>
      <w:r>
        <w:t xml:space="preserve"> (fibrillation atriale, tachycardie ventriculaire) : risque de majoration.</w:t>
      </w:r>
    </w:p>
    <w:p>
      <w:pPr>
        <w:pStyle w:val="ListBullet"/>
      </w:pPr>
      <w:r/>
      <w:r>
        <w:rPr>
          <w:b/>
        </w:rPr>
        <w:t>Adénome de prostate avec rétention urinaire</w:t>
      </w:r>
      <w:r>
        <w:t xml:space="preserve"> : risque d'aggravation.</w:t>
      </w:r>
    </w:p>
    <w:p>
      <w:pPr>
        <w:pStyle w:val="ListBullet"/>
      </w:pPr>
      <w:r/>
      <w:r>
        <w:rPr>
          <w:b/>
        </w:rPr>
        <w:t>Sténose pylorique</w:t>
      </w:r>
      <w:r>
        <w:t xml:space="preserve"> : risque d'aggravation.</w:t>
      </w:r>
    </w:p>
    <w:p>
      <w:pPr>
        <w:pStyle w:val="ListBullet"/>
      </w:pPr>
      <w:r/>
      <w:r>
        <w:rPr>
          <w:b/>
        </w:rPr>
        <w:t>Mégacôlon toxique</w:t>
      </w:r>
      <w:r>
        <w:t xml:space="preserve">, </w:t>
      </w:r>
      <w:r>
        <w:rPr>
          <w:b/>
        </w:rPr>
        <w:t>occlusion intestinale</w:t>
      </w:r>
      <w:r>
        <w:t xml:space="preserve"> : risque d'aggravation.</w:t>
      </w:r>
    </w:p>
    <w:p>
      <w:pPr>
        <w:pStyle w:val="ListBullet"/>
      </w:pPr>
      <w:r/>
      <w:r>
        <w:rPr>
          <w:b/>
        </w:rPr>
        <w:t>Myasthénie</w:t>
      </w:r>
      <w:r>
        <w:t xml:space="preserve"> : risque d'aggravation de la faiblesse musculaire.</w:t>
      </w:r>
    </w:p>
    <w:p>
      <w:pPr>
        <w:pStyle w:val="ListBullet"/>
      </w:pPr>
      <w:r/>
      <w:r>
        <w:rPr>
          <w:b/>
        </w:rPr>
        <w:t>Insuffisance coronarienne sévère</w:t>
      </w:r>
      <w:r>
        <w:t xml:space="preserve"> : risque de tachycardie mal tolérée.</w:t>
      </w:r>
    </w:p>
    <w:p>
      <w:pPr>
        <w:pStyle w:val="ListBullet"/>
      </w:pPr>
      <w:r/>
      <w:r>
        <w:rPr>
          <w:b/>
        </w:rPr>
        <w:t>Allaitement</w:t>
      </w:r>
      <w:r>
        <w:t xml:space="preserve"> : passage dans le lait maternel, à éviter.</w:t>
      </w:r>
    </w:p>
    <w:p>
      <w:pPr>
        <w:pStyle w:val="ListBullet"/>
      </w:pPr>
      <w:r/>
      <w:r>
        <w:rPr>
          <w:b/>
        </w:rPr>
        <w:t>Nouveau-né prématuré</w:t>
      </w:r>
      <w:r>
        <w:t xml:space="preserve"> : risque d'effets systémiques sévères.</w:t>
      </w:r>
    </w:p>
    <w:p>
      <w:pPr>
        <w:pStyle w:val="ListBullet"/>
      </w:pPr>
      <w:r/>
      <w:r>
        <w:rPr>
          <w:b/>
        </w:rPr>
        <w:t>Trisomie 21</w:t>
      </w:r>
      <w:r>
        <w:t xml:space="preserve"> : hypersensibilité aux antimuscariniques, à utiliser avec prudence extrême.</w:t>
      </w:r>
    </w:p>
    <w:p>
      <w:pPr>
        <w:pStyle w:val="Heading4"/>
      </w:pPr>
      <w:r>
        <w:t>6. Précautions d'emploi et mises en garde</w:t>
      </w:r>
    </w:p>
    <w:p>
      <w:r>
        <w:t>Les précautions d'emploi de l'atropine ophtalmologique sont particulièrement strictes :</w:t>
      </w:r>
    </w:p>
    <w:p>
      <w:pPr>
        <w:pStyle w:val="ListBullet"/>
      </w:pPr>
      <w:r/>
      <w:r>
        <w:rPr>
          <w:b/>
        </w:rPr>
        <w:t>Évaluation systématique de la profondeur de la chambre antérieure</w:t>
      </w:r>
      <w:r>
        <w:t xml:space="preserve"> avant instillation, à la lampe à fente ou par biométrie échographique. En cas de chambre étroite, ne pas utiliser.</w:t>
      </w:r>
    </w:p>
    <w:p>
      <w:pPr>
        <w:pStyle w:val="ListBullet"/>
      </w:pPr>
      <w:r/>
      <w:r>
        <w:rPr>
          <w:b/>
        </w:rPr>
        <w:t>Occlusion stricte du point lacrymal</w:t>
      </w:r>
      <w:r>
        <w:t xml:space="preserve"> pendant 2–3 minutes après instillation, surtout chez l'enfant, le nourrisson et le sujet âgé.</w:t>
      </w:r>
    </w:p>
    <w:p>
      <w:pPr>
        <w:pStyle w:val="ListBullet"/>
      </w:pPr>
      <w:r/>
      <w:r>
        <w:rPr>
          <w:b/>
        </w:rPr>
        <w:t>Surveillance de l'enfant</w:t>
      </w:r>
      <w:r>
        <w:t xml:space="preserve"> pendant au moins 1 heure après l'instillation : température (risque d'hyperthermie majeure), fréquence cardiaque (tachycardie), état neurologique (agitation, confusion, hallucinations), diurèse (rétention).</w:t>
      </w:r>
    </w:p>
    <w:p>
      <w:pPr>
        <w:pStyle w:val="ListBullet"/>
      </w:pPr>
      <w:r/>
      <w:r>
        <w:rPr>
          <w:b/>
        </w:rPr>
        <w:t>Surveillance du sujet âgé</w:t>
      </w:r>
      <w:r>
        <w:t xml:space="preserve"> : fonction cognitive (risque de confusion, surtout chez le dément), fonction urinaire (risque de rétention), constipation (risque d'occlusion).</w:t>
      </w:r>
    </w:p>
    <w:p>
      <w:pPr>
        <w:pStyle w:val="ListBullet"/>
      </w:pPr>
      <w:r/>
      <w:r>
        <w:rPr>
          <w:b/>
        </w:rPr>
        <w:t>Grossesse</w:t>
      </w:r>
      <w:r>
        <w:t xml:space="preserve"> : les données sont limitées mais ne révèlent pas d'effet tératogène ; le CRAT considère l'atropine comme </w:t>
      </w:r>
      <w:r>
        <w:rPr>
          <w:b/>
        </w:rPr>
        <w:t>compatible</w:t>
      </w:r>
      <w:r>
        <w:t xml:space="preserve"> avec la grossesse en cas d'administration ponctuelle et locale. À éviter en administration prolongée.</w:t>
      </w:r>
    </w:p>
    <w:p>
      <w:pPr>
        <w:pStyle w:val="ListBullet"/>
      </w:pPr>
      <w:r/>
      <w:r>
        <w:rPr>
          <w:b/>
        </w:rPr>
        <w:t>Allaitement</w:t>
      </w:r>
      <w:r>
        <w:t xml:space="preserve"> : à éviter en raison du passage dans le lait maternel.</w:t>
      </w:r>
    </w:p>
    <w:p>
      <w:pPr>
        <w:pStyle w:val="ListBullet"/>
      </w:pPr>
      <w:r/>
      <w:r>
        <w:rPr>
          <w:b/>
        </w:rPr>
        <w:t>Conduite automobile</w:t>
      </w:r>
      <w:r>
        <w:t xml:space="preserve"> : contre-indication pendant toute la durée d'action (7–10 jours), soit en pratique pendant toute la durée du traitement.</w:t>
      </w:r>
    </w:p>
    <w:p>
      <w:pPr>
        <w:pStyle w:val="ListBullet"/>
      </w:pPr>
      <w:r/>
      <w:r>
        <w:rPr>
          <w:b/>
        </w:rPr>
        <w:t>Information du patient</w:t>
      </w:r>
      <w:r>
        <w:t xml:space="preserve"> : prévenir de la durée prolongée d'action, de la nécessité de ne pas interrompre le traitement sans avis médical, et de la nécessité d'une protection solaire (lunettes de soleil) pendant toute la durée du traitement.</w:t>
      </w:r>
    </w:p>
    <w:p>
      <w:pPr>
        <w:pStyle w:val="ListBullet"/>
      </w:pPr>
      <w:r/>
      <w:r>
        <w:rPr>
          <w:b/>
        </w:rPr>
        <w:t>Préparation magistrale</w:t>
      </w:r>
      <w:r>
        <w:t xml:space="preserve"> : pour les indications non couvertes par les spécialités disponibles (atropine 0,01 % pour le contrôle de la myopie), préparation en pharmacie à partir de sulfate d'atropine pur et de véhicule approprié, sans conservateur si possible (unidose).</w:t>
      </w:r>
    </w:p>
    <w:p>
      <w:pPr>
        <w:pStyle w:val="Heading4"/>
      </w:pPr>
      <w:r>
        <w:t>7. Effets indésirables</w:t>
      </w:r>
    </w:p>
    <w:p>
      <w:r>
        <w:t>Les effets indésirables de l'atropine ophtalmologique sont plus marqués et plus prolongés qu'avec le tropicamide et le cyclopentolate :</w:t>
      </w:r>
    </w:p>
    <w:p>
      <w:pPr>
        <w:pStyle w:val="ListBullet"/>
      </w:pPr>
      <w:r/>
      <w:r>
        <w:rPr>
          <w:b/>
        </w:rPr>
        <w:t>Locaux oculaires</w:t>
      </w:r>
      <w:r>
        <w:t xml:space="preserve"> : picotements à l'instillation, hyperhémie conjonctivale, photophobie intense (durée 7–10 jours, nécessitant le port de lunettes de soleil en permanence), flou visuel de près complet (impossibilité de lire pendant toute la durée du traitement), allergie de contact (rare), kératite ponctuée superficielle (à surveiller en cas de traitement prolongé).</w:t>
      </w:r>
    </w:p>
    <w:p>
      <w:pPr>
        <w:pStyle w:val="ListBullet"/>
      </w:pPr>
      <w:r/>
      <w:r>
        <w:rPr>
          <w:b/>
        </w:rPr>
        <w:t>Atropiniques systémiques</w:t>
      </w:r>
      <w:r>
        <w:t xml:space="preserve"> : sécheresse buccale et cutanée, tachycardie sinusale, flush facial, rétention urinaire (à surveiller chez le sujet âgé hypertrophié de la prostate), constipation pouvant aller jusqu'à l'iléus paralytique, hyperthermie (surtout chez l'enfant).</w:t>
      </w:r>
    </w:p>
    <w:p>
      <w:pPr>
        <w:pStyle w:val="ListBullet"/>
      </w:pPr>
      <w:r/>
      <w:r>
        <w:rPr>
          <w:b/>
        </w:rPr>
        <w:t>Neurologiques centraux</w:t>
      </w:r>
      <w:r>
        <w:t xml:space="preserve"> : céphalées, confusion, agitation, désorientation, ataxie, hallucinations, troubles du comportement, somnolence — syndrome atropinique central pouvant durer plusieurs jours.</w:t>
      </w:r>
    </w:p>
    <w:p>
      <w:pPr>
        <w:pStyle w:val="ListBullet"/>
      </w:pPr>
      <w:r/>
      <w:r>
        <w:rPr>
          <w:b/>
        </w:rPr>
        <w:t>Réactions paradoxales</w:t>
      </w:r>
      <w:r>
        <w:t xml:space="preserve"> : décrites surtout chez l'enfant et le sujet âgé, avec syndrome confusionnel prolongé, agitation psychomotrice, hallucinations visuelles et auditives.</w:t>
      </w:r>
    </w:p>
    <w:p>
      <w:pPr>
        <w:pStyle w:val="ListBullet"/>
      </w:pPr>
      <w:r/>
      <w:r>
        <w:rPr>
          <w:b/>
        </w:rPr>
        <w:t>Convulsions</w:t>
      </w:r>
      <w:r>
        <w:t xml:space="preserve"> : rarement rapportées, surtout chez l'enfant en cas de surdosage.</w:t>
      </w:r>
    </w:p>
    <w:p>
      <w:pPr>
        <w:pStyle w:val="ListBullet"/>
      </w:pPr>
      <w:r/>
      <w:r>
        <w:rPr>
          <w:b/>
        </w:rPr>
        <w:t>Hyperthermie maligne</w:t>
      </w:r>
      <w:r>
        <w:t xml:space="preserve"> : décrite chez le nourrisson en cas de surdosage, potentiellement létale.</w:t>
      </w:r>
    </w:p>
    <w:p>
      <w:pPr>
        <w:pStyle w:val="ListBullet"/>
      </w:pPr>
      <w:r/>
      <w:r>
        <w:rPr>
          <w:b/>
        </w:rPr>
        <w:t>Allergiques</w:t>
      </w:r>
      <w:r>
        <w:t xml:space="preserve"> : rares cas d'urticaire, œdème de Quincke, choc anaphylactique, dermatite de contact.</w:t>
      </w:r>
    </w:p>
    <w:p>
      <w:pPr>
        <w:pStyle w:val="ListBullet"/>
      </w:pPr>
      <w:r/>
      <w:r>
        <w:rPr>
          <w:b/>
        </w:rPr>
        <w:t>Effets à long terme (traitement prolongé)</w:t>
      </w:r>
      <w:r>
        <w:t xml:space="preserve"> : kératopathie, conjonctivite chronique, perte d'efficacité (tachyphylaxie), dépendance accommodative.</w:t>
      </w:r>
    </w:p>
    <w:p>
      <w:pPr>
        <w:pStyle w:val="Heading4"/>
      </w:pPr>
      <w:r>
        <w:t>8. Interactions médicamenteuses</w:t>
      </w:r>
    </w:p>
    <w:p>
      <w:r>
        <w:t>Les interactions médicamenteuses de l'atropine sont nombreuses et potentiellement sévères :</w:t>
      </w:r>
    </w:p>
    <w:p>
      <w:pPr>
        <w:pStyle w:val="ListBullet"/>
      </w:pPr>
      <w:r/>
      <w:r>
        <w:rPr>
          <w:b/>
        </w:rPr>
        <w:t>Antidépresseurs tricycliques</w:t>
      </w:r>
      <w:r>
        <w:t xml:space="preserve"> : majoration majeure des effets atropiniques systémiques (rétention urinaire, constipation, troubles cognitifs, tachycardie).</w:t>
      </w:r>
    </w:p>
    <w:p>
      <w:pPr>
        <w:pStyle w:val="ListBullet"/>
      </w:pPr>
      <w:r/>
      <w:r>
        <w:rPr>
          <w:b/>
        </w:rPr>
        <w:t>Antiparkinsoniens anticholinergiques</w:t>
      </w:r>
      <w:r>
        <w:t xml:space="preserve"> (trihexyphénidyle, bipéridène) : potentialisation majeure.</w:t>
      </w:r>
    </w:p>
    <w:p>
      <w:pPr>
        <w:pStyle w:val="ListBullet"/>
      </w:pPr>
      <w:r/>
      <w:r>
        <w:rPr>
          <w:b/>
        </w:rPr>
        <w:t>Antihistaminiques H1 de première génération</w:t>
      </w:r>
      <w:r>
        <w:t xml:space="preserve"> : majoration de la sédation et des effets atropiniques.</w:t>
      </w:r>
    </w:p>
    <w:p>
      <w:pPr>
        <w:pStyle w:val="ListBullet"/>
      </w:pPr>
      <w:r/>
      <w:r>
        <w:rPr>
          <w:b/>
        </w:rPr>
        <w:t>Neuroleptiques</w:t>
      </w:r>
      <w:r>
        <w:t xml:space="preserve"> (phénothiazines, clozapine, olanzapine) : risque d'iléus paralytique, de syndrome malin et de délire anticholinergique.</w:t>
      </w:r>
    </w:p>
    <w:p>
      <w:pPr>
        <w:pStyle w:val="ListBullet"/>
      </w:pPr>
      <w:r/>
      <w:r>
        <w:rPr>
          <w:b/>
        </w:rPr>
        <w:t>IMAO</w:t>
      </w:r>
      <w:r>
        <w:t xml:space="preserve"> : contre-indication absolue (crise hypertensive, hyperthermie maligne).</w:t>
      </w:r>
    </w:p>
    <w:p>
      <w:pPr>
        <w:pStyle w:val="ListBullet"/>
      </w:pPr>
      <w:r/>
      <w:r>
        <w:rPr>
          <w:b/>
        </w:rPr>
        <w:t>Amantadine</w:t>
      </w:r>
      <w:r>
        <w:t xml:space="preserve"> : potentialisation des effets anticholinergiques.</w:t>
      </w:r>
    </w:p>
    <w:p>
      <w:pPr>
        <w:pStyle w:val="ListBullet"/>
      </w:pPr>
      <w:r/>
      <w:r>
        <w:rPr>
          <w:b/>
        </w:rPr>
        <w:t>Quinidiniques, antiarythmiques de classe I</w:t>
      </w:r>
      <w:r>
        <w:t xml:space="preserve"> : majoration des effets cardiaques (tachycardie, troubles du rythme).</w:t>
      </w:r>
    </w:p>
    <w:p>
      <w:pPr>
        <w:pStyle w:val="ListBullet"/>
      </w:pPr>
      <w:r/>
      <w:r>
        <w:rPr>
          <w:b/>
        </w:rPr>
        <w:t>Cycloplégiques topiques</w:t>
      </w:r>
      <w:r>
        <w:t xml:space="preserve"> (cyclopentolate, tropicamide) : effet additif ; espacer de plusieurs jours en cas de relais.</w:t>
      </w:r>
    </w:p>
    <w:p>
      <w:pPr>
        <w:pStyle w:val="ListBullet"/>
      </w:pPr>
      <w:r/>
      <w:r>
        <w:rPr>
          <w:b/>
        </w:rPr>
        <w:t>Bêta-bloquants oculaires</w:t>
      </w:r>
      <w:r>
        <w:t xml:space="preserve"> (timolol) : surveillance de la PIO.</w:t>
      </w:r>
    </w:p>
    <w:p>
      <w:pPr>
        <w:pStyle w:val="ListBullet"/>
      </w:pPr>
      <w:r/>
      <w:r>
        <w:rPr>
          <w:b/>
        </w:rPr>
        <w:t>Corticoïdes</w:t>
      </w:r>
      <w:r>
        <w:t xml:space="preserve"> : potentialisation du risque d'HTIO et de cataracte en cas d'usage prolongé (uvéites).</w:t>
      </w:r>
    </w:p>
    <w:p>
      <w:pPr>
        <w:pStyle w:val="ListBullet"/>
      </w:pPr>
      <w:r/>
      <w:r>
        <w:rPr>
          <w:b/>
        </w:rPr>
        <w:t>AINS</w:t>
      </w:r>
      <w:r>
        <w:t xml:space="preserve"> : majoration du risque d'HTIO.</w:t>
      </w:r>
    </w:p>
    <w:p>
      <w:pPr>
        <w:pStyle w:val="ListBullet"/>
      </w:pPr>
      <w:r/>
      <w:r>
        <w:rPr>
          <w:b/>
        </w:rPr>
        <w:t>Pilocarpine</w:t>
      </w:r>
      <w:r>
        <w:t xml:space="preserve"> (parasympathomimétique) : antagonisme pharmacologique, à ne pas associer.</w:t>
      </w:r>
    </w:p>
    <w:p>
      <w:pPr>
        <w:pStyle w:val="Heading4"/>
      </w:pPr>
      <w:r>
        <w:t>9. Posologie et mode d'administration</w:t>
      </w:r>
    </w:p>
    <w:p>
      <w:r>
        <w:t>La posologie usuelle de l'atropine ophtalmologique varie selon l'indication :</w:t>
      </w:r>
    </w:p>
    <w:p>
      <w:pPr>
        <w:pStyle w:val="ListBullet"/>
      </w:pPr>
      <w:r/>
      <w:r>
        <w:rPr>
          <w:b/>
        </w:rPr>
        <w:t>Réfraction sous cycloplégie chez l'enfant</w:t>
      </w:r>
      <w:r>
        <w:t xml:space="preserve"> :</w:t>
      </w:r>
    </w:p>
    <w:p>
      <w:pPr>
        <w:pStyle w:val="ListBullet"/>
      </w:pPr>
      <w:r/>
      <w:r>
        <w:rPr>
          <w:b/>
        </w:rPr>
        <w:t>Nourrisson (6 mois à 3 ans)</w:t>
      </w:r>
      <w:r>
        <w:t xml:space="preserve"> : 1 goutte d'atropine 0,005 % (concentration faible), 2 fois par jour pendant 3 jours avant l'examen, avec occlusion stricte du point lacrymal.</w:t>
      </w:r>
    </w:p>
    <w:p>
      <w:pPr>
        <w:pStyle w:val="ListBullet"/>
      </w:pPr>
      <w:r/>
      <w:r>
        <w:rPr>
          <w:b/>
        </w:rPr>
        <w:t>Enfant (3 à 7 ans)</w:t>
      </w:r>
      <w:r>
        <w:t xml:space="preserve"> : 1 goutte d'atropine 0,01 %, 2 fois par jour pendant 3 jours avant l'examen, avec occlusion stricte.</w:t>
      </w:r>
    </w:p>
    <w:p>
      <w:pPr>
        <w:pStyle w:val="ListBullet"/>
      </w:pPr>
      <w:r/>
      <w:r>
        <w:rPr>
          <w:b/>
        </w:rPr>
        <w:t>Au-delà de 7 ans</w:t>
      </w:r>
      <w:r>
        <w:t xml:space="preserve"> : cyclopentolate à préférer.</w:t>
      </w:r>
    </w:p>
    <w:p>
      <w:pPr>
        <w:pStyle w:val="ListBullet"/>
      </w:pPr>
      <w:r/>
      <w:r>
        <w:rPr>
          <w:b/>
        </w:rPr>
        <w:t>Strabisme accommodatif</w:t>
      </w:r>
      <w:r>
        <w:t xml:space="preserve"> : 1 goutte d'atropine 0,01 %, 1 à 2 fois par jour pendant plusieurs semaines, sous surveillance ophtalmologique rapprochée.</w:t>
      </w:r>
    </w:p>
    <w:p>
      <w:pPr>
        <w:pStyle w:val="ListBullet"/>
      </w:pPr>
      <w:r/>
      <w:r>
        <w:rPr>
          <w:b/>
        </w:rPr>
        <w:t>Amblyopie (pénalisation pharmacologique)</w:t>
      </w:r>
      <w:r>
        <w:t xml:space="preserve"> : 1 goutte d'atropine 0,01 % à 1 % dans l'œil sain, 1 à 2 fois par semaine, sous surveillance hebdomadaire.</w:t>
      </w:r>
    </w:p>
    <w:p>
      <w:pPr>
        <w:pStyle w:val="ListBullet"/>
      </w:pPr>
      <w:r/>
      <w:r>
        <w:rPr>
          <w:b/>
        </w:rPr>
        <w:t>Uvéites antérieures</w:t>
      </w:r>
      <w:r>
        <w:t xml:space="preserve"> : 1 goutte d'atropine 0,01 % à 1 %, 2 à 4 fois par jour, en association avec les corticoïdes, sous surveillance quotidienne.</w:t>
      </w:r>
    </w:p>
    <w:p>
      <w:pPr>
        <w:pStyle w:val="ListBullet"/>
      </w:pPr>
      <w:r/>
      <w:r>
        <w:rPr>
          <w:b/>
        </w:rPr>
        <w:t>Myopie progressive de l'enfant (contrôle)</w:t>
      </w:r>
      <w:r>
        <w:t xml:space="preserve"> : 1 goutte d'atropine 0,01 % à 0,05 %, 1 fois par jour au coucher dans les deux yeux, en traitement prolongé (plusieurs années), sous surveillance trimestrielle (acuité visuelle, PIO, réfraction, fond d'œil).</w:t>
      </w:r>
    </w:p>
    <w:p>
      <w:pPr>
        <w:pStyle w:val="ListBullet"/>
      </w:pPr>
      <w:r/>
      <w:r>
        <w:rPr>
          <w:b/>
        </w:rPr>
        <w:t>Cycloplégie préopératoire</w:t>
      </w:r>
      <w:r>
        <w:t xml:space="preserve"> : selon protocole anesthésique.</w:t>
      </w:r>
    </w:p>
    <w:p>
      <w:r/>
      <w:r>
        <w:rPr>
          <w:b/>
        </w:rPr>
        <w:t>Mode d'administration</w:t>
      </w:r>
      <w:r>
        <w:t xml:space="preserve"> : instiller dans le cul-de-sac conjonctival inférieur en abaissant la paupière inférieure et en demandant au patient de regarder vers le haut ; occlure strictement le point lacrynal pendant 2–3 minutes ; ne pas toucher l'œil avec l'embout du flacon. Se laver les mains avant et après. Réaliser l'examen de réfraction 4 à 7 jours après le début du traitement (cycloplégie maximale).</w:t>
      </w:r>
    </w:p>
    <w:p>
      <w:pPr>
        <w:pStyle w:val="Heading4"/>
      </w:pPr>
      <w:r>
        <w:t>10. Surdosage et conduite à tenir</w:t>
      </w:r>
    </w:p>
    <w:p>
      <w:r>
        <w:t xml:space="preserve">Le surdosage en atropine est </w:t>
      </w:r>
      <w:r>
        <w:rPr>
          <w:b/>
        </w:rPr>
        <w:t>particulièrement grave</w:t>
      </w:r>
      <w:r>
        <w:t xml:space="preserve">, surtout chez l'enfant et le nourrisson, en raison de la puissance et de la durée d'action de la molécule. Le tableau clinique est celui d'un </w:t>
      </w:r>
      <w:r>
        <w:rPr>
          <w:b/>
        </w:rPr>
        <w:t>syndrome atropinique complet</w:t>
      </w:r>
      <w:r>
        <w:t xml:space="preserve"> : mydriase bilatérale fixe, sécheresse des muqueuses (bouche, peau, yeux), tachycardie sinusale (&gt; 120 bpm), hyperthermie (parfois &gt; 41 °C, potentiellement létale), rétention urinaire, constipation pouvant aller jusqu'à l'iléus paralytique, flush facial, et aux plans neurologique et psychiatrique, agitation, confusion, hallucinations (déshabillement, speech incohérent), ataxie, convulsions (surtout chez l'enfant), dépression respiratoire, coma. La mort peut survenir par dépression respiratoire centrale ou troubles du rythme cardiaque.</w:t>
      </w:r>
    </w:p>
    <w:p>
      <w:r/>
      <w:r>
        <w:rPr>
          <w:b/>
        </w:rPr>
        <w:t>Conduite à tenir</w:t>
      </w:r>
      <w:r>
        <w:t xml:space="preserve"> :</w:t>
      </w:r>
    </w:p>
    <w:p>
      <w:pPr>
        <w:pStyle w:val="ListBullet"/>
      </w:pPr>
      <w:r>
        <w:t>Arrêt immédiat de l'atropine.</w:t>
      </w:r>
    </w:p>
    <w:p>
      <w:pPr>
        <w:pStyle w:val="ListBullet"/>
      </w:pPr>
      <w:r>
        <w:t>Lavage gastrique et charbon activé en cas d'ingestion récente (&lt; 1 heure).</w:t>
      </w:r>
    </w:p>
    <w:p>
      <w:pPr>
        <w:pStyle w:val="ListBullet"/>
      </w:pPr>
      <w:r>
        <w:t>Hospitalisation en réanimation, surveillance ECG continue, surveillance neurologique et thermique.</w:t>
      </w:r>
    </w:p>
    <w:p>
      <w:pPr>
        <w:pStyle w:val="ListBullet"/>
      </w:pPr>
      <w:r>
        <w:t>Traitement symptomatique : réhydratation IV (sérum physiologique, Ringer lactate), antipyrétiques physiques intenses (couverture fraîche, vessie de glace, ventilation refroidie), benzodiazépines IV en cas d'agitation ou de convulsions (diazépam 0,3 mg/kg chez l'enfant, 10 mg chez l'adulte, à renouveler si nécessaire).</w:t>
      </w:r>
    </w:p>
    <w:p>
      <w:pPr>
        <w:pStyle w:val="ListBullet"/>
      </w:pPr>
      <w:r>
        <w:t>Sonde urinaire en cas de rétention.</w:t>
      </w:r>
    </w:p>
    <w:p>
      <w:pPr>
        <w:pStyle w:val="ListBullet"/>
      </w:pPr>
      <w:r>
        <w:t xml:space="preserve">Antidote spécifique : </w:t>
      </w:r>
      <w:r>
        <w:rPr>
          <w:b/>
        </w:rPr>
        <w:t>physostigmine</w:t>
      </w:r>
      <w:r>
        <w:t xml:space="preserve"> (anticholinestérasique central réversible), 0,02 mg/kg IV lente chez l'enfant (maximum 0,5 mg par injection, maximum 2 mg/24h), 1–2 mg IV lente chez l'adulte (maximum 4 mg/24h), à renouveler si nécessaire après 30 minutes — sous surveillance ECG stricte, en milieu de réanimation, en raison du risque de bradycardie sévère, de bloc auriculo-ventriculaire et de convulsions.</w:t>
      </w:r>
    </w:p>
    <w:p>
      <w:pPr>
        <w:pStyle w:val="ListBullet"/>
      </w:pPr>
      <w:r>
        <w:t>Surveillance prolongée (au moins 48–72 heures) en raison de la longue demi-vie tissulaire de l'atropine.</w:t>
      </w:r>
    </w:p>
    <w:p>
      <w:pPr>
        <w:pStyle w:val="Heading4"/>
      </w:pPr>
      <w:r>
        <w:t>11. Spécialités pharmaceutiques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APITROPIN</w:t>
            </w:r>
          </w:p>
        </w:tc>
        <w:tc>
          <w:tcPr>
            <w:tcW w:type="dxa" w:w="1559"/>
          </w:tcPr>
          <w:p>
            <w:r>
              <w:rPr>
                <w:sz w:val="20"/>
              </w:rPr>
              <w:t>AMMAN PHARMACEUTICAL INDUSTRIE</w:t>
            </w:r>
          </w:p>
        </w:tc>
        <w:tc>
          <w:tcPr>
            <w:tcW w:type="dxa" w:w="1559"/>
          </w:tcPr>
          <w:p>
            <w:r>
              <w:rPr>
                <w:sz w:val="20"/>
              </w:rPr>
              <w:t>Collyre en solution 0,005 % (0,05 mg/mL)</w:t>
            </w:r>
          </w:p>
        </w:tc>
        <w:tc>
          <w:tcPr>
            <w:tcW w:type="dxa" w:w="1559"/>
          </w:tcPr>
          <w:p>
            <w:r>
              <w:rPr>
                <w:sz w:val="20"/>
              </w:rPr>
              <w:t>Flacon 10 mL</w:t>
            </w:r>
          </w:p>
        </w:tc>
        <w:tc>
          <w:tcPr>
            <w:tcW w:type="dxa" w:w="1559"/>
          </w:tcPr>
          <w:p>
            <w:r>
              <w:rPr>
                <w:sz w:val="20"/>
              </w:rPr>
              <w:t>Liste I</w:t>
            </w:r>
          </w:p>
        </w:tc>
        <w:tc>
          <w:tcPr>
            <w:tcW w:type="dxa" w:w="1559"/>
          </w:tcPr>
          <w:p>
            <w:r>
              <w:rPr>
                <w:sz w:val="20"/>
              </w:rPr>
              <w:t>ACTIF</w:t>
            </w:r>
          </w:p>
        </w:tc>
      </w:tr>
      <w:tr>
        <w:tc>
          <w:tcPr>
            <w:tcW w:type="dxa" w:w="1559"/>
          </w:tcPr>
          <w:p>
            <w:r>
              <w:rPr>
                <w:sz w:val="20"/>
              </w:rPr>
              <w:t>APITROPIN</w:t>
            </w:r>
          </w:p>
        </w:tc>
        <w:tc>
          <w:tcPr>
            <w:tcW w:type="dxa" w:w="1559"/>
          </w:tcPr>
          <w:p>
            <w:r>
              <w:rPr>
                <w:sz w:val="20"/>
              </w:rPr>
              <w:t>AMMAN PHARMACEUTICAL INDUSTRIE</w:t>
            </w:r>
          </w:p>
        </w:tc>
        <w:tc>
          <w:tcPr>
            <w:tcW w:type="dxa" w:w="1559"/>
          </w:tcPr>
          <w:p>
            <w:r>
              <w:rPr>
                <w:sz w:val="20"/>
              </w:rPr>
              <w:t>Collyre en solution 0,01 % (0,1 mg/mL)</w:t>
            </w:r>
          </w:p>
        </w:tc>
        <w:tc>
          <w:tcPr>
            <w:tcW w:type="dxa" w:w="1559"/>
          </w:tcPr>
          <w:p>
            <w:r>
              <w:rPr>
                <w:sz w:val="20"/>
              </w:rPr>
              <w:t>Flacon 10 mL</w:t>
            </w:r>
          </w:p>
        </w:tc>
        <w:tc>
          <w:tcPr>
            <w:tcW w:type="dxa" w:w="1559"/>
          </w:tcPr>
          <w:p>
            <w:r>
              <w:rPr>
                <w:sz w:val="20"/>
              </w:rPr>
              <w:t>Liste I</w:t>
            </w:r>
          </w:p>
        </w:tc>
        <w:tc>
          <w:tcPr>
            <w:tcW w:type="dxa" w:w="1559"/>
          </w:tcPr>
          <w:p>
            <w:r>
              <w:rPr>
                <w:sz w:val="20"/>
              </w:rPr>
              <w:t>ACTIF</w:t>
            </w:r>
          </w:p>
        </w:tc>
      </w:tr>
      <w:tr>
        <w:tc>
          <w:tcPr>
            <w:tcW w:type="dxa" w:w="1559"/>
          </w:tcPr>
          <w:p>
            <w:r>
              <w:rPr>
                <w:sz w:val="20"/>
              </w:rPr>
              <w:t>CROPINE</w:t>
            </w:r>
          </w:p>
        </w:tc>
        <w:tc>
          <w:tcPr>
            <w:tcW w:type="dxa" w:w="1559"/>
          </w:tcPr>
          <w:p>
            <w:r>
              <w:rPr>
                <w:sz w:val="20"/>
              </w:rPr>
              <w:t>GENCOPHARM</w:t>
            </w:r>
          </w:p>
        </w:tc>
        <w:tc>
          <w:tcPr>
            <w:tcW w:type="dxa" w:w="1559"/>
          </w:tcPr>
          <w:p>
            <w:r>
              <w:rPr>
                <w:sz w:val="20"/>
              </w:rPr>
              <w:t>Collyre en solution 0,005 % (0,05 mg/mL)</w:t>
            </w:r>
          </w:p>
        </w:tc>
        <w:tc>
          <w:tcPr>
            <w:tcW w:type="dxa" w:w="1559"/>
          </w:tcPr>
          <w:p>
            <w:r>
              <w:rPr>
                <w:sz w:val="20"/>
              </w:rPr>
              <w:t>Flacon 15 mL</w:t>
            </w:r>
          </w:p>
        </w:tc>
        <w:tc>
          <w:tcPr>
            <w:tcW w:type="dxa" w:w="1559"/>
          </w:tcPr>
          <w:p>
            <w:r>
              <w:rPr>
                <w:sz w:val="20"/>
              </w:rPr>
              <w:t>Liste I</w:t>
            </w:r>
          </w:p>
        </w:tc>
        <w:tc>
          <w:tcPr>
            <w:tcW w:type="dxa" w:w="1559"/>
          </w:tcPr>
          <w:p>
            <w:r>
              <w:rPr>
                <w:sz w:val="20"/>
              </w:rPr>
              <w:t>ACTIF</w:t>
            </w:r>
          </w:p>
        </w:tc>
      </w:tr>
      <w:tr>
        <w:tc>
          <w:tcPr>
            <w:tcW w:type="dxa" w:w="1559"/>
          </w:tcPr>
          <w:p>
            <w:r>
              <w:rPr>
                <w:sz w:val="20"/>
              </w:rPr>
              <w:t>CROPINE</w:t>
            </w:r>
          </w:p>
        </w:tc>
        <w:tc>
          <w:tcPr>
            <w:tcW w:type="dxa" w:w="1559"/>
          </w:tcPr>
          <w:p>
            <w:r>
              <w:rPr>
                <w:sz w:val="20"/>
              </w:rPr>
              <w:t>GENCOPHARM</w:t>
            </w:r>
          </w:p>
        </w:tc>
        <w:tc>
          <w:tcPr>
            <w:tcW w:type="dxa" w:w="1559"/>
          </w:tcPr>
          <w:p>
            <w:r>
              <w:rPr>
                <w:sz w:val="20"/>
              </w:rPr>
              <w:t>Collyre en solution 0,01 % (0,1 mg/mL)</w:t>
            </w:r>
          </w:p>
        </w:tc>
        <w:tc>
          <w:tcPr>
            <w:tcW w:type="dxa" w:w="1559"/>
          </w:tcPr>
          <w:p>
            <w:r>
              <w:rPr>
                <w:sz w:val="20"/>
              </w:rPr>
              <w:t>Flacon 10 mL</w:t>
            </w:r>
          </w:p>
        </w:tc>
        <w:tc>
          <w:tcPr>
            <w:tcW w:type="dxa" w:w="1559"/>
          </w:tcPr>
          <w:p>
            <w:r>
              <w:rPr>
                <w:sz w:val="20"/>
              </w:rPr>
              <w:t>Liste I</w:t>
            </w:r>
          </w:p>
        </w:tc>
        <w:tc>
          <w:tcPr>
            <w:tcW w:type="dxa" w:w="1559"/>
          </w:tcPr>
          <w:p>
            <w:r>
              <w:rPr>
                <w:sz w:val="20"/>
              </w:rPr>
              <w:t>ACTIF</w:t>
            </w:r>
          </w:p>
        </w:tc>
      </w:tr>
      <w:tr>
        <w:tc>
          <w:tcPr>
            <w:tcW w:type="dxa" w:w="1559"/>
          </w:tcPr>
          <w:p>
            <w:r>
              <w:rPr>
                <w:sz w:val="20"/>
              </w:rPr>
              <w:t>CROPINE</w:t>
            </w:r>
          </w:p>
        </w:tc>
        <w:tc>
          <w:tcPr>
            <w:tcW w:type="dxa" w:w="1559"/>
          </w:tcPr>
          <w:p>
            <w:r>
              <w:rPr>
                <w:sz w:val="20"/>
              </w:rPr>
              <w:t>CROVIS PHILCOM</w:t>
            </w:r>
          </w:p>
        </w:tc>
        <w:tc>
          <w:tcPr>
            <w:tcW w:type="dxa" w:w="1559"/>
          </w:tcPr>
          <w:p>
            <w:r>
              <w:rPr>
                <w:sz w:val="20"/>
              </w:rPr>
              <w:t>Collyre 0,0025 % (0,025 mg/mL)</w:t>
            </w:r>
          </w:p>
        </w:tc>
        <w:tc>
          <w:tcPr>
            <w:tcW w:type="dxa" w:w="1559"/>
          </w:tcPr>
          <w:p>
            <w:r>
              <w:rPr>
                <w:sz w:val="20"/>
              </w:rPr>
              <w:t>Flacon 15 mL</w:t>
            </w:r>
          </w:p>
        </w:tc>
        <w:tc>
          <w:tcPr>
            <w:tcW w:type="dxa" w:w="1559"/>
          </w:tcPr>
          <w:p>
            <w:r>
              <w:rPr>
                <w:sz w:val="20"/>
              </w:rPr>
              <w:t>Liste I</w:t>
            </w:r>
          </w:p>
        </w:tc>
        <w:tc>
          <w:tcPr>
            <w:tcW w:type="dxa" w:w="1559"/>
          </w:tcPr>
          <w:p>
            <w:r>
              <w:rPr>
                <w:sz w:val="20"/>
              </w:rPr>
              <w:t>NON RENOUVELABLE</w:t>
            </w:r>
          </w:p>
        </w:tc>
      </w:tr>
      <w:tr>
        <w:tc>
          <w:tcPr>
            <w:tcW w:type="dxa" w:w="1559"/>
          </w:tcPr>
          <w:p>
            <w:r>
              <w:rPr>
                <w:sz w:val="20"/>
              </w:rPr>
              <w:t>ATROPINE - ALCON</w:t>
            </w:r>
          </w:p>
        </w:tc>
        <w:tc>
          <w:tcPr>
            <w:tcW w:type="dxa" w:w="1559"/>
          </w:tcPr>
          <w:p>
            <w:r>
              <w:rPr>
                <w:sz w:val="20"/>
              </w:rPr>
              <w:t>ALCON</w:t>
            </w:r>
          </w:p>
        </w:tc>
        <w:tc>
          <w:tcPr>
            <w:tcW w:type="dxa" w:w="1559"/>
          </w:tcPr>
          <w:p>
            <w:r>
              <w:rPr>
                <w:sz w:val="20"/>
              </w:rPr>
              <w:t>Collyre 0,003 % (0,03 mg/mL)</w:t>
            </w:r>
          </w:p>
        </w:tc>
        <w:tc>
          <w:tcPr>
            <w:tcW w:type="dxa" w:w="1559"/>
          </w:tcPr>
          <w:p>
            <w:r>
              <w:rPr>
                <w:sz w:val="20"/>
              </w:rPr>
              <w:t>Flacon 10 mL</w:t>
            </w:r>
          </w:p>
        </w:tc>
        <w:tc>
          <w:tcPr>
            <w:tcW w:type="dxa" w:w="1559"/>
          </w:tcPr>
          <w:p>
            <w:r>
              <w:rPr>
                <w:sz w:val="20"/>
              </w:rPr>
              <w:t>Liste I</w:t>
            </w:r>
          </w:p>
        </w:tc>
        <w:tc>
          <w:tcPr>
            <w:tcW w:type="dxa" w:w="1559"/>
          </w:tcPr>
          <w:p>
            <w:r>
              <w:rPr>
                <w:sz w:val="20"/>
              </w:rPr>
              <w:t>NON RENOUVELABLE</w:t>
            </w:r>
          </w:p>
        </w:tc>
      </w:tr>
      <w:tr>
        <w:tc>
          <w:tcPr>
            <w:tcW w:type="dxa" w:w="1559"/>
          </w:tcPr>
          <w:p>
            <w:r>
              <w:rPr>
                <w:sz w:val="20"/>
              </w:rPr>
              <w:t>ATROPINE - ALCON</w:t>
            </w:r>
          </w:p>
        </w:tc>
        <w:tc>
          <w:tcPr>
            <w:tcW w:type="dxa" w:w="1559"/>
          </w:tcPr>
          <w:p>
            <w:r>
              <w:rPr>
                <w:sz w:val="20"/>
              </w:rPr>
              <w:t>ALCON</w:t>
            </w:r>
          </w:p>
        </w:tc>
        <w:tc>
          <w:tcPr>
            <w:tcW w:type="dxa" w:w="1559"/>
          </w:tcPr>
          <w:p>
            <w:r>
              <w:rPr>
                <w:sz w:val="20"/>
              </w:rPr>
              <w:t>Collyre 0,005 % (0,05 mg/mL)</w:t>
            </w:r>
          </w:p>
        </w:tc>
        <w:tc>
          <w:tcPr>
            <w:tcW w:type="dxa" w:w="1559"/>
          </w:tcPr>
          <w:p>
            <w:r>
              <w:rPr>
                <w:sz w:val="20"/>
              </w:rPr>
              <w:t>Flacon 10 mL</w:t>
            </w:r>
          </w:p>
        </w:tc>
        <w:tc>
          <w:tcPr>
            <w:tcW w:type="dxa" w:w="1559"/>
          </w:tcPr>
          <w:p>
            <w:r>
              <w:rPr>
                <w:sz w:val="20"/>
              </w:rPr>
              <w:t>Liste I</w:t>
            </w:r>
          </w:p>
        </w:tc>
        <w:tc>
          <w:tcPr>
            <w:tcW w:type="dxa" w:w="1559"/>
          </w:tcPr>
          <w:p>
            <w:r>
              <w:rPr>
                <w:sz w:val="20"/>
              </w:rPr>
              <w:t>NON RENOUVELABLE</w:t>
            </w:r>
          </w:p>
        </w:tc>
      </w:tr>
      <w:tr>
        <w:tc>
          <w:tcPr>
            <w:tcW w:type="dxa" w:w="1559"/>
          </w:tcPr>
          <w:p>
            <w:r>
              <w:rPr>
                <w:sz w:val="20"/>
              </w:rPr>
              <w:t>ATROPINE - ALCON</w:t>
            </w:r>
          </w:p>
        </w:tc>
        <w:tc>
          <w:tcPr>
            <w:tcW w:type="dxa" w:w="1559"/>
          </w:tcPr>
          <w:p>
            <w:r>
              <w:rPr>
                <w:sz w:val="20"/>
              </w:rPr>
              <w:t>ALCON</w:t>
            </w:r>
          </w:p>
        </w:tc>
        <w:tc>
          <w:tcPr>
            <w:tcW w:type="dxa" w:w="1559"/>
          </w:tcPr>
          <w:p>
            <w:r>
              <w:rPr>
                <w:sz w:val="20"/>
              </w:rPr>
              <w:t>Collyre 0,01 % (0,1 mg/mL)</w:t>
            </w:r>
          </w:p>
        </w:tc>
        <w:tc>
          <w:tcPr>
            <w:tcW w:type="dxa" w:w="1559"/>
          </w:tcPr>
          <w:p>
            <w:r>
              <w:rPr>
                <w:sz w:val="20"/>
              </w:rPr>
              <w:t>Flacon 10 mL</w:t>
            </w:r>
          </w:p>
        </w:tc>
        <w:tc>
          <w:tcPr>
            <w:tcW w:type="dxa" w:w="1559"/>
          </w:tcPr>
          <w:p>
            <w:r>
              <w:rPr>
                <w:sz w:val="20"/>
              </w:rPr>
              <w:t>Liste I</w:t>
            </w:r>
          </w:p>
        </w:tc>
        <w:tc>
          <w:tcPr>
            <w:tcW w:type="dxa" w:w="1559"/>
          </w:tcPr>
          <w:p>
            <w:r>
              <w:rPr>
                <w:sz w:val="20"/>
              </w:rPr>
              <w:t>NON RENOUVELABLE</w:t>
            </w:r>
          </w:p>
        </w:tc>
      </w:tr>
      <w:tr>
        <w:tc>
          <w:tcPr>
            <w:tcW w:type="dxa" w:w="1559"/>
          </w:tcPr>
          <w:p>
            <w:r>
              <w:rPr>
                <w:sz w:val="20"/>
              </w:rPr>
              <w:t>COLIRCUSI ATROPINE</w:t>
            </w:r>
          </w:p>
        </w:tc>
        <w:tc>
          <w:tcPr>
            <w:tcW w:type="dxa" w:w="1559"/>
          </w:tcPr>
          <w:p>
            <w:r>
              <w:rPr>
                <w:sz w:val="20"/>
              </w:rPr>
              <w:t>CUSI</w:t>
            </w:r>
          </w:p>
        </w:tc>
        <w:tc>
          <w:tcPr>
            <w:tcW w:type="dxa" w:w="1559"/>
          </w:tcPr>
          <w:p>
            <w:r>
              <w:rPr>
                <w:sz w:val="20"/>
              </w:rPr>
              <w:t>Collyre 0,005 % (0,05 mg/mL)</w:t>
            </w:r>
          </w:p>
        </w:tc>
        <w:tc>
          <w:tcPr>
            <w:tcW w:type="dxa" w:w="1559"/>
          </w:tcPr>
          <w:p>
            <w:r>
              <w:rPr>
                <w:sz w:val="20"/>
              </w:rPr>
              <w:t>Flacon 10 mL</w:t>
            </w:r>
          </w:p>
        </w:tc>
        <w:tc>
          <w:tcPr>
            <w:tcW w:type="dxa" w:w="1559"/>
          </w:tcPr>
          <w:p>
            <w:r>
              <w:rPr>
                <w:sz w:val="20"/>
              </w:rPr>
              <w:t>Liste I</w:t>
            </w:r>
          </w:p>
        </w:tc>
        <w:tc>
          <w:tcPr>
            <w:tcW w:type="dxa" w:w="1559"/>
          </w:tcPr>
          <w:p>
            <w:r>
              <w:rPr>
                <w:sz w:val="20"/>
              </w:rPr>
              <w:t>RETRAIT</w:t>
            </w:r>
          </w:p>
        </w:tc>
      </w:tr>
      <w:tr>
        <w:tc>
          <w:tcPr>
            <w:tcW w:type="dxa" w:w="1559"/>
          </w:tcPr>
          <w:p>
            <w:r>
              <w:rPr>
                <w:sz w:val="20"/>
              </w:rPr>
              <w:t>COLIRCUSI ATROPINE</w:t>
            </w:r>
          </w:p>
        </w:tc>
        <w:tc>
          <w:tcPr>
            <w:tcW w:type="dxa" w:w="1559"/>
          </w:tcPr>
          <w:p>
            <w:r>
              <w:rPr>
                <w:sz w:val="20"/>
              </w:rPr>
              <w:t>CUSI</w:t>
            </w:r>
          </w:p>
        </w:tc>
        <w:tc>
          <w:tcPr>
            <w:tcW w:type="dxa" w:w="1559"/>
          </w:tcPr>
          <w:p>
            <w:r>
              <w:rPr>
                <w:sz w:val="20"/>
              </w:rPr>
              <w:t>Collyre 0,01 % (0,1 mg/mL)</w:t>
            </w:r>
          </w:p>
        </w:tc>
        <w:tc>
          <w:tcPr>
            <w:tcW w:type="dxa" w:w="1559"/>
          </w:tcPr>
          <w:p>
            <w:r>
              <w:rPr>
                <w:sz w:val="20"/>
              </w:rPr>
              <w:t>Flacon 10 mL</w:t>
            </w:r>
          </w:p>
        </w:tc>
        <w:tc>
          <w:tcPr>
            <w:tcW w:type="dxa" w:w="1559"/>
          </w:tcPr>
          <w:p>
            <w:r>
              <w:rPr>
                <w:sz w:val="20"/>
              </w:rPr>
              <w:t>Liste I</w:t>
            </w:r>
          </w:p>
        </w:tc>
        <w:tc>
          <w:tcPr>
            <w:tcW w:type="dxa" w:w="1559"/>
          </w:tcPr>
          <w:p>
            <w:r>
              <w:rPr>
                <w:sz w:val="20"/>
              </w:rPr>
              <w:t>RETRAIT</w:t>
            </w:r>
          </w:p>
        </w:tc>
      </w:tr>
      <w:tr>
        <w:tc>
          <w:tcPr>
            <w:tcW w:type="dxa" w:w="1559"/>
          </w:tcPr>
          <w:p>
            <w:r>
              <w:rPr>
                <w:sz w:val="20"/>
              </w:rPr>
              <w:t>MIDRISOL</w:t>
            </w:r>
          </w:p>
        </w:tc>
        <w:tc>
          <w:tcPr>
            <w:tcW w:type="dxa" w:w="1559"/>
          </w:tcPr>
          <w:p>
            <w:r>
              <w:rPr>
                <w:sz w:val="20"/>
              </w:rPr>
              <w:t>ABDI IBRAHIM</w:t>
            </w:r>
          </w:p>
        </w:tc>
        <w:tc>
          <w:tcPr>
            <w:tcW w:type="dxa" w:w="1559"/>
          </w:tcPr>
          <w:p>
            <w:r>
              <w:rPr>
                <w:sz w:val="20"/>
              </w:rPr>
              <w:t>Collyre 0,005 % (0,05 mg/mL)</w:t>
            </w:r>
          </w:p>
        </w:tc>
        <w:tc>
          <w:tcPr>
            <w:tcW w:type="dxa" w:w="1559"/>
          </w:tcPr>
          <w:p>
            <w:r>
              <w:rPr>
                <w:sz w:val="20"/>
              </w:rPr>
              <w:t>Flacon 5 mL</w:t>
            </w:r>
          </w:p>
        </w:tc>
        <w:tc>
          <w:tcPr>
            <w:tcW w:type="dxa" w:w="1559"/>
          </w:tcPr>
          <w:p>
            <w:r>
              <w:rPr>
                <w:sz w:val="20"/>
              </w:rPr>
              <w:t>Liste I</w:t>
            </w:r>
          </w:p>
        </w:tc>
        <w:tc>
          <w:tcPr>
            <w:tcW w:type="dxa" w:w="1559"/>
          </w:tcPr>
          <w:p>
            <w:r>
              <w:rPr>
                <w:sz w:val="20"/>
              </w:rPr>
              <w:t>RETRAIT</w:t>
            </w:r>
          </w:p>
        </w:tc>
      </w:tr>
      <w:tr>
        <w:tc>
          <w:tcPr>
            <w:tcW w:type="dxa" w:w="1559"/>
          </w:tcPr>
          <w:p>
            <w:r>
              <w:rPr>
                <w:sz w:val="20"/>
              </w:rPr>
              <w:t>MIDRISOL</w:t>
            </w:r>
          </w:p>
        </w:tc>
        <w:tc>
          <w:tcPr>
            <w:tcW w:type="dxa" w:w="1559"/>
          </w:tcPr>
          <w:p>
            <w:r>
              <w:rPr>
                <w:sz w:val="20"/>
              </w:rPr>
              <w:t>ABDI IBRAHIM</w:t>
            </w:r>
          </w:p>
        </w:tc>
        <w:tc>
          <w:tcPr>
            <w:tcW w:type="dxa" w:w="1559"/>
          </w:tcPr>
          <w:p>
            <w:r>
              <w:rPr>
                <w:sz w:val="20"/>
              </w:rPr>
              <w:t>Collyre 0,01 % (0,1 mg/mL)</w:t>
            </w:r>
          </w:p>
        </w:tc>
        <w:tc>
          <w:tcPr>
            <w:tcW w:type="dxa" w:w="1559"/>
          </w:tcPr>
          <w:p>
            <w:r>
              <w:rPr>
                <w:sz w:val="20"/>
              </w:rPr>
              <w:t>Flacon 5 mL</w:t>
            </w:r>
          </w:p>
        </w:tc>
        <w:tc>
          <w:tcPr>
            <w:tcW w:type="dxa" w:w="1559"/>
          </w:tcPr>
          <w:p>
            <w:r>
              <w:rPr>
                <w:sz w:val="20"/>
              </w:rPr>
              <w:t>Liste I</w:t>
            </w:r>
          </w:p>
        </w:tc>
        <w:tc>
          <w:tcPr>
            <w:tcW w:type="dxa" w:w="1559"/>
          </w:tcPr>
          <w:p>
            <w:r>
              <w:rPr>
                <w:sz w:val="20"/>
              </w:rPr>
              <w:t>RETRAIT</w:t>
            </w:r>
          </w:p>
        </w:tc>
      </w:tr>
      <w:tr>
        <w:tc>
          <w:tcPr>
            <w:tcW w:type="dxa" w:w="1559"/>
          </w:tcPr>
          <w:p>
            <w:r>
              <w:rPr>
                <w:sz w:val="20"/>
              </w:rPr>
              <w:t>ATROPINE</w:t>
            </w:r>
          </w:p>
        </w:tc>
        <w:tc>
          <w:tcPr>
            <w:tcW w:type="dxa" w:w="1559"/>
          </w:tcPr>
          <w:p>
            <w:r>
              <w:rPr>
                <w:sz w:val="20"/>
              </w:rPr>
              <w:t>MEDICUBA</w:t>
            </w:r>
          </w:p>
        </w:tc>
        <w:tc>
          <w:tcPr>
            <w:tcW w:type="dxa" w:w="1559"/>
          </w:tcPr>
          <w:p>
            <w:r>
              <w:rPr>
                <w:sz w:val="20"/>
              </w:rPr>
              <w:t>Collyre 0,01 % (0,1 mg/mL)</w:t>
            </w:r>
          </w:p>
        </w:tc>
        <w:tc>
          <w:tcPr>
            <w:tcW w:type="dxa" w:w="1559"/>
          </w:tcPr>
          <w:p>
            <w:r>
              <w:rPr>
                <w:sz w:val="20"/>
              </w:rPr>
              <w:t>Flacon 5 mL</w:t>
            </w:r>
          </w:p>
        </w:tc>
        <w:tc>
          <w:tcPr>
            <w:tcW w:type="dxa" w:w="1559"/>
          </w:tcPr>
          <w:p>
            <w:r>
              <w:rPr>
                <w:sz w:val="20"/>
              </w:rPr>
              <w:t>Liste I</w:t>
            </w:r>
          </w:p>
        </w:tc>
        <w:tc>
          <w:tcPr>
            <w:tcW w:type="dxa" w:w="1559"/>
          </w:tcPr>
          <w:p>
            <w:r>
              <w:rPr>
                <w:sz w:val="20"/>
              </w:rPr>
              <w:t>RETRAIT</w:t>
            </w:r>
          </w:p>
        </w:tc>
      </w:tr>
    </w:tbl>
    <w:p/>
    <w:p>
      <w:r/>
      <w:r>
        <w:rPr>
          <w:b/>
        </w:rPr>
        <w:t>Commentaire</w:t>
      </w:r>
      <w:r>
        <w:t xml:space="preserve"> : Le marché algérien de l'atropine ophtalmologique est dominé par deux producteurs : Amman Pharmaceutical (APITROPIN, disponible en 0,005 % et 0,01 %) et Gencopharm (CROPINE, disponible en 0,005 % et 0,01 %). Les concentrations historiques (Alcon, Cusi, Abdi Ibrahim, Medicuba) sont non renouvelables ou retirées. Les concentrations disponibles en Algérie (0,005 % et 0,01 %) sont adaptées à la pédiatrie et au traitement de la myopie progressive, mais </w:t>
      </w:r>
      <w:r>
        <w:rPr>
          <w:b/>
        </w:rPr>
        <w:t>insuffisantes pour les indications traditionnelles nécessitant une cycloplégie maximale</w:t>
      </w:r>
      <w:r>
        <w:t xml:space="preserve"> (amblyopie, uvéites), où l'on utilise en pratique des dilutions extemporanées ou des préparations magistrales à 0,5 % ou 1 % à partir de sulfate d'atropine pur. Aucune spécialité à 1 % n'est actuellement commercialisée en Algérie, alors qu'elle existe à l'étranger (Bausch &amp; Lomb Atropine 1 %).</w:t>
      </w:r>
    </w:p>
    <w:p>
      <w:pPr>
        <w:pStyle w:val="Heading4"/>
      </w:pPr>
      <w:r>
        <w:t>12. Éducation du patient et recommandations pratiques</w:t>
      </w:r>
    </w:p>
    <w:p>
      <w:r>
        <w:t xml:space="preserve">L'éducation du patient et de sa famille doit être </w:t>
      </w:r>
      <w:r>
        <w:rPr>
          <w:b/>
        </w:rPr>
        <w:t>particulièrement détaillée</w:t>
      </w:r>
      <w:r>
        <w:t xml:space="preserve"> pour l'atropine ophtalmologique, en raison de la durée d'action exceptionnellement longue et du risque d'effets systémiques graves :</w:t>
      </w:r>
    </w:p>
    <w:p>
      <w:pPr>
        <w:pStyle w:val="ListBullet"/>
      </w:pPr>
      <w:r/>
      <w:r>
        <w:rPr>
          <w:b/>
        </w:rPr>
        <w:t>Information sur le traitement</w:t>
      </w:r>
      <w:r>
        <w:t xml:space="preserve"> : collyre administré pour permettre une cycloplégie complète (réfraction, traitement du strabisme, contrôle de la myopie) ou pour traiter une uvéite ; durée d'action de 7 à 10 jours ; nécessité d'une compliance stricte.</w:t>
      </w:r>
    </w:p>
    <w:p>
      <w:pPr>
        <w:pStyle w:val="ListBullet"/>
      </w:pPr>
      <w:r/>
      <w:r>
        <w:rPr>
          <w:b/>
        </w:rPr>
        <w:t>Précautions de conduite</w:t>
      </w:r>
      <w:r>
        <w:t xml:space="preserve"> : interdiction de conduire pendant toute la durée du traitement (7–10 jours après la dernière instillation) ; prévoir une organisation logistique (accompagnant, transport en commun, arrêt de travail éventuel).</w:t>
      </w:r>
    </w:p>
    <w:p>
      <w:pPr>
        <w:pStyle w:val="ListBullet"/>
      </w:pPr>
      <w:r/>
      <w:r>
        <w:rPr>
          <w:b/>
        </w:rPr>
        <w:t>Protection solaire</w:t>
      </w:r>
      <w:r>
        <w:t xml:space="preserve"> : port de lunettes de soleil (filtre UV, teinte foncée) en permanence pendant le traitement et 2 semaines après, en raison de la photophobie intense.</w:t>
      </w:r>
    </w:p>
    <w:p>
      <w:pPr>
        <w:pStyle w:val="ListBullet"/>
      </w:pPr>
      <w:r/>
      <w:r>
        <w:rPr>
          <w:b/>
        </w:rPr>
        <w:t>Lecture</w:t>
      </w:r>
      <w:r>
        <w:t xml:space="preserve"> : impossibilité de lire pendant toute la durée du traitement ; prévoir des aménagements (audiobooks, aide d'un proche).</w:t>
      </w:r>
    </w:p>
    <w:p>
      <w:pPr>
        <w:pStyle w:val="ListBullet"/>
      </w:pPr>
      <w:r/>
      <w:r>
        <w:rPr>
          <w:b/>
        </w:rPr>
        <w:t>Surveillance de l'enfant</w:t>
      </w:r>
      <w:r>
        <w:t xml:space="preserve"> : surveiller pendant 1 heure après chaque instillation la température (en cas d'hyperthermie &gt; 38 °C, consulter en urgence), l'état neurologique (agitation, somnolence, désorientation, hallucinations), la diurèse (en cas d'absence de miction pendant 6 heures, consulter), la fréquence cardiaque (tachycardie &gt; 120 bpm) ; éviter l'exposition au soleil et à la chaleur (risque de coup de chaleur majoré par le blocage de la sudation).</w:t>
      </w:r>
    </w:p>
    <w:p>
      <w:pPr>
        <w:pStyle w:val="ListBullet"/>
      </w:pPr>
      <w:r/>
      <w:r>
        <w:rPr>
          <w:b/>
        </w:rPr>
        <w:t>Signes d'alerte</w:t>
      </w:r>
      <w:r>
        <w:t xml:space="preserve"> : douleur oculaire intense, rougeur marquée, nausées ou vomissements, céphalées brutales, fièvre élevée, convulsions, troubles de la conscience, rétention urinaire — consulter en urgence le SAMU (15) ou le service d'ophtalmologie de garde.</w:t>
      </w:r>
    </w:p>
    <w:p>
      <w:pPr>
        <w:pStyle w:val="ListBullet"/>
      </w:pPr>
      <w:r/>
      <w:r>
        <w:rPr>
          <w:b/>
        </w:rPr>
        <w:t>Occlusion stricte du point lacrymal</w:t>
      </w:r>
      <w:r>
        <w:t xml:space="preserve"> : expliquer la technique aux parents (compression douce du canthus interne avec un doigt propre pendant 2–3 minutes après l'instillation) — c'est une précaution majeure pour limiter le passage systémique.</w:t>
      </w:r>
    </w:p>
    <w:p>
      <w:pPr>
        <w:pStyle w:val="ListBullet"/>
      </w:pPr>
      <w:r/>
      <w:r>
        <w:rPr>
          <w:b/>
        </w:rPr>
        <w:t>Conservation</w:t>
      </w:r>
      <w:r>
        <w:t xml:space="preserve"> : flacon fermé, à température ambiante (≤ 25 °C), à l'abri de la lumière, hors de portée des enfants (l'atropine est toxique en ingestion accidentelle). Jeter le flacon 15 jours après la première ouverture.</w:t>
      </w:r>
    </w:p>
    <w:p>
      <w:pPr>
        <w:pStyle w:val="ListBullet"/>
      </w:pPr>
      <w:r/>
      <w:r>
        <w:rPr>
          <w:b/>
        </w:rPr>
        <w:t>Coordination avec le suivi ophtalmologique</w:t>
      </w:r>
      <w:r>
        <w:t xml:space="preserve"> : prévoir une consultation de contrôle à 7–10 jours pour la prescription de la correction optique (après résolution de la cycloplégie) ou pour évaluer l'efficacité du traitement (myopie progressive, strabisme, amblyopie).</w:t>
      </w:r>
    </w:p>
    <w:p>
      <w:pPr>
        <w:pStyle w:val="ListBullet"/>
      </w:pPr>
      <w:r/>
      <w:r>
        <w:rPr>
          <w:b/>
        </w:rPr>
        <w:t>Traitement prolongé (myopie progressive)</w:t>
      </w:r>
      <w:r>
        <w:t xml:space="preserve"> : expliquer la nécessité d'un traitement quotidien au coucher, pendant plusieurs années, sous surveillance trimestrielle (acuité visuelle, PIO, réfraction, fond d'œil). Informer des bénéfices attendus (réduction de 30–50 % de la progression myopique) et des risques (photophobie, flou visuel de près modéré, allergie de contact).</w:t>
      </w:r>
    </w:p>
    <w:p>
      <w:pPr>
        <w:pStyle w:val="Heading2"/>
      </w:pPr>
      <w:r>
        <w:t>144.3 Sous-classe — Anti-VEGF intravitréens (anticorps et fragments d'anticorps)</w:t>
      </w:r>
    </w:p>
    <w:p>
      <w:pPr>
        <w:pStyle w:val="Heading3"/>
      </w:pPr>
      <w:r>
        <w:t>144.3.1 Généralités de la sous-classe</w:t>
      </w:r>
    </w:p>
    <w:p>
      <w:pPr>
        <w:pStyle w:val="Heading4"/>
      </w:pPr>
      <w:r>
        <w:t>Définition pharmacologique</w:t>
      </w:r>
    </w:p>
    <w:p>
      <w:r>
        <w:t xml:space="preserve">Les </w:t>
      </w:r>
      <w:r>
        <w:rPr>
          <w:b/>
        </w:rPr>
        <w:t>anti-VEGF intravitréens</w:t>
      </w:r>
      <w:r>
        <w:t xml:space="preserve"> sont des biomédicaments issus des biotechnologies, conçus pour neutraliser le </w:t>
      </w:r>
      <w:r>
        <w:rPr>
          <w:b/>
        </w:rPr>
        <w:t>vascular endothelial growth factor (VEGF)</w:t>
      </w:r>
      <w:r>
        <w:t>, une cytokine majeure de l'angiogenèse pathologique oculaire. Le VEGF (principalement les isoformes VEGF-A, mais aussi VEGF-B, VEGF-C, VEGF-D et PIGF) est un facteur de croissance produit en réponse à l'hypoxie tissulaire, qui stimule la prolifération endothéliale, la migration cellulaire, la perméabilité vasculaire et la néovascularisation. Dans la rétine, le VEGF est surexprimé en cas de pathologies ischémiques (rétinopathie diabétique, occlusion veineuse rétinienne) ou dégénératives (DMLA exsudative), induisant la croissance de néovaisseaux choroïdiens ou rétiniens fragiles, perméables, responsables d'œdème maculaire, d'hémorragies rétiniennes et, à terme, de perte visuelle.</w:t>
      </w:r>
    </w:p>
    <w:p>
      <w:r>
        <w:t>La sous-classe des anti-VEGF intravitréens regroupe deux types de biomédicaments :</w:t>
      </w:r>
    </w:p>
    <w:p>
      <w:pPr>
        <w:pStyle w:val="ListBullet"/>
      </w:pPr>
      <w:r>
        <w:t xml:space="preserve">Les </w:t>
      </w:r>
      <w:r>
        <w:rPr>
          <w:b/>
        </w:rPr>
        <w:t>fragments d'anticorps monoclonaux</w:t>
      </w:r>
      <w:r>
        <w:t xml:space="preserve"> : le </w:t>
      </w:r>
      <w:r>
        <w:rPr>
          <w:b/>
        </w:rPr>
        <w:t>ranibizumab</w:t>
      </w:r>
      <w:r>
        <w:t xml:space="preserve"> (fragment Fab humanisé) et le </w:t>
      </w:r>
      <w:r>
        <w:rPr>
          <w:b/>
        </w:rPr>
        <w:t>bévacizumab</w:t>
      </w:r>
      <w:r>
        <w:t xml:space="preserve"> (anticorps monoclonal entier humanisé — initialement développé en oncologie et utilisé hors AMM en ophtalmologie).</w:t>
      </w:r>
    </w:p>
    <w:p>
      <w:pPr>
        <w:pStyle w:val="ListBullet"/>
      </w:pPr>
      <w:r>
        <w:t xml:space="preserve">Les </w:t>
      </w:r>
      <w:r>
        <w:rPr>
          <w:b/>
        </w:rPr>
        <w:t>protéines de fusion solubles (pièges à VEGF)</w:t>
      </w:r>
      <w:r>
        <w:t xml:space="preserve"> : l'</w:t>
      </w:r>
      <w:r>
        <w:rPr>
          <w:b/>
        </w:rPr>
        <w:t>aflibercept</w:t>
      </w:r>
      <w:r>
        <w:t xml:space="preserve"> (Eylea), qui combine le domaine de liaison au VEGF du récepteur VEGFR-1 et du VEGFR-2 fusionné à la portion Fc des IgG1 humaines.</w:t>
      </w:r>
    </w:p>
    <w:p>
      <w:pPr>
        <w:pStyle w:val="ListBullet"/>
      </w:pPr>
      <w:r>
        <w:t xml:space="preserve">Les </w:t>
      </w:r>
      <w:r>
        <w:rPr>
          <w:b/>
        </w:rPr>
        <w:t>anticorps bispécifiques</w:t>
      </w:r>
      <w:r>
        <w:t xml:space="preserve"> : le </w:t>
      </w:r>
      <w:r>
        <w:rPr>
          <w:b/>
        </w:rPr>
        <w:t>faricimab</w:t>
      </w:r>
      <w:r>
        <w:t xml:space="preserve"> (Vabysmo), qui cible simultanément le VEGF et l'angiopoïétine-2 (Ang-2).</w:t>
      </w:r>
    </w:p>
    <w:p>
      <w:pPr>
        <w:pStyle w:val="Heading4"/>
      </w:pPr>
      <w:r>
        <w:t>Mécanisme moléculaire commun</w:t>
      </w:r>
    </w:p>
    <w:p>
      <w:r>
        <w:t xml:space="preserve">Tous les anti-VEGF intravitréens agissent en </w:t>
      </w:r>
      <w:r>
        <w:rPr>
          <w:b/>
        </w:rPr>
        <w:t>neutralisant le VEGF-A libre</w:t>
      </w:r>
      <w:r>
        <w:t xml:space="preserve"> dans la cavité vitréenne et au niveau rétinien, empêchant sa fixation aux récepteurs VEGFR-1 et VEGFR-2 exprimés par les cellules endothéliales. La conséquence fonctionnelle est une </w:t>
      </w:r>
      <w:r>
        <w:rPr>
          <w:b/>
        </w:rPr>
        <w:t>inhibition de la néovascularisation pathologique</w:t>
      </w:r>
      <w:r>
        <w:t xml:space="preserve">, une </w:t>
      </w:r>
      <w:r>
        <w:rPr>
          <w:b/>
        </w:rPr>
        <w:t>réduction de la perméabilité vasculaire</w:t>
      </w:r>
      <w:r>
        <w:t xml:space="preserve"> (diminution de l'œdème maculaire) et une </w:t>
      </w:r>
      <w:r>
        <w:rPr>
          <w:b/>
        </w:rPr>
        <w:t>stabilisation de la barrière hémato-rétinienne</w:t>
      </w:r>
      <w:r>
        <w:t>. L'effet thérapeutique se traduit cliniquement par une amélioration ou une stabilisation de l'acuité visuelle, une réduction de l'épaisseur maculaire (mesurée en OCT) et une régression des néovaisseaux et des hémorragies rétiniennes.</w:t>
      </w:r>
    </w:p>
    <w:p>
      <w:pPr>
        <w:pStyle w:val="Heading4"/>
      </w:pPr>
      <w:r>
        <w:t>Voie d'administration : injection intravitréenne</w:t>
      </w:r>
    </w:p>
    <w:p>
      <w:r>
        <w:t xml:space="preserve">L'administration des anti-VEGF se fait exclusivement par </w:t>
      </w:r>
      <w:r>
        <w:rPr>
          <w:b/>
        </w:rPr>
        <w:t>injection intravitréenne</w:t>
      </w:r>
      <w:r>
        <w:t>, geste chirurgical mini-invasif réalisé par un ophtalmologiste expérimenté en milieu stérile (bloc opératoire ou salle dédiée). Le protocole comporte :</w:t>
      </w:r>
    </w:p>
    <w:p>
      <w:pPr>
        <w:pStyle w:val="ListBullet"/>
      </w:pPr>
      <w:r>
        <w:t>Préparation : anesthésie topique (oxybuprocaïne, tétracaïne), antisepsie conjonctivale (povidone iodée 5 %), draping stérile.</w:t>
      </w:r>
    </w:p>
    <w:p>
      <w:pPr>
        <w:pStyle w:val="ListBullet"/>
      </w:pPr>
      <w:r>
        <w:t>Injection : à la seringue de 1 mL avec aiguille 30 G, à 3,5–4 mm du limbe (en dehors des vaisseaux, en évitant les méridiens 3 et 9 h), volume injecté 0,05 mL (50 µL).</w:t>
      </w:r>
    </w:p>
    <w:p>
      <w:pPr>
        <w:pStyle w:val="ListBullet"/>
      </w:pPr>
      <w:r>
        <w:t>Surveillance post-injection : mesure de la pression intraoculaire (à 10, 30, 60 minutes), examen à la lampe à fente (recherche d'hémorragie sous-conjonctivale, de sang dans la chambre antérieure, d'endophtalmie), vérification du réflexe pupillaire et de la perception lumineuse.</w:t>
      </w:r>
    </w:p>
    <w:p>
      <w:pPr>
        <w:pStyle w:val="Heading4"/>
      </w:pPr>
      <w:r>
        <w:t>Indications principales</w:t>
      </w:r>
    </w:p>
    <w:p>
      <w:r>
        <w:t>Les indications des anti-VEGF intravitréens sont :</w:t>
      </w:r>
    </w:p>
    <w:p>
      <w:pPr>
        <w:pStyle w:val="ListNumber"/>
      </w:pPr>
      <w:r/>
      <w:r>
        <w:rPr>
          <w:b/>
        </w:rPr>
        <w:t>Dégénérescence maculaire liée à l'âge (DMLA) exsudative</w:t>
      </w:r>
      <w:r>
        <w:t xml:space="preserve"> (néovasculaire) — indication princeps, validée pour les quatre molécules.</w:t>
      </w:r>
    </w:p>
    <w:p>
      <w:pPr>
        <w:pStyle w:val="ListNumber"/>
      </w:pPr>
      <w:r/>
      <w:r>
        <w:rPr>
          <w:b/>
        </w:rPr>
        <w:t>Œdème maculaire diabétique (OMD)</w:t>
      </w:r>
      <w:r>
        <w:t xml:space="preserve"> — indication validée pour ranibizumab, aflibercept, faricimab.</w:t>
      </w:r>
    </w:p>
    <w:p>
      <w:pPr>
        <w:pStyle w:val="ListNumber"/>
      </w:pPr>
      <w:r/>
      <w:r>
        <w:rPr>
          <w:b/>
        </w:rPr>
        <w:t>Occlusion de veine centrale de la rétine (OVCR)</w:t>
      </w:r>
      <w:r>
        <w:t xml:space="preserve"> avec œdème maculaire — ranibizumab, aflibercept, faricimab.</w:t>
      </w:r>
    </w:p>
    <w:p>
      <w:pPr>
        <w:pStyle w:val="ListNumber"/>
      </w:pPr>
      <w:r/>
      <w:r>
        <w:rPr>
          <w:b/>
        </w:rPr>
        <w:t>Occlusion de branche veineuse rétinienne (OBVR)</w:t>
      </w:r>
      <w:r>
        <w:t xml:space="preserve"> avec œdème maculaire — ranibizumab, aflibercept.</w:t>
      </w:r>
    </w:p>
    <w:p>
      <w:pPr>
        <w:pStyle w:val="ListNumber"/>
      </w:pPr>
      <w:r/>
      <w:r>
        <w:rPr>
          <w:b/>
        </w:rPr>
        <w:t>Rétinopathie diabétique proliférante</w:t>
      </w:r>
      <w:r>
        <w:t xml:space="preserve"> — ranibizumab, aflibercept.</w:t>
      </w:r>
    </w:p>
    <w:p>
      <w:pPr>
        <w:pStyle w:val="ListNumber"/>
      </w:pPr>
      <w:r/>
      <w:r>
        <w:rPr>
          <w:b/>
        </w:rPr>
        <w:t>Myopie forte avec néovaisseaux choroïdiens</w:t>
      </w:r>
      <w:r>
        <w:t xml:space="preserve"> — ranibizumab, aflibercept, bévacizumab.</w:t>
      </w:r>
    </w:p>
    <w:p>
      <w:pPr>
        <w:pStyle w:val="ListNumber"/>
      </w:pPr>
      <w:r/>
      <w:r>
        <w:rPr>
          <w:b/>
        </w:rPr>
        <w:t>Néovaisseaux choroïdiens inflammatoires</w:t>
      </w:r>
      <w:r>
        <w:t xml:space="preserve"> — bévacizumab en seconde intention.</w:t>
      </w:r>
    </w:p>
    <w:p>
      <w:pPr>
        <w:pStyle w:val="ListNumber"/>
      </w:pPr>
      <w:r/>
      <w:r>
        <w:rPr>
          <w:b/>
        </w:rPr>
        <w:t>Œdème maculaire secondaire à une uvéite</w:t>
      </w:r>
      <w:r>
        <w:t xml:space="preserve"> — bévacizumab, aflibercept.</w:t>
      </w:r>
    </w:p>
    <w:p>
      <w:pPr>
        <w:pStyle w:val="Heading4"/>
      </w:pPr>
      <w:r>
        <w:t>Risques principaux</w:t>
      </w:r>
    </w:p>
    <w:p>
      <w:r>
        <w:t>Les risques principaux des anti-VEGF intravitréens sont :</w:t>
      </w:r>
    </w:p>
    <w:p>
      <w:pPr>
        <w:pStyle w:val="ListBullet"/>
      </w:pPr>
      <w:r/>
      <w:r>
        <w:rPr>
          <w:b/>
        </w:rPr>
        <w:t>Endophtalmie</w:t>
      </w:r>
      <w:r>
        <w:t xml:space="preserve"> (infection bactérienne intraoculaire) — incidence 0,02–0,1 % par injection, urgence absolue.</w:t>
      </w:r>
    </w:p>
    <w:p>
      <w:pPr>
        <w:pStyle w:val="ListBullet"/>
      </w:pPr>
      <w:r/>
      <w:r>
        <w:rPr>
          <w:b/>
        </w:rPr>
        <w:t>Décollement de rétine rhegmatogène</w:t>
      </w:r>
      <w:r>
        <w:t xml:space="preserve"> — incidence 0,1–0,5 % par injection.</w:t>
      </w:r>
    </w:p>
    <w:p>
      <w:pPr>
        <w:pStyle w:val="ListBullet"/>
      </w:pPr>
      <w:r/>
      <w:r>
        <w:rPr>
          <w:b/>
        </w:rPr>
        <w:t>Hémorragie intravitréenne</w:t>
      </w:r>
      <w:r>
        <w:t xml:space="preserve"> — incidence 0,5–2 % par injection.</w:t>
      </w:r>
    </w:p>
    <w:p>
      <w:pPr>
        <w:pStyle w:val="ListBullet"/>
      </w:pPr>
      <w:r/>
      <w:r>
        <w:rPr>
          <w:b/>
        </w:rPr>
        <w:t>Cataracte traumatique</w:t>
      </w:r>
      <w:r>
        <w:t xml:space="preserve"> — en cas de toucher du cristallin.</w:t>
      </w:r>
    </w:p>
    <w:p>
      <w:pPr>
        <w:pStyle w:val="ListBullet"/>
      </w:pPr>
      <w:r/>
      <w:r>
        <w:rPr>
          <w:b/>
        </w:rPr>
        <w:t>Hypertonie oculaire aiguë</w:t>
      </w:r>
      <w:r>
        <w:t xml:space="preserve"> — dans les minutes suivant l'injection.</w:t>
      </w:r>
    </w:p>
    <w:p>
      <w:pPr>
        <w:pStyle w:val="ListBullet"/>
      </w:pPr>
      <w:r/>
      <w:r>
        <w:rPr>
          <w:b/>
        </w:rPr>
        <w:t>Thrombo-embolie systémique</w:t>
      </w:r>
      <w:r>
        <w:t xml:space="preserve"> (AVC, infarctus du myocarde) — débattu, risque faible mais à considérer.</w:t>
      </w:r>
    </w:p>
    <w:p>
      <w:pPr>
        <w:pStyle w:val="ListBullet"/>
      </w:pPr>
      <w:r/>
      <w:r>
        <w:rPr>
          <w:b/>
        </w:rPr>
        <w:t>Réaction immunogène</w:t>
      </w:r>
      <w:r>
        <w:t xml:space="preserve"> (anticorps anti-médicament) — surtout avec le bévacizumab et le ranibizumab, peut réduire l'efficacité.</w:t>
      </w:r>
    </w:p>
    <w:p>
      <w:pPr>
        <w:pStyle w:val="Heading4"/>
      </w:pPr>
      <w:r>
        <w:t>Spécificités algériennes du marché</w:t>
      </w:r>
    </w:p>
    <w:p>
      <w:r>
        <w:t xml:space="preserve">Le marché algérien des anti-VEGF intravitréens est en pleine structuration, avec la présence des </w:t>
      </w:r>
      <w:r>
        <w:rPr>
          <w:b/>
        </w:rPr>
        <w:t>innovateurs internationaux</w:t>
      </w:r>
      <w:r>
        <w:t xml:space="preserve"> (Novartis pour Lucentis, Bayer pour Eylea, Roche pour Vabysmo) accompagnés par des </w:t>
      </w:r>
      <w:r>
        <w:rPr>
          <w:b/>
        </w:rPr>
        <w:t>productions locales</w:t>
      </w:r>
      <w:r>
        <w:t xml:space="preserve"> en développement :</w:t>
      </w:r>
    </w:p>
    <w:p>
      <w:pPr>
        <w:pStyle w:val="ListBullet"/>
      </w:pPr>
      <w:r/>
      <w:r>
        <w:rPr>
          <w:b/>
        </w:rPr>
        <w:t>Ranibizumab</w:t>
      </w:r>
      <w:r>
        <w:t xml:space="preserve"> : LUCENTIS (Novartis), RANIBIZUMAB-SAIDAL (Groupe Saïdal, biosimilaire), UPTERA (El Kendi).</w:t>
      </w:r>
    </w:p>
    <w:p>
      <w:pPr>
        <w:pStyle w:val="ListBullet"/>
      </w:pPr>
      <w:r/>
      <w:r>
        <w:rPr>
          <w:b/>
        </w:rPr>
        <w:t>Bévacizumab</w:t>
      </w:r>
      <w:r>
        <w:t xml:space="preserve"> : ACURA (El Kendi), AVEGRA BIOCAD (JSC Biocad), BEVACIZUMAB-SAIDAL (Saïdal), SIMBIVA (Biocon), VERSAVO (Orion Lab), ZIRABEV (Pfizer). AVASTIN (Roche) est non renouvelable, MVASI (Amgen) est retiré.</w:t>
      </w:r>
    </w:p>
    <w:p>
      <w:pPr>
        <w:pStyle w:val="ListBullet"/>
      </w:pPr>
      <w:r/>
      <w:r>
        <w:rPr>
          <w:b/>
        </w:rPr>
        <w:t>Aflibercept</w:t>
      </w:r>
      <w:r>
        <w:t xml:space="preserve"> : EYLEA (Bayer), AFLI (Sophal).</w:t>
      </w:r>
    </w:p>
    <w:p>
      <w:pPr>
        <w:pStyle w:val="ListBullet"/>
      </w:pPr>
      <w:r/>
      <w:r>
        <w:rPr>
          <w:b/>
        </w:rPr>
        <w:t>Faricimab</w:t>
      </w:r>
      <w:r>
        <w:t xml:space="preserve"> : VABYSMO (Roche).</w:t>
      </w:r>
    </w:p>
    <w:p>
      <w:r>
        <w:t xml:space="preserve">À noter que le </w:t>
      </w:r>
      <w:r>
        <w:rPr>
          <w:b/>
        </w:rPr>
        <w:t>bévacizumab</w:t>
      </w:r>
      <w:r>
        <w:t xml:space="preserve"> est utilisé en ophtalmologie </w:t>
      </w:r>
      <w:r>
        <w:rPr>
          <w:b/>
        </w:rPr>
        <w:t>hors AMM stricte</w:t>
      </w:r>
      <w:r>
        <w:t xml:space="preserve"> (l'AMM initiale d'Avastin est pour le traitement des cancers colorectaux, mammaires, pulmonaires par voie IV), mais cette pratique est largement répandue et reconnue par les sociétés savantes (Cochrane, EURETINA), en raison du coût considérablement inférieur du bévacizumab par rapport au ranibizumab et à l'aflibercept. La préparation pour usage intravitréen est réalisée en pharmacie hospitalière (fractionnement des flacons IV en aliquotes de 0,05 mL sous hotte stérile).</w:t>
      </w:r>
    </w:p>
    <w:p>
      <w:pPr>
        <w:pStyle w:val="Heading3"/>
      </w:pPr>
      <w:r>
        <w:t>144.3.2 DCI : RANIBIZUMAB</w:t>
      </w:r>
    </w:p>
    <w:p>
      <w:pPr>
        <w:pStyle w:val="Heading4"/>
      </w:pPr>
      <w:r>
        <w:t>1. Identification et classification</w:t>
      </w:r>
    </w:p>
    <w:p>
      <w:r>
        <w:t xml:space="preserve">Le </w:t>
      </w:r>
      <w:r>
        <w:rPr>
          <w:b/>
        </w:rPr>
        <w:t>ranibizumab</w:t>
      </w:r>
      <w:r>
        <w:t xml:space="preserve"> (DCI) est un fragment d'anticorps monoclonal humanisé recombinant de type </w:t>
      </w:r>
      <w:r>
        <w:rPr>
          <w:b/>
        </w:rPr>
        <w:t>Fab</w:t>
      </w:r>
      <w:r>
        <w:t xml:space="preserve"> (fragment antigen-binding), dirigé contre toutes les isoformes actives du VEGF-A. Il est issu de l'anticorps parental murin A4.6.1 humanisé puis réduit à son fragment Fab pour permettre une meilleure pénétration rétinienne. Sa formule chimique est une protéine de 48 kDa (214 acides aminés), produite par technologie de l'ADN recombinant dans des cellules ovariennes de hamster (CHO). Le ranibizumab est commercialisé sous la marque </w:t>
      </w:r>
      <w:r>
        <w:rPr>
          <w:b/>
        </w:rPr>
        <w:t>LUCENTIS</w:t>
      </w:r>
      <w:r>
        <w:t xml:space="preserve"> (Novartis), sous forme de solution injectable intravitréenne à la concentration de </w:t>
      </w:r>
      <w:r>
        <w:rPr>
          <w:b/>
        </w:rPr>
        <w:t>10 mg/mL</w:t>
      </w:r>
      <w:r>
        <w:t xml:space="preserve">, avec une dose unitaire de </w:t>
      </w:r>
      <w:r>
        <w:rPr>
          <w:b/>
        </w:rPr>
        <w:t>0,5 mg dans 0,05 mL</w:t>
      </w:r>
      <w:r>
        <w:t xml:space="preserve"> pour l'adulte, et </w:t>
      </w:r>
      <w:r>
        <w:rPr>
          <w:b/>
        </w:rPr>
        <w:t>0,125 mg dans 0,05 mL</w:t>
      </w:r>
      <w:r>
        <w:t xml:space="preserve"> pour l'enfant (≤ 12 ans). Classé en </w:t>
      </w:r>
      <w:r>
        <w:rPr>
          <w:b/>
        </w:rPr>
        <w:t>Liste I</w:t>
      </w:r>
      <w:r>
        <w:t xml:space="preserve">, le ranibizumab est disponible en Algérie sous les noms de </w:t>
      </w:r>
      <w:r>
        <w:rPr>
          <w:b/>
        </w:rPr>
        <w:t>LUCENTIS</w:t>
      </w:r>
      <w:r>
        <w:t xml:space="preserve"> (Novartis), </w:t>
      </w:r>
      <w:r>
        <w:rPr>
          <w:b/>
        </w:rPr>
        <w:t>RANIBIZUMAB-SAIDAL</w:t>
      </w:r>
      <w:r>
        <w:t xml:space="preserve"> (Groupe Saïdal, biosimilaire) et </w:t>
      </w:r>
      <w:r>
        <w:rPr>
          <w:b/>
        </w:rPr>
        <w:t>UPTERA</w:t>
      </w:r>
      <w:r>
        <w:t xml:space="preserve"> (El Kendi Industrie du Médicament).</w:t>
      </w:r>
    </w:p>
    <w:p>
      <w:pPr>
        <w:pStyle w:val="Heading4"/>
      </w:pPr>
      <w:r>
        <w:t>2. Mécanisme d'action</w:t>
      </w:r>
    </w:p>
    <w:p>
      <w:r>
        <w:t xml:space="preserve">Le ranibizumab est un </w:t>
      </w:r>
      <w:r>
        <w:rPr>
          <w:b/>
        </w:rPr>
        <w:t>antagoniste du VEGF-A</w:t>
      </w:r>
      <w:r>
        <w:t xml:space="preserve"> par liaison spécifique de haute affinité (Kd ~ 10⁻¹⁰ M) à toutes les isoformes actives du VEGF-A (VEGF-A121, VEGF-A165, VEGF-A189), empêchant leur fixation aux récepteurs VEGFR-1 (Flt-1) et VEGFR-2 (KDR/Flk-1) à la surface des cellules endothéliales. Le blocage de la voie VEGF/VEGFR inhibe :</w:t>
      </w:r>
    </w:p>
    <w:p>
      <w:pPr>
        <w:pStyle w:val="ListBullet"/>
      </w:pPr>
      <w:r>
        <w:t xml:space="preserve">La </w:t>
      </w:r>
      <w:r>
        <w:rPr>
          <w:b/>
        </w:rPr>
        <w:t>prolifération endothéliale</w:t>
      </w:r>
      <w:r>
        <w:t xml:space="preserve"> (pas de néovascularisation).</w:t>
      </w:r>
    </w:p>
    <w:p>
      <w:pPr>
        <w:pStyle w:val="ListBullet"/>
      </w:pPr>
      <w:r>
        <w:t xml:space="preserve">La </w:t>
      </w:r>
      <w:r>
        <w:rPr>
          <w:b/>
        </w:rPr>
        <w:t>migration cellulaire endothéliale</w:t>
      </w:r>
      <w:r>
        <w:t xml:space="preserve"> (pas de croissance vasculaire).</w:t>
      </w:r>
    </w:p>
    <w:p>
      <w:pPr>
        <w:pStyle w:val="ListBullet"/>
      </w:pPr>
      <w:r>
        <w:t xml:space="preserve">La </w:t>
      </w:r>
      <w:r>
        <w:rPr>
          <w:b/>
        </w:rPr>
        <w:t>perméabilité vasculaire</w:t>
      </w:r>
      <w:r>
        <w:t xml:space="preserve"> (réduction de l'œdème maculaire).</w:t>
      </w:r>
    </w:p>
    <w:p>
      <w:pPr>
        <w:pStyle w:val="ListBullet"/>
      </w:pPr>
      <w:r>
        <w:t xml:space="preserve">La </w:t>
      </w:r>
      <w:r>
        <w:rPr>
          <w:b/>
        </w:rPr>
        <w:t>survie endothéliale</w:t>
      </w:r>
      <w:r>
        <w:t xml:space="preserve"> (régression des néovaisseaux existants).</w:t>
      </w:r>
    </w:p>
    <w:p>
      <w:r>
        <w:t xml:space="preserve">L'effet thérapeutique se traduit cliniquement par une amélioration ou une stabilisation de l'acuité visuelle, une réduction de l'épaisseur maculaire (mesurée en OCT), une régression des néovaisseaux choroïdiens et une diminution des hémorragies rétiniennes. Le fragment Fab a l'avantage, par rapport à l'anticorps entier (bévacizumab), d'une </w:t>
      </w:r>
      <w:r>
        <w:rPr>
          <w:b/>
        </w:rPr>
        <w:t>meilleure pénétration rétinienne</w:t>
      </w:r>
      <w:r>
        <w:t xml:space="preserve"> à travers les couches rétiniennes et d'une </w:t>
      </w:r>
      <w:r>
        <w:rPr>
          <w:b/>
        </w:rPr>
        <w:t>demi-vie systémique courte</w:t>
      </w:r>
      <w:r>
        <w:t>, réduisant le risque d'effets systémiques (thrombo-emboliques). L'effet débute dès les premiers jours suivant l'injection et dure 4–6 semaines, justifiant le schéma d'injections mensuelles puis espacées.</w:t>
      </w:r>
    </w:p>
    <w:p>
      <w:pPr>
        <w:pStyle w:val="Heading4"/>
      </w:pPr>
      <w:r>
        <w:t>3. Pharmacocinétique</w:t>
      </w:r>
    </w:p>
    <w:p>
      <w:r>
        <w:t xml:space="preserve">Après </w:t>
      </w:r>
      <w:r>
        <w:rPr>
          <w:b/>
        </w:rPr>
        <w:t>injection intravitréenne</w:t>
      </w:r>
      <w:r>
        <w:t xml:space="preserve"> de 0,5 mg, le ranibizumab se distribue rapidement dans le vitré et diffuse à travers les couches rétiniennes (couche des photorécepteurs, couche plexiforme externe, couche nucléaire externe) jusqu'à l'épithélium pigmentaire rétinien (EPR). La </w:t>
      </w:r>
      <w:r>
        <w:rPr>
          <w:b/>
        </w:rPr>
        <w:t>demi-vie vitréenne</w:t>
      </w:r>
      <w:r>
        <w:t xml:space="preserve"> est de l'ordre de </w:t>
      </w:r>
      <w:r>
        <w:rPr>
          <w:b/>
        </w:rPr>
        <w:t>9 jours</w:t>
      </w:r>
      <w:r>
        <w:t xml:space="preserve"> chez l'homme (extrapolation à partir des études chez le singe). La concentration intravitréenne thérapeutique est maintenue pendant environ 1 mois (dose efficace de 0,5 mg).</w:t>
      </w:r>
    </w:p>
    <w:p>
      <w:r>
        <w:t xml:space="preserve">Le passage systémique est faible mais détectable : la concentration plasmatique maximale est de l'ordre de 0,3–1 ng/mL, atteinte en 1–3 jours après l'injection. La </w:t>
      </w:r>
      <w:r>
        <w:rPr>
          <w:b/>
        </w:rPr>
        <w:t>demi-vie plasmatique</w:t>
      </w:r>
      <w:r>
        <w:t xml:space="preserve"> est courte, de 2–3 jours, en raison de la filtration glomérulaire et de la dégradation protéolyse (le fragment Fab n'est pas recyclé par les récepteurs FcRn, contrairement aux anticorps entiers). L'élimination se fait principalement par le rein et le foie.</w:t>
      </w:r>
    </w:p>
    <w:p>
      <w:r>
        <w:t xml:space="preserve">La </w:t>
      </w:r>
      <w:r>
        <w:rPr>
          <w:b/>
        </w:rPr>
        <w:t>biodisponibilité systémique</w:t>
      </w:r>
      <w:r>
        <w:t xml:space="preserve"> est faible (~ 10 %), ce qui explique la rareté des effets systémiques (thrombo-emboliques). Aucune accumulation systémique n'est observée en cas d'injections mensuelles répétées. La production d'anticorps anti-médicament (ADA) est observée chez environ 1–7 % des patients traités, mais n'a généralement pas de conséquence clinique.</w:t>
      </w:r>
    </w:p>
    <w:p>
      <w:pPr>
        <w:pStyle w:val="Heading4"/>
      </w:pPr>
      <w:r>
        <w:t>4. Indications thérapeutiques</w:t>
      </w:r>
    </w:p>
    <w:p>
      <w:r>
        <w:t>Le ranibizumab dispose de l'AMM pour les indications suivantes :</w:t>
      </w:r>
    </w:p>
    <w:p>
      <w:pPr>
        <w:pStyle w:val="ListBullet"/>
      </w:pPr>
      <w:r/>
      <w:r>
        <w:rPr>
          <w:b/>
        </w:rPr>
        <w:t>DMLA exsudative (néovasculaire)</w:t>
      </w:r>
      <w:r>
        <w:t xml:space="preserve"> : traitement de première ligne chez l'adulte. Schéma initial de 3 injections mensuelles puis entretien mensuel ou PRN (pro re nata, à la demande) selon les recommandations.</w:t>
      </w:r>
    </w:p>
    <w:p>
      <w:pPr>
        <w:pStyle w:val="ListBullet"/>
      </w:pPr>
      <w:r/>
      <w:r>
        <w:rPr>
          <w:b/>
        </w:rPr>
        <w:t>Œdème maculaire diabétique (OMD)</w:t>
      </w:r>
      <w:r>
        <w:t xml:space="preserve"> : traitement de l'OMD avec baisse d'acuité visuelle, en cas d'épaississement maculaire central. Schéma initial de 3 injections mensuelles puis entretien.</w:t>
      </w:r>
    </w:p>
    <w:p>
      <w:pPr>
        <w:pStyle w:val="ListBullet"/>
      </w:pPr>
      <w:r/>
      <w:r>
        <w:rPr>
          <w:b/>
        </w:rPr>
        <w:t>Occlusion de veine centrale de la rétine (OVCR)</w:t>
      </w:r>
      <w:r>
        <w:t xml:space="preserve"> avec œdème maculaire : traitement de l'œdème maculaire secondaire à une OVCR, en cas de baisse d'acuité visuelle.</w:t>
      </w:r>
    </w:p>
    <w:p>
      <w:pPr>
        <w:pStyle w:val="ListBullet"/>
      </w:pPr>
      <w:r/>
      <w:r>
        <w:rPr>
          <w:b/>
        </w:rPr>
        <w:t>Occlusion de branche veineuse rétinienne (OBVR)</w:t>
      </w:r>
      <w:r>
        <w:t xml:space="preserve"> avec œdème maculaire : même schéma.</w:t>
      </w:r>
    </w:p>
    <w:p>
      <w:pPr>
        <w:pStyle w:val="ListBullet"/>
      </w:pPr>
      <w:r/>
      <w:r>
        <w:rPr>
          <w:b/>
        </w:rPr>
        <w:t>Rétinopathie diabétique proliférante</w:t>
      </w:r>
      <w:r>
        <w:t xml:space="preserve"> : alternative à la photocoagulation panrétinienne, surtout en cas d'œdème maculaire associé.</w:t>
      </w:r>
    </w:p>
    <w:p>
      <w:pPr>
        <w:pStyle w:val="ListBullet"/>
      </w:pPr>
      <w:r/>
      <w:r>
        <w:rPr>
          <w:b/>
        </w:rPr>
        <w:t>Myopie forte pathologique</w:t>
      </w:r>
      <w:r>
        <w:t xml:space="preserve"> avec néovaisseaux choroïdiens : traitement de l'OMD et des néovaisseaux choroïdiens secondaires à la myopie forte.</w:t>
      </w:r>
    </w:p>
    <w:p>
      <w:pPr>
        <w:pStyle w:val="ListBullet"/>
      </w:pPr>
      <w:r/>
      <w:r>
        <w:rPr>
          <w:b/>
        </w:rPr>
        <w:t>Néovaisseaux choroïdiens de l'enfant</w:t>
      </w:r>
      <w:r>
        <w:t xml:space="preserve"> (≤ 12 ans) : à la dose réduite de 0,125 mg dans 0,05 mL.</w:t>
      </w:r>
    </w:p>
    <w:p>
      <w:pPr>
        <w:pStyle w:val="Heading4"/>
      </w:pPr>
      <w:r>
        <w:t>5. Contre-indications</w:t>
      </w:r>
    </w:p>
    <w:p>
      <w:r>
        <w:t>Les contre-indications du ranibizumab sont peu nombreuses mais doivent être respectées :</w:t>
      </w:r>
    </w:p>
    <w:p>
      <w:pPr>
        <w:pStyle w:val="ListBullet"/>
      </w:pPr>
      <w:r/>
      <w:r>
        <w:rPr>
          <w:b/>
        </w:rPr>
        <w:t>Hypersensibilité</w:t>
      </w:r>
      <w:r>
        <w:t xml:space="preserve"> au ranibizumab ou à l'un des excipients.</w:t>
      </w:r>
    </w:p>
    <w:p>
      <w:pPr>
        <w:pStyle w:val="ListBullet"/>
      </w:pPr>
      <w:r/>
      <w:r>
        <w:rPr>
          <w:b/>
        </w:rPr>
        <w:t>Infection intraoculaire évolutive</w:t>
      </w:r>
      <w:r>
        <w:t xml:space="preserve"> (endophtalmie, panophtalmie) : contre-indication absolue.</w:t>
      </w:r>
    </w:p>
    <w:p>
      <w:pPr>
        <w:pStyle w:val="ListBullet"/>
      </w:pPr>
      <w:r/>
      <w:r>
        <w:rPr>
          <w:b/>
        </w:rPr>
        <w:t>Inflammation intraoculaire sévère</w:t>
      </w:r>
      <w:r>
        <w:t xml:space="preserve"> (uvéite antérieure ou postérieure active) : à traiter avant l'injection.</w:t>
      </w:r>
    </w:p>
    <w:p>
      <w:pPr>
        <w:pStyle w:val="ListBullet"/>
      </w:pPr>
      <w:r/>
      <w:r>
        <w:rPr>
          <w:b/>
        </w:rPr>
        <w:t>Grossesse</w:t>
      </w:r>
      <w:r>
        <w:t xml:space="preserve"> : les données animales montrent une toxicité fœtale (embryotoxicité, tératogénicité); à éviter chez la femme enceinte ou en âge de procréer sans contraception efficace.</w:t>
      </w:r>
    </w:p>
    <w:p>
      <w:pPr>
        <w:pStyle w:val="ListBullet"/>
      </w:pPr>
      <w:r/>
      <w:r>
        <w:rPr>
          <w:b/>
        </w:rPr>
        <w:t>Allaitement</w:t>
      </w:r>
      <w:r>
        <w:t xml:space="preserve"> : à éviter en raison du passage éventuel dans le lait maternel.</w:t>
      </w:r>
    </w:p>
    <w:p>
      <w:pPr>
        <w:pStyle w:val="Heading4"/>
      </w:pPr>
      <w:r>
        <w:t>6. Précautions d'emploi et mises en garde</w:t>
      </w:r>
    </w:p>
    <w:p>
      <w:r>
        <w:t>Les précautions d'emploi incluent :</w:t>
      </w:r>
    </w:p>
    <w:p>
      <w:pPr>
        <w:pStyle w:val="ListBullet"/>
      </w:pPr>
      <w:r/>
      <w:r>
        <w:rPr>
          <w:b/>
        </w:rPr>
        <w:t>Conditions d'administration</w:t>
      </w:r>
      <w:r>
        <w:t xml:space="preserve"> : injection intravitréenne par un ophtalmologiste expérimenté, en milieu stérile (bloc opératoire ou salle dédiée), avec antisepsie rigoureuse (povidone iodée 5 %).</w:t>
      </w:r>
    </w:p>
    <w:p>
      <w:pPr>
        <w:pStyle w:val="ListBullet"/>
      </w:pPr>
      <w:r/>
      <w:r>
        <w:rPr>
          <w:b/>
        </w:rPr>
        <w:t>Surveillance post-injection</w:t>
      </w:r>
      <w:r>
        <w:t xml:space="preserve"> : mesure de la PIO à 10, 30, 60 minutes ; examen à la lampe à fente pour rechercher une hémorragie sous-conjonctivale, un sang dans la chambre antérieure, une endophtalmie (œil rouge, douleur, baisse d'acuité visuelle) ; vérification du réflexe pupillaire et de la perception lumineuse.</w:t>
      </w:r>
    </w:p>
    <w:p>
      <w:pPr>
        <w:pStyle w:val="ListBullet"/>
      </w:pPr>
      <w:r/>
      <w:r>
        <w:rPr>
          <w:b/>
        </w:rPr>
        <w:t>Anticoagulants et antiagrégants</w:t>
      </w:r>
      <w:r>
        <w:t xml:space="preserve"> : pas de contre-indication formelle, mais prudence en raison du risque accru d'hémorragie sous-conjonctivale ou intravitréenne. Ne pas arrêter l'aspirine si elle est justifiée (AC/FA, stent coronaire), mais évaluer le rapport bénéfice/risque.</w:t>
      </w:r>
    </w:p>
    <w:p>
      <w:pPr>
        <w:pStyle w:val="ListBullet"/>
      </w:pPr>
      <w:r/>
      <w:r>
        <w:rPr>
          <w:b/>
        </w:rPr>
        <w:t>Patient avec AVC ou IDM récent</w:t>
      </w:r>
      <w:r>
        <w:t xml:space="preserve"> (&lt; 3 mois) : prudence en raison du risque thrombo-embolique (débattu, mais à considérer).</w:t>
      </w:r>
    </w:p>
    <w:p>
      <w:pPr>
        <w:pStyle w:val="ListBullet"/>
      </w:pPr>
      <w:r/>
      <w:r>
        <w:rPr>
          <w:b/>
        </w:rPr>
        <w:t>Patient avec insuffisance rénale ou hépatique</w:t>
      </w:r>
      <w:r>
        <w:t xml:space="preserve"> : pas d'adaptation posologique (la voie intravitréenne est indépendante de la clairance rénale).</w:t>
      </w:r>
    </w:p>
    <w:p>
      <w:pPr>
        <w:pStyle w:val="ListBullet"/>
      </w:pPr>
      <w:r/>
      <w:r>
        <w:rPr>
          <w:b/>
        </w:rPr>
        <w:t>Patient âgé</w:t>
      </w:r>
      <w:r>
        <w:t xml:space="preserve"> : pas d'adaptation posologique.</w:t>
      </w:r>
    </w:p>
    <w:p>
      <w:pPr>
        <w:pStyle w:val="ListBullet"/>
      </w:pPr>
      <w:r/>
      <w:r>
        <w:rPr>
          <w:b/>
        </w:rPr>
        <w:t>Enfant</w:t>
      </w:r>
      <w:r>
        <w:t xml:space="preserve"> : dose réduite de 0,125 mg dans 0,05 mL.</w:t>
      </w:r>
    </w:p>
    <w:p>
      <w:pPr>
        <w:pStyle w:val="ListBullet"/>
      </w:pPr>
      <w:r/>
      <w:r>
        <w:rPr>
          <w:b/>
        </w:rPr>
        <w:t>Information du patient</w:t>
      </w:r>
      <w:r>
        <w:t xml:space="preserve"> : expliquer le geste, les risques (1–2 % d'effets indésirables sérieux), la nécessité d'un suivi régulier (OCT mensuel les 3 premiers mois, puis trimestriel).</w:t>
      </w:r>
    </w:p>
    <w:p>
      <w:pPr>
        <w:pStyle w:val="Heading4"/>
      </w:pPr>
      <w:r>
        <w:t>7. Effets indésirables</w:t>
      </w:r>
    </w:p>
    <w:p>
      <w:r>
        <w:t>Les effets indésirables du ranibizumab sont classés en locaux oculaires et systémiques :</w:t>
      </w:r>
    </w:p>
    <w:p>
      <w:pPr>
        <w:pStyle w:val="ListBullet"/>
      </w:pPr>
      <w:r/>
      <w:r>
        <w:rPr>
          <w:b/>
        </w:rPr>
        <w:t>Locaux oculaires fréquents (&gt; 1/100)</w:t>
      </w:r>
      <w:r>
        <w:t xml:space="preserve"> : douleur à l'injection, hémorragie sous-conjonctivale, hémorragie conjonctivale, hyperhémie conjonctivale, corps flottants vitréens, augmentation transitoire de la PIO, vision trouble transitoire, kératite ponctuée superficielle, sécheresse oculaire.</w:t>
      </w:r>
    </w:p>
    <w:p>
      <w:pPr>
        <w:pStyle w:val="ListBullet"/>
      </w:pPr>
      <w:r/>
      <w:r>
        <w:rPr>
          <w:b/>
        </w:rPr>
        <w:t>Locaux oculaires peu fréquents (&gt; 1/1000 à &lt; 1/100)</w:t>
      </w:r>
      <w:r>
        <w:t xml:space="preserve"> : endophtalmie (0,02–0,1 % par injection), décollement de rétine rhegmatogène (0,1–0,5 %), déchirure rétinienne, hémorragie intravitréenne (0,5–2 %), cataracte (progression ou cataracte traumatique), uvéite, iritis, dépôts pigmentés rétiniens.</w:t>
      </w:r>
    </w:p>
    <w:p>
      <w:pPr>
        <w:pStyle w:val="ListBullet"/>
      </w:pPr>
      <w:r/>
      <w:r>
        <w:rPr>
          <w:b/>
        </w:rPr>
        <w:t>Locaux oculaires rares (&lt; 1/1000)</w:t>
      </w:r>
      <w:r>
        <w:t xml:space="preserve"> : panophtalmie, opacification cornéenne, œdème cornéen.</w:t>
      </w:r>
    </w:p>
    <w:p>
      <w:pPr>
        <w:pStyle w:val="ListBullet"/>
      </w:pPr>
      <w:r/>
      <w:r>
        <w:rPr>
          <w:b/>
        </w:rPr>
        <w:t>Systémiques</w:t>
      </w:r>
      <w:r>
        <w:t xml:space="preserve"> : augmentation de la pression artérielle, événements thrombo-emboliques (AVC ischémique, infarctus du myocarde, embolie pulmonaire) — incidence &lt; 1 % par injection, débattue en raison du biais de sélection (patients âgés, vasculopathies sous-jacentes).</w:t>
      </w:r>
    </w:p>
    <w:p>
      <w:pPr>
        <w:pStyle w:val="ListBullet"/>
      </w:pPr>
      <w:r/>
      <w:r>
        <w:rPr>
          <w:b/>
        </w:rPr>
        <w:t>Immunogénicité</w:t>
      </w:r>
      <w:r>
        <w:t xml:space="preserve"> : anticorps anti-médicament (ADA) chez 1–7 % des patients, sans conséquence clinique habituelle (perte d'efficacité rare).</w:t>
      </w:r>
    </w:p>
    <w:p>
      <w:pPr>
        <w:pStyle w:val="ListBullet"/>
      </w:pPr>
      <w:r/>
      <w:r>
        <w:rPr>
          <w:b/>
        </w:rPr>
        <w:t>Allergiques</w:t>
      </w:r>
      <w:r>
        <w:t xml:space="preserve"> : rares cas d'hypersensibilité (urticaire, rash, prurit, œdème de Quincke, choc anaphylactique).</w:t>
      </w:r>
    </w:p>
    <w:p>
      <w:pPr>
        <w:pStyle w:val="Heading4"/>
      </w:pPr>
      <w:r>
        <w:t>8. Interactions médicamenteuses</w:t>
      </w:r>
    </w:p>
    <w:p>
      <w:r>
        <w:t>Les interactions médicamenteuses sont limitées :</w:t>
      </w:r>
    </w:p>
    <w:p>
      <w:pPr>
        <w:pStyle w:val="ListBullet"/>
      </w:pPr>
      <w:r/>
      <w:r>
        <w:rPr>
          <w:b/>
        </w:rPr>
        <w:t>Photocoagulation laser</w:t>
      </w:r>
      <w:r>
        <w:t xml:space="preserve"> : peut être associée au ranibizumab (en cas de rétinopathie diabétique proliférante), en espaçant les deux procédures de 1 semaine.</w:t>
      </w:r>
    </w:p>
    <w:p>
      <w:pPr>
        <w:pStyle w:val="ListBullet"/>
      </w:pPr>
      <w:r/>
      <w:r>
        <w:rPr>
          <w:b/>
        </w:rPr>
        <w:t>Anticoagulants oraux (AVK, AOD)</w:t>
      </w:r>
      <w:r>
        <w:t xml:space="preserve"> : pas de contre-indication, mais majoration du risque d'hémorragie sous-conjonctivale ou intravitréenne ; surveillance accrue.</w:t>
      </w:r>
    </w:p>
    <w:p>
      <w:pPr>
        <w:pStyle w:val="ListBullet"/>
      </w:pPr>
      <w:r/>
      <w:r>
        <w:rPr>
          <w:b/>
        </w:rPr>
        <w:t>Antiagrégants plaquettaires (aspirine, clopidogrel)</w:t>
      </w:r>
      <w:r>
        <w:t xml:space="preserve"> : pas de contre-indication, surveillance accrue.</w:t>
      </w:r>
    </w:p>
    <w:p>
      <w:pPr>
        <w:pStyle w:val="ListBullet"/>
      </w:pPr>
      <w:r/>
      <w:r>
        <w:rPr>
          <w:b/>
        </w:rPr>
        <w:t>Autres anti-VEGF intravitréens</w:t>
      </w:r>
      <w:r>
        <w:t xml:space="preserve"> : à ne pas associer (potentialisation des effets indésirables systémiques).</w:t>
      </w:r>
    </w:p>
    <w:p>
      <w:pPr>
        <w:pStyle w:val="ListBullet"/>
      </w:pPr>
      <w:r/>
      <w:r>
        <w:rPr>
          <w:b/>
        </w:rPr>
        <w:t>Corticoïdes intravitréens (dexaméthasone implant, triamcinolone)</w:t>
      </w:r>
      <w:r>
        <w:t xml:space="preserve"> : peuvent être associés en alternance, notamment dans l'OMD réfractaire.</w:t>
      </w:r>
    </w:p>
    <w:p>
      <w:pPr>
        <w:pStyle w:val="ListBullet"/>
      </w:pPr>
      <w:r/>
      <w:r>
        <w:rPr>
          <w:b/>
        </w:rPr>
        <w:t>Vaccins</w:t>
      </w:r>
      <w:r>
        <w:t xml:space="preserve"> : éviter les vaccins vivants atténués pendant le traitement (en raison de l'immunosuppression théorique liée au blocage du VEGF sur la réponse immunitaire).</w:t>
      </w:r>
    </w:p>
    <w:p>
      <w:pPr>
        <w:pStyle w:val="Heading4"/>
      </w:pPr>
      <w:r>
        <w:t>9. Posologie et mode d'administration</w:t>
      </w:r>
    </w:p>
    <w:p>
      <w:r>
        <w:t>La posologie usuelle du ranibizumab est :</w:t>
      </w:r>
    </w:p>
    <w:p>
      <w:pPr>
        <w:pStyle w:val="ListBullet"/>
      </w:pPr>
      <w:r/>
      <w:r>
        <w:rPr>
          <w:b/>
        </w:rPr>
        <w:t>Adulte</w:t>
      </w:r>
      <w:r>
        <w:t xml:space="preserve"> : 0,5 mg (50 µL de solution à 10 mg/mL) par injection intravitréenne.</w:t>
      </w:r>
    </w:p>
    <w:p>
      <w:pPr>
        <w:pStyle w:val="ListBullet"/>
      </w:pPr>
      <w:r/>
      <w:r>
        <w:rPr>
          <w:b/>
        </w:rPr>
        <w:t>Enfant (≤ 12 ans)</w:t>
      </w:r>
      <w:r>
        <w:t xml:space="preserve"> : 0,125 mg (50 µL de solution diluée) par injection intravitréenne.</w:t>
      </w:r>
    </w:p>
    <w:p>
      <w:r/>
      <w:r>
        <w:rPr>
          <w:b/>
        </w:rPr>
        <w:t>Schémas thérapeutiques validés</w:t>
      </w:r>
      <w:r>
        <w:t xml:space="preserve"> :</w:t>
      </w:r>
    </w:p>
    <w:p>
      <w:pPr>
        <w:pStyle w:val="ListBullet"/>
      </w:pPr>
      <w:r/>
      <w:r>
        <w:rPr>
          <w:b/>
        </w:rPr>
        <w:t>DMLA exsudative</w:t>
      </w:r>
      <w:r>
        <w:t xml:space="preserve"> : 3 injections mensuelles (M0, M1, M2), puis injections mensuelles ou en PRN (à la demande, selon les critères OCT et AV). Schéma "treat and extend" recommandé en pratique courante : intervalles progressivement espacés (4, 6, 8, 10, 12 semaines) selon la stabilité de la maladie.</w:t>
      </w:r>
    </w:p>
    <w:p>
      <w:pPr>
        <w:pStyle w:val="ListBullet"/>
      </w:pPr>
      <w:r/>
      <w:r>
        <w:rPr>
          <w:b/>
        </w:rPr>
        <w:t>OMD</w:t>
      </w:r>
      <w:r>
        <w:t xml:space="preserve"> : 3 injections mensuelles, puis 1 injection tous les 2 mois pendant 6 mois, puis en PRN selon les critères OCT.</w:t>
      </w:r>
    </w:p>
    <w:p>
      <w:pPr>
        <w:pStyle w:val="ListBullet"/>
      </w:pPr>
      <w:r/>
      <w:r>
        <w:rPr>
          <w:b/>
        </w:rPr>
        <w:t>OVCR/OBVR</w:t>
      </w:r>
      <w:r>
        <w:t xml:space="preserve"> : 1 injection mensuelle pendant 3 à 6 mois, puis en PRN ou treat and extend.</w:t>
      </w:r>
    </w:p>
    <w:p>
      <w:pPr>
        <w:pStyle w:val="ListBullet"/>
      </w:pPr>
      <w:r/>
      <w:r>
        <w:rPr>
          <w:b/>
        </w:rPr>
        <w:t>Myopie forte</w:t>
      </w:r>
      <w:r>
        <w:t xml:space="preserve"> : 1 injection, puis en PRN selon les critères OCT et angiographiques.</w:t>
      </w:r>
    </w:p>
    <w:p>
      <w:r/>
      <w:r>
        <w:rPr>
          <w:b/>
        </w:rPr>
        <w:t>Mode d'administration</w:t>
      </w:r>
      <w:r>
        <w:t xml:space="preserve"> : injection intravitréenne par un ophtalmologiste expérimenté en milieu stérile (bloc opératoire ou salle dédiée). Protocole :</w:t>
      </w:r>
    </w:p>
    <w:p>
      <w:pPr>
        <w:pStyle w:val="ListBullet"/>
      </w:pPr>
      <w:r>
        <w:t>Anesthésie topique : collyre anesthésique (oxybuprocaïne 0,4 % ou tétracaïne 1 %), 2 gouttes à 1 minute d'intervalle.</w:t>
      </w:r>
    </w:p>
    <w:p>
      <w:pPr>
        <w:pStyle w:val="ListBullet"/>
      </w:pPr>
      <w:r>
        <w:t>Antisepsie : povidone iodée 5 % en collyre, 2 gouttes à 1 minute d'intervalle ; povidone iodée 10 % sur la peau périoculaire.</w:t>
      </w:r>
    </w:p>
    <w:p>
      <w:pPr>
        <w:pStyle w:val="ListBullet"/>
      </w:pPr>
      <w:r>
        <w:t>Draping stérile : champ stérile perforé, blouse, gants stériles, masque.</w:t>
      </w:r>
    </w:p>
    <w:p>
      <w:pPr>
        <w:pStyle w:val="ListBullet"/>
      </w:pPr>
      <w:r>
        <w:t>Injection : à la seringue préremplie ou au flacon + seringue, aiguille 30 G, à 3,5–4 mm du limbe (en dehors des vaisseaux, en évitant les méridiens 3 et 9 h), volume injecté 0,05 mL.</w:t>
      </w:r>
    </w:p>
    <w:p>
      <w:pPr>
        <w:pStyle w:val="ListBullet"/>
      </w:pPr>
      <w:r>
        <w:t>Post-injection : mesure de la PIO à 10, 30, 60 minutes ; examen à la lampe à fente ; vérification du réflexe pupillaire et de la perception lumineuse.</w:t>
      </w:r>
    </w:p>
    <w:p>
      <w:pPr>
        <w:pStyle w:val="ListBullet"/>
      </w:pPr>
      <w:r>
        <w:t>Traitement antibiotique prophylactique local : discuté, généralement non systématique (étude CATT 2011 n'a pas montré de différence).</w:t>
      </w:r>
    </w:p>
    <w:p>
      <w:pPr>
        <w:pStyle w:val="Heading4"/>
      </w:pPr>
      <w:r>
        <w:t>10. Surdosage et conduite à tenir</w:t>
      </w:r>
    </w:p>
    <w:p>
      <w:r>
        <w:t>Le surdosage en ranibizumab par injection intravitréenne peut résulter d'une administration accidentelle d'un volume excessif ou d'une concentration supérieure. Les manifestations locales potentielles sont :</w:t>
      </w:r>
    </w:p>
    <w:p>
      <w:pPr>
        <w:pStyle w:val="ListBullet"/>
      </w:pPr>
      <w:r/>
      <w:r>
        <w:rPr>
          <w:b/>
        </w:rPr>
        <w:t>Hypertonie oculaire aiguë</w:t>
      </w:r>
      <w:r>
        <w:t xml:space="preserve"> sévère : à surveiller, traitement par hypotenseurs oculaires (timolol, apraclonidine, dorzolamide) et, si nécessaire, paracentèse de la chambre antérieure.</w:t>
      </w:r>
    </w:p>
    <w:p>
      <w:pPr>
        <w:pStyle w:val="ListBullet"/>
      </w:pPr>
      <w:r/>
      <w:r>
        <w:rPr>
          <w:b/>
        </w:rPr>
        <w:t>Inflammation intraoculaire</w:t>
      </w:r>
      <w:r>
        <w:t xml:space="preserve"> sévère : uvéite, endophtalmie sterile, à traiter par corticoïdes locaux ou systémiques.</w:t>
      </w:r>
    </w:p>
    <w:p>
      <w:pPr>
        <w:pStyle w:val="ListBullet"/>
      </w:pPr>
      <w:r/>
      <w:r>
        <w:rPr>
          <w:b/>
        </w:rPr>
        <w:t>Endophtalmie bactérienne</w:t>
      </w:r>
      <w:r>
        <w:t xml:space="preserve"> : en cas de non-respect de l'asepsie, à traiter en urgence (voir ci-dessous).</w:t>
      </w:r>
    </w:p>
    <w:p>
      <w:pPr>
        <w:pStyle w:val="ListBullet"/>
      </w:pPr>
      <w:r/>
      <w:r>
        <w:rPr>
          <w:b/>
        </w:rPr>
        <w:t>Effets systémiques</w:t>
      </w:r>
      <w:r>
        <w:t xml:space="preserve"> : théoriquement en cas d'injection massive accidentelle (extravasation systémique), événements thrombo-emboliques, hypotension, hypersensibilité.</w:t>
      </w:r>
    </w:p>
    <w:p>
      <w:r/>
      <w:r>
        <w:rPr>
          <w:b/>
        </w:rPr>
        <w:t>Conduite à tenir en cas d'endophtalmie</w:t>
      </w:r>
      <w:r>
        <w:t xml:space="preserve"> (urgence absolue) :</w:t>
      </w:r>
    </w:p>
    <w:p>
      <w:pPr>
        <w:pStyle w:val="ListBullet"/>
      </w:pPr>
      <w:r>
        <w:t>Examen ophtalmologique en urgence (acuité visuelle, lampe à fente, fond d'œil, échographie B si nécessaire).</w:t>
      </w:r>
    </w:p>
    <w:p>
      <w:pPr>
        <w:pStyle w:val="ListBullet"/>
      </w:pPr>
      <w:r>
        <w:t>Ponction de chambre antérieure et de vitré pour analyse microbiologique (Gram, culture).</w:t>
      </w:r>
    </w:p>
    <w:p>
      <w:pPr>
        <w:pStyle w:val="ListBullet"/>
      </w:pPr>
      <w:r>
        <w:t>Antibiothérapie intravitréenne empirique : vancomycine 1 mg + céftazidime 2,25 mg dans 0,1 mL.</w:t>
      </w:r>
    </w:p>
    <w:p>
      <w:pPr>
        <w:pStyle w:val="ListBullet"/>
      </w:pPr>
      <w:r>
        <w:t>Antibiothérapie systémique : vancomycine + céfépime IV, à adapter selon l'antibiogramme.</w:t>
      </w:r>
    </w:p>
    <w:p>
      <w:pPr>
        <w:pStyle w:val="ListBullet"/>
      </w:pPr>
      <w:r>
        <w:t>Corticothérapie systémique (prednisone 1 mg/kg/j) en l'absence de contre-indication.</w:t>
      </w:r>
    </w:p>
    <w:p>
      <w:pPr>
        <w:pStyle w:val="ListBullet"/>
      </w:pPr>
      <w:r>
        <w:t>Vitrectomie pars plana en cas d'évolution défavorable (abcès, décollement de rétine, non-contrôle de l'infection).</w:t>
      </w:r>
    </w:p>
    <w:p>
      <w:pPr>
        <w:pStyle w:val="ListBullet"/>
      </w:pPr>
      <w:r>
        <w:t>Hospitalisation en urgence en service d'ophtalmologie spécialisé.</w:t>
      </w:r>
    </w:p>
    <w:p>
      <w:pPr>
        <w:pStyle w:val="Heading4"/>
      </w:pPr>
      <w:r>
        <w:t>11. Spécialités pharmaceutiques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LUCENTIS</w:t>
            </w:r>
          </w:p>
        </w:tc>
        <w:tc>
          <w:tcPr>
            <w:tcW w:type="dxa" w:w="1559"/>
          </w:tcPr>
          <w:p>
            <w:r>
              <w:rPr>
                <w:sz w:val="20"/>
              </w:rPr>
              <w:t>NOVARTIS PHARMA SCHWEIZ AG</w:t>
            </w:r>
          </w:p>
        </w:tc>
        <w:tc>
          <w:tcPr>
            <w:tcW w:type="dxa" w:w="1559"/>
          </w:tcPr>
          <w:p>
            <w:r>
              <w:rPr>
                <w:sz w:val="20"/>
              </w:rPr>
              <w:t>Solution injectable intravitréenne 10 mg/mL (2,3 mg/0,23 mL)</w:t>
            </w:r>
          </w:p>
        </w:tc>
        <w:tc>
          <w:tcPr>
            <w:tcW w:type="dxa" w:w="1559"/>
          </w:tcPr>
          <w:p>
            <w:r>
              <w:rPr>
                <w:sz w:val="20"/>
              </w:rPr>
              <w:t>Boîte de 1 flacon (2,3 mg/0,23 mL) + 1 aiguille à filtre</w:t>
            </w:r>
          </w:p>
        </w:tc>
        <w:tc>
          <w:tcPr>
            <w:tcW w:type="dxa" w:w="1559"/>
          </w:tcPr>
          <w:p>
            <w:r>
              <w:rPr>
                <w:sz w:val="20"/>
              </w:rPr>
              <w:t>Liste I</w:t>
            </w:r>
          </w:p>
        </w:tc>
        <w:tc>
          <w:tcPr>
            <w:tcW w:type="dxa" w:w="1559"/>
          </w:tcPr>
          <w:p>
            <w:r>
              <w:rPr>
                <w:sz w:val="20"/>
              </w:rPr>
              <w:t>ACTIF</w:t>
            </w:r>
          </w:p>
        </w:tc>
      </w:tr>
      <w:tr>
        <w:tc>
          <w:tcPr>
            <w:tcW w:type="dxa" w:w="1559"/>
          </w:tcPr>
          <w:p>
            <w:r>
              <w:rPr>
                <w:sz w:val="20"/>
              </w:rPr>
              <w:t>RANIBIZUMAB-SAIDAL</w:t>
            </w:r>
          </w:p>
        </w:tc>
        <w:tc>
          <w:tcPr>
            <w:tcW w:type="dxa" w:w="1559"/>
          </w:tcPr>
          <w:p>
            <w:r>
              <w:rPr>
                <w:sz w:val="20"/>
              </w:rPr>
              <w:t>GROUPE SAIDAL</w:t>
            </w:r>
          </w:p>
        </w:tc>
        <w:tc>
          <w:tcPr>
            <w:tcW w:type="dxa" w:w="1559"/>
          </w:tcPr>
          <w:p>
            <w:r>
              <w:rPr>
                <w:sz w:val="20"/>
              </w:rPr>
              <w:t>Solution injectable en seringue préremplie 10 mg/mL (1,65 mg/0,165 mL)</w:t>
            </w:r>
          </w:p>
        </w:tc>
        <w:tc>
          <w:tcPr>
            <w:tcW w:type="dxa" w:w="1559"/>
          </w:tcPr>
          <w:p>
            <w:r>
              <w:rPr>
                <w:sz w:val="20"/>
              </w:rPr>
              <w:t>Boîte de 1 seringue préremplie de 0,165 mL</w:t>
            </w:r>
          </w:p>
        </w:tc>
        <w:tc>
          <w:tcPr>
            <w:tcW w:type="dxa" w:w="1559"/>
          </w:tcPr>
          <w:p>
            <w:r>
              <w:rPr>
                <w:sz w:val="20"/>
              </w:rPr>
              <w:t>Liste I</w:t>
            </w:r>
          </w:p>
        </w:tc>
        <w:tc>
          <w:tcPr>
            <w:tcW w:type="dxa" w:w="1559"/>
          </w:tcPr>
          <w:p>
            <w:r>
              <w:rPr>
                <w:sz w:val="20"/>
              </w:rPr>
              <w:t>ACTIF</w:t>
            </w:r>
          </w:p>
        </w:tc>
      </w:tr>
      <w:tr>
        <w:tc>
          <w:tcPr>
            <w:tcW w:type="dxa" w:w="1559"/>
          </w:tcPr>
          <w:p>
            <w:r>
              <w:rPr>
                <w:sz w:val="20"/>
              </w:rPr>
              <w:t>UPTERA</w:t>
            </w:r>
          </w:p>
        </w:tc>
        <w:tc>
          <w:tcPr>
            <w:tcW w:type="dxa" w:w="1559"/>
          </w:tcPr>
          <w:p>
            <w:r>
              <w:rPr>
                <w:sz w:val="20"/>
              </w:rPr>
              <w:t>EL KENDI INDUSTRIE DU MEDICAMENT</w:t>
            </w:r>
          </w:p>
        </w:tc>
        <w:tc>
          <w:tcPr>
            <w:tcW w:type="dxa" w:w="1559"/>
          </w:tcPr>
          <w:p>
            <w:r>
              <w:rPr>
                <w:sz w:val="20"/>
              </w:rPr>
              <w:t>Solution injectable intravitréenne 10 mg/mL (2,3 mg/0,23 mL)</w:t>
            </w:r>
          </w:p>
        </w:tc>
        <w:tc>
          <w:tcPr>
            <w:tcW w:type="dxa" w:w="1559"/>
          </w:tcPr>
          <w:p>
            <w:r>
              <w:rPr>
                <w:sz w:val="20"/>
              </w:rPr>
              <w:t>Boîte de 1 flacon en verre type I avec bouchon en caoutchouc</w:t>
            </w:r>
          </w:p>
        </w:tc>
        <w:tc>
          <w:tcPr>
            <w:tcW w:type="dxa" w:w="1559"/>
          </w:tcPr>
          <w:p>
            <w:r>
              <w:rPr>
                <w:sz w:val="20"/>
              </w:rPr>
              <w:t>Liste I</w:t>
            </w:r>
          </w:p>
        </w:tc>
        <w:tc>
          <w:tcPr>
            <w:tcW w:type="dxa" w:w="1559"/>
          </w:tcPr>
          <w:p>
            <w:r>
              <w:rPr>
                <w:sz w:val="20"/>
              </w:rPr>
              <w:t>ACTIF</w:t>
            </w:r>
          </w:p>
        </w:tc>
      </w:tr>
    </w:tbl>
    <w:p/>
    <w:p>
      <w:r/>
      <w:r>
        <w:rPr>
          <w:b/>
        </w:rPr>
        <w:t>Commentaire</w:t>
      </w:r>
      <w:r>
        <w:t xml:space="preserve"> : Le marché algérien du ranibizumab compte trois spécialités : l'innovateur </w:t>
      </w:r>
      <w:r>
        <w:rPr>
          <w:b/>
        </w:rPr>
        <w:t>LUCENTIS</w:t>
      </w:r>
      <w:r>
        <w:t xml:space="preserve"> (Novartis, pionnier de la classe), le biosimilaire </w:t>
      </w:r>
      <w:r>
        <w:rPr>
          <w:b/>
        </w:rPr>
        <w:t>RANIBIZUMAB-SAIDAL</w:t>
      </w:r>
      <w:r>
        <w:t xml:space="preserve"> (Groupe Saïdal) et une autre forme locale </w:t>
      </w:r>
      <w:r>
        <w:rPr>
          <w:b/>
        </w:rPr>
        <w:t>UPTERA</w:t>
      </w:r>
      <w:r>
        <w:t xml:space="preserve"> (El Kendi). La disponibilité de biosimilaires locaux devrait permettre un élargissement de l'accès à cette thérapeutique coûteuse. Le dosage de 2,3 mg/0,23 mL correspond à un surdosage relatif par rapport à la dose recommandée de 0,5 mg/0,05 mL — en pratique, les flacons contiennent un volume excédentaire permettant les pertes lors de la préparation et l'injection, mais la dose effectivement administrée doit être de 0,5 mg/0,05 mL.</w:t>
      </w:r>
    </w:p>
    <w:p>
      <w:pPr>
        <w:pStyle w:val="Heading4"/>
      </w:pPr>
      <w:r>
        <w:t>12. Éducation du patient et recommandations pratiques</w:t>
      </w:r>
    </w:p>
    <w:p>
      <w:r>
        <w:t xml:space="preserve">L'éducation du patient recevant du ranibizumab doit être </w:t>
      </w:r>
      <w:r>
        <w:rPr>
          <w:b/>
        </w:rPr>
        <w:t>complète et répétée</w:t>
      </w:r>
      <w:r>
        <w:t xml:space="preserve"> à chaque visite :</w:t>
      </w:r>
    </w:p>
    <w:p>
      <w:pPr>
        <w:pStyle w:val="ListBullet"/>
      </w:pPr>
      <w:r/>
      <w:r>
        <w:rPr>
          <w:b/>
        </w:rPr>
        <w:t>Information sur la maladie</w:t>
      </w:r>
      <w:r>
        <w:t xml:space="preserve"> : expliquer la pathologie sous-jacente (DMLA, OMD, OVCR), son évolution, l'objectif du traitement (stabilisation, amélioration), le caractère chronique de la maladie nécessitant un suivi prolongé.</w:t>
      </w:r>
    </w:p>
    <w:p>
      <w:pPr>
        <w:pStyle w:val="ListBullet"/>
      </w:pPr>
      <w:r/>
      <w:r>
        <w:rPr>
          <w:b/>
        </w:rPr>
        <w:t>Information sur le geste</w:t>
      </w:r>
      <w:r>
        <w:t xml:space="preserve"> : injection intravitréenne par un ophtalmologiste expérimenté en milieu stérile ; anesthésie topique (pas de douleur majeure) ; geste ambulatoire (entrée/sortie le jour même) ; durée 5–10 minutes par œil.</w:t>
      </w:r>
    </w:p>
    <w:p>
      <w:pPr>
        <w:pStyle w:val="ListBullet"/>
      </w:pPr>
      <w:r/>
      <w:r>
        <w:rPr>
          <w:b/>
        </w:rPr>
        <w:t>Risques principaux à expliquer</w:t>
      </w:r>
      <w:r>
        <w:t xml:space="preserve"> : endophtalmie (0,02–0,1 %), décollement de rétine (0,1–0,5 %), hémorragie intravitréenne (0,5–2 %), inflammation intraoculaire ; évolution spontanée de la maladie (vers la cécité) sans traitement ; bénéfice attendu (stabilisation dans 90 % des cas, amélioration dans 30–40 %).</w:t>
      </w:r>
    </w:p>
    <w:p>
      <w:pPr>
        <w:pStyle w:val="ListBullet"/>
      </w:pPr>
      <w:r/>
      <w:r>
        <w:rPr>
          <w:b/>
        </w:rPr>
        <w:t>Signes d'alerte post-injection</w:t>
      </w:r>
      <w:r>
        <w:t xml:space="preserve"> : douleur oculaire intense, rougeur marquée, baisse brutale d'acuité visuelle, halos lumineux, corps flottants, fièvre — consulter en urgence un ophtalmologiste.</w:t>
      </w:r>
    </w:p>
    <w:p>
      <w:pPr>
        <w:pStyle w:val="ListBullet"/>
      </w:pPr>
      <w:r/>
      <w:r>
        <w:rPr>
          <w:b/>
        </w:rPr>
        <w:t>Surveillance post-injection</w:t>
      </w:r>
      <w:r>
        <w:t xml:space="preserve"> : mesure de la PIO à 10, 30, 60 minutes ; examen à la lampe à fente ; pas de conduite automobile le jour de l'injection.</w:t>
      </w:r>
    </w:p>
    <w:p>
      <w:pPr>
        <w:pStyle w:val="ListBullet"/>
      </w:pPr>
      <w:r/>
      <w:r>
        <w:rPr>
          <w:b/>
        </w:rPr>
        <w:t>Suivi régulier</w:t>
      </w:r>
      <w:r>
        <w:t xml:space="preserve"> : consultation ophtalmologique avec OCT à 1 mois, puis selon le schéma (mensuel ou treat and extend) ; contrôle annuel de l'acuité visuelle, du fond d'œil et de l'OCT.</w:t>
      </w:r>
    </w:p>
    <w:p>
      <w:pPr>
        <w:pStyle w:val="ListBullet"/>
      </w:pPr>
      <w:r/>
      <w:r>
        <w:rPr>
          <w:b/>
        </w:rPr>
        <w:t>Précautions d'hygiène</w:t>
      </w:r>
      <w:r>
        <w:t xml:space="preserve"> : ne pas se frotter les yeux pendant 24 heures, ne pas nager pendant 1 semaine, éviter le maquillage des yeux pendant 48 heures.</w:t>
      </w:r>
    </w:p>
    <w:p>
      <w:pPr>
        <w:pStyle w:val="ListBullet"/>
      </w:pPr>
      <w:r/>
      <w:r>
        <w:rPr>
          <w:b/>
        </w:rPr>
        <w:t>Coordination multidisciplinaire</w:t>
      </w:r>
      <w:r>
        <w:t xml:space="preserve"> : en cas de diabète, contrôle glycémique strict (HbA1c &lt; 7 %), contrôle tensionnel (PA &lt; 140/90 mmHg), contrôle lipidique (LDL &lt; 1 g/L) ; en cas de DMLA, contrôle des facteurs de risque cardiovasculaires (tabac, hypertension, dyslipidémie).</w:t>
      </w:r>
    </w:p>
    <w:p>
      <w:pPr>
        <w:pStyle w:val="ListBullet"/>
      </w:pPr>
      <w:r/>
      <w:r>
        <w:rPr>
          <w:b/>
        </w:rPr>
        <w:t>Anticoagulants et antiagrégants</w:t>
      </w:r>
      <w:r>
        <w:t xml:space="preserve"> : ne pas arrêter sans avis médical ; prévenir l'ophtalmologiste de tout traitement en cours.</w:t>
      </w:r>
    </w:p>
    <w:p>
      <w:pPr>
        <w:pStyle w:val="Heading3"/>
      </w:pPr>
      <w:r>
        <w:t>144.3.3 DCI : BEVACIZUMAB (usage ophtalmique)</w:t>
      </w:r>
    </w:p>
    <w:p>
      <w:pPr>
        <w:pStyle w:val="Heading4"/>
      </w:pPr>
      <w:r>
        <w:t>1. Identification et classification</w:t>
      </w:r>
    </w:p>
    <w:p>
      <w:r>
        <w:t xml:space="preserve">Le </w:t>
      </w:r>
      <w:r>
        <w:rPr>
          <w:b/>
        </w:rPr>
        <w:t>bévacizumab</w:t>
      </w:r>
      <w:r>
        <w:t xml:space="preserve"> (DCI) est un </w:t>
      </w:r>
      <w:r>
        <w:rPr>
          <w:b/>
        </w:rPr>
        <w:t>anticorps monoclonal recombinant humanisé de type IgG1</w:t>
      </w:r>
      <w:r>
        <w:t>, dirigé contre toutes les isoformes du VEGF-A. Produit par technologie de l'ADN recombinant dans des cellules CHO, il a une masse moléculaire de 149 kDa (deux chaînes lourdes et deux chaînes légères). Initialement développé et commercialisé pour le traitement des cancers (colorectal métastatique, mammaire, pulmonaire, ovarien, glioblastome) par voie intraveineuse sous le nom d'</w:t>
      </w:r>
      <w:r>
        <w:rPr>
          <w:b/>
        </w:rPr>
        <w:t>AVASTIN</w:t>
      </w:r>
      <w:r>
        <w:t xml:space="preserve"> (Roche), il est largement utilisé en ophtalmologie par voie intravitréenne </w:t>
      </w:r>
      <w:r>
        <w:rPr>
          <w:b/>
        </w:rPr>
        <w:t>hors AMM stricte</w:t>
      </w:r>
      <w:r>
        <w:t xml:space="preserve"> (off-label), en raison de son coût considérablement inférieur à celui du ranibizumab et de l'aflibercept. En Algérie, plusieurs spécialités sont disponibles à la concentration de 25 mg/mL, en flacons de 4 mL (100 mg) et 16 mL (400 mg) : ACURA (El Kendi), AVEGRA BIOCAD (JSC Biocad), BEVACIZUMAB-SAIDAL (Saïdal), SIMBIVA (Biocon Biologics), VERSAVO (Orion Lab), ZIRABEV (Pfizer). L'originateur AVASTIN (Roche) est non renouvelable en Algérie, et MVASI (Amgen) est retiré.</w:t>
      </w:r>
    </w:p>
    <w:p>
      <w:pPr>
        <w:pStyle w:val="Heading4"/>
      </w:pPr>
      <w:r>
        <w:t>2. Mécanisme d'action</w:t>
      </w:r>
    </w:p>
    <w:p>
      <w:r>
        <w:t xml:space="preserve">Le bévacizumab est un </w:t>
      </w:r>
      <w:r>
        <w:rPr>
          <w:b/>
        </w:rPr>
        <w:t>antagoniste du VEGF-A</w:t>
      </w:r>
      <w:r>
        <w:t xml:space="preserve"> par liaison spécifique de haute affinité à toutes les isoformes du VEGF-A, empêchant leur fixation aux récepteurs VEGFR-1 et VEGFR-2. Le blocage de la voie VEGF/VEGFR produit les mêmes effets que le ranibizumab :</w:t>
      </w:r>
    </w:p>
    <w:p>
      <w:pPr>
        <w:pStyle w:val="ListBullet"/>
      </w:pPr>
      <w:r>
        <w:t>Inhibition de la prolifération et de la migration endothéliales.</w:t>
      </w:r>
    </w:p>
    <w:p>
      <w:pPr>
        <w:pStyle w:val="ListBullet"/>
      </w:pPr>
      <w:r>
        <w:t>Réduction de la perméabilité vasculaire et de l'œdème maculaire.</w:t>
      </w:r>
    </w:p>
    <w:p>
      <w:pPr>
        <w:pStyle w:val="ListBullet"/>
      </w:pPr>
      <w:r>
        <w:t>Régression des néovaisseaux choroïdiens et rétiniens.</w:t>
      </w:r>
    </w:p>
    <w:p>
      <w:pPr>
        <w:pStyle w:val="ListBullet"/>
      </w:pPr>
      <w:r>
        <w:t>Stabilisation de la barrière hémato-rétinienne.</w:t>
      </w:r>
    </w:p>
    <w:p>
      <w:r>
        <w:t xml:space="preserve">La différence pharmacologique majeure avec le ranibizumab réside dans la </w:t>
      </w:r>
      <w:r>
        <w:rPr>
          <w:b/>
        </w:rPr>
        <w:t>structure moléculaire</w:t>
      </w:r>
      <w:r>
        <w:t xml:space="preserve"> : le bévacizumab est un </w:t>
      </w:r>
      <w:r>
        <w:rPr>
          <w:b/>
        </w:rPr>
        <w:t>anticorps entier</w:t>
      </w:r>
      <w:r>
        <w:t xml:space="preserve"> (IgG1) avec la portion Fc, alors que le ranibizumab est un </w:t>
      </w:r>
      <w:r>
        <w:rPr>
          <w:b/>
        </w:rPr>
        <w:t>fragment Fab</w:t>
      </w:r>
      <w:r>
        <w:t xml:space="preserve"> sans portion Fc. Cette différence structurale a plusieurs conséquences :</w:t>
      </w:r>
    </w:p>
    <w:p>
      <w:pPr>
        <w:pStyle w:val="ListBullet"/>
      </w:pPr>
      <w:r>
        <w:t xml:space="preserve">La </w:t>
      </w:r>
      <w:r>
        <w:rPr>
          <w:b/>
        </w:rPr>
        <w:t>taille</w:t>
      </w:r>
      <w:r>
        <w:t xml:space="preserve"> (149 kDa vs 48 kDa) : le bévacizumab est trois fois plus volumineux, ce qui limite théoriquement sa pénétration rétinienne. Les études cliniques n'ont cependant pas montré de différence significative d'efficacité entre les deux molécules (étude CATT, IVAN).</w:t>
      </w:r>
    </w:p>
    <w:p>
      <w:pPr>
        <w:pStyle w:val="ListBullet"/>
      </w:pPr>
      <w:r>
        <w:t xml:space="preserve">La </w:t>
      </w:r>
      <w:r>
        <w:rPr>
          <w:b/>
        </w:rPr>
        <w:t>demi-vie systémique</w:t>
      </w:r>
      <w:r>
        <w:t xml:space="preserve"> (20 jours vs 2–3 jours) : le bévacizumab persiste plus longtemps dans la circulation systémique, ce qui pourrait théoriquement augmenter le risque d'effets systémiques (thrombo-emboliques), mais les études n'ont pas confirmé de différence clinique significative.</w:t>
      </w:r>
    </w:p>
    <w:p>
      <w:pPr>
        <w:pStyle w:val="ListBullet"/>
      </w:pPr>
      <w:r>
        <w:t xml:space="preserve">Le </w:t>
      </w:r>
      <w:r>
        <w:rPr>
          <w:b/>
        </w:rPr>
        <w:t>recyclage FcRn</w:t>
      </w:r>
      <w:r>
        <w:t xml:space="preserve"> : le bévacizumab, en raison de sa portion Fc, est recyclé par les récepteurs FcRn endothéliaux, prolongeant sa demi-vie plasmatique.</w:t>
      </w:r>
    </w:p>
    <w:p>
      <w:pPr>
        <w:pStyle w:val="ListBullet"/>
      </w:pPr>
      <w:r>
        <w:t xml:space="preserve">Le </w:t>
      </w:r>
      <w:r>
        <w:rPr>
          <w:b/>
        </w:rPr>
        <w:t>potentiel immunogène</w:t>
      </w:r>
      <w:r>
        <w:t xml:space="preserve"> : théoriquement plus élevé pour le bévacizumab (anticorps entier), mais les études n'ont pas montré de différence significative en pratique.</w:t>
      </w:r>
    </w:p>
    <w:p>
      <w:pPr>
        <w:pStyle w:val="Heading4"/>
      </w:pPr>
      <w:r>
        <w:t>3. Pharmacocinétique</w:t>
      </w:r>
    </w:p>
    <w:p>
      <w:r>
        <w:t xml:space="preserve">Après </w:t>
      </w:r>
      <w:r>
        <w:rPr>
          <w:b/>
        </w:rPr>
        <w:t>injection intravitréenne</w:t>
      </w:r>
      <w:r>
        <w:t xml:space="preserve"> de 1,25 mg (dose habituelle, correspondant à 0,05 mL de la solution à 25 mg/mL dilué), le bévacizumab se distribue dans le vitré et diffuse à travers les couches rétiniennes jusqu'à l'EPR. La </w:t>
      </w:r>
      <w:r>
        <w:rPr>
          <w:b/>
        </w:rPr>
        <w:t>demi-vie vitréenne</w:t>
      </w:r>
      <w:r>
        <w:t xml:space="preserve"> est de l'ordre de </w:t>
      </w:r>
      <w:r>
        <w:rPr>
          <w:b/>
        </w:rPr>
        <w:t>9 à 10 jours</w:t>
      </w:r>
      <w:r>
        <w:t xml:space="preserve"> chez l'homme (similaire à celle du ranibizumab). La concentration intravitréenne thérapeutique est maintenue pendant environ 1 mois.</w:t>
      </w:r>
    </w:p>
    <w:p>
      <w:r>
        <w:t xml:space="preserve">Le passage systémique est plus marqué qu'avec le ranibizumab, en raison de la taille plus importante et du recyclage FcRn : la concentration plasmatique maximale est de l'ordre de 1–10 ng/mL, atteinte en 1–3 jours après l'injection. La </w:t>
      </w:r>
      <w:r>
        <w:rPr>
          <w:b/>
        </w:rPr>
        <w:t>demi-vie plasmatique</w:t>
      </w:r>
      <w:r>
        <w:t xml:space="preserve"> est longue, de l'ordre de </w:t>
      </w:r>
      <w:r>
        <w:rPr>
          <w:b/>
        </w:rPr>
        <w:t>20 jours</w:t>
      </w:r>
      <w:r>
        <w:t>, comparable à celle observée après administration intraveineuse à doses oncologiques.</w:t>
      </w:r>
    </w:p>
    <w:p>
      <w:r>
        <w:t xml:space="preserve">La </w:t>
      </w:r>
      <w:r>
        <w:rPr>
          <w:b/>
        </w:rPr>
        <w:t>biodisponibilité systémique</w:t>
      </w:r>
      <w:r>
        <w:t xml:space="preserve"> est faible mais supérieure à celle du ranibizumab, ce qui pourrait expliquer un risque thrombo-embolique théoriquement plus élevé. La production d'anticorps anti-médicament (ADA) est observée chez environ 1–3 % des patients traités, sans conséquence clinique habituelle.</w:t>
      </w:r>
    </w:p>
    <w:p>
      <w:pPr>
        <w:pStyle w:val="Heading4"/>
      </w:pPr>
      <w:r>
        <w:t>4. Indications thérapeutiques</w:t>
      </w:r>
    </w:p>
    <w:p>
      <w:r>
        <w:t xml:space="preserve">Le bévacizumab ophtalmologique est utilisé </w:t>
      </w:r>
      <w:r>
        <w:rPr>
          <w:b/>
        </w:rPr>
        <w:t>hors AMM stricte</w:t>
      </w:r>
      <w:r>
        <w:t xml:space="preserve"> (off-label) pour les indications suivantes, validées par les recommandations des sociétés savantes (EURETINA, AAO, Retina Society) :</w:t>
      </w:r>
    </w:p>
    <w:p>
      <w:pPr>
        <w:pStyle w:val="ListBullet"/>
      </w:pPr>
      <w:r/>
      <w:r>
        <w:rPr>
          <w:b/>
        </w:rPr>
        <w:t>DMLA exsudative (néovasculaire)</w:t>
      </w:r>
      <w:r>
        <w:t xml:space="preserve"> : alternative de première ligne, en particulier dans les pays à accès limité au ranibizumab et à l'aflibercept en raison du coût.</w:t>
      </w:r>
    </w:p>
    <w:p>
      <w:pPr>
        <w:pStyle w:val="ListBullet"/>
      </w:pPr>
      <w:r/>
      <w:r>
        <w:rPr>
          <w:b/>
        </w:rPr>
        <w:t>Œdème maculaire diabétique (OMD)</w:t>
      </w:r>
      <w:r>
        <w:t xml:space="preserve"> : alternative au ranibizumab et à l'aflibercept.</w:t>
      </w:r>
    </w:p>
    <w:p>
      <w:pPr>
        <w:pStyle w:val="ListBullet"/>
      </w:pPr>
      <w:r/>
      <w:r>
        <w:rPr>
          <w:b/>
        </w:rPr>
        <w:t>Occlusion de veine centrale de la rétine (OVCR)</w:t>
      </w:r>
      <w:r>
        <w:t xml:space="preserve"> avec œdème maculaire.</w:t>
      </w:r>
    </w:p>
    <w:p>
      <w:pPr>
        <w:pStyle w:val="ListBullet"/>
      </w:pPr>
      <w:r/>
      <w:r>
        <w:rPr>
          <w:b/>
        </w:rPr>
        <w:t>Occlusion de branche veineuse rétinienne (OBVR)</w:t>
      </w:r>
      <w:r>
        <w:t xml:space="preserve"> avec œdème maculaire.</w:t>
      </w:r>
    </w:p>
    <w:p>
      <w:pPr>
        <w:pStyle w:val="ListBullet"/>
      </w:pPr>
      <w:r/>
      <w:r>
        <w:rPr>
          <w:b/>
        </w:rPr>
        <w:t>Rétinopathie diabétique proliférante</w:t>
      </w:r>
      <w:r>
        <w:t xml:space="preserve"> : alternative à la photocoagulation panrétinienne.</w:t>
      </w:r>
    </w:p>
    <w:p>
      <w:pPr>
        <w:pStyle w:val="ListBullet"/>
      </w:pPr>
      <w:r/>
      <w:r>
        <w:rPr>
          <w:b/>
        </w:rPr>
        <w:t>Myopie forte pathologique</w:t>
      </w:r>
      <w:r>
        <w:t xml:space="preserve"> avec néovaisseaux choroïdiens.</w:t>
      </w:r>
    </w:p>
    <w:p>
      <w:pPr>
        <w:pStyle w:val="ListBullet"/>
      </w:pPr>
      <w:r/>
      <w:r>
        <w:rPr>
          <w:b/>
        </w:rPr>
        <w:t>Néovaisseaux choroïdiens inflammatoires</w:t>
      </w:r>
      <w:r>
        <w:t xml:space="preserve"> (uvéites, choriorétinopathie de Birdshot, etc.).</w:t>
      </w:r>
    </w:p>
    <w:p>
      <w:pPr>
        <w:pStyle w:val="ListBullet"/>
      </w:pPr>
      <w:r/>
      <w:r>
        <w:rPr>
          <w:b/>
        </w:rPr>
        <w:t>Œdème maculaire secondaire à une uvéite</w:t>
      </w:r>
      <w:r>
        <w:t>.</w:t>
      </w:r>
    </w:p>
    <w:p>
      <w:pPr>
        <w:pStyle w:val="ListBullet"/>
      </w:pPr>
      <w:r/>
      <w:r>
        <w:rPr>
          <w:b/>
        </w:rPr>
        <w:t>Rétinopathie du prématuré</w:t>
      </w:r>
      <w:r>
        <w:t xml:space="preserve"> zone I stade 3+ (agressive postérieure) chez le nourrisson.</w:t>
      </w:r>
    </w:p>
    <w:p>
      <w:pPr>
        <w:pStyle w:val="Heading4"/>
      </w:pPr>
      <w:r>
        <w:t>5. Contre-indications</w:t>
      </w:r>
    </w:p>
    <w:p>
      <w:r>
        <w:t>Les contre-indications du bévacizumab ophtalmologique sont :</w:t>
      </w:r>
    </w:p>
    <w:p>
      <w:pPr>
        <w:pStyle w:val="ListBullet"/>
      </w:pPr>
      <w:r/>
      <w:r>
        <w:rPr>
          <w:b/>
        </w:rPr>
        <w:t>Hypersensibilité</w:t>
      </w:r>
      <w:r>
        <w:t xml:space="preserve"> au bévacizumab ou à l'un des excipients (notamment aux protéines de hamster CHO en cas d'allergie connue).</w:t>
      </w:r>
    </w:p>
    <w:p>
      <w:pPr>
        <w:pStyle w:val="ListBullet"/>
      </w:pPr>
      <w:r/>
      <w:r>
        <w:rPr>
          <w:b/>
        </w:rPr>
        <w:t>Infection intraoculaire évolutive</w:t>
      </w:r>
      <w:r>
        <w:t xml:space="preserve"> : contre-indication absolue.</w:t>
      </w:r>
    </w:p>
    <w:p>
      <w:pPr>
        <w:pStyle w:val="ListBullet"/>
      </w:pPr>
      <w:r/>
      <w:r>
        <w:rPr>
          <w:b/>
        </w:rPr>
        <w:t>Inflammation intraoculaire sévère active</w:t>
      </w:r>
      <w:r>
        <w:t xml:space="preserve"> : à traiter avant l'injection.</w:t>
      </w:r>
    </w:p>
    <w:p>
      <w:pPr>
        <w:pStyle w:val="ListBullet"/>
      </w:pPr>
      <w:r/>
      <w:r>
        <w:rPr>
          <w:b/>
        </w:rPr>
        <w:t>Grossesse</w:t>
      </w:r>
      <w:r>
        <w:t xml:space="preserve"> : toxicité embryofœtale démontrée chez l'animal (anatomosie fœtale, tératogénicité) ; à éviter chez la femme enceinte ou en âge de procréer sans contraception efficace.</w:t>
      </w:r>
    </w:p>
    <w:p>
      <w:pPr>
        <w:pStyle w:val="ListBullet"/>
      </w:pPr>
      <w:r/>
      <w:r>
        <w:rPr>
          <w:b/>
        </w:rPr>
        <w:t>Allaitement</w:t>
      </w:r>
      <w:r>
        <w:t xml:space="preserve"> : à éviter en raison du passage dans le lait maternel.</w:t>
      </w:r>
    </w:p>
    <w:p>
      <w:pPr>
        <w:pStyle w:val="ListBullet"/>
      </w:pPr>
      <w:r/>
      <w:r>
        <w:rPr>
          <w:b/>
        </w:rPr>
        <w:t>Chirurgie oculaire récente</w:t>
      </w:r>
      <w:r>
        <w:t xml:space="preserve"> (&lt; 4 semaines) : à différer.</w:t>
      </w:r>
    </w:p>
    <w:p>
      <w:pPr>
        <w:pStyle w:val="ListBullet"/>
      </w:pPr>
      <w:r/>
      <w:r>
        <w:rPr>
          <w:b/>
        </w:rPr>
        <w:t>Antécédent d'AVC ou d'IDM récent</w:t>
      </w:r>
      <w:r>
        <w:t xml:space="preserve"> (&lt; 3 mois) : prudence majeure, à évaluer au cas par cas.</w:t>
      </w:r>
    </w:p>
    <w:p>
      <w:pPr>
        <w:pStyle w:val="Heading4"/>
      </w:pPr>
      <w:r>
        <w:t>6. Précautions d'emploi et mises en garde</w:t>
      </w:r>
    </w:p>
    <w:p>
      <w:r>
        <w:t>Les précautions d'emploi du bévacizumab ophtalmologique sont similaires à celles du ranibizumab, avec quelques spécificités liées à l'usage hors AMM et à la préparation en pharmacie hospitalière :</w:t>
      </w:r>
    </w:p>
    <w:p>
      <w:pPr>
        <w:pStyle w:val="ListBullet"/>
      </w:pPr>
      <w:r/>
      <w:r>
        <w:rPr>
          <w:b/>
        </w:rPr>
        <w:t>Conditions d'administration</w:t>
      </w:r>
      <w:r>
        <w:t xml:space="preserve"> : injection intravitréenne par un ophtalmologiste expérimenté en milieu stérile.</w:t>
      </w:r>
    </w:p>
    <w:p>
      <w:pPr>
        <w:pStyle w:val="ListBullet"/>
      </w:pPr>
      <w:r/>
      <w:r>
        <w:rPr>
          <w:b/>
        </w:rPr>
        <w:t>Préparation en pharmacie hospitalière</w:t>
      </w:r>
      <w:r>
        <w:t xml:space="preserve"> : le bévacizumab étant commercialisé en flacons de 4 mL ou 16 mL pour usage IV oncologique, il doit être </w:t>
      </w:r>
      <w:r>
        <w:rPr>
          <w:b/>
        </w:rPr>
        <w:t>fractionné en aliquotes de 0,05 mL</w:t>
      </w:r>
      <w:r>
        <w:t xml:space="preserve"> sous hotte stérile par un pharmacien hospitalier, conformément aux bonnes pratiques de préparation. Les aliquotes sont conservées à 4 °C, à l'abri de la lumière, et utilisées dans les 7 jours.</w:t>
      </w:r>
    </w:p>
    <w:p>
      <w:pPr>
        <w:pStyle w:val="ListBullet"/>
      </w:pPr>
      <w:r/>
      <w:r>
        <w:rPr>
          <w:b/>
        </w:rPr>
        <w:t>Risque de contamination bactérienne</w:t>
      </w:r>
      <w:r>
        <w:t xml:space="preserve"> : en cas de non-respect des bonnes pratiques de préparation (incidents rapportés aux États-Unis en 2011, endophtalmies en série), importance d'une traçabilité rigoureuse.</w:t>
      </w:r>
    </w:p>
    <w:p>
      <w:pPr>
        <w:pStyle w:val="ListBullet"/>
      </w:pPr>
      <w:r/>
      <w:r>
        <w:rPr>
          <w:b/>
        </w:rPr>
        <w:t>Surveillance post-injection</w:t>
      </w:r>
      <w:r>
        <w:t xml:space="preserve"> : identique à celle du ranibizumab.</w:t>
      </w:r>
    </w:p>
    <w:p>
      <w:pPr>
        <w:pStyle w:val="ListBullet"/>
      </w:pPr>
      <w:r/>
      <w:r>
        <w:rPr>
          <w:b/>
        </w:rPr>
        <w:t>Patient avec antécédents thrombo-emboliques</w:t>
      </w:r>
      <w:r>
        <w:t xml:space="preserve"> : prudence, en raison de la demi-vie systémique longue.</w:t>
      </w:r>
    </w:p>
    <w:p>
      <w:pPr>
        <w:pStyle w:val="ListBullet"/>
      </w:pPr>
      <w:r/>
      <w:r>
        <w:rPr>
          <w:b/>
        </w:rPr>
        <w:t>Information du patient sur l'usage hors AMM</w:t>
      </w:r>
      <w:r>
        <w:t xml:space="preserve"> : obligatoire ; le patient doit être informé que le bévacizumab est utilisé hors de son AMM initiale (oncologie), que cette pratique est validée par les sociétés savantes et recommandée par la Cochrane et l'OMS en raison du coût inférieur.</w:t>
      </w:r>
    </w:p>
    <w:p>
      <w:pPr>
        <w:pStyle w:val="ListBullet"/>
      </w:pPr>
      <w:r/>
      <w:r>
        <w:rPr>
          <w:b/>
        </w:rPr>
        <w:t>Coordination avec le pharmacien hospitalier</w:t>
      </w:r>
      <w:r>
        <w:t xml:space="preserve"> : pour la préparation, la traçabilité et le respect des bonnes pratiques.</w:t>
      </w:r>
    </w:p>
    <w:p>
      <w:pPr>
        <w:pStyle w:val="Heading4"/>
      </w:pPr>
      <w:r>
        <w:t>7. Effets indésirables</w:t>
      </w:r>
    </w:p>
    <w:p>
      <w:r>
        <w:t>Les effets indésirables du bévacizumab ophtalmologique sont similaires à ceux du ranibizumab, mais le profil systémique est potentiellement différent en raison de la demi-vie plasmatique longue :</w:t>
      </w:r>
    </w:p>
    <w:p>
      <w:pPr>
        <w:pStyle w:val="ListBullet"/>
      </w:pPr>
      <w:r/>
      <w:r>
        <w:rPr>
          <w:b/>
        </w:rPr>
        <w:t>Locaux oculaires fréquents</w:t>
      </w:r>
      <w:r>
        <w:t xml:space="preserve"> : douleur à l'injection, hémorragie sous-conjonctivale, hémorragie conjonctivale, hyperhémie conjonctivale, corps flottants vitréens, augmentation transitoire de la PIO, vision trouble transitoire, kératite ponctuée superficielle.</w:t>
      </w:r>
    </w:p>
    <w:p>
      <w:pPr>
        <w:pStyle w:val="ListBullet"/>
      </w:pPr>
      <w:r/>
      <w:r>
        <w:rPr>
          <w:b/>
        </w:rPr>
        <w:t>Locaux oculaires peu fréquents</w:t>
      </w:r>
      <w:r>
        <w:t xml:space="preserve"> : endophtalmie (0,02–0,1 % par injection), décollement de rétine rhegmatogène (0,1–0,5 %), hémorragie intravitréenne (0,5–2 %), cataracte, uvéite, iritis.</w:t>
      </w:r>
    </w:p>
    <w:p>
      <w:pPr>
        <w:pStyle w:val="ListBullet"/>
      </w:pPr>
      <w:r/>
      <w:r>
        <w:rPr>
          <w:b/>
        </w:rPr>
        <w:t>Systémiques</w:t>
      </w:r>
      <w:r>
        <w:t xml:space="preserve"> : augmentation de la pression artérielle, protéinurie, événements thrombo-emboliques (AVC, IDM, embolie pulmonaire) — incidence &lt; 1 % par injection, potentiellement plus élevée qu'avec le ranibizumab en raison de la demi-vie longue (débattue).</w:t>
      </w:r>
    </w:p>
    <w:p>
      <w:pPr>
        <w:pStyle w:val="ListBullet"/>
      </w:pPr>
      <w:r/>
      <w:r>
        <w:rPr>
          <w:b/>
        </w:rPr>
        <w:t>Immunogénicité</w:t>
      </w:r>
      <w:r>
        <w:t xml:space="preserve"> : anticorps anti-médicament (ADA) chez 1–3 % des patients.</w:t>
      </w:r>
    </w:p>
    <w:p>
      <w:pPr>
        <w:pStyle w:val="ListBullet"/>
      </w:pPr>
      <w:r/>
      <w:r>
        <w:rPr>
          <w:b/>
        </w:rPr>
        <w:t>Hémorragie</w:t>
      </w:r>
      <w:r>
        <w:t xml:space="preserve"> : en cas d'association aux anticoagulants ou antiagrégants.</w:t>
      </w:r>
    </w:p>
    <w:p>
      <w:pPr>
        <w:pStyle w:val="ListBullet"/>
      </w:pPr>
      <w:r/>
      <w:r>
        <w:rPr>
          <w:b/>
        </w:rPr>
        <w:t>Allergiques</w:t>
      </w:r>
      <w:r>
        <w:t xml:space="preserve"> : rares cas d'hypersensibilité (urticaire, rash, prurit, œdème de Quincke, choc anaphylactique).</w:t>
      </w:r>
    </w:p>
    <w:p>
      <w:pPr>
        <w:pStyle w:val="ListBullet"/>
      </w:pPr>
      <w:r/>
      <w:r>
        <w:rPr>
          <w:b/>
        </w:rPr>
        <w:t>Effets liés à la préparation</w:t>
      </w:r>
      <w:r>
        <w:t xml:space="preserve"> : en cas de contamination bactérienne de la préparation, endophtalmie en série (incidents rapportés aux États-Unis en 2011).</w:t>
      </w:r>
    </w:p>
    <w:p>
      <w:pPr>
        <w:pStyle w:val="Heading4"/>
      </w:pPr>
      <w:r>
        <w:t>8. Interactions médicamenteuses</w:t>
      </w:r>
    </w:p>
    <w:p>
      <w:r>
        <w:t>Les interactions médicamenteuses sont similaires à celles du ranibizumab :</w:t>
      </w:r>
    </w:p>
    <w:p>
      <w:pPr>
        <w:pStyle w:val="ListBullet"/>
      </w:pPr>
      <w:r/>
      <w:r>
        <w:rPr>
          <w:b/>
        </w:rPr>
        <w:t>Photocoagulation laser</w:t>
      </w:r>
      <w:r>
        <w:t xml:space="preserve"> : association possible.</w:t>
      </w:r>
    </w:p>
    <w:p>
      <w:pPr>
        <w:pStyle w:val="ListBullet"/>
      </w:pPr>
      <w:r/>
      <w:r>
        <w:rPr>
          <w:b/>
        </w:rPr>
        <w:t>Anticoagulants et antiagrégants</w:t>
      </w:r>
      <w:r>
        <w:t xml:space="preserve"> : pas de contre-indication, mais majoration du risque hémorragique.</w:t>
      </w:r>
    </w:p>
    <w:p>
      <w:pPr>
        <w:pStyle w:val="ListBullet"/>
      </w:pPr>
      <w:r/>
      <w:r>
        <w:rPr>
          <w:b/>
        </w:rPr>
        <w:t>Autres anti-VEGF intravitréens</w:t>
      </w:r>
      <w:r>
        <w:t xml:space="preserve"> : à ne pas associer.</w:t>
      </w:r>
    </w:p>
    <w:p>
      <w:pPr>
        <w:pStyle w:val="ListBullet"/>
      </w:pPr>
      <w:r/>
      <w:r>
        <w:rPr>
          <w:b/>
        </w:rPr>
        <w:t>Corticoïdes intravitréens</w:t>
      </w:r>
      <w:r>
        <w:t xml:space="preserve"> : association possible en alternance.</w:t>
      </w:r>
    </w:p>
    <w:p>
      <w:pPr>
        <w:pStyle w:val="ListBullet"/>
      </w:pPr>
      <w:r/>
      <w:r>
        <w:rPr>
          <w:b/>
        </w:rPr>
        <w:t>Chimiothérapie systémique</w:t>
      </w:r>
      <w:r>
        <w:t xml:space="preserve"> (en cas de pathologie cancéreuse associée) : prudence en raison de l'effet additif du bévacizumab à doses oncologiques.</w:t>
      </w:r>
    </w:p>
    <w:p>
      <w:pPr>
        <w:pStyle w:val="Heading4"/>
      </w:pPr>
      <w:r>
        <w:t>9. Posologie et mode d'administration</w:t>
      </w:r>
    </w:p>
    <w:p>
      <w:r>
        <w:t xml:space="preserve">La posologie usuelle du bévacizumab ophtalmologique est de </w:t>
      </w:r>
      <w:r>
        <w:rPr>
          <w:b/>
        </w:rPr>
        <w:t>1,25 mg par injection intravitréenne</w:t>
      </w:r>
      <w:r>
        <w:t xml:space="preserve"> (correspondant à 0,05 mL de la solution à 25 mg/mL dilué). Cette dose est issue des études cliniques et des recommandations des sociétés savantes, sans AMM formelle. Les schémas thérapeutiques sont identiques à ceux du ranibizumab :</w:t>
      </w:r>
    </w:p>
    <w:p>
      <w:pPr>
        <w:pStyle w:val="ListBullet"/>
      </w:pPr>
      <w:r/>
      <w:r>
        <w:rPr>
          <w:b/>
        </w:rPr>
        <w:t>DMLA exsudative</w:t>
      </w:r>
      <w:r>
        <w:t xml:space="preserve"> : 3 injections mensuelles, puis treat and extend ou PRN.</w:t>
      </w:r>
    </w:p>
    <w:p>
      <w:pPr>
        <w:pStyle w:val="ListBullet"/>
      </w:pPr>
      <w:r/>
      <w:r>
        <w:rPr>
          <w:b/>
        </w:rPr>
        <w:t>OMD, OVCR, OBVR</w:t>
      </w:r>
      <w:r>
        <w:t xml:space="preserve"> : 3 injections mensuelles puis entretien.</w:t>
      </w:r>
    </w:p>
    <w:p>
      <w:pPr>
        <w:pStyle w:val="ListBullet"/>
      </w:pPr>
      <w:r/>
      <w:r>
        <w:rPr>
          <w:b/>
        </w:rPr>
        <w:t>Myopie forte</w:t>
      </w:r>
      <w:r>
        <w:t xml:space="preserve"> : 1 injection, puis PRN.</w:t>
      </w:r>
    </w:p>
    <w:p>
      <w:r/>
      <w:r>
        <w:rPr>
          <w:b/>
        </w:rPr>
        <w:t>Préparation</w:t>
      </w:r>
      <w:r>
        <w:t xml:space="preserve"> : le flacon de bévacizumab (25 mg/mL) est manipulé sous hotte stérile par un pharmacien hospitalier. La solution est aspirée dans des seringues stériles de 1 mL, à raison de 0,05 mL par seringue (1,25 mg). Les seringues sont étiquetées (nom du patient, date de préparation, date de péremption) et conservées à 4 °C, à l'abri de la lumière, jusqu'à utilisation dans les 7 jours.</w:t>
      </w:r>
    </w:p>
    <w:p>
      <w:r/>
      <w:r>
        <w:rPr>
          <w:b/>
        </w:rPr>
        <w:t>Mode d'administration</w:t>
      </w:r>
      <w:r>
        <w:t xml:space="preserve"> : identique à celui du ranibizumab (injection intravitréenne par un ophtalmologiste expérimenté en milieu stérile).</w:t>
      </w:r>
    </w:p>
    <w:p>
      <w:pPr>
        <w:pStyle w:val="Heading4"/>
      </w:pPr>
      <w:r>
        <w:t>10. Surdosage et conduite à tenir</w:t>
      </w:r>
    </w:p>
    <w:p>
      <w:r>
        <w:t>Le surdosage en bévacizumab peut résulter d'une erreur de préparation (concentration excessive) ou d'administration (volume excessif). Les manifestations sont similaires à celles du ranibizumab : hypertonie oculaire aiguë, inflammation intraoculaire sévère, endophtalmie sterile, effets systémiques (thrombo-emboliques en cas d'extravasation systémique massive). La conduite à tenir est identique (voir ranibizumab).</w:t>
      </w:r>
    </w:p>
    <w:p>
      <w:r/>
      <w:r>
        <w:rPr>
          <w:b/>
        </w:rPr>
        <w:t>Cas particulier d'une contamination bactérienne de la préparation</w:t>
      </w:r>
      <w:r>
        <w:t xml:space="preserve"> : en cas de série d'endophtalmies, alerte au pharmacien hospitalier et à l'ANSM (ou équivalent algérien) ; arrêt immédiat de l'utilisation du lot contaminé ; enquête microbiologique (cultures des aliquotes, génie bactérien) ; traitement des patients atteints (voir conduite à tenir pour endophtalmie).</w:t>
      </w:r>
    </w:p>
    <w:p>
      <w:pPr>
        <w:pStyle w:val="Heading4"/>
      </w:pPr>
      <w:r>
        <w:t>11. Spécialités pharmaceutiques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ACURA</w:t>
            </w:r>
          </w:p>
        </w:tc>
        <w:tc>
          <w:tcPr>
            <w:tcW w:type="dxa" w:w="1559"/>
          </w:tcPr>
          <w:p>
            <w:r>
              <w:rPr>
                <w:sz w:val="20"/>
              </w:rPr>
              <w:t>EL KENDI INDUSTRIE DU MEDICAMENT</w:t>
            </w:r>
          </w:p>
        </w:tc>
        <w:tc>
          <w:tcPr>
            <w:tcW w:type="dxa" w:w="1559"/>
          </w:tcPr>
          <w:p>
            <w:r>
              <w:rPr>
                <w:sz w:val="20"/>
              </w:rPr>
              <w:t>Solution à diluer pour perfusion IV 25 mg/mL</w:t>
            </w:r>
          </w:p>
        </w:tc>
        <w:tc>
          <w:tcPr>
            <w:tcW w:type="dxa" w:w="1559"/>
          </w:tcPr>
          <w:p>
            <w:r>
              <w:rPr>
                <w:sz w:val="20"/>
              </w:rPr>
              <w:t>Boîte de 1 flacon verre type I de 4 mL ou 16 mL</w:t>
            </w:r>
          </w:p>
        </w:tc>
        <w:tc>
          <w:tcPr>
            <w:tcW w:type="dxa" w:w="1559"/>
          </w:tcPr>
          <w:p>
            <w:r>
              <w:rPr>
                <w:sz w:val="20"/>
              </w:rPr>
              <w:t>Liste I</w:t>
            </w:r>
          </w:p>
        </w:tc>
        <w:tc>
          <w:tcPr>
            <w:tcW w:type="dxa" w:w="1559"/>
          </w:tcPr>
          <w:p>
            <w:r>
              <w:rPr>
                <w:sz w:val="20"/>
              </w:rPr>
              <w:t>ACTIF</w:t>
            </w:r>
          </w:p>
        </w:tc>
      </w:tr>
      <w:tr>
        <w:tc>
          <w:tcPr>
            <w:tcW w:type="dxa" w:w="1559"/>
          </w:tcPr>
          <w:p>
            <w:r>
              <w:rPr>
                <w:sz w:val="20"/>
              </w:rPr>
              <w:t>AVEGRA BIOCAD</w:t>
            </w:r>
          </w:p>
        </w:tc>
        <w:tc>
          <w:tcPr>
            <w:tcW w:type="dxa" w:w="1559"/>
          </w:tcPr>
          <w:p>
            <w:r>
              <w:rPr>
                <w:sz w:val="20"/>
              </w:rPr>
              <w:t>JSC BIOCAD</w:t>
            </w:r>
          </w:p>
        </w:tc>
        <w:tc>
          <w:tcPr>
            <w:tcW w:type="dxa" w:w="1559"/>
          </w:tcPr>
          <w:p>
            <w:r>
              <w:rPr>
                <w:sz w:val="20"/>
              </w:rPr>
              <w:t>Solution à diluer pour perfusion IV 25 mg/mL</w:t>
            </w:r>
          </w:p>
        </w:tc>
        <w:tc>
          <w:tcPr>
            <w:tcW w:type="dxa" w:w="1559"/>
          </w:tcPr>
          <w:p>
            <w:r>
              <w:rPr>
                <w:sz w:val="20"/>
              </w:rPr>
              <w:t>Boîte de 1 flacon verre type I de 4 mL ou 16 mL</w:t>
            </w:r>
          </w:p>
        </w:tc>
        <w:tc>
          <w:tcPr>
            <w:tcW w:type="dxa" w:w="1559"/>
          </w:tcPr>
          <w:p>
            <w:r>
              <w:rPr>
                <w:sz w:val="20"/>
              </w:rPr>
              <w:t>Liste I</w:t>
            </w:r>
          </w:p>
        </w:tc>
        <w:tc>
          <w:tcPr>
            <w:tcW w:type="dxa" w:w="1559"/>
          </w:tcPr>
          <w:p>
            <w:r>
              <w:rPr>
                <w:sz w:val="20"/>
              </w:rPr>
              <w:t>ACTIF</w:t>
            </w:r>
          </w:p>
        </w:tc>
      </w:tr>
      <w:tr>
        <w:tc>
          <w:tcPr>
            <w:tcW w:type="dxa" w:w="1559"/>
          </w:tcPr>
          <w:p>
            <w:r>
              <w:rPr>
                <w:sz w:val="20"/>
              </w:rPr>
              <w:t>BEVACIZUMAB-SAIDAL</w:t>
            </w:r>
          </w:p>
        </w:tc>
        <w:tc>
          <w:tcPr>
            <w:tcW w:type="dxa" w:w="1559"/>
          </w:tcPr>
          <w:p>
            <w:r>
              <w:rPr>
                <w:sz w:val="20"/>
              </w:rPr>
              <w:t>GROUPE SAIDAL</w:t>
            </w:r>
          </w:p>
        </w:tc>
        <w:tc>
          <w:tcPr>
            <w:tcW w:type="dxa" w:w="1559"/>
          </w:tcPr>
          <w:p>
            <w:r>
              <w:rPr>
                <w:sz w:val="20"/>
              </w:rPr>
              <w:t>Solution à diluer pour perfusion IV 25 mg/mL</w:t>
            </w:r>
          </w:p>
        </w:tc>
        <w:tc>
          <w:tcPr>
            <w:tcW w:type="dxa" w:w="1559"/>
          </w:tcPr>
          <w:p>
            <w:r>
              <w:rPr>
                <w:sz w:val="20"/>
              </w:rPr>
              <w:t>Boîte de 1 flacon verre type I de 4 mL ou 16 mL</w:t>
            </w:r>
          </w:p>
        </w:tc>
        <w:tc>
          <w:tcPr>
            <w:tcW w:type="dxa" w:w="1559"/>
          </w:tcPr>
          <w:p>
            <w:r>
              <w:rPr>
                <w:sz w:val="20"/>
              </w:rPr>
              <w:t>Liste I</w:t>
            </w:r>
          </w:p>
        </w:tc>
        <w:tc>
          <w:tcPr>
            <w:tcW w:type="dxa" w:w="1559"/>
          </w:tcPr>
          <w:p>
            <w:r>
              <w:rPr>
                <w:sz w:val="20"/>
              </w:rPr>
              <w:t>ACTIF</w:t>
            </w:r>
          </w:p>
        </w:tc>
      </w:tr>
      <w:tr>
        <w:tc>
          <w:tcPr>
            <w:tcW w:type="dxa" w:w="1559"/>
          </w:tcPr>
          <w:p>
            <w:r>
              <w:rPr>
                <w:sz w:val="20"/>
              </w:rPr>
              <w:t>SIMBIVA</w:t>
            </w:r>
          </w:p>
        </w:tc>
        <w:tc>
          <w:tcPr>
            <w:tcW w:type="dxa" w:w="1559"/>
          </w:tcPr>
          <w:p>
            <w:r>
              <w:rPr>
                <w:sz w:val="20"/>
              </w:rPr>
              <w:t>BIOCON BIOLOGICS INDIA LIMITED</w:t>
            </w:r>
          </w:p>
        </w:tc>
        <w:tc>
          <w:tcPr>
            <w:tcW w:type="dxa" w:w="1559"/>
          </w:tcPr>
          <w:p>
            <w:r>
              <w:rPr>
                <w:sz w:val="20"/>
              </w:rPr>
              <w:t>Solution à diluer pour perfusion IV 25 mg/mL</w:t>
            </w:r>
          </w:p>
        </w:tc>
        <w:tc>
          <w:tcPr>
            <w:tcW w:type="dxa" w:w="1559"/>
          </w:tcPr>
          <w:p>
            <w:r>
              <w:rPr>
                <w:sz w:val="20"/>
              </w:rPr>
              <w:t>Boîte de 1 flacon verre type I de 4 mL ou 16 mL</w:t>
            </w:r>
          </w:p>
        </w:tc>
        <w:tc>
          <w:tcPr>
            <w:tcW w:type="dxa" w:w="1559"/>
          </w:tcPr>
          <w:p>
            <w:r>
              <w:rPr>
                <w:sz w:val="20"/>
              </w:rPr>
              <w:t>Liste I</w:t>
            </w:r>
          </w:p>
        </w:tc>
        <w:tc>
          <w:tcPr>
            <w:tcW w:type="dxa" w:w="1559"/>
          </w:tcPr>
          <w:p>
            <w:r>
              <w:rPr>
                <w:sz w:val="20"/>
              </w:rPr>
              <w:t>ACTIF</w:t>
            </w:r>
          </w:p>
        </w:tc>
      </w:tr>
      <w:tr>
        <w:tc>
          <w:tcPr>
            <w:tcW w:type="dxa" w:w="1559"/>
          </w:tcPr>
          <w:p>
            <w:r>
              <w:rPr>
                <w:sz w:val="20"/>
              </w:rPr>
              <w:t>VERSAVO</w:t>
            </w:r>
          </w:p>
        </w:tc>
        <w:tc>
          <w:tcPr>
            <w:tcW w:type="dxa" w:w="1559"/>
          </w:tcPr>
          <w:p>
            <w:r>
              <w:rPr>
                <w:sz w:val="20"/>
              </w:rPr>
              <w:t>ORION LAB</w:t>
            </w:r>
          </w:p>
        </w:tc>
        <w:tc>
          <w:tcPr>
            <w:tcW w:type="dxa" w:w="1559"/>
          </w:tcPr>
          <w:p>
            <w:r>
              <w:rPr>
                <w:sz w:val="20"/>
              </w:rPr>
              <w:t>Solution à diluer pour perfusion IV 25 mg/mL</w:t>
            </w:r>
          </w:p>
        </w:tc>
        <w:tc>
          <w:tcPr>
            <w:tcW w:type="dxa" w:w="1559"/>
          </w:tcPr>
          <w:p>
            <w:r>
              <w:rPr>
                <w:sz w:val="20"/>
              </w:rPr>
              <w:t>Boîte de 1 flacon verre type I de 4 mL ou 16 mL</w:t>
            </w:r>
          </w:p>
        </w:tc>
        <w:tc>
          <w:tcPr>
            <w:tcW w:type="dxa" w:w="1559"/>
          </w:tcPr>
          <w:p>
            <w:r>
              <w:rPr>
                <w:sz w:val="20"/>
              </w:rPr>
              <w:t>Liste I</w:t>
            </w:r>
          </w:p>
        </w:tc>
        <w:tc>
          <w:tcPr>
            <w:tcW w:type="dxa" w:w="1559"/>
          </w:tcPr>
          <w:p>
            <w:r>
              <w:rPr>
                <w:sz w:val="20"/>
              </w:rPr>
              <w:t>ACTIF</w:t>
            </w:r>
          </w:p>
        </w:tc>
      </w:tr>
      <w:tr>
        <w:tc>
          <w:tcPr>
            <w:tcW w:type="dxa" w:w="1559"/>
          </w:tcPr>
          <w:p>
            <w:r>
              <w:rPr>
                <w:sz w:val="20"/>
              </w:rPr>
              <w:t>ZIRABEV</w:t>
            </w:r>
          </w:p>
        </w:tc>
        <w:tc>
          <w:tcPr>
            <w:tcW w:type="dxa" w:w="1559"/>
          </w:tcPr>
          <w:p>
            <w:r>
              <w:rPr>
                <w:sz w:val="20"/>
              </w:rPr>
              <w:t>PFIZER EUROPE MA EEIG</w:t>
            </w:r>
          </w:p>
        </w:tc>
        <w:tc>
          <w:tcPr>
            <w:tcW w:type="dxa" w:w="1559"/>
          </w:tcPr>
          <w:p>
            <w:r>
              <w:rPr>
                <w:sz w:val="20"/>
              </w:rPr>
              <w:t>Solution à diluer pour perfusion IV 25 mg/mL</w:t>
            </w:r>
          </w:p>
        </w:tc>
        <w:tc>
          <w:tcPr>
            <w:tcW w:type="dxa" w:w="1559"/>
          </w:tcPr>
          <w:p>
            <w:r>
              <w:rPr>
                <w:sz w:val="20"/>
              </w:rPr>
              <w:t>Boîte de 1 flacon verre type I de 4 mL ou 16 mL</w:t>
            </w:r>
          </w:p>
        </w:tc>
        <w:tc>
          <w:tcPr>
            <w:tcW w:type="dxa" w:w="1559"/>
          </w:tcPr>
          <w:p>
            <w:r>
              <w:rPr>
                <w:sz w:val="20"/>
              </w:rPr>
              <w:t>Liste I</w:t>
            </w:r>
          </w:p>
        </w:tc>
        <w:tc>
          <w:tcPr>
            <w:tcW w:type="dxa" w:w="1559"/>
          </w:tcPr>
          <w:p>
            <w:r>
              <w:rPr>
                <w:sz w:val="20"/>
              </w:rPr>
              <w:t>ACTIF</w:t>
            </w:r>
          </w:p>
        </w:tc>
      </w:tr>
      <w:tr>
        <w:tc>
          <w:tcPr>
            <w:tcW w:type="dxa" w:w="1559"/>
          </w:tcPr>
          <w:p>
            <w:r>
              <w:rPr>
                <w:sz w:val="20"/>
              </w:rPr>
              <w:t>AVASTIN</w:t>
            </w:r>
          </w:p>
        </w:tc>
        <w:tc>
          <w:tcPr>
            <w:tcW w:type="dxa" w:w="1559"/>
          </w:tcPr>
          <w:p>
            <w:r>
              <w:rPr>
                <w:sz w:val="20"/>
              </w:rPr>
              <w:t>ROCHE PHARMA (SCHWEIZ) LTD</w:t>
            </w:r>
          </w:p>
        </w:tc>
        <w:tc>
          <w:tcPr>
            <w:tcW w:type="dxa" w:w="1559"/>
          </w:tcPr>
          <w:p>
            <w:r>
              <w:rPr>
                <w:sz w:val="20"/>
              </w:rPr>
              <w:t>Solution à diluer pour perfusion IV 25 mg/mL (100 mg/4 mL ou 400 mg/16 mL)</w:t>
            </w:r>
          </w:p>
        </w:tc>
        <w:tc>
          <w:tcPr>
            <w:tcW w:type="dxa" w:w="1559"/>
          </w:tcPr>
          <w:p>
            <w:r>
              <w:rPr>
                <w:sz w:val="20"/>
              </w:rPr>
              <w:t>Flacon ampoule de 4 mL ou 16 mL</w:t>
            </w:r>
          </w:p>
        </w:tc>
        <w:tc>
          <w:tcPr>
            <w:tcW w:type="dxa" w:w="1559"/>
          </w:tcPr>
          <w:p>
            <w:r>
              <w:rPr>
                <w:sz w:val="20"/>
              </w:rPr>
              <w:t>Liste I</w:t>
            </w:r>
          </w:p>
        </w:tc>
        <w:tc>
          <w:tcPr>
            <w:tcW w:type="dxa" w:w="1559"/>
          </w:tcPr>
          <w:p>
            <w:r>
              <w:rPr>
                <w:sz w:val="20"/>
              </w:rPr>
              <w:t>NON RENOUVELABLE</w:t>
            </w:r>
          </w:p>
        </w:tc>
      </w:tr>
      <w:tr>
        <w:tc>
          <w:tcPr>
            <w:tcW w:type="dxa" w:w="1559"/>
          </w:tcPr>
          <w:p>
            <w:r>
              <w:rPr>
                <w:sz w:val="20"/>
              </w:rPr>
              <w:t>MVASI</w:t>
            </w:r>
          </w:p>
        </w:tc>
        <w:tc>
          <w:tcPr>
            <w:tcW w:type="dxa" w:w="1559"/>
          </w:tcPr>
          <w:p>
            <w:r>
              <w:rPr>
                <w:sz w:val="20"/>
              </w:rPr>
              <w:t>AMGEN TECHNOLOGY UNLIMITED COMPANY</w:t>
            </w:r>
          </w:p>
        </w:tc>
        <w:tc>
          <w:tcPr>
            <w:tcW w:type="dxa" w:w="1559"/>
          </w:tcPr>
          <w:p>
            <w:r>
              <w:rPr>
                <w:sz w:val="20"/>
              </w:rPr>
              <w:t>Poudre pour solution à diluer pour perfusion IV 25 mg/mL</w:t>
            </w:r>
          </w:p>
        </w:tc>
        <w:tc>
          <w:tcPr>
            <w:tcW w:type="dxa" w:w="1559"/>
          </w:tcPr>
          <w:p>
            <w:r>
              <w:rPr>
                <w:sz w:val="20"/>
              </w:rPr>
              <w:t>Boîte de 1 flacon de 4 mL ou 16 mL (400 mg/16 mL)</w:t>
            </w:r>
          </w:p>
        </w:tc>
        <w:tc>
          <w:tcPr>
            <w:tcW w:type="dxa" w:w="1559"/>
          </w:tcPr>
          <w:p>
            <w:r>
              <w:rPr>
                <w:sz w:val="20"/>
              </w:rPr>
              <w:t>Liste I</w:t>
            </w:r>
          </w:p>
        </w:tc>
        <w:tc>
          <w:tcPr>
            <w:tcW w:type="dxa" w:w="1559"/>
          </w:tcPr>
          <w:p>
            <w:r>
              <w:rPr>
                <w:sz w:val="20"/>
              </w:rPr>
              <w:t>RETRAIT</w:t>
            </w:r>
          </w:p>
        </w:tc>
      </w:tr>
    </w:tbl>
    <w:p/>
    <w:p>
      <w:r/>
      <w:r>
        <w:rPr>
          <w:b/>
        </w:rPr>
        <w:t>Commentaire</w:t>
      </w:r>
      <w:r>
        <w:t xml:space="preserve"> : Le marché algérien du bévacizumab compte </w:t>
      </w:r>
      <w:r>
        <w:rPr>
          <w:b/>
        </w:rPr>
        <w:t>six spécialités actives</w:t>
      </w:r>
      <w:r>
        <w:t xml:space="preserve">, reflétant une dynamique concurrentielle intense autour de cette molécule-clé. Sont disponibles l'originateur historique (AVASTIN, Roche, non renouvelable), le premier biosimilaire (MVASI, Amgen, retiré), et six biosimilaires actuels (ACURA, AVEGRA BIOCAD, BEVACIZUMAB-SAIDAL, SIMBIVA, VERSAVO, ZIRABEV). Tous sont commercialisés à la concentration de 25 mg/mL en flacons de 4 mL (100 mg) ou 16 mL (400 mg), à usage IV oncologique, et utilisés </w:t>
      </w:r>
      <w:r>
        <w:rPr>
          <w:b/>
        </w:rPr>
        <w:t>hors AMM stricte</w:t>
      </w:r>
      <w:r>
        <w:t xml:space="preserve"> en ophtalmologie par fractionnement en aliquotes intravitréennes de 0,05 mL (1,25 mg). La disponibilité de multiples biosimilaires locaux et importés garantit un accès élargi et un coût nettement inférieur à celui du ranibizumab et de l'aflibercept. La traçabilité et la préparation en pharmacie hospitalière restent essentielles pour limiter le risque de contamination bactérienne.</w:t>
      </w:r>
    </w:p>
    <w:p>
      <w:pPr>
        <w:pStyle w:val="Heading4"/>
      </w:pPr>
      <w:r>
        <w:t>12. Éducation du patient et recommandations pratiques</w:t>
      </w:r>
    </w:p>
    <w:p>
      <w:r>
        <w:t>L'éducation du patient recevant du bévacizumab doit reprendre les éléments de celle du ranibizumab, avec une attention particulière sur l'usage hors AMM et la préparation :</w:t>
      </w:r>
    </w:p>
    <w:p>
      <w:pPr>
        <w:pStyle w:val="ListBullet"/>
      </w:pPr>
      <w:r/>
      <w:r>
        <w:rPr>
          <w:b/>
        </w:rPr>
        <w:t>Information sur l'usage hors AMM</w:t>
      </w:r>
      <w:r>
        <w:t xml:space="preserve"> : le bévacizumab est utilisé hors de son AMM initiale (oncologie), en raison du coût considérablement inférieur et de l'efficacité démontrée par les études cliniques (CATT, IVAN, BRAMD). Cette pratique est validée par les sociétés savantes (EURETINA, AAO, Retina Society) et par la Cochrane.</w:t>
      </w:r>
    </w:p>
    <w:p>
      <w:pPr>
        <w:pStyle w:val="ListBullet"/>
      </w:pPr>
      <w:r/>
      <w:r>
        <w:rPr>
          <w:b/>
        </w:rPr>
        <w:t>Information sur la préparation</w:t>
      </w:r>
      <w:r>
        <w:t xml:space="preserve"> : le médicament est préparé en pharmacie hospitalière à partir du flacon IV oncologique, fractionné en aliquotes de 0,05 mL sous hotte stérile ; traçabilité rigoureuse.</w:t>
      </w:r>
    </w:p>
    <w:p>
      <w:pPr>
        <w:pStyle w:val="ListBullet"/>
      </w:pPr>
      <w:r/>
      <w:r>
        <w:rPr>
          <w:b/>
        </w:rPr>
        <w:t>Information sur les risques</w:t>
      </w:r>
      <w:r>
        <w:t xml:space="preserve"> : identiques à ceux du ranibizumab (endophtalmie 0,02–0,1 %, décollement de rétine 0,1–0,5 %, hémorragie intravitréenne 0,5–2 %), avec un risque thrombo-embolique théoriquement plus élevé en raison de la demi-vie systémique longue.</w:t>
      </w:r>
    </w:p>
    <w:p>
      <w:pPr>
        <w:pStyle w:val="ListBullet"/>
      </w:pPr>
      <w:r/>
      <w:r>
        <w:rPr>
          <w:b/>
        </w:rPr>
        <w:t>Signes d'alerte post-injection</w:t>
      </w:r>
      <w:r>
        <w:t xml:space="preserve"> : identiques à ceux du ranibizumab — douleur, rougeur, baisse d'acuité visuelle, corps flottants, fièvre — consulter en urgence.</w:t>
      </w:r>
    </w:p>
    <w:p>
      <w:pPr>
        <w:pStyle w:val="ListBullet"/>
      </w:pPr>
      <w:r/>
      <w:r>
        <w:rPr>
          <w:b/>
        </w:rPr>
        <w:t>Suivi régulier</w:t>
      </w:r>
      <w:r>
        <w:t xml:space="preserve"> : identique à celui du ranibizumab.</w:t>
      </w:r>
    </w:p>
    <w:p>
      <w:pPr>
        <w:pStyle w:val="ListBullet"/>
      </w:pPr>
      <w:r/>
      <w:r>
        <w:rPr>
          <w:b/>
        </w:rPr>
        <w:t>Précautions d'hygiène</w:t>
      </w:r>
      <w:r>
        <w:t xml:space="preserve"> : identiques.</w:t>
      </w:r>
    </w:p>
    <w:p>
      <w:pPr>
        <w:pStyle w:val="ListBullet"/>
      </w:pPr>
      <w:r/>
      <w:r>
        <w:rPr>
          <w:b/>
        </w:rPr>
        <w:t>Coordination multidisciplinaire</w:t>
      </w:r>
      <w:r>
        <w:t xml:space="preserve"> : identique.</w:t>
      </w:r>
    </w:p>
    <w:p>
      <w:pPr>
        <w:pStyle w:val="ListBullet"/>
      </w:pPr>
      <w:r/>
      <w:r>
        <w:rPr>
          <w:b/>
        </w:rPr>
        <w:t>Information sur le rapport bénéfice/risque</w:t>
      </w:r>
      <w:r>
        <w:t xml:space="preserve"> : en l'absence de traitement, évolution spontanée vers la cécité dans la majorité des cas ; avec le bévacizumab, stabilisation dans 90 %, amélioration dans 30–40 % ; risque d'effets indésirables graves &lt; 2 %.</w:t>
      </w:r>
    </w:p>
    <w:p>
      <w:pPr>
        <w:pStyle w:val="ListBullet"/>
      </w:pPr>
      <w:r/>
      <w:r>
        <w:rPr>
          <w:b/>
        </w:rPr>
        <w:t>Coût</w:t>
      </w:r>
      <w:r>
        <w:t xml:space="preserve"> : le bévacizumab est </w:t>
      </w:r>
      <w:r>
        <w:rPr>
          <w:b/>
        </w:rPr>
        <w:t>10 à 40 fois moins cher</w:t>
      </w:r>
      <w:r>
        <w:t xml:space="preserve"> que le ranibizumab et l'aflibercept, ce qui en fait la molécule de choix dans les systèmes de santé à ressources limitées.</w:t>
      </w:r>
    </w:p>
    <w:p>
      <w:pPr>
        <w:pStyle w:val="Heading2"/>
      </w:pPr>
      <w:r>
        <w:t>144.4 Sous-classe — Anti-VEGF intravitréens (protéine de fusion)</w:t>
      </w:r>
    </w:p>
    <w:p>
      <w:pPr>
        <w:pStyle w:val="Heading3"/>
      </w:pPr>
      <w:r>
        <w:t>144.4.1 Généralités de la sous-classe</w:t>
      </w:r>
    </w:p>
    <w:p>
      <w:pPr>
        <w:pStyle w:val="Heading4"/>
      </w:pPr>
      <w:r>
        <w:t>Définition pharmacologique</w:t>
      </w:r>
    </w:p>
    <w:p>
      <w:r>
        <w:t xml:space="preserve">La sous-classe des </w:t>
      </w:r>
      <w:r>
        <w:rPr>
          <w:b/>
        </w:rPr>
        <w:t>anti-VEGF intravitréens de type protéine de fusion</w:t>
      </w:r>
      <w:r>
        <w:t xml:space="preserve"> est représentée en Algérie par une seule molécule : l'</w:t>
      </w:r>
      <w:r>
        <w:rPr>
          <w:b/>
        </w:rPr>
        <w:t>aflibercept</w:t>
      </w:r>
      <w:r>
        <w:t xml:space="preserve"> (DCI), commercialisé sous le nom d'</w:t>
      </w:r>
      <w:r>
        <w:rPr>
          <w:b/>
        </w:rPr>
        <w:t>EYLEA</w:t>
      </w:r>
      <w:r>
        <w:t xml:space="preserve"> (Bayer) pour l'usage ophtalmologique et de </w:t>
      </w:r>
      <w:r>
        <w:rPr>
          <w:b/>
        </w:rPr>
        <w:t>ZALTRAP</w:t>
      </w:r>
      <w:r>
        <w:t xml:space="preserve"> (Sanofi) pour l'usage oncologique. Contrairement au ranibizumab et au bévacizumab qui sont des anticorps (fragment Fab ou anticorps entier) dirigés contre le VEGF-A, l'aflibercept est une </w:t>
      </w:r>
      <w:r>
        <w:rPr>
          <w:b/>
        </w:rPr>
        <w:t>protéine de fusion soluble recombinante</w:t>
      </w:r>
      <w:r>
        <w:t xml:space="preserve"> qui mime la structure des récepteurs naturels du VEGF (VEGFR-1 et VEGFR-2) pour piéger le VEGF-A et le PIGF (placental growth factor). Cette structure originale lui confère une </w:t>
      </w:r>
      <w:r>
        <w:rPr>
          <w:b/>
        </w:rPr>
        <w:t>affinité très élevée</w:t>
      </w:r>
      <w:r>
        <w:t xml:space="preserve"> pour le VEGF (Kd ~ 0,5 pM, soit 100 fois supérieure à celle du ranibizumab et du bévacizumab) et une </w:t>
      </w:r>
      <w:r>
        <w:rPr>
          <w:b/>
        </w:rPr>
        <w:t>demi-vie vitréenne plus longue</w:t>
      </w:r>
      <w:r>
        <w:t xml:space="preserve"> (4–5 jours vs 9 jours), justifiant un schéma d'injections plus espacé.</w:t>
      </w:r>
    </w:p>
    <w:p>
      <w:pPr>
        <w:pStyle w:val="Heading4"/>
      </w:pPr>
      <w:r>
        <w:t>Mécanisme moléculaire</w:t>
      </w:r>
    </w:p>
    <w:p>
      <w:r>
        <w:t>L'aflibercept est une protéine de fusion recombinante produite dans des cellules CHO, composée de deux éléments fusionnés :</w:t>
      </w:r>
    </w:p>
    <w:p>
      <w:pPr>
        <w:pStyle w:val="ListBullet"/>
      </w:pPr>
      <w:r>
        <w:t xml:space="preserve">Le </w:t>
      </w:r>
      <w:r>
        <w:rPr>
          <w:b/>
        </w:rPr>
        <w:t>domaine de liaison au ligand du récepteur VEGFR-1</w:t>
      </w:r>
      <w:r>
        <w:t xml:space="preserve"> (domaine 2, fusionné en tête).</w:t>
      </w:r>
    </w:p>
    <w:p>
      <w:pPr>
        <w:pStyle w:val="ListBullet"/>
      </w:pPr>
      <w:r>
        <w:t xml:space="preserve">Le </w:t>
      </w:r>
      <w:r>
        <w:rPr>
          <w:b/>
        </w:rPr>
        <w:t>domaine de liaison au ligand du récepteur VEGFR-2</w:t>
      </w:r>
      <w:r>
        <w:t xml:space="preserve"> (domaine 3, fusionné en queue).</w:t>
      </w:r>
    </w:p>
    <w:p>
      <w:pPr>
        <w:pStyle w:val="ListBullet"/>
      </w:pPr>
      <w:r>
        <w:t xml:space="preserve">La </w:t>
      </w:r>
      <w:r>
        <w:rPr>
          <w:b/>
        </w:rPr>
        <w:t>portion Fc des IgG1 humaines</w:t>
      </w:r>
      <w:r>
        <w:t xml:space="preserve"> (permettant la dimérisation et le recyclage FcRn).</w:t>
      </w:r>
    </w:p>
    <w:p>
      <w:r>
        <w:t xml:space="preserve">Cette structure dimérique (deux bras de liaison au VEGF par molécule) en fait un </w:t>
      </w:r>
      <w:r>
        <w:rPr>
          <w:b/>
        </w:rPr>
        <w:t>piège à VEGF (VEGF-Trap)</w:t>
      </w:r>
      <w:r>
        <w:t xml:space="preserve"> avec une affinité extrêmement élevée pour le VEGF-A (Kd ~ 0,5 pM), supérieure à celle des anticorps monoclonaux. L'aflibercept piège également le </w:t>
      </w:r>
      <w:r>
        <w:rPr>
          <w:b/>
        </w:rPr>
        <w:t>PIGF</w:t>
      </w:r>
      <w:r>
        <w:t xml:space="preserve"> (placental growth factor), une cytokine de la même famille que le VEGF, qui joue un rôle dans l'inflammation et l'angiogenèse pathologiques. Le blocage combiné VEGF-A + PIGF pourrait expliquer une efficacité supérieure dans certaines indications.</w:t>
      </w:r>
    </w:p>
    <w:p>
      <w:pPr>
        <w:pStyle w:val="Heading4"/>
      </w:pPr>
      <w:r>
        <w:t>Indications principales</w:t>
      </w:r>
    </w:p>
    <w:p>
      <w:r>
        <w:t>Les indications de l'aflibercept sont :</w:t>
      </w:r>
    </w:p>
    <w:p>
      <w:pPr>
        <w:pStyle w:val="ListNumber"/>
      </w:pPr>
      <w:r/>
      <w:r>
        <w:rPr>
          <w:b/>
        </w:rPr>
        <w:t>DMLA exsudative (néovasculaire)</w:t>
      </w:r>
      <w:r>
        <w:t xml:space="preserve"> : indication princeps, avec un schéma initial de 3 injections mensuelles puis 1 injection tous les 2 mois pendant 6 mois, puis en PRN ou treat and extend.</w:t>
      </w:r>
    </w:p>
    <w:p>
      <w:pPr>
        <w:pStyle w:val="ListNumber"/>
      </w:pPr>
      <w:r/>
      <w:r>
        <w:rPr>
          <w:b/>
        </w:rPr>
        <w:t>Œdème maculaire diabétique (OMD)</w:t>
      </w:r>
      <w:r>
        <w:t xml:space="preserve"> : avec schéma initial mensuel puis bimestriel.</w:t>
      </w:r>
    </w:p>
    <w:p>
      <w:pPr>
        <w:pStyle w:val="ListNumber"/>
      </w:pPr>
      <w:r/>
      <w:r>
        <w:rPr>
          <w:b/>
        </w:rPr>
        <w:t>Occlusion de veine centrale de la rétine (OVCR)</w:t>
      </w:r>
      <w:r>
        <w:t xml:space="preserve"> avec œdème maculaire.</w:t>
      </w:r>
    </w:p>
    <w:p>
      <w:pPr>
        <w:pStyle w:val="ListNumber"/>
      </w:pPr>
      <w:r/>
      <w:r>
        <w:rPr>
          <w:b/>
        </w:rPr>
        <w:t>Occlusion de branche veineuse rétinienne (OBVR)</w:t>
      </w:r>
      <w:r>
        <w:t xml:space="preserve"> avec œdème maculaire.</w:t>
      </w:r>
    </w:p>
    <w:p>
      <w:pPr>
        <w:pStyle w:val="ListNumber"/>
      </w:pPr>
      <w:r/>
      <w:r>
        <w:rPr>
          <w:b/>
        </w:rPr>
        <w:t>Rétinopathie diabétique proliférante</w:t>
      </w:r>
      <w:r>
        <w:t xml:space="preserve"> : alternative à la photocoagulation panrétinienne.</w:t>
      </w:r>
    </w:p>
    <w:p>
      <w:pPr>
        <w:pStyle w:val="ListNumber"/>
      </w:pPr>
      <w:r/>
      <w:r>
        <w:rPr>
          <w:b/>
        </w:rPr>
        <w:t>Myopie forte pathologique</w:t>
      </w:r>
      <w:r>
        <w:t xml:space="preserve"> avec néovaisseaux choroïdiens.</w:t>
      </w:r>
    </w:p>
    <w:p>
      <w:pPr>
        <w:pStyle w:val="Heading4"/>
      </w:pPr>
      <w:r>
        <w:t>Spécificités algériennes du marché</w:t>
      </w:r>
    </w:p>
    <w:p>
      <w:r>
        <w:t>Le marché algérien de l'aflibercept compte deux spécialités :</w:t>
      </w:r>
    </w:p>
    <w:p>
      <w:pPr>
        <w:pStyle w:val="ListBullet"/>
      </w:pPr>
      <w:r/>
      <w:r>
        <w:rPr>
          <w:b/>
        </w:rPr>
        <w:t>EYLEA</w:t>
      </w:r>
      <w:r>
        <w:t xml:space="preserve"> (Bayer) : solution injectable intravitréenne à 40 mg/mL, autorisée pour les indications ophtalmologiques.</w:t>
      </w:r>
    </w:p>
    <w:p>
      <w:pPr>
        <w:pStyle w:val="ListBullet"/>
      </w:pPr>
      <w:r/>
      <w:r>
        <w:rPr>
          <w:b/>
        </w:rPr>
        <w:t>AFLI</w:t>
      </w:r>
      <w:r>
        <w:t xml:space="preserve"> (Sophal - Société Pharmaceutique Algérienne) : solution injectable intravitréenne à 40 mg/mL, biosimilaire/local.</w:t>
      </w:r>
    </w:p>
    <w:p>
      <w:pPr>
        <w:pStyle w:val="ListBullet"/>
      </w:pPr>
      <w:r/>
      <w:r>
        <w:rPr>
          <w:b/>
        </w:rPr>
        <w:t>ZALTRAP</w:t>
      </w:r>
      <w:r>
        <w:t xml:space="preserve"> (Sanofi) : solution à diluer pour perfusion IV à 25 mg/mL, autorisée pour les indications oncologiques (cancer colorectal métastatique), non utilisée en ophtalmologie.</w:t>
      </w:r>
    </w:p>
    <w:p>
      <w:r>
        <w:t>La disponibilité d'une alternative locale (AFLI, Sophal) est un élément important pour l'élargissement de l'accès à cette thérapeutique coûteuse.</w:t>
      </w:r>
    </w:p>
    <w:p>
      <w:pPr>
        <w:pStyle w:val="Heading3"/>
      </w:pPr>
      <w:r>
        <w:t>144.4.2 DCI : AFLIBERCEPT (usage ophtalmique)</w:t>
      </w:r>
    </w:p>
    <w:p>
      <w:pPr>
        <w:pStyle w:val="Heading4"/>
      </w:pPr>
      <w:r>
        <w:t>1. Identification et classification</w:t>
      </w:r>
    </w:p>
    <w:p>
      <w:r>
        <w:t>L'</w:t>
      </w:r>
      <w:r>
        <w:rPr>
          <w:b/>
        </w:rPr>
        <w:t>aflibercept</w:t>
      </w:r>
      <w:r>
        <w:t xml:space="preserve"> (DCI), également connu sous le nom de code </w:t>
      </w:r>
      <w:r>
        <w:rPr>
          <w:b/>
        </w:rPr>
        <w:t>AVE 0005</w:t>
      </w:r>
      <w:r>
        <w:t xml:space="preserve"> ou </w:t>
      </w:r>
      <w:r>
        <w:rPr>
          <w:b/>
        </w:rPr>
        <w:t>VEGF-Trap-Eye</w:t>
      </w:r>
      <w:r>
        <w:t>, est une protéine de fusion recombinante de type piège à cytokine (cytokine trap), produite par technologie de l'ADN recombinant dans des cellules ovariennes de hamster (CHO). Sa masse moléculaire est de 115 kDa (dimère). L'aflibercept combine le domaine 2 du récepteur VEGFR-1 (Flt-1) et le domaine 3 du récepteur VEGFR-2 (KDR/Flk-1) fusionnés à la portion Fc des IgG1 humaines. Commercialisé sous les noms d'</w:t>
      </w:r>
      <w:r>
        <w:rPr>
          <w:b/>
        </w:rPr>
        <w:t>EYLEA</w:t>
      </w:r>
      <w:r>
        <w:t xml:space="preserve"> (Bayer) pour l'usage ophtalmologique et de </w:t>
      </w:r>
      <w:r>
        <w:rPr>
          <w:b/>
        </w:rPr>
        <w:t>ZALTRAP</w:t>
      </w:r>
      <w:r>
        <w:t xml:space="preserve"> (Sanofi) pour l'usage oncologique, l'aflibercept est disponible en Algérie en solution injectable intravitréenne à la concentration de </w:t>
      </w:r>
      <w:r>
        <w:rPr>
          <w:b/>
        </w:rPr>
        <w:t>40 mg/mL</w:t>
      </w:r>
      <w:r>
        <w:t xml:space="preserve">, avec une dose unitaire de </w:t>
      </w:r>
      <w:r>
        <w:rPr>
          <w:b/>
        </w:rPr>
        <w:t>2 mg dans 0,05 mL</w:t>
      </w:r>
      <w:r>
        <w:t xml:space="preserve"> pour l'adulte. Classé en </w:t>
      </w:r>
      <w:r>
        <w:rPr>
          <w:b/>
        </w:rPr>
        <w:t>Liste I</w:t>
      </w:r>
      <w:r>
        <w:t xml:space="preserve">, l'aflibercept dispose d'un biosimilaire/local en Algérie : </w:t>
      </w:r>
      <w:r>
        <w:rPr>
          <w:b/>
        </w:rPr>
        <w:t>AFLI</w:t>
      </w:r>
      <w:r>
        <w:t xml:space="preserve"> (Sophal).</w:t>
      </w:r>
    </w:p>
    <w:p>
      <w:pPr>
        <w:pStyle w:val="Heading4"/>
      </w:pPr>
      <w:r>
        <w:t>2. Mécanisme d'action</w:t>
      </w:r>
    </w:p>
    <w:p>
      <w:r>
        <w:t xml:space="preserve">L'aflibercept est un </w:t>
      </w:r>
      <w:r>
        <w:rPr>
          <w:b/>
        </w:rPr>
        <w:t>piège soluble du VEGF (VEGF-Trap)</w:t>
      </w:r>
      <w:r>
        <w:t xml:space="preserve"> qui se lie au VEGF-A (toutes les isoformes), au VEGF-B et au PIGF (placental growth factor) avec une </w:t>
      </w:r>
      <w:r>
        <w:rPr>
          <w:b/>
        </w:rPr>
        <w:t>affinité extrêmement élevée</w:t>
      </w:r>
      <w:r>
        <w:t xml:space="preserve"> (Kd ~ 0,5 pM pour le VEGF-A, soit environ 100 fois supérieure à celle du ranibizumab et du bévacizumab). Cette affinité supérieure s'explique par la structure dimérique (deux bras de liaison par molécule) et par la mimesis du récepteur naturel. En se liant au VEGF-A, VEGF-B et PIGF libres, l'aflibercept empêche leur fixation aux récepteurs VEGFR-1 et VEGFR-2 à la surface des cellules endothéliales, inhibant :</w:t>
      </w:r>
    </w:p>
    <w:p>
      <w:pPr>
        <w:pStyle w:val="ListBullet"/>
      </w:pPr>
      <w:r>
        <w:t xml:space="preserve">La </w:t>
      </w:r>
      <w:r>
        <w:rPr>
          <w:b/>
        </w:rPr>
        <w:t>prolifération et la migration endothéliales</w:t>
      </w:r>
      <w:r>
        <w:t>.</w:t>
      </w:r>
    </w:p>
    <w:p>
      <w:pPr>
        <w:pStyle w:val="ListBullet"/>
      </w:pPr>
      <w:r>
        <w:t xml:space="preserve">La </w:t>
      </w:r>
      <w:r>
        <w:rPr>
          <w:b/>
        </w:rPr>
        <w:t>perméabilité vasculaire</w:t>
      </w:r>
      <w:r>
        <w:t xml:space="preserve"> (réduction de l'œdème maculaire).</w:t>
      </w:r>
    </w:p>
    <w:p>
      <w:pPr>
        <w:pStyle w:val="ListBullet"/>
      </w:pPr>
      <w:r>
        <w:t xml:space="preserve">La </w:t>
      </w:r>
      <w:r>
        <w:rPr>
          <w:b/>
        </w:rPr>
        <w:t>néovascularisation pathologique</w:t>
      </w:r>
      <w:r>
        <w:t>.</w:t>
      </w:r>
    </w:p>
    <w:p>
      <w:pPr>
        <w:pStyle w:val="ListBullet"/>
      </w:pPr>
      <w:r>
        <w:t xml:space="preserve">La </w:t>
      </w:r>
      <w:r>
        <w:rPr>
          <w:b/>
        </w:rPr>
        <w:t>survie endothéliale</w:t>
      </w:r>
      <w:r>
        <w:t xml:space="preserve"> (régression des néovaisseaux existants).</w:t>
      </w:r>
    </w:p>
    <w:p>
      <w:r>
        <w:t>Le blocage combiné du PIGF (cytokine pro-inflammatoire et pro-angiogénique) pourrait expliquer une efficacité supérieure ou prolongée par rapport au ranibizumab et au bévacizumab dans certaines indications (DMLA réfractaire, OMD avec ischemie maculaire). L'effet thérapeutique se traduit cliniquement par une amélioration ou une stabilisation de l'acuité visuelle, une réduction de l'épaisseur maculaire, une régression des néovaisseaux et une diminution des hémorragies rétiniennes.</w:t>
      </w:r>
    </w:p>
    <w:p>
      <w:pPr>
        <w:pStyle w:val="Heading4"/>
      </w:pPr>
      <w:r>
        <w:t>3. Pharmacocinétique</w:t>
      </w:r>
    </w:p>
    <w:p>
      <w:r>
        <w:t xml:space="preserve">Après </w:t>
      </w:r>
      <w:r>
        <w:rPr>
          <w:b/>
        </w:rPr>
        <w:t>injection intravitréenne</w:t>
      </w:r>
      <w:r>
        <w:t xml:space="preserve"> de 2 mg, l'aflibercept se distribue dans le vitré et diffuse à travers les couches rétiniennes jusqu'à l'EPR. La </w:t>
      </w:r>
      <w:r>
        <w:rPr>
          <w:b/>
        </w:rPr>
        <w:t>demi-vie vitréenne</w:t>
      </w:r>
      <w:r>
        <w:t xml:space="preserve"> est de l'ordre de </w:t>
      </w:r>
      <w:r>
        <w:rPr>
          <w:b/>
        </w:rPr>
        <w:t>4 à 5 jours</w:t>
      </w:r>
      <w:r>
        <w:t xml:space="preserve"> chez l'homme (similaire à celle du ranibizumab, légèrement inférieure à celle du bévacizumab). La concentration intravitréenne thérapeutique est maintenue pendant environ 10–12 semaines (durée d'action plus longue que le ranibizumab, justifiant le schéma d'injections bimensuelles).</w:t>
      </w:r>
    </w:p>
    <w:p>
      <w:r>
        <w:t xml:space="preserve">Le passage systémique est faible mais détectable : la concentration plasmatique maximale est de l'ordre de 1–5 ng/mL, atteinte en 1–3 jours après l'injection. La </w:t>
      </w:r>
      <w:r>
        <w:rPr>
          <w:b/>
        </w:rPr>
        <w:t>demi-vie plasmatique</w:t>
      </w:r>
      <w:r>
        <w:t xml:space="preserve"> est longue, de l'ordre de </w:t>
      </w:r>
      <w:r>
        <w:rPr>
          <w:b/>
        </w:rPr>
        <w:t>5–6 jours</w:t>
      </w:r>
      <w:r>
        <w:t>, en raison du recyclage FcRn (la portion Fc de l'IgG1 permet le recyclage endothélial). L'élimination se fait par protéolyse et filtration glomérulaire.</w:t>
      </w:r>
    </w:p>
    <w:p>
      <w:r>
        <w:t xml:space="preserve">La </w:t>
      </w:r>
      <w:r>
        <w:rPr>
          <w:b/>
        </w:rPr>
        <w:t>biodisponibilité systémique</w:t>
      </w:r>
      <w:r>
        <w:t xml:space="preserve"> est faible (~ 5–10 %), ce qui explique la rareté des effets systémiques (thrombo-emboliques). Aucune accumulation systémique n'est observée en cas d'injections bimensuelles. La production d'anticorps anti-médicament (ADA) est rare (&lt; 2 % des patients), sans conséquence clinique habituelle.</w:t>
      </w:r>
    </w:p>
    <w:p>
      <w:pPr>
        <w:pStyle w:val="Heading4"/>
      </w:pPr>
      <w:r>
        <w:t>4. Indications thérapeutiques</w:t>
      </w:r>
    </w:p>
    <w:p>
      <w:r>
        <w:t>L'aflibercept dispose de l'AMM pour les indications suivantes :</w:t>
      </w:r>
    </w:p>
    <w:p>
      <w:pPr>
        <w:pStyle w:val="ListBullet"/>
      </w:pPr>
      <w:r/>
      <w:r>
        <w:rPr>
          <w:b/>
        </w:rPr>
        <w:t>DMLA exsudative (néovasculaire)</w:t>
      </w:r>
      <w:r>
        <w:t xml:space="preserve"> : traitement de première ligne chez l'adulte. Schéma initial de 3 injections mensuelles puis 1 injection tous les 2 mois pendant 6 mois, puis en PRN ou treat and extend.</w:t>
      </w:r>
    </w:p>
    <w:p>
      <w:pPr>
        <w:pStyle w:val="ListBullet"/>
      </w:pPr>
      <w:r/>
      <w:r>
        <w:rPr>
          <w:b/>
        </w:rPr>
        <w:t>Œdème maculaire diabétique (OMD)</w:t>
      </w:r>
      <w:r>
        <w:t xml:space="preserve"> : traitement de l'OMD avec baisse d'acuité visuelle. Schéma initial mensuel puis bimestriel.</w:t>
      </w:r>
    </w:p>
    <w:p>
      <w:pPr>
        <w:pStyle w:val="ListBullet"/>
      </w:pPr>
      <w:r/>
      <w:r>
        <w:rPr>
          <w:b/>
        </w:rPr>
        <w:t>Occlusion de veine centrale de la rétine (OVCR)</w:t>
      </w:r>
      <w:r>
        <w:t xml:space="preserve"> avec œdème maculaire.</w:t>
      </w:r>
    </w:p>
    <w:p>
      <w:pPr>
        <w:pStyle w:val="ListBullet"/>
      </w:pPr>
      <w:r/>
      <w:r>
        <w:rPr>
          <w:b/>
        </w:rPr>
        <w:t>Occlusion de branche veineuse rétinienne (OBVR)</w:t>
      </w:r>
      <w:r>
        <w:t xml:space="preserve"> avec œdème maculaire.</w:t>
      </w:r>
    </w:p>
    <w:p>
      <w:pPr>
        <w:pStyle w:val="ListBullet"/>
      </w:pPr>
      <w:r/>
      <w:r>
        <w:rPr>
          <w:b/>
        </w:rPr>
        <w:t>Rétinopathie diabétique proliférante</w:t>
      </w:r>
      <w:r>
        <w:t xml:space="preserve"> : alternative à la photocoagulation panrétinienne.</w:t>
      </w:r>
    </w:p>
    <w:p>
      <w:pPr>
        <w:pStyle w:val="ListBullet"/>
      </w:pPr>
      <w:r/>
      <w:r>
        <w:rPr>
          <w:b/>
        </w:rPr>
        <w:t>Myopie forte pathologique</w:t>
      </w:r>
      <w:r>
        <w:t xml:space="preserve"> avec néovaisseaux choroïdiens.</w:t>
      </w:r>
    </w:p>
    <w:p>
      <w:pPr>
        <w:pStyle w:val="Heading4"/>
      </w:pPr>
      <w:r>
        <w:t>5. Contre-indications</w:t>
      </w:r>
    </w:p>
    <w:p>
      <w:r>
        <w:t>Les contre-indications de l'aflibercept sont :</w:t>
      </w:r>
    </w:p>
    <w:p>
      <w:pPr>
        <w:pStyle w:val="ListBullet"/>
      </w:pPr>
      <w:r/>
      <w:r>
        <w:rPr>
          <w:b/>
        </w:rPr>
        <w:t>Hypersensibilité</w:t>
      </w:r>
      <w:r>
        <w:t xml:space="preserve"> à l'aflibercept ou à l'un des excipients.</w:t>
      </w:r>
    </w:p>
    <w:p>
      <w:pPr>
        <w:pStyle w:val="ListBullet"/>
      </w:pPr>
      <w:r/>
      <w:r>
        <w:rPr>
          <w:b/>
        </w:rPr>
        <w:t>Infection intraoculaire évolutive</w:t>
      </w:r>
      <w:r>
        <w:t xml:space="preserve"> : contre-indication absolue.</w:t>
      </w:r>
    </w:p>
    <w:p>
      <w:pPr>
        <w:pStyle w:val="ListBullet"/>
      </w:pPr>
      <w:r/>
      <w:r>
        <w:rPr>
          <w:b/>
        </w:rPr>
        <w:t>Inflammation intraoculaire sévère active</w:t>
      </w:r>
      <w:r>
        <w:t xml:space="preserve"> : à traiter avant l'injection.</w:t>
      </w:r>
    </w:p>
    <w:p>
      <w:pPr>
        <w:pStyle w:val="ListBullet"/>
      </w:pPr>
      <w:r/>
      <w:r>
        <w:rPr>
          <w:b/>
        </w:rPr>
        <w:t>Grossesse</w:t>
      </w:r>
      <w:r>
        <w:t xml:space="preserve"> : toxicité embryofœtale démontrée chez l'animal ; à éviter chez la femme enceinte ou en âge de procréer sans contraception efficace.</w:t>
      </w:r>
    </w:p>
    <w:p>
      <w:pPr>
        <w:pStyle w:val="ListBullet"/>
      </w:pPr>
      <w:r/>
      <w:r>
        <w:rPr>
          <w:b/>
        </w:rPr>
        <w:t>Allaitement</w:t>
      </w:r>
      <w:r>
        <w:t xml:space="preserve"> : à éviter en raison du passage dans le lait maternel.</w:t>
      </w:r>
    </w:p>
    <w:p>
      <w:pPr>
        <w:pStyle w:val="Heading4"/>
      </w:pPr>
      <w:r>
        <w:t>6. Précautions d'emploi et mises en garde</w:t>
      </w:r>
    </w:p>
    <w:p>
      <w:r>
        <w:t>Les précautions d'emploi de l'aflibercept sont similaires à celles du ranibizumab :</w:t>
      </w:r>
    </w:p>
    <w:p>
      <w:pPr>
        <w:pStyle w:val="ListBullet"/>
      </w:pPr>
      <w:r/>
      <w:r>
        <w:rPr>
          <w:b/>
        </w:rPr>
        <w:t>Conditions d'administration</w:t>
      </w:r>
      <w:r>
        <w:t xml:space="preserve"> : injection intravitréenne par un ophtalmologiste expérimenté en milieu stérile.</w:t>
      </w:r>
    </w:p>
    <w:p>
      <w:pPr>
        <w:pStyle w:val="ListBullet"/>
      </w:pPr>
      <w:r/>
      <w:r>
        <w:rPr>
          <w:b/>
        </w:rPr>
        <w:t>Surveillance post-injection</w:t>
      </w:r>
      <w:r>
        <w:t xml:space="preserve"> : mesure de la PIO à 10, 30, 60 minutes ; examen à la lampe à fente ; vérification du réflexe pupillaire.</w:t>
      </w:r>
    </w:p>
    <w:p>
      <w:pPr>
        <w:pStyle w:val="ListBullet"/>
      </w:pPr>
      <w:r/>
      <w:r>
        <w:rPr>
          <w:b/>
        </w:rPr>
        <w:t>Anticoagulants et antiagrégants</w:t>
      </w:r>
      <w:r>
        <w:t xml:space="preserve"> : pas de contre-indication, mais prudence en raison du risque accru d'hémorragie.</w:t>
      </w:r>
    </w:p>
    <w:p>
      <w:pPr>
        <w:pStyle w:val="ListBullet"/>
      </w:pPr>
      <w:r/>
      <w:r>
        <w:rPr>
          <w:b/>
        </w:rPr>
        <w:t>Patient avec AVC ou IDM récent</w:t>
      </w:r>
      <w:r>
        <w:t xml:space="preserve"> : prudence en raison du risque thrombo-embolique.</w:t>
      </w:r>
    </w:p>
    <w:p>
      <w:pPr>
        <w:pStyle w:val="ListBullet"/>
      </w:pPr>
      <w:r/>
      <w:r>
        <w:rPr>
          <w:b/>
        </w:rPr>
        <w:t>Patient avec insuffisance rénale ou hépatique</w:t>
      </w:r>
      <w:r>
        <w:t xml:space="preserve"> : pas d'adaptation posologique.</w:t>
      </w:r>
    </w:p>
    <w:p>
      <w:pPr>
        <w:pStyle w:val="ListBullet"/>
      </w:pPr>
      <w:r/>
      <w:r>
        <w:rPr>
          <w:b/>
        </w:rPr>
        <w:t>Patient âgé</w:t>
      </w:r>
      <w:r>
        <w:t xml:space="preserve"> : pas d'adaptation posologique.</w:t>
      </w:r>
    </w:p>
    <w:p>
      <w:pPr>
        <w:pStyle w:val="ListBullet"/>
      </w:pPr>
      <w:r/>
      <w:r>
        <w:rPr>
          <w:b/>
        </w:rPr>
        <w:t>Information du patient</w:t>
      </w:r>
      <w:r>
        <w:t xml:space="preserve"> : expliquer le geste, les risques, la nécessité d'un suivi régulier.</w:t>
      </w:r>
    </w:p>
    <w:p>
      <w:pPr>
        <w:pStyle w:val="Heading4"/>
      </w:pPr>
      <w:r>
        <w:t>7. Effets indésirables</w:t>
      </w:r>
    </w:p>
    <w:p>
      <w:r>
        <w:t>Les effets indésirables de l'aflibercept sont similaires à ceux du ranibizumab et du bévacizumab :</w:t>
      </w:r>
    </w:p>
    <w:p>
      <w:pPr>
        <w:pStyle w:val="ListBullet"/>
      </w:pPr>
      <w:r/>
      <w:r>
        <w:rPr>
          <w:b/>
        </w:rPr>
        <w:t>Locaux oculaires fréquents</w:t>
      </w:r>
      <w:r>
        <w:t xml:space="preserve"> : douleur à l'injection, hémorragie sous-conjonctivale, hémorragie conjonctivale, hyperhémie conjonctivale, corps flottants vitréens, augmentation transitoire de la PIO, vision trouble transitoire, kératite ponctuée superficielle, sécheresse oculaire.</w:t>
      </w:r>
    </w:p>
    <w:p>
      <w:pPr>
        <w:pStyle w:val="ListBullet"/>
      </w:pPr>
      <w:r/>
      <w:r>
        <w:rPr>
          <w:b/>
        </w:rPr>
        <w:t>Locaux oculaires peu fréquents</w:t>
      </w:r>
      <w:r>
        <w:t xml:space="preserve"> : endophtalmie (0,02–0,1 % par injection), décollement de rétine rhegmatogène (0,1–0,5 %), hémorragie intravitréenne (0,5–2 %), cataracte, uvéite, iritis.</w:t>
      </w:r>
    </w:p>
    <w:p>
      <w:pPr>
        <w:pStyle w:val="ListBullet"/>
      </w:pPr>
      <w:r/>
      <w:r>
        <w:rPr>
          <w:b/>
        </w:rPr>
        <w:t>Systémiques</w:t>
      </w:r>
      <w:r>
        <w:t xml:space="preserve"> : augmentation de la pression artérielle, événements thrombo-emboliques (AVC, IDM) — incidence &lt; 1 % par injection.</w:t>
      </w:r>
    </w:p>
    <w:p>
      <w:pPr>
        <w:pStyle w:val="ListBullet"/>
      </w:pPr>
      <w:r/>
      <w:r>
        <w:rPr>
          <w:b/>
        </w:rPr>
        <w:t>Immunogénicité</w:t>
      </w:r>
      <w:r>
        <w:t xml:space="preserve"> : anticorps anti-médicament (ADA) chez &lt; 2 % des patients.</w:t>
      </w:r>
    </w:p>
    <w:p>
      <w:pPr>
        <w:pStyle w:val="ListBullet"/>
      </w:pPr>
      <w:r/>
      <w:r>
        <w:rPr>
          <w:b/>
        </w:rPr>
        <w:t>Allergiques</w:t>
      </w:r>
      <w:r>
        <w:t xml:space="preserve"> : rares cas d'hypersensibilité.</w:t>
      </w:r>
    </w:p>
    <w:p>
      <w:pPr>
        <w:pStyle w:val="Heading4"/>
      </w:pPr>
      <w:r>
        <w:t>8. Interactions médicamenteuses</w:t>
      </w:r>
    </w:p>
    <w:p>
      <w:r>
        <w:t>Les interactions médicamenteuses de l'aflibercept sont similaires à celles du ranibizumab et du bévacizumab :</w:t>
      </w:r>
    </w:p>
    <w:p>
      <w:pPr>
        <w:pStyle w:val="ListBullet"/>
      </w:pPr>
      <w:r/>
      <w:r>
        <w:rPr>
          <w:b/>
        </w:rPr>
        <w:t>Photocoagulation laser</w:t>
      </w:r>
      <w:r>
        <w:t xml:space="preserve"> : association possible.</w:t>
      </w:r>
    </w:p>
    <w:p>
      <w:pPr>
        <w:pStyle w:val="ListBullet"/>
      </w:pPr>
      <w:r/>
      <w:r>
        <w:rPr>
          <w:b/>
        </w:rPr>
        <w:t>Anticoagulants et antiagrégants</w:t>
      </w:r>
      <w:r>
        <w:t xml:space="preserve"> : pas de contre-indication, surveillance accrue.</w:t>
      </w:r>
    </w:p>
    <w:p>
      <w:pPr>
        <w:pStyle w:val="ListBullet"/>
      </w:pPr>
      <w:r/>
      <w:r>
        <w:rPr>
          <w:b/>
        </w:rPr>
        <w:t>Autres anti-VEGF intravitréens</w:t>
      </w:r>
      <w:r>
        <w:t xml:space="preserve"> : à ne pas associer.</w:t>
      </w:r>
    </w:p>
    <w:p>
      <w:pPr>
        <w:pStyle w:val="ListBullet"/>
      </w:pPr>
      <w:r/>
      <w:r>
        <w:rPr>
          <w:b/>
        </w:rPr>
        <w:t>Corticoïdes intravitréens</w:t>
      </w:r>
      <w:r>
        <w:t xml:space="preserve"> : association possible en alternance.</w:t>
      </w:r>
    </w:p>
    <w:p>
      <w:pPr>
        <w:pStyle w:val="Heading4"/>
      </w:pPr>
      <w:r>
        <w:t>9. Posologie et mode d'administration</w:t>
      </w:r>
    </w:p>
    <w:p>
      <w:r>
        <w:t xml:space="preserve">La posologie usuelle de l'aflibercept est de </w:t>
      </w:r>
      <w:r>
        <w:rPr>
          <w:b/>
        </w:rPr>
        <w:t>2 mg par injection intravitréenne</w:t>
      </w:r>
      <w:r>
        <w:t xml:space="preserve"> (correspondant à 0,05 mL de la solution à 40 mg/mL).</w:t>
      </w:r>
    </w:p>
    <w:p>
      <w:r/>
      <w:r>
        <w:rPr>
          <w:b/>
        </w:rPr>
        <w:t>Schémas thérapeutiques validés</w:t>
      </w:r>
      <w:r>
        <w:t xml:space="preserve"> :</w:t>
      </w:r>
    </w:p>
    <w:p>
      <w:pPr>
        <w:pStyle w:val="ListBullet"/>
      </w:pPr>
      <w:r/>
      <w:r>
        <w:rPr>
          <w:b/>
        </w:rPr>
        <w:t>DMLA exsudative</w:t>
      </w:r>
      <w:r>
        <w:t xml:space="preserve"> : 3 injections mensuelles (M0, M1, M2), puis 1 injection tous les 2 mois (M3, M5, M7, M9, M11) pendant la première année, puis en PRN ou treat and extend.</w:t>
      </w:r>
    </w:p>
    <w:p>
      <w:pPr>
        <w:pStyle w:val="ListBullet"/>
      </w:pPr>
      <w:r/>
      <w:r>
        <w:rPr>
          <w:b/>
        </w:rPr>
        <w:t>OMD</w:t>
      </w:r>
      <w:r>
        <w:t xml:space="preserve"> : 5 injections mensuelles initiales (M0–M4), puis 1 injection tous les 2 mois pendant 6 mois, puis en PRN ou treat and extend.</w:t>
      </w:r>
    </w:p>
    <w:p>
      <w:pPr>
        <w:pStyle w:val="ListBullet"/>
      </w:pPr>
      <w:r/>
      <w:r>
        <w:rPr>
          <w:b/>
        </w:rPr>
        <w:t>OVCR</w:t>
      </w:r>
      <w:r>
        <w:t xml:space="preserve"> : 1 injection mensuelle pendant 3 à 6 mois, puis en PRN ou treat and extend.</w:t>
      </w:r>
    </w:p>
    <w:p>
      <w:pPr>
        <w:pStyle w:val="ListBullet"/>
      </w:pPr>
      <w:r/>
      <w:r>
        <w:rPr>
          <w:b/>
        </w:rPr>
        <w:t>OBVR</w:t>
      </w:r>
      <w:r>
        <w:t xml:space="preserve"> : 1 injection mensuelle pendant 3 mois, puis en PRN ou treat and extend.</w:t>
      </w:r>
    </w:p>
    <w:p>
      <w:pPr>
        <w:pStyle w:val="ListBullet"/>
      </w:pPr>
      <w:r/>
      <w:r>
        <w:rPr>
          <w:b/>
        </w:rPr>
        <w:t>Myopie forte</w:t>
      </w:r>
      <w:r>
        <w:t xml:space="preserve"> : 1 injection, puis en PRN selon les critères OCT et angiographiques.</w:t>
      </w:r>
    </w:p>
    <w:p>
      <w:r/>
      <w:r>
        <w:rPr>
          <w:b/>
        </w:rPr>
        <w:t>Mode d'administration</w:t>
      </w:r>
      <w:r>
        <w:t xml:space="preserve"> : identique à celui du ranibizumab (injection intravitréenne par un ophtalmologiste expérimenté en milieu stérile).</w:t>
      </w:r>
    </w:p>
    <w:p>
      <w:pPr>
        <w:pStyle w:val="Heading4"/>
      </w:pPr>
      <w:r>
        <w:t>10. Surdosage et conduite à tenir</w:t>
      </w:r>
    </w:p>
    <w:p>
      <w:r>
        <w:t>Le surdosage en aflibercept peut résulter d'une erreur de préparation ou d'administration. Les manifestations sont similaires à celles du ranibizumab (hypertonie oculaire aiguë, inflammation intraoculaire, endophtalmie sterile, effets systémiques). La conduite à tenir est identique (voir ranibizumab).</w:t>
      </w:r>
    </w:p>
    <w:p>
      <w:pPr>
        <w:pStyle w:val="Heading4"/>
      </w:pPr>
      <w:r>
        <w:t>11. Spécialités pharmaceutiques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EYLEA</w:t>
            </w:r>
          </w:p>
        </w:tc>
        <w:tc>
          <w:tcPr>
            <w:tcW w:type="dxa" w:w="1559"/>
          </w:tcPr>
          <w:p>
            <w:r>
              <w:rPr>
                <w:sz w:val="20"/>
              </w:rPr>
              <w:t>BAYER PHARMA AG</w:t>
            </w:r>
          </w:p>
        </w:tc>
        <w:tc>
          <w:tcPr>
            <w:tcW w:type="dxa" w:w="1559"/>
          </w:tcPr>
          <w:p>
            <w:r>
              <w:rPr>
                <w:sz w:val="20"/>
              </w:rPr>
              <w:t>Solution injectable intravitréenne 40 mg/mL</w:t>
            </w:r>
          </w:p>
        </w:tc>
        <w:tc>
          <w:tcPr>
            <w:tcW w:type="dxa" w:w="1559"/>
          </w:tcPr>
          <w:p>
            <w:r>
              <w:rPr>
                <w:sz w:val="20"/>
              </w:rPr>
              <w:t>Boîte de 1 flacon</w:t>
            </w:r>
          </w:p>
        </w:tc>
        <w:tc>
          <w:tcPr>
            <w:tcW w:type="dxa" w:w="1559"/>
          </w:tcPr>
          <w:p>
            <w:r>
              <w:rPr>
                <w:sz w:val="20"/>
              </w:rPr>
              <w:t>Liste I</w:t>
            </w:r>
          </w:p>
        </w:tc>
        <w:tc>
          <w:tcPr>
            <w:tcW w:type="dxa" w:w="1559"/>
          </w:tcPr>
          <w:p>
            <w:r>
              <w:rPr>
                <w:sz w:val="20"/>
              </w:rPr>
              <w:t>ACTIF</w:t>
            </w:r>
          </w:p>
        </w:tc>
      </w:tr>
      <w:tr>
        <w:tc>
          <w:tcPr>
            <w:tcW w:type="dxa" w:w="1559"/>
          </w:tcPr>
          <w:p>
            <w:r>
              <w:rPr>
                <w:sz w:val="20"/>
              </w:rPr>
              <w:t>AFLI</w:t>
            </w:r>
          </w:p>
        </w:tc>
        <w:tc>
          <w:tcPr>
            <w:tcW w:type="dxa" w:w="1559"/>
          </w:tcPr>
          <w:p>
            <w:r>
              <w:rPr>
                <w:sz w:val="20"/>
              </w:rPr>
              <w:t>SOCIETE PHARMACEUTIQUE ALGERIENNE SOPHAL</w:t>
            </w:r>
          </w:p>
        </w:tc>
        <w:tc>
          <w:tcPr>
            <w:tcW w:type="dxa" w:w="1559"/>
          </w:tcPr>
          <w:p>
            <w:r>
              <w:rPr>
                <w:sz w:val="20"/>
              </w:rPr>
              <w:t>Solution injectable intravitréenne 40 mg/mL</w:t>
            </w:r>
          </w:p>
        </w:tc>
        <w:tc>
          <w:tcPr>
            <w:tcW w:type="dxa" w:w="1559"/>
          </w:tcPr>
          <w:p>
            <w:r>
              <w:rPr>
                <w:sz w:val="20"/>
              </w:rPr>
              <w:t>Boîte de 1 flacon</w:t>
            </w:r>
          </w:p>
        </w:tc>
        <w:tc>
          <w:tcPr>
            <w:tcW w:type="dxa" w:w="1559"/>
          </w:tcPr>
          <w:p>
            <w:r>
              <w:rPr>
                <w:sz w:val="20"/>
              </w:rPr>
              <w:t>Liste I</w:t>
            </w:r>
          </w:p>
        </w:tc>
        <w:tc>
          <w:tcPr>
            <w:tcW w:type="dxa" w:w="1559"/>
          </w:tcPr>
          <w:p>
            <w:r>
              <w:rPr>
                <w:sz w:val="20"/>
              </w:rPr>
              <w:t>ACTIF</w:t>
            </w:r>
          </w:p>
        </w:tc>
      </w:tr>
      <w:tr>
        <w:tc>
          <w:tcPr>
            <w:tcW w:type="dxa" w:w="1559"/>
          </w:tcPr>
          <w:p>
            <w:r>
              <w:rPr>
                <w:sz w:val="20"/>
              </w:rPr>
              <w:t>ZALTRAP</w:t>
            </w:r>
          </w:p>
        </w:tc>
        <w:tc>
          <w:tcPr>
            <w:tcW w:type="dxa" w:w="1559"/>
          </w:tcPr>
          <w:p>
            <w:r>
              <w:rPr>
                <w:sz w:val="20"/>
              </w:rPr>
              <w:t>SANOFI AVENTIS FRANCE</w:t>
            </w:r>
          </w:p>
        </w:tc>
        <w:tc>
          <w:tcPr>
            <w:tcW w:type="dxa" w:w="1559"/>
          </w:tcPr>
          <w:p>
            <w:r>
              <w:rPr>
                <w:sz w:val="20"/>
              </w:rPr>
              <w:t>Solution à diluer pour perfusion IV 25 mg/mL</w:t>
            </w:r>
          </w:p>
        </w:tc>
        <w:tc>
          <w:tcPr>
            <w:tcW w:type="dxa" w:w="1559"/>
          </w:tcPr>
          <w:p>
            <w:r>
              <w:rPr>
                <w:sz w:val="20"/>
              </w:rPr>
              <w:t>Boîte de 1 flacon de 4 mL (100 mg/4 mL) ou de 8 mL (200 mg/8 mL)</w:t>
            </w:r>
          </w:p>
        </w:tc>
        <w:tc>
          <w:tcPr>
            <w:tcW w:type="dxa" w:w="1559"/>
          </w:tcPr>
          <w:p>
            <w:r>
              <w:rPr>
                <w:sz w:val="20"/>
              </w:rPr>
              <w:t>Liste I</w:t>
            </w:r>
          </w:p>
        </w:tc>
        <w:tc>
          <w:tcPr>
            <w:tcW w:type="dxa" w:w="1559"/>
          </w:tcPr>
          <w:p>
            <w:r>
              <w:rPr>
                <w:sz w:val="20"/>
              </w:rPr>
              <w:t>ACTIF</w:t>
            </w:r>
          </w:p>
        </w:tc>
      </w:tr>
    </w:tbl>
    <w:p/>
    <w:p>
      <w:r/>
      <w:r>
        <w:rPr>
          <w:b/>
        </w:rPr>
        <w:t>Commentaire</w:t>
      </w:r>
      <w:r>
        <w:t xml:space="preserve"> : Le marché algérien de l'aflibercept compte deux spécialités ophtalmologiques actives : l'innovateur </w:t>
      </w:r>
      <w:r>
        <w:rPr>
          <w:b/>
        </w:rPr>
        <w:t>EYLEA</w:t>
      </w:r>
      <w:r>
        <w:t xml:space="preserve"> (Bayer) et le biosimilaire/local </w:t>
      </w:r>
      <w:r>
        <w:rPr>
          <w:b/>
        </w:rPr>
        <w:t>AFLI</w:t>
      </w:r>
      <w:r>
        <w:t xml:space="preserve"> (Sophal). La spécialité oncologique </w:t>
      </w:r>
      <w:r>
        <w:rPr>
          <w:b/>
        </w:rPr>
        <w:t>ZALTRAP</w:t>
      </w:r>
      <w:r>
        <w:t xml:space="preserve"> (Sanofi) est disponible pour le traitement des cancers colorectaux métastatiques par voie IV, mais n'est pas utilisée en ophtalmologie (la concentration et le conditionnement ne sont pas adaptés à la voie intravitréenne). La disponibilité du biosimilaire local AFLI représente une opportunité pour l'élargissement de l'accès à cette thérapeutique coûteuse. La dose standard de 2 mg/0,05 mL correspond à la concentration de 40 mg/mL.</w:t>
      </w:r>
    </w:p>
    <w:p>
      <w:pPr>
        <w:pStyle w:val="Heading4"/>
      </w:pPr>
      <w:r>
        <w:t>12. Éducation du patient et recommandations pratiques</w:t>
      </w:r>
    </w:p>
    <w:p>
      <w:r>
        <w:t>L'éducation du patient recevant de l'aflibercept reprend les éléments de celle du ranibizumab, avec quelques spécificités :</w:t>
      </w:r>
    </w:p>
    <w:p>
      <w:pPr>
        <w:pStyle w:val="ListBullet"/>
      </w:pPr>
      <w:r/>
      <w:r>
        <w:rPr>
          <w:b/>
        </w:rPr>
        <w:t>Information sur la molécule</w:t>
      </w:r>
      <w:r>
        <w:t xml:space="preserve"> : l'aflibercept est une protéine de fusion (piège à VEGF) avec une affinité supérieure pour le VEGF et un spectre élargi (VEGF-A + VEGF-B + PIGF), permettant des injections plus espacées.</w:t>
      </w:r>
    </w:p>
    <w:p>
      <w:pPr>
        <w:pStyle w:val="ListBullet"/>
      </w:pPr>
      <w:r/>
      <w:r>
        <w:rPr>
          <w:b/>
        </w:rPr>
        <w:t>Information sur le schéma</w:t>
      </w:r>
      <w:r>
        <w:t xml:space="preserve"> : le schéma standard est de 3 injections mensuelles puis bimestrielles, ce qui réduit le nombre d'injections par rapport au ranibizumab mensuel.</w:t>
      </w:r>
    </w:p>
    <w:p>
      <w:pPr>
        <w:pStyle w:val="ListBullet"/>
      </w:pPr>
      <w:r/>
      <w:r>
        <w:rPr>
          <w:b/>
        </w:rPr>
        <w:t>Information sur les risques</w:t>
      </w:r>
      <w:r>
        <w:t xml:space="preserve"> : identiques à ceux du ranibizumab.</w:t>
      </w:r>
    </w:p>
    <w:p>
      <w:pPr>
        <w:pStyle w:val="ListBullet"/>
      </w:pPr>
      <w:r/>
      <w:r>
        <w:rPr>
          <w:b/>
        </w:rPr>
        <w:t>Signes d'alerte post-injection</w:t>
      </w:r>
      <w:r>
        <w:t xml:space="preserve"> : identiques à ceux du ranibizumab.</w:t>
      </w:r>
    </w:p>
    <w:p>
      <w:pPr>
        <w:pStyle w:val="ListBullet"/>
      </w:pPr>
      <w:r/>
      <w:r>
        <w:rPr>
          <w:b/>
        </w:rPr>
        <w:t>Suivi régulier</w:t>
      </w:r>
      <w:r>
        <w:t xml:space="preserve"> : identique à celui du ranibizumab, avec possibilité d'espacer les consultations de contrôle en raison du schéma bimestriel.</w:t>
      </w:r>
    </w:p>
    <w:p>
      <w:pPr>
        <w:pStyle w:val="ListBullet"/>
      </w:pPr>
      <w:r/>
      <w:r>
        <w:rPr>
          <w:b/>
        </w:rPr>
        <w:t>Précautions d'hygiène</w:t>
      </w:r>
      <w:r>
        <w:t xml:space="preserve"> : identiques.</w:t>
      </w:r>
    </w:p>
    <w:p>
      <w:pPr>
        <w:pStyle w:val="ListBullet"/>
      </w:pPr>
      <w:r/>
      <w:r>
        <w:rPr>
          <w:b/>
        </w:rPr>
        <w:t>Coordination multidisciplinaire</w:t>
      </w:r>
      <w:r>
        <w:t xml:space="preserve"> : identique.</w:t>
      </w:r>
    </w:p>
    <w:p>
      <w:pPr>
        <w:pStyle w:val="ListBullet"/>
      </w:pPr>
      <w:r/>
      <w:r>
        <w:rPr>
          <w:b/>
        </w:rPr>
        <w:t>Choix thérapeutique</w:t>
      </w:r>
      <w:r>
        <w:t xml:space="preserve"> : l'aflibercept est souvent choisi en cas de DMLA réfractaire au ranibizumab ou au bévacizumab, ou en cas de préférence pour un schéma d'injections plus espacé.</w:t>
      </w:r>
    </w:p>
    <w:p>
      <w:pPr>
        <w:pStyle w:val="Heading2"/>
      </w:pPr>
      <w:r>
        <w:t>144.5 Sous-classe — Anti-VEGF/Ang-2 intravitréens (nouvelle génération)</w:t>
      </w:r>
    </w:p>
    <w:p>
      <w:pPr>
        <w:pStyle w:val="Heading3"/>
      </w:pPr>
      <w:r>
        <w:t>144.5.1 Généralités de la sous-classe</w:t>
      </w:r>
    </w:p>
    <w:p>
      <w:pPr>
        <w:pStyle w:val="Heading4"/>
      </w:pPr>
      <w:r>
        <w:t>Définition pharmacologique</w:t>
      </w:r>
    </w:p>
    <w:p>
      <w:r>
        <w:t xml:space="preserve">La sous-classe des </w:t>
      </w:r>
      <w:r>
        <w:rPr>
          <w:b/>
        </w:rPr>
        <w:t>anti-VEGF/Ang-2 intravitréens</w:t>
      </w:r>
      <w:r>
        <w:t xml:space="preserve"> représente la nouvelle génération des anti-angiogéniques oculaires, conçus pour dépasser les limites des anti-VEGF classiques (ranibizumab, bévacizumab, aflibercept). Le chef de file — et actuellement l'unique représentant en Algérie — est le </w:t>
      </w:r>
      <w:r>
        <w:rPr>
          <w:b/>
        </w:rPr>
        <w:t>faricimab</w:t>
      </w:r>
      <w:r>
        <w:t xml:space="preserve"> (DCI), commercialisé sous le nom de </w:t>
      </w:r>
      <w:r>
        <w:rPr>
          <w:b/>
        </w:rPr>
        <w:t>VABYSMO</w:t>
      </w:r>
      <w:r>
        <w:t xml:space="preserve"> (Roche). Il s'agit d'un </w:t>
      </w:r>
      <w:r>
        <w:rPr>
          <w:b/>
        </w:rPr>
        <w:t>anticorps monoclonal recombinant bispécifique humanisé de type IgG1</w:t>
      </w:r>
      <w:r>
        <w:t xml:space="preserve">, capable de </w:t>
      </w:r>
      <w:r>
        <w:rPr>
          <w:b/>
        </w:rPr>
        <w:t>lier simultanément et de neutraliser deux cytokines pro-angiogéniques distinctes</w:t>
      </w:r>
      <w:r>
        <w:t xml:space="preserve"> : le </w:t>
      </w:r>
      <w:r>
        <w:rPr>
          <w:b/>
        </w:rPr>
        <w:t>VEGF-A</w:t>
      </w:r>
      <w:r>
        <w:t xml:space="preserve"> (comme les anti-VEGF classiques) et l'</w:t>
      </w:r>
      <w:r>
        <w:rPr>
          <w:b/>
        </w:rPr>
        <w:t>angiopoïétine-2 (Ang-2)</w:t>
      </w:r>
      <w:r>
        <w:t xml:space="preserve"> (cytokine spécifique de l'instabilité vasculaire et de l'inflammation). Cette double inhibition permet une action synergique sur la néovascularisation et l'œdème maculaire, avec un potentiel d'extension des intervalles d'injection par rapport aux anti-VEGF classiques.</w:t>
      </w:r>
    </w:p>
    <w:p>
      <w:pPr>
        <w:pStyle w:val="Heading4"/>
      </w:pPr>
      <w:r>
        <w:t>Rationale pharmacologique</w:t>
      </w:r>
    </w:p>
    <w:p>
      <w:r>
        <w:t xml:space="preserve">L'angiopoïétine-2 (Ang-2) est une cytokine libérée par les cellules endothéliales en réponse à l'hypoxie et à l'inflammation, qui se lie au récepteur </w:t>
      </w:r>
      <w:r>
        <w:rPr>
          <w:b/>
        </w:rPr>
        <w:t>Tie-2</w:t>
      </w:r>
      <w:r>
        <w:t xml:space="preserve"> exprimé par les cellules endothéliales. À l'état normal, l'Ang-1 (agoniste de Tie-2) maintient la quiescence et la stabilité vasculaires. En pathologie, l'Ang-2 (antagoniste fonctionnel de Tie-2) est surexprimée, induisant une </w:t>
      </w:r>
      <w:r>
        <w:rPr>
          <w:b/>
        </w:rPr>
        <w:t>déstabilisation vasculaire</w:t>
      </w:r>
      <w:r>
        <w:t xml:space="preserve">, une </w:t>
      </w:r>
      <w:r>
        <w:rPr>
          <w:b/>
        </w:rPr>
        <w:t>sensibilisation au VEGF</w:t>
      </w:r>
      <w:r>
        <w:t xml:space="preserve"> et une </w:t>
      </w:r>
      <w:r>
        <w:rPr>
          <w:b/>
        </w:rPr>
        <w:t>augmentation de la perméabilité</w:t>
      </w:r>
      <w:r>
        <w:t>. Le blocage combiné VEGF + Ang-2 permet :</w:t>
      </w:r>
    </w:p>
    <w:p>
      <w:pPr>
        <w:pStyle w:val="ListBullet"/>
      </w:pPr>
      <w:r>
        <w:t xml:space="preserve">Une </w:t>
      </w:r>
      <w:r>
        <w:rPr>
          <w:b/>
        </w:rPr>
        <w:t>inhibition synergique de la néovascularisation</w:t>
      </w:r>
      <w:r>
        <w:t>.</w:t>
      </w:r>
    </w:p>
    <w:p>
      <w:pPr>
        <w:pStyle w:val="ListBullet"/>
      </w:pPr>
      <w:r>
        <w:t xml:space="preserve">Une </w:t>
      </w:r>
      <w:r>
        <w:rPr>
          <w:b/>
        </w:rPr>
        <w:t>stabilisation de la barrière hémato-rétinienne</w:t>
      </w:r>
      <w:r>
        <w:t>.</w:t>
      </w:r>
    </w:p>
    <w:p>
      <w:pPr>
        <w:pStyle w:val="ListBullet"/>
      </w:pPr>
      <w:r>
        <w:t xml:space="preserve">Une </w:t>
      </w:r>
      <w:r>
        <w:rPr>
          <w:b/>
        </w:rPr>
        <w:t>réduction de l'inflammation</w:t>
      </w:r>
      <w:r>
        <w:t>.</w:t>
      </w:r>
    </w:p>
    <w:p>
      <w:pPr>
        <w:pStyle w:val="ListBullet"/>
      </w:pPr>
      <w:r>
        <w:t xml:space="preserve">Une </w:t>
      </w:r>
      <w:r>
        <w:rPr>
          <w:b/>
        </w:rPr>
        <w:t>durée d'action plus longue</w:t>
      </w:r>
      <w:r>
        <w:t xml:space="preserve"> (potentiellement 16 semaines entre les injections).</w:t>
      </w:r>
    </w:p>
    <w:p>
      <w:pPr>
        <w:pStyle w:val="Heading4"/>
      </w:pPr>
      <w:r>
        <w:t>Indications principales</w:t>
      </w:r>
    </w:p>
    <w:p>
      <w:r>
        <w:t>Les indications du faricimab sont :</w:t>
      </w:r>
    </w:p>
    <w:p>
      <w:pPr>
        <w:pStyle w:val="ListNumber"/>
      </w:pPr>
      <w:r/>
      <w:r>
        <w:rPr>
          <w:b/>
        </w:rPr>
        <w:t>DMLA exsudative (néovasculaire)</w:t>
      </w:r>
      <w:r>
        <w:t xml:space="preserve"> : traitement de première ligne chez l'adulte.</w:t>
      </w:r>
    </w:p>
    <w:p>
      <w:pPr>
        <w:pStyle w:val="ListNumber"/>
      </w:pPr>
      <w:r/>
      <w:r>
        <w:rPr>
          <w:b/>
        </w:rPr>
        <w:t>Œdème maculaire diabétique (OMD)</w:t>
      </w:r>
      <w:r>
        <w:t>.</w:t>
      </w:r>
    </w:p>
    <w:p>
      <w:pPr>
        <w:pStyle w:val="ListNumber"/>
      </w:pPr>
      <w:r/>
      <w:r>
        <w:rPr>
          <w:b/>
        </w:rPr>
        <w:t>Occlusion de veine centrale de la rétine (OVCR)</w:t>
      </w:r>
      <w:r>
        <w:t xml:space="preserve"> avec œdème maculaire.</w:t>
      </w:r>
    </w:p>
    <w:p>
      <w:pPr>
        <w:pStyle w:val="Heading4"/>
      </w:pPr>
      <w:r>
        <w:t>Spécificités algériennes du marché</w:t>
      </w:r>
    </w:p>
    <w:p>
      <w:r>
        <w:t xml:space="preserve">Le marché algérien du faricimab ne compte qu'une seule spécialité : </w:t>
      </w:r>
      <w:r>
        <w:rPr>
          <w:b/>
        </w:rPr>
        <w:t>VABYSMO</w:t>
      </w:r>
      <w:r>
        <w:t xml:space="preserve"> (Roche Pharma Schweiz AG), solution pour injection intravitréenne à 120 mg/mL, disponible en flacon de 28,8 mg dans 0,24 mL (dose unitaire de 6 mg dans 0,05 mL). Le faricimab est disponible en Algérie depuis 2023–2024 et représente l'innovation thérapeutique la plus récente dans le domaine des anti-VEGF intravitréens.</w:t>
      </w:r>
    </w:p>
    <w:p>
      <w:pPr>
        <w:pStyle w:val="Heading3"/>
      </w:pPr>
      <w:r>
        <w:t>144.5.2 DCI : FARICIMAB</w:t>
      </w:r>
    </w:p>
    <w:p>
      <w:pPr>
        <w:pStyle w:val="Heading4"/>
      </w:pPr>
      <w:r>
        <w:t>1. Identification et classification</w:t>
      </w:r>
    </w:p>
    <w:p>
      <w:r>
        <w:t xml:space="preserve">Le </w:t>
      </w:r>
      <w:r>
        <w:rPr>
          <w:b/>
        </w:rPr>
        <w:t>faricimab</w:t>
      </w:r>
      <w:r>
        <w:t xml:space="preserve"> (DCI), connu sous le nom de code </w:t>
      </w:r>
      <w:r>
        <w:rPr>
          <w:b/>
        </w:rPr>
        <w:t>RG7716</w:t>
      </w:r>
      <w:r>
        <w:t xml:space="preserve"> ou </w:t>
      </w:r>
      <w:r>
        <w:rPr>
          <w:b/>
        </w:rPr>
        <w:t>RO6867461</w:t>
      </w:r>
      <w:r>
        <w:t xml:space="preserve">, est un </w:t>
      </w:r>
      <w:r>
        <w:rPr>
          <w:b/>
        </w:rPr>
        <w:t>anticorps monoclonal recombinant bispécifique humanisé de type IgG1</w:t>
      </w:r>
      <w:r>
        <w:t xml:space="preserve">, produit par technologie de l'ADN recombinant en </w:t>
      </w:r>
      <w:r>
        <w:rPr>
          <w:b/>
        </w:rPr>
        <w:t>système double-expression</w:t>
      </w:r>
      <w:r>
        <w:t xml:space="preserve"> (cellules CHO cotransfectées par deux vecteurs d'expression). C'est le premier anticorps bispécifique approuvé en ophtalmologie. Sa masse moléculaire est d'environ 150 kDa (taille similaire à un anticorps monoclonal classique). Le faricimab possède </w:t>
      </w:r>
      <w:r>
        <w:rPr>
          <w:b/>
        </w:rPr>
        <w:t>deux sites de liaison distincts</w:t>
      </w:r>
      <w:r>
        <w:t xml:space="preserve"> : un bras Fab dirigé contre le VEGF-A (similaire au ranibizumab) et un autre bras Fab dirigé contre l'Ang-2 (angiopoïétine-2). Commercialisé sous le nom de </w:t>
      </w:r>
      <w:r>
        <w:rPr>
          <w:b/>
        </w:rPr>
        <w:t>VABYSMO</w:t>
      </w:r>
      <w:r>
        <w:t xml:space="preserve"> (Roche Pharma Schweiz AG), il est disponible en Algérie en solution pour injection intravitréenne à la concentration de </w:t>
      </w:r>
      <w:r>
        <w:rPr>
          <w:b/>
        </w:rPr>
        <w:t>120 mg/mL</w:t>
      </w:r>
      <w:r>
        <w:t xml:space="preserve">, avec une dose unitaire de </w:t>
      </w:r>
      <w:r>
        <w:rPr>
          <w:b/>
        </w:rPr>
        <w:t>6 mg dans 0,05 mL</w:t>
      </w:r>
      <w:r>
        <w:t xml:space="preserve"> pour l'adulte. Classé en </w:t>
      </w:r>
      <w:r>
        <w:rPr>
          <w:b/>
        </w:rPr>
        <w:t>Liste I</w:t>
      </w:r>
      <w:r>
        <w:t xml:space="preserve">, le faricimab est le premier représentant d'une nouvelle classe pharmacologique : les </w:t>
      </w:r>
      <w:r>
        <w:rPr>
          <w:b/>
        </w:rPr>
        <w:t>anti-VEGF/Ang-2 bispécifiques</w:t>
      </w:r>
      <w:r>
        <w:t>.</w:t>
      </w:r>
    </w:p>
    <w:p>
      <w:pPr>
        <w:pStyle w:val="Heading4"/>
      </w:pPr>
      <w:r>
        <w:t>2. Mécanisme d'action</w:t>
      </w:r>
    </w:p>
    <w:p>
      <w:r>
        <w:t xml:space="preserve">Le faricimab est un </w:t>
      </w:r>
      <w:r>
        <w:rPr>
          <w:b/>
        </w:rPr>
        <w:t>inhibiteur bispécifique du VEGF-A et de l'Ang-2</w:t>
      </w:r>
      <w:r>
        <w:t>. Il neutralise simultanément ces deux cytokines pro-angiogéniques par liaison de haute affinité :</w:t>
      </w:r>
    </w:p>
    <w:p>
      <w:pPr>
        <w:pStyle w:val="ListBullet"/>
      </w:pPr>
      <w:r/>
      <w:r>
        <w:rPr>
          <w:b/>
        </w:rPr>
        <w:t>Anti-VEGF-A</w:t>
      </w:r>
      <w:r>
        <w:t xml:space="preserve"> : comme le ranibizumab, le bévacizumab et l'aflibercept, le faricimab se lie au VEGF-A libre et empêche sa fixation aux récepteurs VEGFR-1 et VEGFR-2 à la surface des cellules endothéliales. Inhibition de la prolifération, migration, perméabilité et survie endothéliales.</w:t>
      </w:r>
    </w:p>
    <w:p>
      <w:pPr>
        <w:pStyle w:val="ListBullet"/>
      </w:pPr>
      <w:r/>
      <w:r>
        <w:rPr>
          <w:b/>
        </w:rPr>
        <w:t>Anti-Ang-2</w:t>
      </w:r>
      <w:r>
        <w:t xml:space="preserve"> : le faricimab se lie à l'Ang-2 libre et empêche sa fixation au récepteur </w:t>
      </w:r>
      <w:r>
        <w:rPr>
          <w:b/>
        </w:rPr>
        <w:t>Tie-2</w:t>
      </w:r>
      <w:r>
        <w:t xml:space="preserve"> exprimé par les cellules endothéliales. Le blocage de l'Ang-2 restaure la signalisation Ang-1/Tie-2 (qui maintient la quiescence vasculaire), réduit la </w:t>
      </w:r>
      <w:r>
        <w:rPr>
          <w:b/>
        </w:rPr>
        <w:t>déstabilisation vasculaire</w:t>
      </w:r>
      <w:r>
        <w:t xml:space="preserve">, diminue la </w:t>
      </w:r>
      <w:r>
        <w:rPr>
          <w:b/>
        </w:rPr>
        <w:t>perméabilité</w:t>
      </w:r>
      <w:r>
        <w:t xml:space="preserve"> et réduit l'</w:t>
      </w:r>
      <w:r>
        <w:rPr>
          <w:b/>
        </w:rPr>
        <w:t>inflammation</w:t>
      </w:r>
      <w:r>
        <w:t>.</w:t>
      </w:r>
    </w:p>
    <w:p>
      <w:r>
        <w:t>L'effet synergique de la double inhibition VEGF-A + Ang-2 permet :</w:t>
      </w:r>
    </w:p>
    <w:p>
      <w:pPr>
        <w:pStyle w:val="ListBullet"/>
      </w:pPr>
      <w:r>
        <w:t xml:space="preserve">Une </w:t>
      </w:r>
      <w:r>
        <w:rPr>
          <w:b/>
        </w:rPr>
        <w:t>inhibition plus complète de la néovascularisation</w:t>
      </w:r>
      <w:r>
        <w:t xml:space="preserve"> que le blocage du VEGF seul.</w:t>
      </w:r>
    </w:p>
    <w:p>
      <w:pPr>
        <w:pStyle w:val="ListBullet"/>
      </w:pPr>
      <w:r>
        <w:t xml:space="preserve">Une </w:t>
      </w:r>
      <w:r>
        <w:rPr>
          <w:b/>
        </w:rPr>
        <w:t>stabilisation de la barrière hémato-rétinienne</w:t>
      </w:r>
      <w:r>
        <w:t xml:space="preserve"> plus efficace.</w:t>
      </w:r>
    </w:p>
    <w:p>
      <w:pPr>
        <w:pStyle w:val="ListBullet"/>
      </w:pPr>
      <w:r>
        <w:t xml:space="preserve">Une </w:t>
      </w:r>
      <w:r>
        <w:rPr>
          <w:b/>
        </w:rPr>
        <w:t>réduction de l'inflammation</w:t>
      </w:r>
      <w:r>
        <w:t xml:space="preserve"> associée à la néovascularisation.</w:t>
      </w:r>
    </w:p>
    <w:p>
      <w:pPr>
        <w:pStyle w:val="ListBullet"/>
      </w:pPr>
      <w:r>
        <w:t xml:space="preserve">Une </w:t>
      </w:r>
      <w:r>
        <w:rPr>
          <w:b/>
        </w:rPr>
        <w:t>durée d'action prolongée</w:t>
      </w:r>
      <w:r>
        <w:t xml:space="preserve"> permettant d'espacer les injections (jusqu'à 16 semaines selon les études TEN LINES, LUCENTTE, RHINE, YOSEMITE, RHIONE).</w:t>
      </w:r>
    </w:p>
    <w:p>
      <w:r>
        <w:t>L'effet thérapeutique se traduit cliniquement par une amélioration ou une stabilisation de l'acuité visuelle, une réduction de l'épaisseur maculaire (OCT), une régression des néovaisseaux et une diminution des hémorragies rétiniennes, avec un schéma d'injections plus espacé que les anti-VEGF classiques.</w:t>
      </w:r>
    </w:p>
    <w:p>
      <w:pPr>
        <w:pStyle w:val="Heading4"/>
      </w:pPr>
      <w:r>
        <w:t>3. Pharmacocinétique</w:t>
      </w:r>
    </w:p>
    <w:p>
      <w:r>
        <w:t xml:space="preserve">Après </w:t>
      </w:r>
      <w:r>
        <w:rPr>
          <w:b/>
        </w:rPr>
        <w:t>injection intravitréenne</w:t>
      </w:r>
      <w:r>
        <w:t xml:space="preserve"> de 6 mg, le faricimab se distribue dans le vitré et diffuse à travers les couches rétiniennes jusqu'à l'EPR. La </w:t>
      </w:r>
      <w:r>
        <w:rPr>
          <w:b/>
        </w:rPr>
        <w:t>demi-vie vitréenne</w:t>
      </w:r>
      <w:r>
        <w:t xml:space="preserve"> est de l'ordre de </w:t>
      </w:r>
      <w:r>
        <w:rPr>
          <w:b/>
        </w:rPr>
        <w:t>7 à 8 jours</w:t>
      </w:r>
      <w:r>
        <w:t xml:space="preserve"> chez l'homme (similaire à celle du ranibizumab et de l'aflibercept, légèrement supérieure grâce à la structure d'anticorps entier avec recyclage FcRn). La concentration intravitréenne thérapeutique est maintenue pendant environ 12–16 semaines, justifiant le schéma d'injections trimestrielles à quadrimestrielles.</w:t>
      </w:r>
    </w:p>
    <w:p>
      <w:r>
        <w:t xml:space="preserve">Le passage systémique est faible mais détectable : la concentration plasmatique maximale est de l'ordre de 0,5–5 ng/mL, atteinte en 1–3 jours après l'injection. La </w:t>
      </w:r>
      <w:r>
        <w:rPr>
          <w:b/>
        </w:rPr>
        <w:t>demi-vie plasmatique</w:t>
      </w:r>
      <w:r>
        <w:t xml:space="preserve"> est de l'ordre de </w:t>
      </w:r>
      <w:r>
        <w:rPr>
          <w:b/>
        </w:rPr>
        <w:t>7–9 jours</w:t>
      </w:r>
      <w:r>
        <w:t>, en raison du recyclage FcRn. L'élimination se fait par protéolyse et filtration glomérulaire.</w:t>
      </w:r>
    </w:p>
    <w:p>
      <w:r>
        <w:t xml:space="preserve">La </w:t>
      </w:r>
      <w:r>
        <w:rPr>
          <w:b/>
        </w:rPr>
        <w:t>biodisponibilité systémique</w:t>
      </w:r>
      <w:r>
        <w:t xml:space="preserve"> est faible (~ 5–10 %), ce qui explique la rareté des effets systémiques (thrombo-emboliques). Aucune accumulation systémique n'est observée en cas d'injections trimestrielles. La production d'anticorps anti-médicament (ADA) est rare (&lt; 2 % des patients), sans conséquence clinique habituelle. Le faricimab a été conçu avec une </w:t>
      </w:r>
      <w:r>
        <w:rPr>
          <w:b/>
        </w:rPr>
        <w:t>mutation dans la portion Fc</w:t>
      </w:r>
      <w:r>
        <w:t xml:space="preserve"> qui </w:t>
      </w:r>
      <w:r>
        <w:rPr>
          <w:b/>
        </w:rPr>
        <w:t>abolit les fonctions effectrices</w:t>
      </w:r>
      <w:r>
        <w:t xml:space="preserve"> (liaison au complément C1q et au récepteur FcγR), réduisant le risque d'inflammation locale et de cytotoxicité cellulaire.</w:t>
      </w:r>
    </w:p>
    <w:p>
      <w:pPr>
        <w:pStyle w:val="Heading4"/>
      </w:pPr>
      <w:r>
        <w:t>4. Indications thérapeutiques</w:t>
      </w:r>
    </w:p>
    <w:p>
      <w:r>
        <w:t>Le faricimab dispose de l'AMM pour les indications suivantes :</w:t>
      </w:r>
    </w:p>
    <w:p>
      <w:pPr>
        <w:pStyle w:val="ListBullet"/>
      </w:pPr>
      <w:r/>
      <w:r>
        <w:rPr>
          <w:b/>
        </w:rPr>
        <w:t>DMLA exsulive (néovasculaire)</w:t>
      </w:r>
      <w:r>
        <w:t xml:space="preserve"> : traitement de première ligne chez l'adulte. Schéma initial de 4 injections mensuelles (M0, M1, M2, M3), puis intervalles personnalisés (treat and extend) pouvant atteindre 16 semaines selon la stabilité de la maladie.</w:t>
      </w:r>
    </w:p>
    <w:p>
      <w:pPr>
        <w:pStyle w:val="ListBullet"/>
      </w:pPr>
      <w:r/>
      <w:r>
        <w:rPr>
          <w:b/>
        </w:rPr>
        <w:t>Œdème maculaire diabétique (OMD)</w:t>
      </w:r>
      <w:r>
        <w:t xml:space="preserve"> : schéma identique, avec possibilité d'extension jusqu'à 16 semaines.</w:t>
      </w:r>
    </w:p>
    <w:p>
      <w:pPr>
        <w:pStyle w:val="ListBullet"/>
      </w:pPr>
      <w:r/>
      <w:r>
        <w:rPr>
          <w:b/>
        </w:rPr>
        <w:t>Occlusion de veine centrale de la rétine (OVCR)</w:t>
      </w:r>
      <w:r>
        <w:t xml:space="preserve"> avec œdème maculaire : schéma similaire.</w:t>
      </w:r>
    </w:p>
    <w:p>
      <w:r>
        <w:t xml:space="preserve">Les études pivot (TEN LINES, LUCENTTE, RHINE, YOSEMITE, RHIONE) ont montré une </w:t>
      </w:r>
      <w:r>
        <w:rPr>
          <w:b/>
        </w:rPr>
        <w:t>non-infériorité</w:t>
      </w:r>
      <w:r>
        <w:t xml:space="preserve"> par rapport à l'aflibercept sur l'acuité visuelle à 1 an, avec une réduction du nombre moyen d'injections par an (de 9 à 6) et une proportion plus importante de patients pouvant être espacés à 12 ou 16 semaines.</w:t>
      </w:r>
    </w:p>
    <w:p>
      <w:pPr>
        <w:pStyle w:val="Heading4"/>
      </w:pPr>
      <w:r>
        <w:t>5. Contre-indications</w:t>
      </w:r>
    </w:p>
    <w:p>
      <w:r>
        <w:t>Les contre-indications du faricimab sont :</w:t>
      </w:r>
    </w:p>
    <w:p>
      <w:pPr>
        <w:pStyle w:val="ListBullet"/>
      </w:pPr>
      <w:r/>
      <w:r>
        <w:rPr>
          <w:b/>
        </w:rPr>
        <w:t>Hypersensibilité</w:t>
      </w:r>
      <w:r>
        <w:t xml:space="preserve"> au faricimab ou à l'un des excipients.</w:t>
      </w:r>
    </w:p>
    <w:p>
      <w:pPr>
        <w:pStyle w:val="ListBullet"/>
      </w:pPr>
      <w:r/>
      <w:r>
        <w:rPr>
          <w:b/>
        </w:rPr>
        <w:t>Infection intraoculaire évolutive</w:t>
      </w:r>
      <w:r>
        <w:t xml:space="preserve"> : contre-indication absolue.</w:t>
      </w:r>
    </w:p>
    <w:p>
      <w:pPr>
        <w:pStyle w:val="ListBullet"/>
      </w:pPr>
      <w:r/>
      <w:r>
        <w:rPr>
          <w:b/>
        </w:rPr>
        <w:t>Inflammation intraoculaire sévère active</w:t>
      </w:r>
      <w:r>
        <w:t xml:space="preserve"> : à traiter avant l'injection.</w:t>
      </w:r>
    </w:p>
    <w:p>
      <w:pPr>
        <w:pStyle w:val="ListBullet"/>
      </w:pPr>
      <w:r/>
      <w:r>
        <w:rPr>
          <w:b/>
        </w:rPr>
        <w:t>Grossesse</w:t>
      </w:r>
      <w:r>
        <w:t xml:space="preserve"> : toxicité embryofœtale démontrée chez l'animal ; à éviter chez la femme enceinte ou en âge de procréer sans contraception efficace.</w:t>
      </w:r>
    </w:p>
    <w:p>
      <w:pPr>
        <w:pStyle w:val="ListBullet"/>
      </w:pPr>
      <w:r/>
      <w:r>
        <w:rPr>
          <w:b/>
        </w:rPr>
        <w:t>Allaitement</w:t>
      </w:r>
      <w:r>
        <w:t xml:space="preserve"> : à éviter en raison du passage dans le lait maternel.</w:t>
      </w:r>
    </w:p>
    <w:p>
      <w:pPr>
        <w:pStyle w:val="Heading4"/>
      </w:pPr>
      <w:r>
        <w:t>6. Précautions d'emploi et mises en garde</w:t>
      </w:r>
    </w:p>
    <w:p>
      <w:r>
        <w:t>Les précautions d'emploi du faricimab sont similaires à celles des autres anti-VEGF intravitréens :</w:t>
      </w:r>
    </w:p>
    <w:p>
      <w:pPr>
        <w:pStyle w:val="ListBullet"/>
      </w:pPr>
      <w:r/>
      <w:r>
        <w:rPr>
          <w:b/>
        </w:rPr>
        <w:t>Conditions d'administration</w:t>
      </w:r>
      <w:r>
        <w:t xml:space="preserve"> : injection intravitréenne par un ophtalmologiste expérimenté en milieu stérile.</w:t>
      </w:r>
    </w:p>
    <w:p>
      <w:pPr>
        <w:pStyle w:val="ListBullet"/>
      </w:pPr>
      <w:r/>
      <w:r>
        <w:rPr>
          <w:b/>
        </w:rPr>
        <w:t>Surveillance post-injection</w:t>
      </w:r>
      <w:r>
        <w:t xml:space="preserve"> : mesure de la PIO à 10, 30, 60 minutes ; examen à la lampe à fente ; vérification du réflexe pupillaire.</w:t>
      </w:r>
    </w:p>
    <w:p>
      <w:pPr>
        <w:pStyle w:val="ListBullet"/>
      </w:pPr>
      <w:r/>
      <w:r>
        <w:rPr>
          <w:b/>
        </w:rPr>
        <w:t>Anticoagulants et antiagrégants</w:t>
      </w:r>
      <w:r>
        <w:t xml:space="preserve"> : pas de contre-indication, mais prudence en raison du risque accru d'hémorragie.</w:t>
      </w:r>
    </w:p>
    <w:p>
      <w:pPr>
        <w:pStyle w:val="ListBullet"/>
      </w:pPr>
      <w:r/>
      <w:r>
        <w:rPr>
          <w:b/>
        </w:rPr>
        <w:t>Patient avec AVC ou IDM récent</w:t>
      </w:r>
      <w:r>
        <w:t xml:space="preserve"> : prudence en raison du risque thrombo-embolique.</w:t>
      </w:r>
    </w:p>
    <w:p>
      <w:pPr>
        <w:pStyle w:val="ListBullet"/>
      </w:pPr>
      <w:r/>
      <w:r>
        <w:rPr>
          <w:b/>
        </w:rPr>
        <w:t>Patient avec insuffisance rénale ou hépatique</w:t>
      </w:r>
      <w:r>
        <w:t xml:space="preserve"> : pas d'adaptation posologique.</w:t>
      </w:r>
    </w:p>
    <w:p>
      <w:pPr>
        <w:pStyle w:val="ListBullet"/>
      </w:pPr>
      <w:r/>
      <w:r>
        <w:rPr>
          <w:b/>
        </w:rPr>
        <w:t>Patient âgé</w:t>
      </w:r>
      <w:r>
        <w:t xml:space="preserve"> : pas d'adaptation posologique.</w:t>
      </w:r>
    </w:p>
    <w:p>
      <w:pPr>
        <w:pStyle w:val="ListBullet"/>
      </w:pPr>
      <w:r/>
      <w:r>
        <w:rPr>
          <w:b/>
        </w:rPr>
        <w:t>Information du patient</w:t>
      </w:r>
      <w:r>
        <w:t xml:space="preserve"> : expliquer le geste, les risques, la nécessité d'un suivi régulier, et l'intérêt de pouvoir espacer les injections (qualité de vie, réduction des visites hospitalières).</w:t>
      </w:r>
    </w:p>
    <w:p>
      <w:pPr>
        <w:pStyle w:val="ListBullet"/>
      </w:pPr>
      <w:r/>
      <w:r>
        <w:rPr>
          <w:b/>
        </w:rPr>
        <w:t>Suivi rigoureux du schéma treat and extend</w:t>
      </w:r>
      <w:r>
        <w:t xml:space="preserve"> : surveillance mensuelle pendant la phase d'induction, puis ajustement des intervalles selon les critères OCT et d'acuité visuelle.</w:t>
      </w:r>
    </w:p>
    <w:p>
      <w:pPr>
        <w:pStyle w:val="Heading4"/>
      </w:pPr>
      <w:r>
        <w:t>7. Effets indésirables</w:t>
      </w:r>
    </w:p>
    <w:p>
      <w:r>
        <w:t>Les effets indésirables du faricimab sont similaires à ceux des autres anti-VEGF intravitréens :</w:t>
      </w:r>
    </w:p>
    <w:p>
      <w:pPr>
        <w:pStyle w:val="ListBullet"/>
      </w:pPr>
      <w:r/>
      <w:r>
        <w:rPr>
          <w:b/>
        </w:rPr>
        <w:t>Locaux oculaires fréquents</w:t>
      </w:r>
      <w:r>
        <w:t xml:space="preserve"> : douleur à l'injection, hémorragie sous-conjonctivale, hémorragie conjonctivale, hyperhémie conjonctivale, corps flottants vitréens, augmentation transitoire de la PIO, vision trouble transitoire, kératite ponctuée superficielle.</w:t>
      </w:r>
    </w:p>
    <w:p>
      <w:pPr>
        <w:pStyle w:val="ListBullet"/>
      </w:pPr>
      <w:r/>
      <w:r>
        <w:rPr>
          <w:b/>
        </w:rPr>
        <w:t>Locaux oculaires peu fréquents</w:t>
      </w:r>
      <w:r>
        <w:t xml:space="preserve"> : endophtalmie (0,02–0,1 % par injection), décollement de rétine rhegmatogène (0,1–0,5 %), hémorragie intravitréenne (0,5–2 %), cataracte, uvéite, iritis.</w:t>
      </w:r>
    </w:p>
    <w:p>
      <w:pPr>
        <w:pStyle w:val="ListBullet"/>
      </w:pPr>
      <w:r/>
      <w:r>
        <w:rPr>
          <w:b/>
        </w:rPr>
        <w:t>Systémiques</w:t>
      </w:r>
      <w:r>
        <w:t xml:space="preserve"> : augmentation de la pression artérielle, événements thrombo-emboliques (AVC, IDM) — incidence &lt; 1 % par injection, similaire aux autres anti-VEGF.</w:t>
      </w:r>
    </w:p>
    <w:p>
      <w:pPr>
        <w:pStyle w:val="ListBullet"/>
      </w:pPr>
      <w:r/>
      <w:r>
        <w:rPr>
          <w:b/>
        </w:rPr>
        <w:t>Immunogénicité</w:t>
      </w:r>
      <w:r>
        <w:t xml:space="preserve"> : anticorps anti-médicament (ADA) chez &lt; 2 % des patients.</w:t>
      </w:r>
    </w:p>
    <w:p>
      <w:pPr>
        <w:pStyle w:val="ListBullet"/>
      </w:pPr>
      <w:r/>
      <w:r>
        <w:rPr>
          <w:b/>
        </w:rPr>
        <w:t>Allergiques</w:t>
      </w:r>
      <w:r>
        <w:t xml:space="preserve"> : rares cas d'hypersensibilité.</w:t>
      </w:r>
    </w:p>
    <w:p>
      <w:pPr>
        <w:pStyle w:val="Heading4"/>
      </w:pPr>
      <w:r>
        <w:t>8. Interactions médicamenteuses</w:t>
      </w:r>
    </w:p>
    <w:p>
      <w:r>
        <w:t>Les interactions médicamenteuses du faricimab sont similaires à celles des autres anti-VEGF intravitréens :</w:t>
      </w:r>
    </w:p>
    <w:p>
      <w:pPr>
        <w:pStyle w:val="ListBullet"/>
      </w:pPr>
      <w:r/>
      <w:r>
        <w:rPr>
          <w:b/>
        </w:rPr>
        <w:t>Photocoagulation laser</w:t>
      </w:r>
      <w:r>
        <w:t xml:space="preserve"> : association possible.</w:t>
      </w:r>
    </w:p>
    <w:p>
      <w:pPr>
        <w:pStyle w:val="ListBullet"/>
      </w:pPr>
      <w:r/>
      <w:r>
        <w:rPr>
          <w:b/>
        </w:rPr>
        <w:t>Anticoagulants et antiagrégants</w:t>
      </w:r>
      <w:r>
        <w:t xml:space="preserve"> : pas de contre-indication, surveillance accrue.</w:t>
      </w:r>
    </w:p>
    <w:p>
      <w:pPr>
        <w:pStyle w:val="ListBullet"/>
      </w:pPr>
      <w:r/>
      <w:r>
        <w:rPr>
          <w:b/>
        </w:rPr>
        <w:t>Autres anti-VEGF intravitréens</w:t>
      </w:r>
      <w:r>
        <w:t xml:space="preserve"> : à ne pas associer.</w:t>
      </w:r>
    </w:p>
    <w:p>
      <w:pPr>
        <w:pStyle w:val="ListBullet"/>
      </w:pPr>
      <w:r/>
      <w:r>
        <w:rPr>
          <w:b/>
        </w:rPr>
        <w:t>Corticoïdes intravitréens</w:t>
      </w:r>
      <w:r>
        <w:t xml:space="preserve"> : association possible en alternance.</w:t>
      </w:r>
    </w:p>
    <w:p>
      <w:pPr>
        <w:pStyle w:val="ListBullet"/>
      </w:pPr>
      <w:r/>
      <w:r>
        <w:rPr>
          <w:b/>
        </w:rPr>
        <w:t>Vaccins</w:t>
      </w:r>
      <w:r>
        <w:t xml:space="preserve"> : éviter les vaccins vivants atténués pendant le traitement (immunosuppression théorique).</w:t>
      </w:r>
    </w:p>
    <w:p>
      <w:pPr>
        <w:pStyle w:val="Heading4"/>
      </w:pPr>
      <w:r>
        <w:t>9. Posologie et mode d'administration</w:t>
      </w:r>
    </w:p>
    <w:p>
      <w:r>
        <w:t xml:space="preserve">La posologie usuelle du faricimab est de </w:t>
      </w:r>
      <w:r>
        <w:rPr>
          <w:b/>
        </w:rPr>
        <w:t>6 mg par injection intravitréenne</w:t>
      </w:r>
      <w:r>
        <w:t xml:space="preserve"> (correspondant à 0,05 mL de la solution à 120 mg/mL).</w:t>
      </w:r>
    </w:p>
    <w:p>
      <w:r/>
      <w:r>
        <w:rPr>
          <w:b/>
        </w:rPr>
        <w:t>Schémas thérapeutiques validés</w:t>
      </w:r>
      <w:r>
        <w:t xml:space="preserve"> :</w:t>
      </w:r>
    </w:p>
    <w:p>
      <w:pPr>
        <w:pStyle w:val="ListBullet"/>
      </w:pPr>
      <w:r/>
      <w:r>
        <w:rPr>
          <w:b/>
        </w:rPr>
        <w:t>DMLA exsudative</w:t>
      </w:r>
      <w:r>
        <w:t xml:space="preserve"> : 4 injections mensuelles (M0, M1, M2, M3), puis intervalles personnalisés (treat and extend) selon la stabilité de la maladie :</w:t>
      </w:r>
    </w:p>
    <w:p>
      <w:pPr>
        <w:pStyle w:val="ListBullet"/>
      </w:pPr>
      <w:r>
        <w:t>En cas de stabilité (acuité visuelle stable, OCT stable) : espacement à 12 semaines, puis 16 semaines.</w:t>
      </w:r>
    </w:p>
    <w:p>
      <w:pPr>
        <w:pStyle w:val="ListBullet"/>
      </w:pPr>
      <w:r>
        <w:t>En cas d'instabilité : maintien à 8 semaines ou retour à 4 semaines.</w:t>
      </w:r>
    </w:p>
    <w:p>
      <w:pPr>
        <w:pStyle w:val="ListBullet"/>
      </w:pPr>
      <w:r/>
      <w:r>
        <w:rPr>
          <w:b/>
        </w:rPr>
        <w:t>OMD</w:t>
      </w:r>
      <w:r>
        <w:t xml:space="preserve"> : schéma identique à la DMLA, avec treat and extend à partir de M4.</w:t>
      </w:r>
    </w:p>
    <w:p>
      <w:pPr>
        <w:pStyle w:val="ListBullet"/>
      </w:pPr>
      <w:r/>
      <w:r>
        <w:rPr>
          <w:b/>
        </w:rPr>
        <w:t>OVCR</w:t>
      </w:r>
      <w:r>
        <w:t xml:space="preserve"> : 1 injection mensuelle pendant 3 à 4 mois, puis treat and extend.</w:t>
      </w:r>
    </w:p>
    <w:p>
      <w:r/>
      <w:r>
        <w:rPr>
          <w:b/>
        </w:rPr>
        <w:t>Mode d'administration</w:t>
      </w:r>
      <w:r>
        <w:t xml:space="preserve"> : identique à celui des autres anti-VEGF intravitréens (injection intravitréenne par un ophtalmologiste expérimenté en milieu stérile).</w:t>
      </w:r>
    </w:p>
    <w:p>
      <w:pPr>
        <w:pStyle w:val="Heading4"/>
      </w:pPr>
      <w:r>
        <w:t>10. Surdosage et conduite à tenir</w:t>
      </w:r>
    </w:p>
    <w:p>
      <w:r>
        <w:t>Le surdosage en faricimab peut résulter d'une erreur de préparation ou d'administration. Les manifestations sont similaires à celles des autres anti-VEGF (hypertonie oculaire aiguë, inflammation intraoculaire, endophtalmie sterile, effets systémiques). La conduite à tenir est identique (voir ranibizumab).</w:t>
      </w:r>
    </w:p>
    <w:p>
      <w:pPr>
        <w:pStyle w:val="Heading4"/>
      </w:pPr>
      <w:r>
        <w:t>11. Spécialités pharmaceutiques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VABYSMO</w:t>
            </w:r>
          </w:p>
        </w:tc>
        <w:tc>
          <w:tcPr>
            <w:tcW w:type="dxa" w:w="1559"/>
          </w:tcPr>
          <w:p>
            <w:r>
              <w:rPr>
                <w:sz w:val="20"/>
              </w:rPr>
              <w:t>ROCHE PHARMA (SCHWEIZ) AG</w:t>
            </w:r>
          </w:p>
        </w:tc>
        <w:tc>
          <w:tcPr>
            <w:tcW w:type="dxa" w:w="1559"/>
          </w:tcPr>
          <w:p>
            <w:r>
              <w:rPr>
                <w:sz w:val="20"/>
              </w:rPr>
              <w:t>Solution pour injection intravitréenne en flacon 120 mg/mL</w:t>
            </w:r>
          </w:p>
        </w:tc>
        <w:tc>
          <w:tcPr>
            <w:tcW w:type="dxa" w:w="1559"/>
          </w:tcPr>
          <w:p>
            <w:r>
              <w:rPr>
                <w:sz w:val="20"/>
              </w:rPr>
              <w:t>Boîte de 1 flacon de 28,8 mg dans 0,24 mL + 1 aiguille à filtre</w:t>
            </w:r>
          </w:p>
        </w:tc>
        <w:tc>
          <w:tcPr>
            <w:tcW w:type="dxa" w:w="1559"/>
          </w:tcPr>
          <w:p>
            <w:r>
              <w:rPr>
                <w:sz w:val="20"/>
              </w:rPr>
              <w:t>Liste I</w:t>
            </w:r>
          </w:p>
        </w:tc>
        <w:tc>
          <w:tcPr>
            <w:tcW w:type="dxa" w:w="1559"/>
          </w:tcPr>
          <w:p>
            <w:r>
              <w:rPr>
                <w:sz w:val="20"/>
              </w:rPr>
              <w:t>ACTIF</w:t>
            </w:r>
          </w:p>
        </w:tc>
      </w:tr>
    </w:tbl>
    <w:p/>
    <w:p>
      <w:r/>
      <w:r>
        <w:rPr>
          <w:b/>
        </w:rPr>
        <w:t>Commentaire</w:t>
      </w:r>
      <w:r>
        <w:t xml:space="preserve"> : Le marché algérien du faricimab ne compte qu'une seule spécialité : l'innovateur </w:t>
      </w:r>
      <w:r>
        <w:rPr>
          <w:b/>
        </w:rPr>
        <w:t>VABYSMO</w:t>
      </w:r>
      <w:r>
        <w:t xml:space="preserve"> (Roche Pharma Schweiz AG). Aucun biosimilaire n'est encore disponible, ce qui s'explique par la récence de la molécule (commercialisation mondiale 2022, Algérie 2023–2024). La dose standard de 6 mg/0,05 mL correspond à la concentration de 120 mg/mL. Le flacon contient 28,8 mg dans 0,24 mL, soit un volume excédentaire permettant les pertes lors de la préparation et l'injection. Le faricimab est un médicament d'exception, coûteux, mais qui pourrait permettre de réduire le nombre d'injections par an (de 9 à 6 en moyenne) et donc le coût global de la prise en charge à long terme.</w:t>
      </w:r>
    </w:p>
    <w:p>
      <w:pPr>
        <w:pStyle w:val="Heading4"/>
      </w:pPr>
      <w:r>
        <w:t>12. Éducation du patient et recommandations pratiques</w:t>
      </w:r>
    </w:p>
    <w:p>
      <w:r>
        <w:t>L'éducation du patient recevant du faricimab reprend les éléments de celle des autres anti-VEGF, avec quelques spécificités liées à la nouveauté de la molécule et au schéma treat and extend :</w:t>
      </w:r>
    </w:p>
    <w:p>
      <w:pPr>
        <w:pStyle w:val="ListBullet"/>
      </w:pPr>
      <w:r/>
      <w:r>
        <w:rPr>
          <w:b/>
        </w:rPr>
        <w:t>Information sur la molécule</w:t>
      </w:r>
      <w:r>
        <w:t xml:space="preserve"> : le faricimab est le premier anticorps bispécifique approuvé en ophtalmologie, ciblant à la fois le VEGF-A et l'Ang-2 ; cette double inhibition permet une action plus complète et plus prolongée.</w:t>
      </w:r>
    </w:p>
    <w:p>
      <w:pPr>
        <w:pStyle w:val="ListBullet"/>
      </w:pPr>
      <w:r/>
      <w:r>
        <w:rPr>
          <w:b/>
        </w:rPr>
        <w:t>Information sur le schéma treat and extend</w:t>
      </w:r>
      <w:r>
        <w:t xml:space="preserve"> : après une phase d'induction de 4 injections mensuelles, les intervalles entre injections sont progressivement espacés (de 4 à 8, 12, 16 semaines) selon la stabilité de la maladie ; à l'inverse, en cas d'instabilité, les intervalles sont raccourcis. Ce schéma permet de réduire le nombre de visites hospitalières et d'améliorer la qualité de vie.</w:t>
      </w:r>
    </w:p>
    <w:p>
      <w:pPr>
        <w:pStyle w:val="ListBullet"/>
      </w:pPr>
      <w:r/>
      <w:r>
        <w:rPr>
          <w:b/>
        </w:rPr>
        <w:t>Information sur les risques</w:t>
      </w:r>
      <w:r>
        <w:t xml:space="preserve"> : identiques à ceux des autres anti-VEGF.</w:t>
      </w:r>
    </w:p>
    <w:p>
      <w:pPr>
        <w:pStyle w:val="ListBullet"/>
      </w:pPr>
      <w:r/>
      <w:r>
        <w:rPr>
          <w:b/>
        </w:rPr>
        <w:t>Signes d'alerte post-injection</w:t>
      </w:r>
      <w:r>
        <w:t xml:space="preserve"> : identiques à ceux des autres anti-VEGF.</w:t>
      </w:r>
    </w:p>
    <w:p>
      <w:pPr>
        <w:pStyle w:val="ListBullet"/>
      </w:pPr>
      <w:r/>
      <w:r>
        <w:rPr>
          <w:b/>
        </w:rPr>
        <w:t>Suivi régulier</w:t>
      </w:r>
      <w:r>
        <w:t xml:space="preserve"> : consultation ophtalmologique mensuelle pendant la phase d'induction (4 mois), puis trimestrielle à quadrimestrielle selon le schéma.</w:t>
      </w:r>
    </w:p>
    <w:p>
      <w:pPr>
        <w:pStyle w:val="ListBullet"/>
      </w:pPr>
      <w:r/>
      <w:r>
        <w:rPr>
          <w:b/>
        </w:rPr>
        <w:t>Précautions d'hygiène</w:t>
      </w:r>
      <w:r>
        <w:t xml:space="preserve"> : identiques.</w:t>
      </w:r>
    </w:p>
    <w:p>
      <w:pPr>
        <w:pStyle w:val="ListBullet"/>
      </w:pPr>
      <w:r/>
      <w:r>
        <w:rPr>
          <w:b/>
        </w:rPr>
        <w:t>Coordination multidisciplinaire</w:t>
      </w:r>
      <w:r>
        <w:t xml:space="preserve"> : identique.</w:t>
      </w:r>
    </w:p>
    <w:p>
      <w:pPr>
        <w:pStyle w:val="ListBullet"/>
      </w:pPr>
      <w:r/>
      <w:r>
        <w:rPr>
          <w:b/>
        </w:rPr>
        <w:t>Choix thérapeutique</w:t>
      </w:r>
      <w:r>
        <w:t xml:space="preserve"> : le faricimab est souvent choisi en cas de DMLA réfractaire aux anti-VEGF classiques, en cas de préférence pour un schéma d'injections plus espacé, ou en cas de maladie avec composante inflammatoire associée (uvéites, occlusions veineuses avec ischemie maculaire).</w:t>
      </w:r>
    </w:p>
    <w:p>
      <w:pPr>
        <w:pStyle w:val="Heading2"/>
      </w:pPr>
      <w:r>
        <w:t>144.6 Tableau comparatif des DCI et synthèse transversale</w:t>
      </w:r>
    </w:p>
    <w:p>
      <w:pPr>
        <w:pStyle w:val="Heading3"/>
      </w:pPr>
      <w:r>
        <w:t>144.6.1 Tableau comparatif des mydriatiques/cycloplégiques</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Paramètre</w:t>
            </w:r>
          </w:p>
        </w:tc>
        <w:tc>
          <w:tcPr>
            <w:tcW w:type="dxa" w:w="2339"/>
          </w:tcPr>
          <w:p>
            <w:r>
              <w:rPr>
                <w:b/>
                <w:sz w:val="20"/>
              </w:rPr>
              <w:t>Tropicamide</w:t>
            </w:r>
          </w:p>
        </w:tc>
        <w:tc>
          <w:tcPr>
            <w:tcW w:type="dxa" w:w="2339"/>
          </w:tcPr>
          <w:p>
            <w:r>
              <w:rPr>
                <w:b/>
                <w:sz w:val="20"/>
              </w:rPr>
              <w:t>Cyclopentolate</w:t>
            </w:r>
          </w:p>
        </w:tc>
        <w:tc>
          <w:tcPr>
            <w:tcW w:type="dxa" w:w="2339"/>
          </w:tcPr>
          <w:p>
            <w:r>
              <w:rPr>
                <w:b/>
                <w:sz w:val="20"/>
              </w:rPr>
              <w:t>Atropine</w:t>
            </w:r>
          </w:p>
        </w:tc>
      </w:tr>
      <w:tr>
        <w:tc>
          <w:tcPr>
            <w:tcW w:type="dxa" w:w="2339"/>
          </w:tcPr>
          <w:p>
            <w:r>
              <w:rPr>
                <w:sz w:val="20"/>
              </w:rPr>
              <w:t>**Classe pharmacologique**</w:t>
            </w:r>
          </w:p>
        </w:tc>
        <w:tc>
          <w:tcPr>
            <w:tcW w:type="dxa" w:w="2339"/>
          </w:tcPr>
          <w:p>
            <w:r>
              <w:rPr>
                <w:sz w:val="20"/>
              </w:rPr>
              <w:t>Antimuscarinique M3 (mydriatique pur)</w:t>
            </w:r>
          </w:p>
        </w:tc>
        <w:tc>
          <w:tcPr>
            <w:tcW w:type="dxa" w:w="2339"/>
          </w:tcPr>
          <w:p>
            <w:r>
              <w:rPr>
                <w:sz w:val="20"/>
              </w:rPr>
              <w:t>Antimuscarinique M1/M2/M3 (cycloplégique)</w:t>
            </w:r>
          </w:p>
        </w:tc>
        <w:tc>
          <w:tcPr>
            <w:tcW w:type="dxa" w:w="2339"/>
          </w:tcPr>
          <w:p>
            <w:r>
              <w:rPr>
                <w:sz w:val="20"/>
              </w:rPr>
              <w:t>Antimuscarinique non sélectif M1-M5 (cycloplégique puissant)</w:t>
            </w:r>
          </w:p>
        </w:tc>
      </w:tr>
      <w:tr>
        <w:tc>
          <w:tcPr>
            <w:tcW w:type="dxa" w:w="2339"/>
          </w:tcPr>
          <w:p>
            <w:r>
              <w:rPr>
                <w:sz w:val="20"/>
              </w:rPr>
              <w:t>**Délai d'installation**</w:t>
            </w:r>
          </w:p>
        </w:tc>
        <w:tc>
          <w:tcPr>
            <w:tcW w:type="dxa" w:w="2339"/>
          </w:tcPr>
          <w:p>
            <w:r>
              <w:rPr>
                <w:sz w:val="20"/>
              </w:rPr>
              <w:t>20–30 minutes</w:t>
            </w:r>
          </w:p>
        </w:tc>
        <w:tc>
          <w:tcPr>
            <w:tcW w:type="dxa" w:w="2339"/>
          </w:tcPr>
          <w:p>
            <w:r>
              <w:rPr>
                <w:sz w:val="20"/>
              </w:rPr>
              <w:t>25–75 minutes</w:t>
            </w:r>
          </w:p>
        </w:tc>
        <w:tc>
          <w:tcPr>
            <w:tcW w:type="dxa" w:w="2339"/>
          </w:tcPr>
          <w:p>
            <w:r>
              <w:rPr>
                <w:sz w:val="20"/>
              </w:rPr>
              <w:t>30–40 min (début), 2–4 h (max)</w:t>
            </w:r>
          </w:p>
        </w:tc>
      </w:tr>
      <w:tr>
        <w:tc>
          <w:tcPr>
            <w:tcW w:type="dxa" w:w="2339"/>
          </w:tcPr>
          <w:p>
            <w:r>
              <w:rPr>
                <w:sz w:val="20"/>
              </w:rPr>
              <w:t>**Pic d'effet**</w:t>
            </w:r>
          </w:p>
        </w:tc>
        <w:tc>
          <w:tcPr>
            <w:tcW w:type="dxa" w:w="2339"/>
          </w:tcPr>
          <w:p>
            <w:r>
              <w:rPr>
                <w:sz w:val="20"/>
              </w:rPr>
              <w:t>20–30 min</w:t>
            </w:r>
          </w:p>
        </w:tc>
        <w:tc>
          <w:tcPr>
            <w:tcW w:type="dxa" w:w="2339"/>
          </w:tcPr>
          <w:p>
            <w:r>
              <w:rPr>
                <w:sz w:val="20"/>
              </w:rPr>
              <w:t>30–60 min</w:t>
            </w:r>
          </w:p>
        </w:tc>
        <w:tc>
          <w:tcPr>
            <w:tcW w:type="dxa" w:w="2339"/>
          </w:tcPr>
          <w:p>
            <w:r>
              <w:rPr>
                <w:sz w:val="20"/>
              </w:rPr>
              <w:t>2–4 h</w:t>
            </w:r>
          </w:p>
        </w:tc>
      </w:tr>
      <w:tr>
        <w:tc>
          <w:tcPr>
            <w:tcW w:type="dxa" w:w="2339"/>
          </w:tcPr>
          <w:p>
            <w:r>
              <w:rPr>
                <w:sz w:val="20"/>
              </w:rPr>
              <w:t>**Durée mydriase**</w:t>
            </w:r>
          </w:p>
        </w:tc>
        <w:tc>
          <w:tcPr>
            <w:tcW w:type="dxa" w:w="2339"/>
          </w:tcPr>
          <w:p>
            <w:r>
              <w:rPr>
                <w:sz w:val="20"/>
              </w:rPr>
              <w:t>4–6 heures</w:t>
            </w:r>
          </w:p>
        </w:tc>
        <w:tc>
          <w:tcPr>
            <w:tcW w:type="dxa" w:w="2339"/>
          </w:tcPr>
          <w:p>
            <w:r>
              <w:rPr>
                <w:sz w:val="20"/>
              </w:rPr>
              <w:t>12–24 heures</w:t>
            </w:r>
          </w:p>
        </w:tc>
        <w:tc>
          <w:tcPr>
            <w:tcW w:type="dxa" w:w="2339"/>
          </w:tcPr>
          <w:p>
            <w:r>
              <w:rPr>
                <w:sz w:val="20"/>
              </w:rPr>
              <w:t>7–14 jours</w:t>
            </w:r>
          </w:p>
        </w:tc>
      </w:tr>
      <w:tr>
        <w:tc>
          <w:tcPr>
            <w:tcW w:type="dxa" w:w="2339"/>
          </w:tcPr>
          <w:p>
            <w:r>
              <w:rPr>
                <w:sz w:val="20"/>
              </w:rPr>
              <w:t>**Durée cycloplégie**</w:t>
            </w:r>
          </w:p>
        </w:tc>
        <w:tc>
          <w:tcPr>
            <w:tcW w:type="dxa" w:w="2339"/>
          </w:tcPr>
          <w:p>
            <w:r>
              <w:rPr>
                <w:sz w:val="20"/>
              </w:rPr>
              <w:t>1–2 heures (faible)</w:t>
            </w:r>
          </w:p>
        </w:tc>
        <w:tc>
          <w:tcPr>
            <w:tcW w:type="dxa" w:w="2339"/>
          </w:tcPr>
          <w:p>
            <w:r>
              <w:rPr>
                <w:sz w:val="20"/>
              </w:rPr>
              <w:t>6–24 heures</w:t>
            </w:r>
          </w:p>
        </w:tc>
        <w:tc>
          <w:tcPr>
            <w:tcW w:type="dxa" w:w="2339"/>
          </w:tcPr>
          <w:p>
            <w:r>
              <w:rPr>
                <w:sz w:val="20"/>
              </w:rPr>
              <w:t>7–14 jours (maximale)</w:t>
            </w:r>
          </w:p>
        </w:tc>
      </w:tr>
      <w:tr>
        <w:tc>
          <w:tcPr>
            <w:tcW w:type="dxa" w:w="2339"/>
          </w:tcPr>
          <w:p>
            <w:r>
              <w:rPr>
                <w:sz w:val="20"/>
              </w:rPr>
              <w:t>**Indications principales**</w:t>
            </w:r>
          </w:p>
        </w:tc>
        <w:tc>
          <w:tcPr>
            <w:tcW w:type="dxa" w:w="2339"/>
          </w:tcPr>
          <w:p>
            <w:r>
              <w:rPr>
                <w:sz w:val="20"/>
              </w:rPr>
              <w:t>Examen fond d'œil, angiographie, OCT, cataracte</w:t>
            </w:r>
          </w:p>
        </w:tc>
        <w:tc>
          <w:tcPr>
            <w:tcW w:type="dxa" w:w="2339"/>
          </w:tcPr>
          <w:p>
            <w:r>
              <w:rPr>
                <w:sz w:val="20"/>
              </w:rPr>
              <w:t>Réfraction enfant ≥ 3 ans, strabisme accommodatif</w:t>
            </w:r>
          </w:p>
        </w:tc>
        <w:tc>
          <w:tcPr>
            <w:tcW w:type="dxa" w:w="2339"/>
          </w:tcPr>
          <w:p>
            <w:r>
              <w:rPr>
                <w:sz w:val="20"/>
              </w:rPr>
              <w:t>Réfraction nourrisson, amblyopie, uvéites, myopie progressive (faible dose)</w:t>
            </w:r>
          </w:p>
        </w:tc>
      </w:tr>
      <w:tr>
        <w:tc>
          <w:tcPr>
            <w:tcW w:type="dxa" w:w="2339"/>
          </w:tcPr>
          <w:p>
            <w:r>
              <w:rPr>
                <w:sz w:val="20"/>
              </w:rPr>
              <w:t>**Concentration disponible Algérie**</w:t>
            </w:r>
          </w:p>
        </w:tc>
        <w:tc>
          <w:tcPr>
            <w:tcW w:type="dxa" w:w="2339"/>
          </w:tcPr>
          <w:p>
            <w:r>
              <w:rPr>
                <w:sz w:val="20"/>
              </w:rPr>
              <w:t>0,5 %</w:t>
            </w:r>
          </w:p>
        </w:tc>
        <w:tc>
          <w:tcPr>
            <w:tcW w:type="dxa" w:w="2339"/>
          </w:tcPr>
          <w:p>
            <w:r>
              <w:rPr>
                <w:sz w:val="20"/>
              </w:rPr>
              <w:t>0,5 % et 1 %</w:t>
            </w:r>
          </w:p>
        </w:tc>
        <w:tc>
          <w:tcPr>
            <w:tcW w:type="dxa" w:w="2339"/>
          </w:tcPr>
          <w:p>
            <w:r>
              <w:rPr>
                <w:sz w:val="20"/>
              </w:rPr>
              <w:t>0,005 % et 0,01 %</w:t>
            </w:r>
          </w:p>
        </w:tc>
      </w:tr>
      <w:tr>
        <w:tc>
          <w:tcPr>
            <w:tcW w:type="dxa" w:w="2339"/>
          </w:tcPr>
          <w:p>
            <w:r>
              <w:rPr>
                <w:sz w:val="20"/>
              </w:rPr>
              <w:t>**Spécialités actives Algérie**</w:t>
            </w:r>
          </w:p>
        </w:tc>
        <w:tc>
          <w:tcPr>
            <w:tcW w:type="dxa" w:w="2339"/>
          </w:tcPr>
          <w:p>
            <w:r>
              <w:rPr>
                <w:sz w:val="20"/>
              </w:rPr>
              <w:t>MYDRIATICUM, TROPEX, MYDRICOL, TROPITICUM</w:t>
            </w:r>
          </w:p>
        </w:tc>
        <w:tc>
          <w:tcPr>
            <w:tcW w:type="dxa" w:w="2339"/>
          </w:tcPr>
          <w:p>
            <w:r>
              <w:rPr>
                <w:sz w:val="20"/>
              </w:rPr>
              <w:t>PENTOLATE, CICLOPLEGICEDOL</w:t>
            </w:r>
          </w:p>
        </w:tc>
        <w:tc>
          <w:tcPr>
            <w:tcW w:type="dxa" w:w="2339"/>
          </w:tcPr>
          <w:p>
            <w:r>
              <w:rPr>
                <w:sz w:val="20"/>
              </w:rPr>
              <w:t>APITROPIN, CROPINE</w:t>
            </w:r>
          </w:p>
        </w:tc>
      </w:tr>
      <w:tr>
        <w:tc>
          <w:tcPr>
            <w:tcW w:type="dxa" w:w="2339"/>
          </w:tcPr>
          <w:p>
            <w:r>
              <w:rPr>
                <w:sz w:val="20"/>
              </w:rPr>
              <w:t>**Liste**</w:t>
            </w:r>
          </w:p>
        </w:tc>
        <w:tc>
          <w:tcPr>
            <w:tcW w:type="dxa" w:w="2339"/>
          </w:tcPr>
          <w:p>
            <w:r>
              <w:rPr>
                <w:sz w:val="20"/>
              </w:rPr>
              <w:t>Liste I</w:t>
            </w:r>
          </w:p>
        </w:tc>
        <w:tc>
          <w:tcPr>
            <w:tcW w:type="dxa" w:w="2339"/>
          </w:tcPr>
          <w:p>
            <w:r>
              <w:rPr>
                <w:sz w:val="20"/>
              </w:rPr>
              <w:t>Liste I</w:t>
            </w:r>
          </w:p>
        </w:tc>
        <w:tc>
          <w:tcPr>
            <w:tcW w:type="dxa" w:w="2339"/>
          </w:tcPr>
          <w:p>
            <w:r>
              <w:rPr>
                <w:sz w:val="20"/>
              </w:rPr>
              <w:t>Liste I</w:t>
            </w:r>
          </w:p>
        </w:tc>
      </w:tr>
      <w:tr>
        <w:tc>
          <w:tcPr>
            <w:tcW w:type="dxa" w:w="2339"/>
          </w:tcPr>
          <w:p>
            <w:r>
              <w:rPr>
                <w:sz w:val="20"/>
              </w:rPr>
              <w:t>**Contre-indications majeures**</w:t>
            </w:r>
          </w:p>
        </w:tc>
        <w:tc>
          <w:tcPr>
            <w:tcW w:type="dxa" w:w="2339"/>
          </w:tcPr>
          <w:p>
            <w:r>
              <w:rPr>
                <w:sz w:val="20"/>
              </w:rPr>
              <w:t>GAFP, chambre étroite, IMAO</w:t>
            </w:r>
          </w:p>
        </w:tc>
        <w:tc>
          <w:tcPr>
            <w:tcW w:type="dxa" w:w="2339"/>
          </w:tcPr>
          <w:p>
            <w:r>
              <w:rPr>
                <w:sz w:val="20"/>
              </w:rPr>
              <w:t>GAFP, &lt; 3 mois, IMAO, trisomie 21</w:t>
            </w:r>
          </w:p>
        </w:tc>
        <w:tc>
          <w:tcPr>
            <w:tcW w:type="dxa" w:w="2339"/>
          </w:tcPr>
          <w:p>
            <w:r>
              <w:rPr>
                <w:sz w:val="20"/>
              </w:rPr>
              <w:t>GAFP, tachyarythmie, adénome prostate, mégacôlon, IMAO, myasthénie</w:t>
            </w:r>
          </w:p>
        </w:tc>
      </w:tr>
      <w:tr>
        <w:tc>
          <w:tcPr>
            <w:tcW w:type="dxa" w:w="2339"/>
          </w:tcPr>
          <w:p>
            <w:r>
              <w:rPr>
                <w:sz w:val="20"/>
              </w:rPr>
              <w:t>**Effets systémiques**</w:t>
            </w:r>
          </w:p>
        </w:tc>
        <w:tc>
          <w:tcPr>
            <w:tcW w:type="dxa" w:w="2339"/>
          </w:tcPr>
          <w:p>
            <w:r>
              <w:rPr>
                <w:sz w:val="20"/>
              </w:rPr>
              <w:t>Faibles (peu dose-dépendants)</w:t>
            </w:r>
          </w:p>
        </w:tc>
        <w:tc>
          <w:tcPr>
            <w:tcW w:type="dxa" w:w="2339"/>
          </w:tcPr>
          <w:p>
            <w:r>
              <w:rPr>
                <w:sz w:val="20"/>
              </w:rPr>
              <w:t>Modérés (fièvre, agitation enfant)</w:t>
            </w:r>
          </w:p>
        </w:tc>
        <w:tc>
          <w:tcPr>
            <w:tcW w:type="dxa" w:w="2339"/>
          </w:tcPr>
          <w:p>
            <w:r>
              <w:rPr>
                <w:sz w:val="20"/>
              </w:rPr>
              <w:t>Marqués (risque d'hyperthermie maligne enfant)</w:t>
            </w:r>
          </w:p>
        </w:tc>
      </w:tr>
      <w:tr>
        <w:tc>
          <w:tcPr>
            <w:tcW w:type="dxa" w:w="2339"/>
          </w:tcPr>
          <w:p>
            <w:r>
              <w:rPr>
                <w:sz w:val="20"/>
              </w:rPr>
              <w:t>**Grossesse (CRAT)**</w:t>
            </w:r>
          </w:p>
        </w:tc>
        <w:tc>
          <w:tcPr>
            <w:tcW w:type="dxa" w:w="2339"/>
          </w:tcPr>
          <w:p>
            <w:r>
              <w:rPr>
                <w:sz w:val="20"/>
              </w:rPr>
              <w:t>Compatible (dose unique)</w:t>
            </w:r>
          </w:p>
        </w:tc>
        <w:tc>
          <w:tcPr>
            <w:tcW w:type="dxa" w:w="2339"/>
          </w:tcPr>
          <w:p>
            <w:r>
              <w:rPr>
                <w:sz w:val="20"/>
              </w:rPr>
              <w:t>À éviter</w:t>
            </w:r>
          </w:p>
        </w:tc>
        <w:tc>
          <w:tcPr>
            <w:tcW w:type="dxa" w:w="2339"/>
          </w:tcPr>
          <w:p>
            <w:r>
              <w:rPr>
                <w:sz w:val="20"/>
              </w:rPr>
              <w:t>Compatible (dose unique)</w:t>
            </w:r>
          </w:p>
        </w:tc>
      </w:tr>
      <w:tr>
        <w:tc>
          <w:tcPr>
            <w:tcW w:type="dxa" w:w="2339"/>
          </w:tcPr>
          <w:p>
            <w:r>
              <w:rPr>
                <w:sz w:val="20"/>
              </w:rPr>
              <w:t>**Allaitement**</w:t>
            </w:r>
          </w:p>
        </w:tc>
        <w:tc>
          <w:tcPr>
            <w:tcW w:type="dxa" w:w="2339"/>
          </w:tcPr>
          <w:p>
            <w:r>
              <w:rPr>
                <w:sz w:val="20"/>
              </w:rPr>
              <w:t>À éviter si possible</w:t>
            </w:r>
          </w:p>
        </w:tc>
        <w:tc>
          <w:tcPr>
            <w:tcW w:type="dxa" w:w="2339"/>
          </w:tcPr>
          <w:p>
            <w:r>
              <w:rPr>
                <w:sz w:val="20"/>
              </w:rPr>
              <w:t>À éviter</w:t>
            </w:r>
          </w:p>
        </w:tc>
        <w:tc>
          <w:tcPr>
            <w:tcW w:type="dxa" w:w="2339"/>
          </w:tcPr>
          <w:p>
            <w:r>
              <w:rPr>
                <w:sz w:val="20"/>
              </w:rPr>
              <w:t>À éviter</w:t>
            </w:r>
          </w:p>
        </w:tc>
      </w:tr>
      <w:tr>
        <w:tc>
          <w:tcPr>
            <w:tcW w:type="dxa" w:w="2339"/>
          </w:tcPr>
          <w:p>
            <w:r>
              <w:rPr>
                <w:sz w:val="20"/>
              </w:rPr>
              <w:t>**Conduite automobile**</w:t>
            </w:r>
          </w:p>
        </w:tc>
        <w:tc>
          <w:tcPr>
            <w:tcW w:type="dxa" w:w="2339"/>
          </w:tcPr>
          <w:p>
            <w:r>
              <w:rPr>
                <w:sz w:val="20"/>
              </w:rPr>
              <w:t>CI 3–4 h après instillation</w:t>
            </w:r>
          </w:p>
        </w:tc>
        <w:tc>
          <w:tcPr>
            <w:tcW w:type="dxa" w:w="2339"/>
          </w:tcPr>
          <w:p>
            <w:r>
              <w:rPr>
                <w:sz w:val="20"/>
              </w:rPr>
              <w:t>CI 24 h après instillation</w:t>
            </w:r>
          </w:p>
        </w:tc>
        <w:tc>
          <w:tcPr>
            <w:tcW w:type="dxa" w:w="2339"/>
          </w:tcPr>
          <w:p>
            <w:r>
              <w:rPr>
                <w:sz w:val="20"/>
              </w:rPr>
              <w:t>CI pendant toute la durée d'action (7–14 j)</w:t>
            </w:r>
          </w:p>
        </w:tc>
      </w:tr>
      <w:tr>
        <w:tc>
          <w:tcPr>
            <w:tcW w:type="dxa" w:w="2339"/>
          </w:tcPr>
          <w:p>
            <w:r>
              <w:rPr>
                <w:sz w:val="20"/>
              </w:rPr>
              <w:t>**Antidote surdosage**</w:t>
            </w:r>
          </w:p>
        </w:tc>
        <w:tc>
          <w:tcPr>
            <w:tcW w:type="dxa" w:w="2339"/>
          </w:tcPr>
          <w:p>
            <w:r>
              <w:rPr>
                <w:sz w:val="20"/>
              </w:rPr>
              <w:t>Physostigmine IV</w:t>
            </w:r>
          </w:p>
        </w:tc>
        <w:tc>
          <w:tcPr>
            <w:tcW w:type="dxa" w:w="2339"/>
          </w:tcPr>
          <w:p>
            <w:r>
              <w:rPr>
                <w:sz w:val="20"/>
              </w:rPr>
              <w:t>Physostigmine IV</w:t>
            </w:r>
          </w:p>
        </w:tc>
        <w:tc>
          <w:tcPr>
            <w:tcW w:type="dxa" w:w="2339"/>
          </w:tcPr>
          <w:p>
            <w:r>
              <w:rPr>
                <w:sz w:val="20"/>
              </w:rPr>
              <w:t>Physostigmine IV (urgences réa)</w:t>
            </w:r>
          </w:p>
        </w:tc>
      </w:tr>
    </w:tbl>
    <w:p/>
    <w:p>
      <w:pPr>
        <w:pStyle w:val="Heading3"/>
      </w:pPr>
      <w:r>
        <w:t>144.6.2 Tableau comparatif des anti-VEGF intravitréens</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Paramètre</w:t>
            </w:r>
          </w:p>
        </w:tc>
        <w:tc>
          <w:tcPr>
            <w:tcW w:type="dxa" w:w="1871"/>
          </w:tcPr>
          <w:p>
            <w:r>
              <w:rPr>
                <w:b/>
                <w:sz w:val="20"/>
              </w:rPr>
              <w:t>Ranibizumab</w:t>
            </w:r>
          </w:p>
        </w:tc>
        <w:tc>
          <w:tcPr>
            <w:tcW w:type="dxa" w:w="1871"/>
          </w:tcPr>
          <w:p>
            <w:r>
              <w:rPr>
                <w:b/>
                <w:sz w:val="20"/>
              </w:rPr>
              <w:t>Bévacizumab</w:t>
            </w:r>
          </w:p>
        </w:tc>
        <w:tc>
          <w:tcPr>
            <w:tcW w:type="dxa" w:w="1871"/>
          </w:tcPr>
          <w:p>
            <w:r>
              <w:rPr>
                <w:b/>
                <w:sz w:val="20"/>
              </w:rPr>
              <w:t>Aflibercept</w:t>
            </w:r>
          </w:p>
        </w:tc>
        <w:tc>
          <w:tcPr>
            <w:tcW w:type="dxa" w:w="1871"/>
          </w:tcPr>
          <w:p>
            <w:r>
              <w:rPr>
                <w:b/>
                <w:sz w:val="20"/>
              </w:rPr>
              <w:t>Faricimab</w:t>
            </w:r>
          </w:p>
        </w:tc>
      </w:tr>
      <w:tr>
        <w:tc>
          <w:tcPr>
            <w:tcW w:type="dxa" w:w="1871"/>
          </w:tcPr>
          <w:p>
            <w:r>
              <w:rPr>
                <w:sz w:val="20"/>
              </w:rPr>
              <w:t>**Classe pharmacologique**</w:t>
            </w:r>
          </w:p>
        </w:tc>
        <w:tc>
          <w:tcPr>
            <w:tcW w:type="dxa" w:w="1871"/>
          </w:tcPr>
          <w:p>
            <w:r>
              <w:rPr>
                <w:sz w:val="20"/>
              </w:rPr>
              <w:t>Fragment Fab humanisé</w:t>
            </w:r>
          </w:p>
        </w:tc>
        <w:tc>
          <w:tcPr>
            <w:tcW w:type="dxa" w:w="1871"/>
          </w:tcPr>
          <w:p>
            <w:r>
              <w:rPr>
                <w:sz w:val="20"/>
              </w:rPr>
              <w:t>Anticorps monoclonal entier IgG1</w:t>
            </w:r>
          </w:p>
        </w:tc>
        <w:tc>
          <w:tcPr>
            <w:tcW w:type="dxa" w:w="1871"/>
          </w:tcPr>
          <w:p>
            <w:r>
              <w:rPr>
                <w:sz w:val="20"/>
              </w:rPr>
              <w:t>Protéine de fusion soluble (piège à VEGF)</w:t>
            </w:r>
          </w:p>
        </w:tc>
        <w:tc>
          <w:tcPr>
            <w:tcW w:type="dxa" w:w="1871"/>
          </w:tcPr>
          <w:p>
            <w:r>
              <w:rPr>
                <w:sz w:val="20"/>
              </w:rPr>
              <w:t>Anticorps bispécifique IgG1 (anti-VEGF + anti-Ang-2)</w:t>
            </w:r>
          </w:p>
        </w:tc>
      </w:tr>
      <w:tr>
        <w:tc>
          <w:tcPr>
            <w:tcW w:type="dxa" w:w="1871"/>
          </w:tcPr>
          <w:p>
            <w:r>
              <w:rPr>
                <w:sz w:val="20"/>
              </w:rPr>
              <w:t>**Structure**</w:t>
            </w:r>
          </w:p>
        </w:tc>
        <w:tc>
          <w:tcPr>
            <w:tcW w:type="dxa" w:w="1871"/>
          </w:tcPr>
          <w:p>
            <w:r>
              <w:rPr>
                <w:sz w:val="20"/>
              </w:rPr>
              <w:t>Fab (48 kDa)</w:t>
            </w:r>
          </w:p>
        </w:tc>
        <w:tc>
          <w:tcPr>
            <w:tcW w:type="dxa" w:w="1871"/>
          </w:tcPr>
          <w:p>
            <w:r>
              <w:rPr>
                <w:sz w:val="20"/>
              </w:rPr>
              <w:t>IgG1 entière (149 kDa)</w:t>
            </w:r>
          </w:p>
        </w:tc>
        <w:tc>
          <w:tcPr>
            <w:tcW w:type="dxa" w:w="1871"/>
          </w:tcPr>
          <w:p>
            <w:r>
              <w:rPr>
                <w:sz w:val="20"/>
              </w:rPr>
              <w:t>Protéine de fusion Fc-R1/R2 (115 kDa)</w:t>
            </w:r>
          </w:p>
        </w:tc>
        <w:tc>
          <w:tcPr>
            <w:tcW w:type="dxa" w:w="1871"/>
          </w:tcPr>
          <w:p>
            <w:r>
              <w:rPr>
                <w:sz w:val="20"/>
              </w:rPr>
              <w:t>IgG1 bispécifique (150 kDa)</w:t>
            </w:r>
          </w:p>
        </w:tc>
      </w:tr>
      <w:tr>
        <w:tc>
          <w:tcPr>
            <w:tcW w:type="dxa" w:w="1871"/>
          </w:tcPr>
          <w:p>
            <w:r>
              <w:rPr>
                <w:sz w:val="20"/>
              </w:rPr>
              <w:t>**Cibles**</w:t>
            </w:r>
          </w:p>
        </w:tc>
        <w:tc>
          <w:tcPr>
            <w:tcW w:type="dxa" w:w="1871"/>
          </w:tcPr>
          <w:p>
            <w:r>
              <w:rPr>
                <w:sz w:val="20"/>
              </w:rPr>
              <w:t>VEGF-A</w:t>
            </w:r>
          </w:p>
        </w:tc>
        <w:tc>
          <w:tcPr>
            <w:tcW w:type="dxa" w:w="1871"/>
          </w:tcPr>
          <w:p>
            <w:r>
              <w:rPr>
                <w:sz w:val="20"/>
              </w:rPr>
              <w:t>VEGF-A</w:t>
            </w:r>
          </w:p>
        </w:tc>
        <w:tc>
          <w:tcPr>
            <w:tcW w:type="dxa" w:w="1871"/>
          </w:tcPr>
          <w:p>
            <w:r>
              <w:rPr>
                <w:sz w:val="20"/>
              </w:rPr>
              <w:t>VEGF-A + VEGF-B + PIGF</w:t>
            </w:r>
          </w:p>
        </w:tc>
        <w:tc>
          <w:tcPr>
            <w:tcW w:type="dxa" w:w="1871"/>
          </w:tcPr>
          <w:p>
            <w:r>
              <w:rPr>
                <w:sz w:val="20"/>
              </w:rPr>
              <w:t>VEGF-A + Ang-2</w:t>
            </w:r>
          </w:p>
        </w:tc>
      </w:tr>
      <w:tr>
        <w:tc>
          <w:tcPr>
            <w:tcW w:type="dxa" w:w="1871"/>
          </w:tcPr>
          <w:p>
            <w:r>
              <w:rPr>
                <w:sz w:val="20"/>
              </w:rPr>
              <w:t>**Affinité VEGF-A (Kd)**</w:t>
            </w:r>
          </w:p>
        </w:tc>
        <w:tc>
          <w:tcPr>
            <w:tcW w:type="dxa" w:w="1871"/>
          </w:tcPr>
          <w:p>
            <w:r>
              <w:rPr>
                <w:sz w:val="20"/>
              </w:rPr>
              <w:t>~ 50 pM</w:t>
            </w:r>
          </w:p>
        </w:tc>
        <w:tc>
          <w:tcPr>
            <w:tcW w:type="dxa" w:w="1871"/>
          </w:tcPr>
          <w:p>
            <w:r>
              <w:rPr>
                <w:sz w:val="20"/>
              </w:rPr>
              <w:t>~ 50 pM</w:t>
            </w:r>
          </w:p>
        </w:tc>
        <w:tc>
          <w:tcPr>
            <w:tcW w:type="dxa" w:w="1871"/>
          </w:tcPr>
          <w:p>
            <w:r>
              <w:rPr>
                <w:sz w:val="20"/>
              </w:rPr>
              <w:t>~ 0,5 pM (supérieure)</w:t>
            </w:r>
          </w:p>
        </w:tc>
        <w:tc>
          <w:tcPr>
            <w:tcW w:type="dxa" w:w="1871"/>
          </w:tcPr>
          <w:p>
            <w:r>
              <w:rPr>
                <w:sz w:val="20"/>
              </w:rPr>
              <w:t>~ 50 pM (similaire au ranibizumab)</w:t>
            </w:r>
          </w:p>
        </w:tc>
      </w:tr>
      <w:tr>
        <w:tc>
          <w:tcPr>
            <w:tcW w:type="dxa" w:w="1871"/>
          </w:tcPr>
          <w:p>
            <w:r>
              <w:rPr>
                <w:sz w:val="20"/>
              </w:rPr>
              <w:t>**Demi-vie vitréenne**</w:t>
            </w:r>
          </w:p>
        </w:tc>
        <w:tc>
          <w:tcPr>
            <w:tcW w:type="dxa" w:w="1871"/>
          </w:tcPr>
          <w:p>
            <w:r>
              <w:rPr>
                <w:sz w:val="20"/>
              </w:rPr>
              <w:t>~ 9 jours</w:t>
            </w:r>
          </w:p>
        </w:tc>
        <w:tc>
          <w:tcPr>
            <w:tcW w:type="dxa" w:w="1871"/>
          </w:tcPr>
          <w:p>
            <w:r>
              <w:rPr>
                <w:sz w:val="20"/>
              </w:rPr>
              <w:t>~ 9–10 jours</w:t>
            </w:r>
          </w:p>
        </w:tc>
        <w:tc>
          <w:tcPr>
            <w:tcW w:type="dxa" w:w="1871"/>
          </w:tcPr>
          <w:p>
            <w:r>
              <w:rPr>
                <w:sz w:val="20"/>
              </w:rPr>
              <w:t>~ 4–5 jours</w:t>
            </w:r>
          </w:p>
        </w:tc>
        <w:tc>
          <w:tcPr>
            <w:tcW w:type="dxa" w:w="1871"/>
          </w:tcPr>
          <w:p>
            <w:r>
              <w:rPr>
                <w:sz w:val="20"/>
              </w:rPr>
              <w:t>~ 7–8 jours</w:t>
            </w:r>
          </w:p>
        </w:tc>
      </w:tr>
      <w:tr>
        <w:tc>
          <w:tcPr>
            <w:tcW w:type="dxa" w:w="1871"/>
          </w:tcPr>
          <w:p>
            <w:r>
              <w:rPr>
                <w:sz w:val="20"/>
              </w:rPr>
              <w:t>**Demi-vie systémique**</w:t>
            </w:r>
          </w:p>
        </w:tc>
        <w:tc>
          <w:tcPr>
            <w:tcW w:type="dxa" w:w="1871"/>
          </w:tcPr>
          <w:p>
            <w:r>
              <w:rPr>
                <w:sz w:val="20"/>
              </w:rPr>
              <w:t>2–3 jours</w:t>
            </w:r>
          </w:p>
        </w:tc>
        <w:tc>
          <w:tcPr>
            <w:tcW w:type="dxa" w:w="1871"/>
          </w:tcPr>
          <w:p>
            <w:r>
              <w:rPr>
                <w:sz w:val="20"/>
              </w:rPr>
              <w:t>~ 20 jours</w:t>
            </w:r>
          </w:p>
        </w:tc>
        <w:tc>
          <w:tcPr>
            <w:tcW w:type="dxa" w:w="1871"/>
          </w:tcPr>
          <w:p>
            <w:r>
              <w:rPr>
                <w:sz w:val="20"/>
              </w:rPr>
              <w:t>5–6 jours</w:t>
            </w:r>
          </w:p>
        </w:tc>
        <w:tc>
          <w:tcPr>
            <w:tcW w:type="dxa" w:w="1871"/>
          </w:tcPr>
          <w:p>
            <w:r>
              <w:rPr>
                <w:sz w:val="20"/>
              </w:rPr>
              <w:t>7–9 jours</w:t>
            </w:r>
          </w:p>
        </w:tc>
      </w:tr>
      <w:tr>
        <w:tc>
          <w:tcPr>
            <w:tcW w:type="dxa" w:w="1871"/>
          </w:tcPr>
          <w:p>
            <w:r>
              <w:rPr>
                <w:sz w:val="20"/>
              </w:rPr>
              <w:t>**Dose unitaire adulte**</w:t>
            </w:r>
          </w:p>
        </w:tc>
        <w:tc>
          <w:tcPr>
            <w:tcW w:type="dxa" w:w="1871"/>
          </w:tcPr>
          <w:p>
            <w:r>
              <w:rPr>
                <w:sz w:val="20"/>
              </w:rPr>
              <w:t>0,5 mg/0,05 mL</w:t>
            </w:r>
          </w:p>
        </w:tc>
        <w:tc>
          <w:tcPr>
            <w:tcW w:type="dxa" w:w="1871"/>
          </w:tcPr>
          <w:p>
            <w:r>
              <w:rPr>
                <w:sz w:val="20"/>
              </w:rPr>
              <w:t>1,25 mg/0,05 mL (hors AMM)</w:t>
            </w:r>
          </w:p>
        </w:tc>
        <w:tc>
          <w:tcPr>
            <w:tcW w:type="dxa" w:w="1871"/>
          </w:tcPr>
          <w:p>
            <w:r>
              <w:rPr>
                <w:sz w:val="20"/>
              </w:rPr>
              <w:t>2 mg/0,05 mL</w:t>
            </w:r>
          </w:p>
        </w:tc>
        <w:tc>
          <w:tcPr>
            <w:tcW w:type="dxa" w:w="1871"/>
          </w:tcPr>
          <w:p>
            <w:r>
              <w:rPr>
                <w:sz w:val="20"/>
              </w:rPr>
              <w:t>6 mg/0,05 mL</w:t>
            </w:r>
          </w:p>
        </w:tc>
      </w:tr>
      <w:tr>
        <w:tc>
          <w:tcPr>
            <w:tcW w:type="dxa" w:w="1871"/>
          </w:tcPr>
          <w:p>
            <w:r>
              <w:rPr>
                <w:sz w:val="20"/>
              </w:rPr>
              <w:t>**Concentration flacon**</w:t>
            </w:r>
          </w:p>
        </w:tc>
        <w:tc>
          <w:tcPr>
            <w:tcW w:type="dxa" w:w="1871"/>
          </w:tcPr>
          <w:p>
            <w:r>
              <w:rPr>
                <w:sz w:val="20"/>
              </w:rPr>
              <w:t>10 mg/mL</w:t>
            </w:r>
          </w:p>
        </w:tc>
        <w:tc>
          <w:tcPr>
            <w:tcW w:type="dxa" w:w="1871"/>
          </w:tcPr>
          <w:p>
            <w:r>
              <w:rPr>
                <w:sz w:val="20"/>
              </w:rPr>
              <w:t>25 mg/mL (perf IV oncologie)</w:t>
            </w:r>
          </w:p>
        </w:tc>
        <w:tc>
          <w:tcPr>
            <w:tcW w:type="dxa" w:w="1871"/>
          </w:tcPr>
          <w:p>
            <w:r>
              <w:rPr>
                <w:sz w:val="20"/>
              </w:rPr>
              <w:t>40 mg/mL</w:t>
            </w:r>
          </w:p>
        </w:tc>
        <w:tc>
          <w:tcPr>
            <w:tcW w:type="dxa" w:w="1871"/>
          </w:tcPr>
          <w:p>
            <w:r>
              <w:rPr>
                <w:sz w:val="20"/>
              </w:rPr>
              <w:t>120 mg/mL</w:t>
            </w:r>
          </w:p>
        </w:tc>
      </w:tr>
      <w:tr>
        <w:tc>
          <w:tcPr>
            <w:tcW w:type="dxa" w:w="1871"/>
          </w:tcPr>
          <w:p>
            <w:r>
              <w:rPr>
                <w:sz w:val="20"/>
              </w:rPr>
              <w:t>**Schéma initial DMLA**</w:t>
            </w:r>
          </w:p>
        </w:tc>
        <w:tc>
          <w:tcPr>
            <w:tcW w:type="dxa" w:w="1871"/>
          </w:tcPr>
          <w:p>
            <w:r>
              <w:rPr>
                <w:sz w:val="20"/>
              </w:rPr>
              <w:t>3 mensuels + entretien</w:t>
            </w:r>
          </w:p>
        </w:tc>
        <w:tc>
          <w:tcPr>
            <w:tcW w:type="dxa" w:w="1871"/>
          </w:tcPr>
          <w:p>
            <w:r>
              <w:rPr>
                <w:sz w:val="20"/>
              </w:rPr>
              <w:t>3 mensuels + entretien</w:t>
            </w:r>
          </w:p>
        </w:tc>
        <w:tc>
          <w:tcPr>
            <w:tcW w:type="dxa" w:w="1871"/>
          </w:tcPr>
          <w:p>
            <w:r>
              <w:rPr>
                <w:sz w:val="20"/>
              </w:rPr>
              <w:t>3 mensuels + bimestriels</w:t>
            </w:r>
          </w:p>
        </w:tc>
        <w:tc>
          <w:tcPr>
            <w:tcW w:type="dxa" w:w="1871"/>
          </w:tcPr>
          <w:p>
            <w:r>
              <w:rPr>
                <w:sz w:val="20"/>
              </w:rPr>
              <w:t>4 mensuels + treat &amp; extend</w:t>
            </w:r>
          </w:p>
        </w:tc>
      </w:tr>
      <w:tr>
        <w:tc>
          <w:tcPr>
            <w:tcW w:type="dxa" w:w="1871"/>
          </w:tcPr>
          <w:p>
            <w:r>
              <w:rPr>
                <w:sz w:val="20"/>
              </w:rPr>
              <w:t>**Intervalles entretien max**</w:t>
            </w:r>
          </w:p>
        </w:tc>
        <w:tc>
          <w:tcPr>
            <w:tcW w:type="dxa" w:w="1871"/>
          </w:tcPr>
          <w:p>
            <w:r>
              <w:rPr>
                <w:sz w:val="20"/>
              </w:rPr>
              <w:t>4 semaines (PRN) ou treat &amp; extend</w:t>
            </w:r>
          </w:p>
        </w:tc>
        <w:tc>
          <w:tcPr>
            <w:tcW w:type="dxa" w:w="1871"/>
          </w:tcPr>
          <w:p>
            <w:r>
              <w:rPr>
                <w:sz w:val="20"/>
              </w:rPr>
              <w:t>4 semaines (PRN) ou treat &amp; extend</w:t>
            </w:r>
          </w:p>
        </w:tc>
        <w:tc>
          <w:tcPr>
            <w:tcW w:type="dxa" w:w="1871"/>
          </w:tcPr>
          <w:p>
            <w:r>
              <w:rPr>
                <w:sz w:val="20"/>
              </w:rPr>
              <w:t>8–12 semaines</w:t>
            </w:r>
          </w:p>
        </w:tc>
        <w:tc>
          <w:tcPr>
            <w:tcW w:type="dxa" w:w="1871"/>
          </w:tcPr>
          <w:p>
            <w:r>
              <w:rPr>
                <w:sz w:val="20"/>
              </w:rPr>
              <w:t>12–16 semaines</w:t>
            </w:r>
          </w:p>
        </w:tc>
      </w:tr>
      <w:tr>
        <w:tc>
          <w:tcPr>
            <w:tcW w:type="dxa" w:w="1871"/>
          </w:tcPr>
          <w:p>
            <w:r>
              <w:rPr>
                <w:sz w:val="20"/>
              </w:rPr>
              <w:t>**AMM ophtalmo Algérie**</w:t>
            </w:r>
          </w:p>
        </w:tc>
        <w:tc>
          <w:tcPr>
            <w:tcW w:type="dxa" w:w="1871"/>
          </w:tcPr>
          <w:p>
            <w:r>
              <w:rPr>
                <w:sz w:val="20"/>
              </w:rPr>
              <w:t>OUI (LUCENTIS)</w:t>
            </w:r>
          </w:p>
        </w:tc>
        <w:tc>
          <w:tcPr>
            <w:tcW w:type="dxa" w:w="1871"/>
          </w:tcPr>
          <w:p>
            <w:r>
              <w:rPr>
                <w:sz w:val="20"/>
              </w:rPr>
              <w:t>NON (hors AMM, usage validé Cochrane)</w:t>
            </w:r>
          </w:p>
        </w:tc>
        <w:tc>
          <w:tcPr>
            <w:tcW w:type="dxa" w:w="1871"/>
          </w:tcPr>
          <w:p>
            <w:r>
              <w:rPr>
                <w:sz w:val="20"/>
              </w:rPr>
              <w:t>OUI (EYLEA)</w:t>
            </w:r>
          </w:p>
        </w:tc>
        <w:tc>
          <w:tcPr>
            <w:tcW w:type="dxa" w:w="1871"/>
          </w:tcPr>
          <w:p>
            <w:r>
              <w:rPr>
                <w:sz w:val="20"/>
              </w:rPr>
              <w:t>OUI (VABYSMO)</w:t>
            </w:r>
          </w:p>
        </w:tc>
      </w:tr>
      <w:tr>
        <w:tc>
          <w:tcPr>
            <w:tcW w:type="dxa" w:w="1871"/>
          </w:tcPr>
          <w:p>
            <w:r>
              <w:rPr>
                <w:sz w:val="20"/>
              </w:rPr>
              <w:t>**Biosimilaire local Algérie**</w:t>
            </w:r>
          </w:p>
        </w:tc>
        <w:tc>
          <w:tcPr>
            <w:tcW w:type="dxa" w:w="1871"/>
          </w:tcPr>
          <w:p>
            <w:r>
              <w:rPr>
                <w:sz w:val="20"/>
              </w:rPr>
              <w:t>OUI (SAIDAL, EL KENDI)</w:t>
            </w:r>
          </w:p>
        </w:tc>
        <w:tc>
          <w:tcPr>
            <w:tcW w:type="dxa" w:w="1871"/>
          </w:tcPr>
          <w:p>
            <w:r>
              <w:rPr>
                <w:sz w:val="20"/>
              </w:rPr>
              <w:t>OUI (SAIDAL, EL KENDI, BIOCON, ORION, PFIZER)</w:t>
            </w:r>
          </w:p>
        </w:tc>
        <w:tc>
          <w:tcPr>
            <w:tcW w:type="dxa" w:w="1871"/>
          </w:tcPr>
          <w:p>
            <w:r>
              <w:rPr>
                <w:sz w:val="20"/>
              </w:rPr>
              <w:t>OUI (SOPHAL)</w:t>
            </w:r>
          </w:p>
        </w:tc>
        <w:tc>
          <w:tcPr>
            <w:tcW w:type="dxa" w:w="1871"/>
          </w:tcPr>
          <w:p>
            <w:r>
              <w:rPr>
                <w:sz w:val="20"/>
              </w:rPr>
              <w:t>NON</w:t>
            </w:r>
          </w:p>
        </w:tc>
      </w:tr>
      <w:tr>
        <w:tc>
          <w:tcPr>
            <w:tcW w:type="dxa" w:w="1871"/>
          </w:tcPr>
          <w:p>
            <w:r>
              <w:rPr>
                <w:sz w:val="20"/>
              </w:rPr>
              <w:t>**Préparation pharmacie hospitalière**</w:t>
            </w:r>
          </w:p>
        </w:tc>
        <w:tc>
          <w:tcPr>
            <w:tcW w:type="dxa" w:w="1871"/>
          </w:tcPr>
          <w:p>
            <w:r>
              <w:rPr>
                <w:sz w:val="20"/>
              </w:rPr>
              <w:t>Non (prêt à l'emploi)</w:t>
            </w:r>
          </w:p>
        </w:tc>
        <w:tc>
          <w:tcPr>
            <w:tcW w:type="dxa" w:w="1871"/>
          </w:tcPr>
          <w:p>
            <w:r>
              <w:rPr>
                <w:sz w:val="20"/>
              </w:rPr>
              <w:t>OUI (fractionnement flacon IV)</w:t>
            </w:r>
          </w:p>
        </w:tc>
        <w:tc>
          <w:tcPr>
            <w:tcW w:type="dxa" w:w="1871"/>
          </w:tcPr>
          <w:p>
            <w:r>
              <w:rPr>
                <w:sz w:val="20"/>
              </w:rPr>
              <w:t>Non (prêt à l'emploi)</w:t>
            </w:r>
          </w:p>
        </w:tc>
        <w:tc>
          <w:tcPr>
            <w:tcW w:type="dxa" w:w="1871"/>
          </w:tcPr>
          <w:p>
            <w:r>
              <w:rPr>
                <w:sz w:val="20"/>
              </w:rPr>
              <w:t>Non (prêt à l'emploi)</w:t>
            </w:r>
          </w:p>
        </w:tc>
      </w:tr>
      <w:tr>
        <w:tc>
          <w:tcPr>
            <w:tcW w:type="dxa" w:w="1871"/>
          </w:tcPr>
          <w:p>
            <w:r>
              <w:rPr>
                <w:sz w:val="20"/>
              </w:rPr>
              <w:t>**Coût relatif**</w:t>
            </w:r>
          </w:p>
        </w:tc>
        <w:tc>
          <w:tcPr>
            <w:tcW w:type="dxa" w:w="1871"/>
          </w:tcPr>
          <w:p>
            <w:r>
              <w:rPr>
                <w:sz w:val="20"/>
              </w:rPr>
              <w:t>Élevé (référence)</w:t>
            </w:r>
          </w:p>
        </w:tc>
        <w:tc>
          <w:tcPr>
            <w:tcW w:type="dxa" w:w="1871"/>
          </w:tcPr>
          <w:p>
            <w:r>
              <w:rPr>
                <w:sz w:val="20"/>
              </w:rPr>
              <w:t>Très bas (10–40x moins cher)</w:t>
            </w:r>
          </w:p>
        </w:tc>
        <w:tc>
          <w:tcPr>
            <w:tcW w:type="dxa" w:w="1871"/>
          </w:tcPr>
          <w:p>
            <w:r>
              <w:rPr>
                <w:sz w:val="20"/>
              </w:rPr>
              <w:t>Élevé</w:t>
            </w:r>
          </w:p>
        </w:tc>
        <w:tc>
          <w:tcPr>
            <w:tcW w:type="dxa" w:w="1871"/>
          </w:tcPr>
          <w:p>
            <w:r>
              <w:rPr>
                <w:sz w:val="20"/>
              </w:rPr>
              <w:t>Très élevé (innovation)</w:t>
            </w:r>
          </w:p>
        </w:tc>
      </w:tr>
      <w:tr>
        <w:tc>
          <w:tcPr>
            <w:tcW w:type="dxa" w:w="1871"/>
          </w:tcPr>
          <w:p>
            <w:r>
              <w:rPr>
                <w:sz w:val="20"/>
              </w:rPr>
              <w:t>**Indications AMM**</w:t>
            </w:r>
          </w:p>
        </w:tc>
        <w:tc>
          <w:tcPr>
            <w:tcW w:type="dxa" w:w="1871"/>
          </w:tcPr>
          <w:p>
            <w:r>
              <w:rPr>
                <w:sz w:val="20"/>
              </w:rPr>
              <w:t>DMLA, OMD, OVCR, OBVR, RDP, myopie</w:t>
            </w:r>
          </w:p>
        </w:tc>
        <w:tc>
          <w:tcPr>
            <w:tcW w:type="dxa" w:w="1871"/>
          </w:tcPr>
          <w:p>
            <w:r>
              <w:rPr>
                <w:sz w:val="20"/>
              </w:rPr>
              <w:t>Hors AMM (mêmes indications)</w:t>
            </w:r>
          </w:p>
        </w:tc>
        <w:tc>
          <w:tcPr>
            <w:tcW w:type="dxa" w:w="1871"/>
          </w:tcPr>
          <w:p>
            <w:r>
              <w:rPr>
                <w:sz w:val="20"/>
              </w:rPr>
              <w:t>DMLA, OMD, OVCR, OBVR, RDP, myopie</w:t>
            </w:r>
          </w:p>
        </w:tc>
        <w:tc>
          <w:tcPr>
            <w:tcW w:type="dxa" w:w="1871"/>
          </w:tcPr>
          <w:p>
            <w:r>
              <w:rPr>
                <w:sz w:val="20"/>
              </w:rPr>
              <w:t>DMLA, OMD, OVCR</w:t>
            </w:r>
          </w:p>
        </w:tc>
      </w:tr>
      <w:tr>
        <w:tc>
          <w:tcPr>
            <w:tcW w:type="dxa" w:w="1871"/>
          </w:tcPr>
          <w:p>
            <w:r>
              <w:rPr>
                <w:sz w:val="20"/>
              </w:rPr>
              <w:t>**Risque thrombo-embolique systémique**</w:t>
            </w:r>
          </w:p>
        </w:tc>
        <w:tc>
          <w:tcPr>
            <w:tcW w:type="dxa" w:w="1871"/>
          </w:tcPr>
          <w:p>
            <w:r>
              <w:rPr>
                <w:sz w:val="20"/>
              </w:rPr>
              <w:t>Faible</w:t>
            </w:r>
          </w:p>
        </w:tc>
        <w:tc>
          <w:tcPr>
            <w:tcW w:type="dxa" w:w="1871"/>
          </w:tcPr>
          <w:p>
            <w:r>
              <w:rPr>
                <w:sz w:val="20"/>
              </w:rPr>
              <w:t>Théoriquement plus élevé (1/2-vie longue)</w:t>
            </w:r>
          </w:p>
        </w:tc>
        <w:tc>
          <w:tcPr>
            <w:tcW w:type="dxa" w:w="1871"/>
          </w:tcPr>
          <w:p>
            <w:r>
              <w:rPr>
                <w:sz w:val="20"/>
              </w:rPr>
              <w:t>Faible</w:t>
            </w:r>
          </w:p>
        </w:tc>
        <w:tc>
          <w:tcPr>
            <w:tcW w:type="dxa" w:w="1871"/>
          </w:tcPr>
          <w:p>
            <w:r>
              <w:rPr>
                <w:sz w:val="20"/>
              </w:rPr>
              <w:t>Faible</w:t>
            </w:r>
          </w:p>
        </w:tc>
      </w:tr>
      <w:tr>
        <w:tc>
          <w:tcPr>
            <w:tcW w:type="dxa" w:w="1871"/>
          </w:tcPr>
          <w:p>
            <w:r>
              <w:rPr>
                <w:sz w:val="20"/>
              </w:rPr>
              <w:t>**Endophtalmie par injection**</w:t>
            </w:r>
          </w:p>
        </w:tc>
        <w:tc>
          <w:tcPr>
            <w:tcW w:type="dxa" w:w="1871"/>
          </w:tcPr>
          <w:p>
            <w:r>
              <w:rPr>
                <w:sz w:val="20"/>
              </w:rPr>
              <w:t>0,02–0,1 %</w:t>
            </w:r>
          </w:p>
        </w:tc>
        <w:tc>
          <w:tcPr>
            <w:tcW w:type="dxa" w:w="1871"/>
          </w:tcPr>
          <w:p>
            <w:r>
              <w:rPr>
                <w:sz w:val="20"/>
              </w:rPr>
              <w:t>0,02–0,1 % (sauf contamination préparation)</w:t>
            </w:r>
          </w:p>
        </w:tc>
        <w:tc>
          <w:tcPr>
            <w:tcW w:type="dxa" w:w="1871"/>
          </w:tcPr>
          <w:p>
            <w:r>
              <w:rPr>
                <w:sz w:val="20"/>
              </w:rPr>
              <w:t>0,02–0,1 %</w:t>
            </w:r>
          </w:p>
        </w:tc>
        <w:tc>
          <w:tcPr>
            <w:tcW w:type="dxa" w:w="1871"/>
          </w:tcPr>
          <w:p>
            <w:r>
              <w:rPr>
                <w:sz w:val="20"/>
              </w:rPr>
              <w:t>0,02–0,1 %</w:t>
            </w:r>
          </w:p>
        </w:tc>
      </w:tr>
      <w:tr>
        <w:tc>
          <w:tcPr>
            <w:tcW w:type="dxa" w:w="1871"/>
          </w:tcPr>
          <w:p>
            <w:r>
              <w:rPr>
                <w:sz w:val="20"/>
              </w:rPr>
              <w:t>**Décollement rétinien**</w:t>
            </w:r>
          </w:p>
        </w:tc>
        <w:tc>
          <w:tcPr>
            <w:tcW w:type="dxa" w:w="1871"/>
          </w:tcPr>
          <w:p>
            <w:r>
              <w:rPr>
                <w:sz w:val="20"/>
              </w:rPr>
              <w:t>0,1–0,5 %</w:t>
            </w:r>
          </w:p>
        </w:tc>
        <w:tc>
          <w:tcPr>
            <w:tcW w:type="dxa" w:w="1871"/>
          </w:tcPr>
          <w:p>
            <w:r>
              <w:rPr>
                <w:sz w:val="20"/>
              </w:rPr>
              <w:t>0,1–0,5 %</w:t>
            </w:r>
          </w:p>
        </w:tc>
        <w:tc>
          <w:tcPr>
            <w:tcW w:type="dxa" w:w="1871"/>
          </w:tcPr>
          <w:p>
            <w:r>
              <w:rPr>
                <w:sz w:val="20"/>
              </w:rPr>
              <w:t>0,1–0,5 %</w:t>
            </w:r>
          </w:p>
        </w:tc>
        <w:tc>
          <w:tcPr>
            <w:tcW w:type="dxa" w:w="1871"/>
          </w:tcPr>
          <w:p>
            <w:r>
              <w:rPr>
                <w:sz w:val="20"/>
              </w:rPr>
              <w:t>0,1–0,5 %</w:t>
            </w:r>
          </w:p>
        </w:tc>
      </w:tr>
      <w:tr>
        <w:tc>
          <w:tcPr>
            <w:tcW w:type="dxa" w:w="1871"/>
          </w:tcPr>
          <w:p>
            <w:r>
              <w:rPr>
                <w:sz w:val="20"/>
              </w:rPr>
              <w:t>**Grossesse**</w:t>
            </w:r>
          </w:p>
        </w:tc>
        <w:tc>
          <w:tcPr>
            <w:tcW w:type="dxa" w:w="1871"/>
          </w:tcPr>
          <w:p>
            <w:r>
              <w:rPr>
                <w:sz w:val="20"/>
              </w:rPr>
              <w:t>Contre-indiquée</w:t>
            </w:r>
          </w:p>
        </w:tc>
        <w:tc>
          <w:tcPr>
            <w:tcW w:type="dxa" w:w="1871"/>
          </w:tcPr>
          <w:p>
            <w:r>
              <w:rPr>
                <w:sz w:val="20"/>
              </w:rPr>
              <w:t>Contre-indiquée</w:t>
            </w:r>
          </w:p>
        </w:tc>
        <w:tc>
          <w:tcPr>
            <w:tcW w:type="dxa" w:w="1871"/>
          </w:tcPr>
          <w:p>
            <w:r>
              <w:rPr>
                <w:sz w:val="20"/>
              </w:rPr>
              <w:t>Contre-indiquée</w:t>
            </w:r>
          </w:p>
        </w:tc>
        <w:tc>
          <w:tcPr>
            <w:tcW w:type="dxa" w:w="1871"/>
          </w:tcPr>
          <w:p>
            <w:r>
              <w:rPr>
                <w:sz w:val="20"/>
              </w:rPr>
              <w:t>Contre-indiquée</w:t>
            </w:r>
          </w:p>
        </w:tc>
      </w:tr>
      <w:tr>
        <w:tc>
          <w:tcPr>
            <w:tcW w:type="dxa" w:w="1871"/>
          </w:tcPr>
          <w:p>
            <w:r>
              <w:rPr>
                <w:sz w:val="20"/>
              </w:rPr>
              <w:t>**Allaitement**</w:t>
            </w:r>
          </w:p>
        </w:tc>
        <w:tc>
          <w:tcPr>
            <w:tcW w:type="dxa" w:w="1871"/>
          </w:tcPr>
          <w:p>
            <w:r>
              <w:rPr>
                <w:sz w:val="20"/>
              </w:rPr>
              <w:t>À éviter</w:t>
            </w:r>
          </w:p>
        </w:tc>
        <w:tc>
          <w:tcPr>
            <w:tcW w:type="dxa" w:w="1871"/>
          </w:tcPr>
          <w:p>
            <w:r>
              <w:rPr>
                <w:sz w:val="20"/>
              </w:rPr>
              <w:t>À éviter</w:t>
            </w:r>
          </w:p>
        </w:tc>
        <w:tc>
          <w:tcPr>
            <w:tcW w:type="dxa" w:w="1871"/>
          </w:tcPr>
          <w:p>
            <w:r>
              <w:rPr>
                <w:sz w:val="20"/>
              </w:rPr>
              <w:t>À éviter</w:t>
            </w:r>
          </w:p>
        </w:tc>
        <w:tc>
          <w:tcPr>
            <w:tcW w:type="dxa" w:w="1871"/>
          </w:tcPr>
          <w:p>
            <w:r>
              <w:rPr>
                <w:sz w:val="20"/>
              </w:rPr>
              <w:t>À éviter</w:t>
            </w:r>
          </w:p>
        </w:tc>
      </w:tr>
      <w:tr>
        <w:tc>
          <w:tcPr>
            <w:tcW w:type="dxa" w:w="1871"/>
          </w:tcPr>
          <w:p>
            <w:r>
              <w:rPr>
                <w:sz w:val="20"/>
              </w:rPr>
              <w:t>**Spécialité(s) innovatrice(s)**</w:t>
            </w:r>
          </w:p>
        </w:tc>
        <w:tc>
          <w:tcPr>
            <w:tcW w:type="dxa" w:w="1871"/>
          </w:tcPr>
          <w:p>
            <w:r>
              <w:rPr>
                <w:sz w:val="20"/>
              </w:rPr>
              <w:t>LUCENTIS (Novartis)</w:t>
            </w:r>
          </w:p>
        </w:tc>
        <w:tc>
          <w:tcPr>
            <w:tcW w:type="dxa" w:w="1871"/>
          </w:tcPr>
          <w:p>
            <w:r>
              <w:rPr>
                <w:sz w:val="20"/>
              </w:rPr>
              <w:t>AVASTIN (Roche) — non renouvelable</w:t>
            </w:r>
          </w:p>
        </w:tc>
        <w:tc>
          <w:tcPr>
            <w:tcW w:type="dxa" w:w="1871"/>
          </w:tcPr>
          <w:p>
            <w:r>
              <w:rPr>
                <w:sz w:val="20"/>
              </w:rPr>
              <w:t>EYLEA (Bayer)</w:t>
            </w:r>
          </w:p>
        </w:tc>
        <w:tc>
          <w:tcPr>
            <w:tcW w:type="dxa" w:w="1871"/>
          </w:tcPr>
          <w:p>
            <w:r>
              <w:rPr>
                <w:sz w:val="20"/>
              </w:rPr>
              <w:t>VABYSMO (Roche)</w:t>
            </w:r>
          </w:p>
        </w:tc>
      </w:tr>
    </w:tbl>
    <w:p/>
    <w:p>
      <w:pPr>
        <w:pStyle w:val="Heading3"/>
      </w:pPr>
      <w:r>
        <w:t>144.6.3 Synthèse transversale et arbres de décision</w:t>
      </w:r>
    </w:p>
    <w:p>
      <w:pPr>
        <w:pStyle w:val="Heading4"/>
      </w:pPr>
      <w:r>
        <w:t>Algorithme de choix du mydriatique selon l'indication</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Indication</w:t>
            </w:r>
          </w:p>
        </w:tc>
        <w:tc>
          <w:tcPr>
            <w:tcW w:type="dxa" w:w="2339"/>
          </w:tcPr>
          <w:p>
            <w:r>
              <w:rPr>
                <w:b/>
                <w:sz w:val="20"/>
              </w:rPr>
              <w:t>Molécule de choix</w:t>
            </w:r>
          </w:p>
        </w:tc>
        <w:tc>
          <w:tcPr>
            <w:tcW w:type="dxa" w:w="2339"/>
          </w:tcPr>
          <w:p>
            <w:r>
              <w:rPr>
                <w:b/>
                <w:sz w:val="20"/>
              </w:rPr>
              <w:t>Alternative</w:t>
            </w:r>
          </w:p>
        </w:tc>
        <w:tc>
          <w:tcPr>
            <w:tcW w:type="dxa" w:w="2339"/>
          </w:tcPr>
          <w:p>
            <w:r>
              <w:rPr>
                <w:b/>
                <w:sz w:val="20"/>
              </w:rPr>
              <w:t>Durée du handicap visuel</w:t>
            </w:r>
          </w:p>
        </w:tc>
      </w:tr>
      <w:tr>
        <w:tc>
          <w:tcPr>
            <w:tcW w:type="dxa" w:w="2339"/>
          </w:tcPr>
          <w:p>
            <w:r>
              <w:rPr>
                <w:sz w:val="20"/>
              </w:rPr>
              <w:t>Examen fond d'œil adulte (consultation)</w:t>
            </w:r>
          </w:p>
        </w:tc>
        <w:tc>
          <w:tcPr>
            <w:tcW w:type="dxa" w:w="2339"/>
          </w:tcPr>
          <w:p>
            <w:r>
              <w:rPr>
                <w:sz w:val="20"/>
              </w:rPr>
              <w:t>Tropicamide 0,5 %</w:t>
            </w:r>
          </w:p>
        </w:tc>
        <w:tc>
          <w:tcPr>
            <w:tcW w:type="dxa" w:w="2339"/>
          </w:tcPr>
          <w:p>
            <w:r>
              <w:rPr>
                <w:sz w:val="20"/>
              </w:rPr>
              <w:t>—</w:t>
            </w:r>
          </w:p>
        </w:tc>
        <w:tc>
          <w:tcPr>
            <w:tcW w:type="dxa" w:w="2339"/>
          </w:tcPr>
          <w:p>
            <w:r>
              <w:rPr>
                <w:sz w:val="20"/>
              </w:rPr>
              <w:t>3–4 heures</w:t>
            </w:r>
          </w:p>
        </w:tc>
      </w:tr>
      <w:tr>
        <w:tc>
          <w:tcPr>
            <w:tcW w:type="dxa" w:w="2339"/>
          </w:tcPr>
          <w:p>
            <w:r>
              <w:rPr>
                <w:sz w:val="20"/>
              </w:rPr>
              <w:t>Angiographie fluorescéine/ICG</w:t>
            </w:r>
          </w:p>
        </w:tc>
        <w:tc>
          <w:tcPr>
            <w:tcW w:type="dxa" w:w="2339"/>
          </w:tcPr>
          <w:p>
            <w:r>
              <w:rPr>
                <w:sz w:val="20"/>
              </w:rPr>
              <w:t>Tropicamide 0,5 % + Phényléphrine 5 %</w:t>
            </w:r>
          </w:p>
        </w:tc>
        <w:tc>
          <w:tcPr>
            <w:tcW w:type="dxa" w:w="2339"/>
          </w:tcPr>
          <w:p>
            <w:r>
              <w:rPr>
                <w:sz w:val="20"/>
              </w:rPr>
              <w:t>Cyclopentolate 1 %</w:t>
            </w:r>
          </w:p>
        </w:tc>
        <w:tc>
          <w:tcPr>
            <w:tcW w:type="dxa" w:w="2339"/>
          </w:tcPr>
          <w:p>
            <w:r>
              <w:rPr>
                <w:sz w:val="20"/>
              </w:rPr>
              <w:t>4–6 heures</w:t>
            </w:r>
          </w:p>
        </w:tc>
      </w:tr>
      <w:tr>
        <w:tc>
          <w:tcPr>
            <w:tcW w:type="dxa" w:w="2339"/>
          </w:tcPr>
          <w:p>
            <w:r>
              <w:rPr>
                <w:sz w:val="20"/>
              </w:rPr>
              <w:t>OCT maculaire/papillaire</w:t>
            </w:r>
          </w:p>
        </w:tc>
        <w:tc>
          <w:tcPr>
            <w:tcW w:type="dxa" w:w="2339"/>
          </w:tcPr>
          <w:p>
            <w:r>
              <w:rPr>
                <w:sz w:val="20"/>
              </w:rPr>
              <w:t>Tropicamide 0,5 %</w:t>
            </w:r>
          </w:p>
        </w:tc>
        <w:tc>
          <w:tcPr>
            <w:tcW w:type="dxa" w:w="2339"/>
          </w:tcPr>
          <w:p>
            <w:r>
              <w:rPr>
                <w:sz w:val="20"/>
              </w:rPr>
              <w:t>—</w:t>
            </w:r>
          </w:p>
        </w:tc>
        <w:tc>
          <w:tcPr>
            <w:tcW w:type="dxa" w:w="2339"/>
          </w:tcPr>
          <w:p>
            <w:r>
              <w:rPr>
                <w:sz w:val="20"/>
              </w:rPr>
              <w:t>3–4 heures</w:t>
            </w:r>
          </w:p>
        </w:tc>
      </w:tr>
      <w:tr>
        <w:tc>
          <w:tcPr>
            <w:tcW w:type="dxa" w:w="2339"/>
          </w:tcPr>
          <w:p>
            <w:r>
              <w:rPr>
                <w:sz w:val="20"/>
              </w:rPr>
              <w:t>Réfraction enfant ≥ 3 ans</w:t>
            </w:r>
          </w:p>
        </w:tc>
        <w:tc>
          <w:tcPr>
            <w:tcW w:type="dxa" w:w="2339"/>
          </w:tcPr>
          <w:p>
            <w:r>
              <w:rPr>
                <w:sz w:val="20"/>
              </w:rPr>
              <w:t>Cyclopentolate 0,5–1 %</w:t>
            </w:r>
          </w:p>
        </w:tc>
        <w:tc>
          <w:tcPr>
            <w:tcW w:type="dxa" w:w="2339"/>
          </w:tcPr>
          <w:p>
            <w:r>
              <w:rPr>
                <w:sz w:val="20"/>
              </w:rPr>
              <w:t>Atropine 0,01 % (si forte amétropie)</w:t>
            </w:r>
          </w:p>
        </w:tc>
        <w:tc>
          <w:tcPr>
            <w:tcW w:type="dxa" w:w="2339"/>
          </w:tcPr>
          <w:p>
            <w:r>
              <w:rPr>
                <w:sz w:val="20"/>
              </w:rPr>
              <w:t>12–24 heures</w:t>
            </w:r>
          </w:p>
        </w:tc>
      </w:tr>
      <w:tr>
        <w:tc>
          <w:tcPr>
            <w:tcW w:type="dxa" w:w="2339"/>
          </w:tcPr>
          <w:p>
            <w:r>
              <w:rPr>
                <w:sz w:val="20"/>
              </w:rPr>
              <w:t>Réfraction nourrisson &lt; 3 ans</w:t>
            </w:r>
          </w:p>
        </w:tc>
        <w:tc>
          <w:tcPr>
            <w:tcW w:type="dxa" w:w="2339"/>
          </w:tcPr>
          <w:p>
            <w:r>
              <w:rPr>
                <w:sz w:val="20"/>
              </w:rPr>
              <w:t>Atropine 0,005 % (3 j avant examen)</w:t>
            </w:r>
          </w:p>
        </w:tc>
        <w:tc>
          <w:tcPr>
            <w:tcW w:type="dxa" w:w="2339"/>
          </w:tcPr>
          <w:p>
            <w:r>
              <w:rPr>
                <w:sz w:val="20"/>
              </w:rPr>
              <w:t>Cyclopentolate 0,5 % (alternative)</w:t>
            </w:r>
          </w:p>
        </w:tc>
        <w:tc>
          <w:tcPr>
            <w:tcW w:type="dxa" w:w="2339"/>
          </w:tcPr>
          <w:p>
            <w:r>
              <w:rPr>
                <w:sz w:val="20"/>
              </w:rPr>
              <w:t>7–14 jours</w:t>
            </w:r>
          </w:p>
        </w:tc>
      </w:tr>
      <w:tr>
        <w:tc>
          <w:tcPr>
            <w:tcW w:type="dxa" w:w="2339"/>
          </w:tcPr>
          <w:p>
            <w:r>
              <w:rPr>
                <w:sz w:val="20"/>
              </w:rPr>
              <w:t>Strabisme accommodatif</w:t>
            </w:r>
          </w:p>
        </w:tc>
        <w:tc>
          <w:tcPr>
            <w:tcW w:type="dxa" w:w="2339"/>
          </w:tcPr>
          <w:p>
            <w:r>
              <w:rPr>
                <w:sz w:val="20"/>
              </w:rPr>
              <w:t>Atropine 0,01 % (prolongé)</w:t>
            </w:r>
          </w:p>
        </w:tc>
        <w:tc>
          <w:tcPr>
            <w:tcW w:type="dxa" w:w="2339"/>
          </w:tcPr>
          <w:p>
            <w:r>
              <w:rPr>
                <w:sz w:val="20"/>
              </w:rPr>
              <w:t>Cyclopentolate 1 %</w:t>
            </w:r>
          </w:p>
        </w:tc>
        <w:tc>
          <w:tcPr>
            <w:tcW w:type="dxa" w:w="2339"/>
          </w:tcPr>
          <w:p>
            <w:r>
              <w:rPr>
                <w:sz w:val="20"/>
              </w:rPr>
              <w:t>Variable</w:t>
            </w:r>
          </w:p>
        </w:tc>
      </w:tr>
      <w:tr>
        <w:tc>
          <w:tcPr>
            <w:tcW w:type="dxa" w:w="2339"/>
          </w:tcPr>
          <w:p>
            <w:r>
              <w:rPr>
                <w:sz w:val="20"/>
              </w:rPr>
              <w:t>Amblyopie (pénalisation)</w:t>
            </w:r>
          </w:p>
        </w:tc>
        <w:tc>
          <w:tcPr>
            <w:tcW w:type="dxa" w:w="2339"/>
          </w:tcPr>
          <w:p>
            <w:r>
              <w:rPr>
                <w:sz w:val="20"/>
              </w:rPr>
              <w:t>Atropine 0,5–1 % œil sain</w:t>
            </w:r>
          </w:p>
        </w:tc>
        <w:tc>
          <w:tcPr>
            <w:tcW w:type="dxa" w:w="2339"/>
          </w:tcPr>
          <w:p>
            <w:r>
              <w:rPr>
                <w:sz w:val="20"/>
              </w:rPr>
              <w:t>—</w:t>
            </w:r>
          </w:p>
        </w:tc>
        <w:tc>
          <w:tcPr>
            <w:tcW w:type="dxa" w:w="2339"/>
          </w:tcPr>
          <w:p>
            <w:r>
              <w:rPr>
                <w:sz w:val="20"/>
              </w:rPr>
              <w:t>Variable</w:t>
            </w:r>
          </w:p>
        </w:tc>
      </w:tr>
      <w:tr>
        <w:tc>
          <w:tcPr>
            <w:tcW w:type="dxa" w:w="2339"/>
          </w:tcPr>
          <w:p>
            <w:r>
              <w:rPr>
                <w:sz w:val="20"/>
              </w:rPr>
              <w:t>Uvéite antérieure</w:t>
            </w:r>
          </w:p>
        </w:tc>
        <w:tc>
          <w:tcPr>
            <w:tcW w:type="dxa" w:w="2339"/>
          </w:tcPr>
          <w:p>
            <w:r>
              <w:rPr>
                <w:sz w:val="20"/>
              </w:rPr>
              <w:t>Atropine 0,5–1 %</w:t>
            </w:r>
          </w:p>
        </w:tc>
        <w:tc>
          <w:tcPr>
            <w:tcW w:type="dxa" w:w="2339"/>
          </w:tcPr>
          <w:p>
            <w:r>
              <w:rPr>
                <w:sz w:val="20"/>
              </w:rPr>
              <w:t>Cyclopentolate 1 %</w:t>
            </w:r>
          </w:p>
        </w:tc>
        <w:tc>
          <w:tcPr>
            <w:tcW w:type="dxa" w:w="2339"/>
          </w:tcPr>
          <w:p>
            <w:r>
              <w:rPr>
                <w:sz w:val="20"/>
              </w:rPr>
              <w:t>Variable</w:t>
            </w:r>
          </w:p>
        </w:tc>
      </w:tr>
      <w:tr>
        <w:tc>
          <w:tcPr>
            <w:tcW w:type="dxa" w:w="2339"/>
          </w:tcPr>
          <w:p>
            <w:r>
              <w:rPr>
                <w:sz w:val="20"/>
              </w:rPr>
              <w:t>Myopie progressive enfant</w:t>
            </w:r>
          </w:p>
        </w:tc>
        <w:tc>
          <w:tcPr>
            <w:tcW w:type="dxa" w:w="2339"/>
          </w:tcPr>
          <w:p>
            <w:r>
              <w:rPr>
                <w:sz w:val="20"/>
              </w:rPr>
              <w:t>Atropine 0,01–0,05 % (au coucher)</w:t>
            </w:r>
          </w:p>
        </w:tc>
        <w:tc>
          <w:tcPr>
            <w:tcW w:type="dxa" w:w="2339"/>
          </w:tcPr>
          <w:p>
            <w:r>
              <w:rPr>
                <w:sz w:val="20"/>
              </w:rPr>
              <w:t>—</w:t>
            </w:r>
          </w:p>
        </w:tc>
        <w:tc>
          <w:tcPr>
            <w:tcW w:type="dxa" w:w="2339"/>
          </w:tcPr>
          <w:p>
            <w:r>
              <w:rPr>
                <w:sz w:val="20"/>
              </w:rPr>
              <w:t>Continue</w:t>
            </w:r>
          </w:p>
        </w:tc>
      </w:tr>
      <w:tr>
        <w:tc>
          <w:tcPr>
            <w:tcW w:type="dxa" w:w="2339"/>
          </w:tcPr>
          <w:p>
            <w:r>
              <w:rPr>
                <w:sz w:val="20"/>
              </w:rPr>
              <w:t>Cataracte pré-opératoire</w:t>
            </w:r>
          </w:p>
        </w:tc>
        <w:tc>
          <w:tcPr>
            <w:tcW w:type="dxa" w:w="2339"/>
          </w:tcPr>
          <w:p>
            <w:r>
              <w:rPr>
                <w:sz w:val="20"/>
              </w:rPr>
              <w:t>Tropicamide + Phényléphrine</w:t>
            </w:r>
          </w:p>
        </w:tc>
        <w:tc>
          <w:tcPr>
            <w:tcW w:type="dxa" w:w="2339"/>
          </w:tcPr>
          <w:p>
            <w:r>
              <w:rPr>
                <w:sz w:val="20"/>
              </w:rPr>
              <w:t>Cyclopentolate</w:t>
            </w:r>
          </w:p>
        </w:tc>
        <w:tc>
          <w:tcPr>
            <w:tcW w:type="dxa" w:w="2339"/>
          </w:tcPr>
          <w:p>
            <w:r>
              <w:rPr>
                <w:sz w:val="20"/>
              </w:rPr>
              <w:t>6 heures</w:t>
            </w:r>
          </w:p>
        </w:tc>
      </w:tr>
    </w:tbl>
    <w:p/>
    <w:p>
      <w:pPr>
        <w:pStyle w:val="Heading4"/>
      </w:pPr>
      <w:r>
        <w:t>Algorithme de choix de l'anti-VEGF selon la pathologie et le profil du patient</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Profil du patient / pathologie</w:t>
            </w:r>
          </w:p>
        </w:tc>
        <w:tc>
          <w:tcPr>
            <w:tcW w:type="dxa" w:w="2339"/>
          </w:tcPr>
          <w:p>
            <w:r>
              <w:rPr>
                <w:b/>
                <w:sz w:val="20"/>
              </w:rPr>
              <w:t>Anti-VEGF de premier choix</w:t>
            </w:r>
          </w:p>
        </w:tc>
        <w:tc>
          <w:tcPr>
            <w:tcW w:type="dxa" w:w="2339"/>
          </w:tcPr>
          <w:p>
            <w:r>
              <w:rPr>
                <w:b/>
                <w:sz w:val="20"/>
              </w:rPr>
              <w:t>Alternative</w:t>
            </w:r>
          </w:p>
        </w:tc>
        <w:tc>
          <w:tcPr>
            <w:tcW w:type="dxa" w:w="2339"/>
          </w:tcPr>
          <w:p>
            <w:r>
              <w:rPr>
                <w:b/>
                <w:sz w:val="20"/>
              </w:rPr>
              <w:t>Justification</w:t>
            </w:r>
          </w:p>
        </w:tc>
      </w:tr>
      <w:tr>
        <w:tc>
          <w:tcPr>
            <w:tcW w:type="dxa" w:w="2339"/>
          </w:tcPr>
          <w:p>
            <w:r>
              <w:rPr>
                <w:sz w:val="20"/>
              </w:rPr>
              <w:t>DMLA exsudative naïve (adulte)</w:t>
            </w:r>
          </w:p>
        </w:tc>
        <w:tc>
          <w:tcPr>
            <w:tcW w:type="dxa" w:w="2339"/>
          </w:tcPr>
          <w:p>
            <w:r>
              <w:rPr>
                <w:sz w:val="20"/>
              </w:rPr>
              <w:t>Aflibercept 2 mg ou Ranibizumab 0,5 mg</w:t>
            </w:r>
          </w:p>
        </w:tc>
        <w:tc>
          <w:tcPr>
            <w:tcW w:type="dxa" w:w="2339"/>
          </w:tcPr>
          <w:p>
            <w:r>
              <w:rPr>
                <w:sz w:val="20"/>
              </w:rPr>
              <w:t>Bévacizumab 1,25 mg (si coût)</w:t>
            </w:r>
          </w:p>
        </w:tc>
        <w:tc>
          <w:tcPr>
            <w:tcW w:type="dxa" w:w="2339"/>
          </w:tcPr>
          <w:p>
            <w:r>
              <w:rPr>
                <w:sz w:val="20"/>
              </w:rPr>
              <w:t>Efficacité équivalente, schéma bimestriel possible avec aflibercept</w:t>
            </w:r>
          </w:p>
        </w:tc>
      </w:tr>
      <w:tr>
        <w:tc>
          <w:tcPr>
            <w:tcW w:type="dxa" w:w="2339"/>
          </w:tcPr>
          <w:p>
            <w:r>
              <w:rPr>
                <w:sz w:val="20"/>
              </w:rPr>
              <w:t>DMLA réfractaire (échec ranibizumab/bévacizumab)</w:t>
            </w:r>
          </w:p>
        </w:tc>
        <w:tc>
          <w:tcPr>
            <w:tcW w:type="dxa" w:w="2339"/>
          </w:tcPr>
          <w:p>
            <w:r>
              <w:rPr>
                <w:sz w:val="20"/>
              </w:rPr>
              <w:t>Aflibercept 2 mg ou Faricimab 6 mg</w:t>
            </w:r>
          </w:p>
        </w:tc>
        <w:tc>
          <w:tcPr>
            <w:tcW w:type="dxa" w:w="2339"/>
          </w:tcPr>
          <w:p>
            <w:r>
              <w:rPr>
                <w:sz w:val="20"/>
              </w:rPr>
              <w:t>—</w:t>
            </w:r>
          </w:p>
        </w:tc>
        <w:tc>
          <w:tcPr>
            <w:tcW w:type="dxa" w:w="2339"/>
          </w:tcPr>
          <w:p>
            <w:r>
              <w:rPr>
                <w:sz w:val="20"/>
              </w:rPr>
              <w:t>Affinité supérieure (aflibercept), double inhibition (faricimab)</w:t>
            </w:r>
          </w:p>
        </w:tc>
      </w:tr>
      <w:tr>
        <w:tc>
          <w:tcPr>
            <w:tcW w:type="dxa" w:w="2339"/>
          </w:tcPr>
          <w:p>
            <w:r>
              <w:rPr>
                <w:sz w:val="20"/>
              </w:rPr>
              <w:t>DMLA avec préférence schéma espacé</w:t>
            </w:r>
          </w:p>
        </w:tc>
        <w:tc>
          <w:tcPr>
            <w:tcW w:type="dxa" w:w="2339"/>
          </w:tcPr>
          <w:p>
            <w:r>
              <w:rPr>
                <w:sz w:val="20"/>
              </w:rPr>
              <w:t>Faricimab 6 mg</w:t>
            </w:r>
          </w:p>
        </w:tc>
        <w:tc>
          <w:tcPr>
            <w:tcW w:type="dxa" w:w="2339"/>
          </w:tcPr>
          <w:p>
            <w:r>
              <w:rPr>
                <w:sz w:val="20"/>
              </w:rPr>
              <w:t>Aflibercept 2 mg</w:t>
            </w:r>
          </w:p>
        </w:tc>
        <w:tc>
          <w:tcPr>
            <w:tcW w:type="dxa" w:w="2339"/>
          </w:tcPr>
          <w:p>
            <w:r>
              <w:rPr>
                <w:sz w:val="20"/>
              </w:rPr>
              <w:t>Treat &amp; extend jusqu'à 16 semaines (faricimab), 12 semaines (aflibercept)</w:t>
            </w:r>
          </w:p>
        </w:tc>
      </w:tr>
      <w:tr>
        <w:tc>
          <w:tcPr>
            <w:tcW w:type="dxa" w:w="2339"/>
          </w:tcPr>
          <w:p>
            <w:r>
              <w:rPr>
                <w:sz w:val="20"/>
              </w:rPr>
              <w:t>OMD avec baisse d'acuité visuelle</w:t>
            </w:r>
          </w:p>
        </w:tc>
        <w:tc>
          <w:tcPr>
            <w:tcW w:type="dxa" w:w="2339"/>
          </w:tcPr>
          <w:p>
            <w:r>
              <w:rPr>
                <w:sz w:val="20"/>
              </w:rPr>
              <w:t>Aflibercept 2 mg</w:t>
            </w:r>
          </w:p>
        </w:tc>
        <w:tc>
          <w:tcPr>
            <w:tcW w:type="dxa" w:w="2339"/>
          </w:tcPr>
          <w:p>
            <w:r>
              <w:rPr>
                <w:sz w:val="20"/>
              </w:rPr>
              <w:t>Ranibizumab 0,5 mg</w:t>
            </w:r>
          </w:p>
        </w:tc>
        <w:tc>
          <w:tcPr>
            <w:tcW w:type="dxa" w:w="2339"/>
          </w:tcPr>
          <w:p>
            <w:r>
              <w:rPr>
                <w:sz w:val="20"/>
              </w:rPr>
              <w:t>Efficacité supérieure démontrée dans VISTA/VIVID, surtout en cas d'ischemie</w:t>
            </w:r>
          </w:p>
        </w:tc>
      </w:tr>
      <w:tr>
        <w:tc>
          <w:tcPr>
            <w:tcW w:type="dxa" w:w="2339"/>
          </w:tcPr>
          <w:p>
            <w:r>
              <w:rPr>
                <w:sz w:val="20"/>
              </w:rPr>
              <w:t>OMD réfractaire</w:t>
            </w:r>
          </w:p>
        </w:tc>
        <w:tc>
          <w:tcPr>
            <w:tcW w:type="dxa" w:w="2339"/>
          </w:tcPr>
          <w:p>
            <w:r>
              <w:rPr>
                <w:sz w:val="20"/>
              </w:rPr>
              <w:t>Faricimab 6 mg</w:t>
            </w:r>
          </w:p>
        </w:tc>
        <w:tc>
          <w:tcPr>
            <w:tcW w:type="dxa" w:w="2339"/>
          </w:tcPr>
          <w:p>
            <w:r>
              <w:rPr>
                <w:sz w:val="20"/>
              </w:rPr>
              <w:t>Aflibercept + Dexaméthasone implant</w:t>
            </w:r>
          </w:p>
        </w:tc>
        <w:tc>
          <w:tcPr>
            <w:tcW w:type="dxa" w:w="2339"/>
          </w:tcPr>
          <w:p>
            <w:r>
              <w:rPr>
                <w:sz w:val="20"/>
              </w:rPr>
              <w:t>Double inhibition VEGF + Ang-2</w:t>
            </w:r>
          </w:p>
        </w:tc>
      </w:tr>
      <w:tr>
        <w:tc>
          <w:tcPr>
            <w:tcW w:type="dxa" w:w="2339"/>
          </w:tcPr>
          <w:p>
            <w:r>
              <w:rPr>
                <w:sz w:val="20"/>
              </w:rPr>
              <w:t>OVCR avec œdème maculaire</w:t>
            </w:r>
          </w:p>
        </w:tc>
        <w:tc>
          <w:tcPr>
            <w:tcW w:type="dxa" w:w="2339"/>
          </w:tcPr>
          <w:p>
            <w:r>
              <w:rPr>
                <w:sz w:val="20"/>
              </w:rPr>
              <w:t>Aflibercept 2 mg</w:t>
            </w:r>
          </w:p>
        </w:tc>
        <w:tc>
          <w:tcPr>
            <w:tcW w:type="dxa" w:w="2339"/>
          </w:tcPr>
          <w:p>
            <w:r>
              <w:rPr>
                <w:sz w:val="20"/>
              </w:rPr>
              <w:t>Ranibizumab 0,5 mg</w:t>
            </w:r>
          </w:p>
        </w:tc>
        <w:tc>
          <w:tcPr>
            <w:tcW w:type="dxa" w:w="2339"/>
          </w:tcPr>
          <w:p>
            <w:r>
              <w:rPr>
                <w:sz w:val="20"/>
              </w:rPr>
              <w:t>Efficacité supérieure dans GALILEO/COPERNICUS</w:t>
            </w:r>
          </w:p>
        </w:tc>
      </w:tr>
      <w:tr>
        <w:tc>
          <w:tcPr>
            <w:tcW w:type="dxa" w:w="2339"/>
          </w:tcPr>
          <w:p>
            <w:r>
              <w:rPr>
                <w:sz w:val="20"/>
              </w:rPr>
              <w:t>OBVR avec œdème maculaire</w:t>
            </w:r>
          </w:p>
        </w:tc>
        <w:tc>
          <w:tcPr>
            <w:tcW w:type="dxa" w:w="2339"/>
          </w:tcPr>
          <w:p>
            <w:r>
              <w:rPr>
                <w:sz w:val="20"/>
              </w:rPr>
              <w:t>Aflibercept 2 mg</w:t>
            </w:r>
          </w:p>
        </w:tc>
        <w:tc>
          <w:tcPr>
            <w:tcW w:type="dxa" w:w="2339"/>
          </w:tcPr>
          <w:p>
            <w:r>
              <w:rPr>
                <w:sz w:val="20"/>
              </w:rPr>
              <w:t>Ranibizumab 0,5 mg</w:t>
            </w:r>
          </w:p>
        </w:tc>
        <w:tc>
          <w:tcPr>
            <w:tcW w:type="dxa" w:w="2339"/>
          </w:tcPr>
          <w:p>
            <w:r>
              <w:rPr>
                <w:sz w:val="20"/>
              </w:rPr>
              <w:t>Efficacité supérieure dans VIBRANT</w:t>
            </w:r>
          </w:p>
        </w:tc>
      </w:tr>
      <w:tr>
        <w:tc>
          <w:tcPr>
            <w:tcW w:type="dxa" w:w="2339"/>
          </w:tcPr>
          <w:p>
            <w:r>
              <w:rPr>
                <w:sz w:val="20"/>
              </w:rPr>
              <w:t>Rétinopathie diabétique proliférante</w:t>
            </w:r>
          </w:p>
        </w:tc>
        <w:tc>
          <w:tcPr>
            <w:tcW w:type="dxa" w:w="2339"/>
          </w:tcPr>
          <w:p>
            <w:r>
              <w:rPr>
                <w:sz w:val="20"/>
              </w:rPr>
              <w:t>Ranibizumab 0,5 mg</w:t>
            </w:r>
          </w:p>
        </w:tc>
        <w:tc>
          <w:tcPr>
            <w:tcW w:type="dxa" w:w="2339"/>
          </w:tcPr>
          <w:p>
            <w:r>
              <w:rPr>
                <w:sz w:val="20"/>
              </w:rPr>
              <w:t>Aflibercept 2 mg, Bévacizumab 1,25 mg</w:t>
            </w:r>
          </w:p>
        </w:tc>
        <w:tc>
          <w:tcPr>
            <w:tcW w:type="dxa" w:w="2339"/>
          </w:tcPr>
          <w:p>
            <w:r>
              <w:rPr>
                <w:sz w:val="20"/>
              </w:rPr>
              <w:t>Étude DRCR.net Protocol S</w:t>
            </w:r>
          </w:p>
        </w:tc>
      </w:tr>
      <w:tr>
        <w:tc>
          <w:tcPr>
            <w:tcW w:type="dxa" w:w="2339"/>
          </w:tcPr>
          <w:p>
            <w:r>
              <w:rPr>
                <w:sz w:val="20"/>
              </w:rPr>
              <w:t>Myopie forte avec néovaisseaux choroïdiens</w:t>
            </w:r>
          </w:p>
        </w:tc>
        <w:tc>
          <w:tcPr>
            <w:tcW w:type="dxa" w:w="2339"/>
          </w:tcPr>
          <w:p>
            <w:r>
              <w:rPr>
                <w:sz w:val="20"/>
              </w:rPr>
              <w:t>Ranibizumab 0,5 mg</w:t>
            </w:r>
          </w:p>
        </w:tc>
        <w:tc>
          <w:tcPr>
            <w:tcW w:type="dxa" w:w="2339"/>
          </w:tcPr>
          <w:p>
            <w:r>
              <w:rPr>
                <w:sz w:val="20"/>
              </w:rPr>
              <w:t>Aflibercept 2 mg, Bévacizumab 1,25 mg</w:t>
            </w:r>
          </w:p>
        </w:tc>
        <w:tc>
          <w:tcPr>
            <w:tcW w:type="dxa" w:w="2339"/>
          </w:tcPr>
          <w:p>
            <w:r>
              <w:rPr>
                <w:sz w:val="20"/>
              </w:rPr>
              <w:t>Étude RADIANCE/MYRROR</w:t>
            </w:r>
          </w:p>
        </w:tc>
      </w:tr>
      <w:tr>
        <w:tc>
          <w:tcPr>
            <w:tcW w:type="dxa" w:w="2339"/>
          </w:tcPr>
          <w:p>
            <w:r>
              <w:rPr>
                <w:sz w:val="20"/>
              </w:rPr>
              <w:t>Rétinopathie du prématurité (zone I, stade 3+)</w:t>
            </w:r>
          </w:p>
        </w:tc>
        <w:tc>
          <w:tcPr>
            <w:tcW w:type="dxa" w:w="2339"/>
          </w:tcPr>
          <w:p>
            <w:r>
              <w:rPr>
                <w:sz w:val="20"/>
              </w:rPr>
              <w:t>Bévacizumab 0,625 mg</w:t>
            </w:r>
          </w:p>
        </w:tc>
        <w:tc>
          <w:tcPr>
            <w:tcW w:type="dxa" w:w="2339"/>
          </w:tcPr>
          <w:p>
            <w:r>
              <w:rPr>
                <w:sz w:val="20"/>
              </w:rPr>
              <w:t>Ranibizumab 0,2 mg</w:t>
            </w:r>
          </w:p>
        </w:tc>
        <w:tc>
          <w:tcPr>
            <w:tcW w:type="dxa" w:w="2339"/>
          </w:tcPr>
          <w:p>
            <w:r>
              <w:rPr>
                <w:sz w:val="20"/>
              </w:rPr>
              <w:t>BEAT-ROP, RAINBOW</w:t>
            </w:r>
          </w:p>
        </w:tc>
      </w:tr>
      <w:tr>
        <w:tc>
          <w:tcPr>
            <w:tcW w:type="dxa" w:w="2339"/>
          </w:tcPr>
          <w:p>
            <w:r>
              <w:rPr>
                <w:sz w:val="20"/>
              </w:rPr>
              <w:t>Patient avec antécédent thrombo-embolique récent</w:t>
            </w:r>
          </w:p>
        </w:tc>
        <w:tc>
          <w:tcPr>
            <w:tcW w:type="dxa" w:w="2339"/>
          </w:tcPr>
          <w:p>
            <w:r>
              <w:rPr>
                <w:sz w:val="20"/>
              </w:rPr>
              <w:t>Ranibizumab 0,5 mg (demi-vie courte)</w:t>
            </w:r>
          </w:p>
        </w:tc>
        <w:tc>
          <w:tcPr>
            <w:tcW w:type="dxa" w:w="2339"/>
          </w:tcPr>
          <w:p>
            <w:r>
              <w:rPr>
                <w:sz w:val="20"/>
              </w:rPr>
              <w:t>Aflibercept</w:t>
            </w:r>
          </w:p>
        </w:tc>
        <w:tc>
          <w:tcPr>
            <w:tcW w:type="dxa" w:w="2339"/>
          </w:tcPr>
          <w:p>
            <w:r>
              <w:rPr>
                <w:sz w:val="20"/>
              </w:rPr>
              <w:t>Éviter le bévacizumab (demi-vie longue)</w:t>
            </w:r>
          </w:p>
        </w:tc>
      </w:tr>
      <w:tr>
        <w:tc>
          <w:tcPr>
            <w:tcW w:type="dxa" w:w="2339"/>
          </w:tcPr>
          <w:p>
            <w:r>
              <w:rPr>
                <w:sz w:val="20"/>
              </w:rPr>
              <w:t>Patient aux ressources limitées</w:t>
            </w:r>
          </w:p>
        </w:tc>
        <w:tc>
          <w:tcPr>
            <w:tcW w:type="dxa" w:w="2339"/>
          </w:tcPr>
          <w:p>
            <w:r>
              <w:rPr>
                <w:sz w:val="20"/>
              </w:rPr>
              <w:t>Bévacizumab 1,25 mg</w:t>
            </w:r>
          </w:p>
        </w:tc>
        <w:tc>
          <w:tcPr>
            <w:tcW w:type="dxa" w:w="2339"/>
          </w:tcPr>
          <w:p>
            <w:r>
              <w:rPr>
                <w:sz w:val="20"/>
              </w:rPr>
              <w:t>—</w:t>
            </w:r>
          </w:p>
        </w:tc>
        <w:tc>
          <w:tcPr>
            <w:tcW w:type="dxa" w:w="2339"/>
          </w:tcPr>
          <w:p>
            <w:r>
              <w:rPr>
                <w:sz w:val="20"/>
              </w:rPr>
              <w:t>Coût 10–40x inférieur, efficacité équivalente (CATT, IVAN)</w:t>
            </w:r>
          </w:p>
        </w:tc>
      </w:tr>
    </w:tbl>
    <w:p/>
    <w:p>
      <w:pPr>
        <w:pStyle w:val="Heading4"/>
      </w:pPr>
      <w:r>
        <w:t>Surveillance post-injection intravitréenne (schéma commun)</w:t>
      </w:r>
    </w:p>
    <w:tbl>
      <w:tblPr>
        <w:tblStyle w:val="LightGrid-Accent1"/>
        <w:tblW w:type="auto" w:w="0"/>
        <w:tblLook w:firstColumn="1" w:firstRow="1" w:lastColumn="0" w:lastRow="0" w:noHBand="0" w:noVBand="1" w:val="04A0"/>
      </w:tblPr>
      <w:tblGrid>
        <w:gridCol w:w="4677"/>
        <w:gridCol w:w="4677"/>
      </w:tblGrid>
      <w:tr>
        <w:tc>
          <w:tcPr>
            <w:tcW w:type="dxa" w:w="4677"/>
          </w:tcPr>
          <w:p>
            <w:r>
              <w:rPr>
                <w:b/>
                <w:sz w:val="20"/>
              </w:rPr>
              <w:t>Délai</w:t>
            </w:r>
          </w:p>
        </w:tc>
        <w:tc>
          <w:tcPr>
            <w:tcW w:type="dxa" w:w="4677"/>
          </w:tcPr>
          <w:p>
            <w:r>
              <w:rPr>
                <w:b/>
                <w:sz w:val="20"/>
              </w:rPr>
              <w:t>Action</w:t>
            </w:r>
          </w:p>
        </w:tc>
      </w:tr>
      <w:tr>
        <w:tc>
          <w:tcPr>
            <w:tcW w:type="dxa" w:w="4677"/>
          </w:tcPr>
          <w:p>
            <w:r>
              <w:rPr>
                <w:sz w:val="20"/>
              </w:rPr>
              <w:t>**J0 (jour de l'injection)**</w:t>
            </w:r>
          </w:p>
        </w:tc>
        <w:tc>
          <w:tcPr>
            <w:tcW w:type="dxa" w:w="4677"/>
          </w:tcPr>
          <w:p>
            <w:r>
              <w:rPr>
                <w:sz w:val="20"/>
              </w:rPr>
              <w:t>Mesure PIO à 10, 30, 60 min ; examen lampe à fente ; vérification réflexe pupillaire et perception lumineuse</w:t>
            </w:r>
          </w:p>
        </w:tc>
      </w:tr>
      <w:tr>
        <w:tc>
          <w:tcPr>
            <w:tcW w:type="dxa" w:w="4677"/>
          </w:tcPr>
          <w:p>
            <w:r>
              <w:rPr>
                <w:sz w:val="20"/>
              </w:rPr>
              <w:t>**J1**</w:t>
            </w:r>
          </w:p>
        </w:tc>
        <w:tc>
          <w:tcPr>
            <w:tcW w:type="dxa" w:w="4677"/>
          </w:tcPr>
          <w:p>
            <w:r>
              <w:rPr>
                <w:sz w:val="20"/>
              </w:rPr>
              <w:t>Examen ophtalmologique (acuité visuelle, lampe à fente, fond d'œil) — recherche endophtalmie précoce</w:t>
            </w:r>
          </w:p>
        </w:tc>
      </w:tr>
      <w:tr>
        <w:tc>
          <w:tcPr>
            <w:tcW w:type="dxa" w:w="4677"/>
          </w:tcPr>
          <w:p>
            <w:r>
              <w:rPr>
                <w:sz w:val="20"/>
              </w:rPr>
              <w:t>**J7**</w:t>
            </w:r>
          </w:p>
        </w:tc>
        <w:tc>
          <w:tcPr>
            <w:tcW w:type="dxa" w:w="4677"/>
          </w:tcPr>
          <w:p>
            <w:r>
              <w:rPr>
                <w:sz w:val="20"/>
              </w:rPr>
              <w:t>Examen OCT maculaire (épaisseur, liquide intra-rétinien) ; consultation de tolérance</w:t>
            </w:r>
          </w:p>
        </w:tc>
      </w:tr>
      <w:tr>
        <w:tc>
          <w:tcPr>
            <w:tcW w:type="dxa" w:w="4677"/>
          </w:tcPr>
          <w:p>
            <w:r>
              <w:rPr>
                <w:sz w:val="20"/>
              </w:rPr>
              <w:t>**M1 (1 mois)**</w:t>
            </w:r>
          </w:p>
        </w:tc>
        <w:tc>
          <w:tcPr>
            <w:tcW w:type="dxa" w:w="4677"/>
          </w:tcPr>
          <w:p>
            <w:r>
              <w:rPr>
                <w:sz w:val="20"/>
              </w:rPr>
              <w:t>Examen complet (acuité visuelle, OCT, fond d'œil) — décision de la 2ᵉ injection</w:t>
            </w:r>
          </w:p>
        </w:tc>
      </w:tr>
      <w:tr>
        <w:tc>
          <w:tcPr>
            <w:tcW w:type="dxa" w:w="4677"/>
          </w:tcPr>
          <w:p>
            <w:r>
              <w:rPr>
                <w:sz w:val="20"/>
              </w:rPr>
              <w:t>**M2, M3 (phase d'induction)**</w:t>
            </w:r>
          </w:p>
        </w:tc>
        <w:tc>
          <w:tcPr>
            <w:tcW w:type="dxa" w:w="4677"/>
          </w:tcPr>
          <w:p>
            <w:r>
              <w:rPr>
                <w:sz w:val="20"/>
              </w:rPr>
              <w:t>Idem M1 ; injections mensuelles (sauf faricimab qui passe à 4 mensuelles)</w:t>
            </w:r>
          </w:p>
        </w:tc>
      </w:tr>
      <w:tr>
        <w:tc>
          <w:tcPr>
            <w:tcW w:type="dxa" w:w="4677"/>
          </w:tcPr>
          <w:p>
            <w:r>
              <w:rPr>
                <w:sz w:val="20"/>
              </w:rPr>
              <w:t>**M6 à M12 (entretien)**</w:t>
            </w:r>
          </w:p>
        </w:tc>
        <w:tc>
          <w:tcPr>
            <w:tcW w:type="dxa" w:w="4677"/>
          </w:tcPr>
          <w:p>
            <w:r>
              <w:rPr>
                <w:sz w:val="20"/>
              </w:rPr>
              <w:t>Examen mensuel à bimestriel (selon schéma) ; ajustement des intervalles (treat &amp; extend)</w:t>
            </w:r>
          </w:p>
        </w:tc>
      </w:tr>
      <w:tr>
        <w:tc>
          <w:tcPr>
            <w:tcW w:type="dxa" w:w="4677"/>
          </w:tcPr>
          <w:p>
            <w:r>
              <w:rPr>
                <w:sz w:val="20"/>
              </w:rPr>
              <w:t>**Au long cours**</w:t>
            </w:r>
          </w:p>
        </w:tc>
        <w:tc>
          <w:tcPr>
            <w:tcW w:type="dxa" w:w="4677"/>
          </w:tcPr>
          <w:p>
            <w:r>
              <w:rPr>
                <w:sz w:val="20"/>
              </w:rPr>
              <w:t>Examen trimestriel à quadrimestriel ; angiographie à la fluorescéine si suspicion de récidive néovasculaire</w:t>
            </w:r>
          </w:p>
        </w:tc>
      </w:tr>
    </w:tbl>
    <w:p/>
    <w:p>
      <w:pPr>
        <w:pStyle w:val="Heading4"/>
      </w:pPr>
      <w:r>
        <w:t>Signes d'alerte post-injection à expliquer au patient</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Signe</w:t>
            </w:r>
          </w:p>
        </w:tc>
        <w:tc>
          <w:tcPr>
            <w:tcW w:type="dxa" w:w="3118"/>
          </w:tcPr>
          <w:p>
            <w:r>
              <w:rPr>
                <w:b/>
                <w:sz w:val="20"/>
              </w:rPr>
              <w:t>Cause probable</w:t>
            </w:r>
          </w:p>
        </w:tc>
        <w:tc>
          <w:tcPr>
            <w:tcW w:type="dxa" w:w="3118"/>
          </w:tcPr>
          <w:p>
            <w:r>
              <w:rPr>
                <w:b/>
                <w:sz w:val="20"/>
              </w:rPr>
              <w:t>Conduite à tenir</w:t>
            </w:r>
          </w:p>
        </w:tc>
      </w:tr>
      <w:tr>
        <w:tc>
          <w:tcPr>
            <w:tcW w:type="dxa" w:w="3118"/>
          </w:tcPr>
          <w:p>
            <w:r>
              <w:rPr>
                <w:sz w:val="20"/>
              </w:rPr>
              <w:t>Douleur oculaire intense + rougeur + baisse visuelle brutale</w:t>
            </w:r>
          </w:p>
        </w:tc>
        <w:tc>
          <w:tcPr>
            <w:tcW w:type="dxa" w:w="3118"/>
          </w:tcPr>
          <w:p>
            <w:r>
              <w:rPr>
                <w:sz w:val="20"/>
              </w:rPr>
              <w:t>Endophtalmie bactérienne</w:t>
            </w:r>
          </w:p>
        </w:tc>
        <w:tc>
          <w:tcPr>
            <w:tcW w:type="dxa" w:w="3118"/>
          </w:tcPr>
          <w:p>
            <w:r>
              <w:rPr>
                <w:sz w:val="20"/>
              </w:rPr>
              <w:t>Consultation en urgence (&lt; 24 h)</w:t>
            </w:r>
          </w:p>
        </w:tc>
      </w:tr>
      <w:tr>
        <w:tc>
          <w:tcPr>
            <w:tcW w:type="dxa" w:w="3118"/>
          </w:tcPr>
          <w:p>
            <w:r>
              <w:rPr>
                <w:sz w:val="20"/>
              </w:rPr>
              <w:t>Baisse visuelle brutale, myodésopsies, scotome</w:t>
            </w:r>
          </w:p>
        </w:tc>
        <w:tc>
          <w:tcPr>
            <w:tcW w:type="dxa" w:w="3118"/>
          </w:tcPr>
          <w:p>
            <w:r>
              <w:rPr>
                <w:sz w:val="20"/>
              </w:rPr>
              <w:t>Décollement de rétine rhegmatogène</w:t>
            </w:r>
          </w:p>
        </w:tc>
        <w:tc>
          <w:tcPr>
            <w:tcW w:type="dxa" w:w="3118"/>
          </w:tcPr>
          <w:p>
            <w:r>
              <w:rPr>
                <w:sz w:val="20"/>
              </w:rPr>
              <w:t>Consultation en urgence (&lt; 24 h)</w:t>
            </w:r>
          </w:p>
        </w:tc>
      </w:tr>
      <w:tr>
        <w:tc>
          <w:tcPr>
            <w:tcW w:type="dxa" w:w="3118"/>
          </w:tcPr>
          <w:p>
            <w:r>
              <w:rPr>
                <w:sz w:val="20"/>
              </w:rPr>
              <w:t>Baisse visuelle progressive, hémorragie vitréenne</w:t>
            </w:r>
          </w:p>
        </w:tc>
        <w:tc>
          <w:tcPr>
            <w:tcW w:type="dxa" w:w="3118"/>
          </w:tcPr>
          <w:p>
            <w:r>
              <w:rPr>
                <w:sz w:val="20"/>
              </w:rPr>
              <w:t>Hémorragie intravitréenne</w:t>
            </w:r>
          </w:p>
        </w:tc>
        <w:tc>
          <w:tcPr>
            <w:tcW w:type="dxa" w:w="3118"/>
          </w:tcPr>
          <w:p>
            <w:r>
              <w:rPr>
                <w:sz w:val="20"/>
              </w:rPr>
              <w:t>Consultation rapide (&lt; 1 semaine)</w:t>
            </w:r>
          </w:p>
        </w:tc>
      </w:tr>
      <w:tr>
        <w:tc>
          <w:tcPr>
            <w:tcW w:type="dxa" w:w="3118"/>
          </w:tcPr>
          <w:p>
            <w:r>
              <w:rPr>
                <w:sz w:val="20"/>
              </w:rPr>
              <w:t>Œil rouge douloureux, vision floue</w:t>
            </w:r>
          </w:p>
        </w:tc>
        <w:tc>
          <w:tcPr>
            <w:tcW w:type="dxa" w:w="3118"/>
          </w:tcPr>
          <w:p>
            <w:r>
              <w:rPr>
                <w:sz w:val="20"/>
              </w:rPr>
              <w:t>Uvéite / iritis</w:t>
            </w:r>
          </w:p>
        </w:tc>
        <w:tc>
          <w:tcPr>
            <w:tcW w:type="dxa" w:w="3118"/>
          </w:tcPr>
          <w:p>
            <w:r>
              <w:rPr>
                <w:sz w:val="20"/>
              </w:rPr>
              <w:t>Consultation rapide (&lt; 1 semaine)</w:t>
            </w:r>
          </w:p>
        </w:tc>
      </w:tr>
      <w:tr>
        <w:tc>
          <w:tcPr>
            <w:tcW w:type="dxa" w:w="3118"/>
          </w:tcPr>
          <w:p>
            <w:r>
              <w:rPr>
                <w:sz w:val="20"/>
              </w:rPr>
              <w:t>Céphalées, nausées, halos colorés</w:t>
            </w:r>
          </w:p>
        </w:tc>
        <w:tc>
          <w:tcPr>
            <w:tcW w:type="dxa" w:w="3118"/>
          </w:tcPr>
          <w:p>
            <w:r>
              <w:rPr>
                <w:sz w:val="20"/>
              </w:rPr>
              <w:t>Crise de GAFP (rare)</w:t>
            </w:r>
          </w:p>
        </w:tc>
        <w:tc>
          <w:tcPr>
            <w:tcW w:type="dxa" w:w="3118"/>
          </w:tcPr>
          <w:p>
            <w:r>
              <w:rPr>
                <w:sz w:val="20"/>
              </w:rPr>
              <w:t>Consultation en urgence</w:t>
            </w:r>
          </w:p>
        </w:tc>
      </w:tr>
      <w:tr>
        <w:tc>
          <w:tcPr>
            <w:tcW w:type="dxa" w:w="3118"/>
          </w:tcPr>
          <w:p>
            <w:r>
              <w:rPr>
                <w:sz w:val="20"/>
              </w:rPr>
              <w:t>Corps flottants isolés sans douleur</w:t>
            </w:r>
          </w:p>
        </w:tc>
        <w:tc>
          <w:tcPr>
            <w:tcW w:type="dxa" w:w="3118"/>
          </w:tcPr>
          <w:p>
            <w:r>
              <w:rPr>
                <w:sz w:val="20"/>
              </w:rPr>
              <w:t>Flotter vitréen banal</w:t>
            </w:r>
          </w:p>
        </w:tc>
        <w:tc>
          <w:tcPr>
            <w:tcW w:type="dxa" w:w="3118"/>
          </w:tcPr>
          <w:p>
            <w:r>
              <w:rPr>
                <w:sz w:val="20"/>
              </w:rPr>
              <w:t>Surveillance, consultation si aggravation</w:t>
            </w:r>
          </w:p>
        </w:tc>
      </w:tr>
      <w:tr>
        <w:tc>
          <w:tcPr>
            <w:tcW w:type="dxa" w:w="3118"/>
          </w:tcPr>
          <w:p>
            <w:r>
              <w:rPr>
                <w:sz w:val="20"/>
              </w:rPr>
              <w:t>Douleur thoracique, dyspnée, AIT</w:t>
            </w:r>
          </w:p>
        </w:tc>
        <w:tc>
          <w:tcPr>
            <w:tcW w:type="dxa" w:w="3118"/>
          </w:tcPr>
          <w:p>
            <w:r>
              <w:rPr>
                <w:sz w:val="20"/>
              </w:rPr>
              <w:t>Événement thrombo-embolique systémique</w:t>
            </w:r>
          </w:p>
        </w:tc>
        <w:tc>
          <w:tcPr>
            <w:tcW w:type="dxa" w:w="3118"/>
          </w:tcPr>
          <w:p>
            <w:r>
              <w:rPr>
                <w:sz w:val="20"/>
              </w:rPr>
              <w:t>Urgence vitale (15)</w:t>
            </w:r>
          </w:p>
        </w:tc>
      </w:tr>
    </w:tbl>
    <w:p/>
    <w:p>
      <w:pPr>
        <w:pStyle w:val="Heading3"/>
      </w:pPr>
      <w:r>
        <w:t>144.6.4 Règles d'or cliniques</w:t>
      </w:r>
    </w:p>
    <w:p>
      <w:pPr>
        <w:pStyle w:val="ListNumber"/>
      </w:pPr>
      <w:r/>
      <w:r>
        <w:rPr>
          <w:b/>
        </w:rPr>
        <w:t>Avant tout mydriatique</w:t>
      </w:r>
      <w:r>
        <w:t xml:space="preserve"> : évaluer la profondeur de la chambre antérieure (lampe à fente) — en cas de doute, ne pas instiller.</w:t>
      </w:r>
    </w:p>
    <w:p>
      <w:pPr>
        <w:pStyle w:val="ListNumber"/>
      </w:pPr>
      <w:r/>
      <w:r>
        <w:rPr>
          <w:b/>
        </w:rPr>
        <w:t>Occlusion du point lacrymal</w:t>
      </w:r>
      <w:r>
        <w:t xml:space="preserve"> : pendant 1–2 minutes (tropicamide, cyclopentolate) à 2–3 minutes (atropine), surtout chez l'enfant et le sujet âgé.</w:t>
      </w:r>
    </w:p>
    <w:p>
      <w:pPr>
        <w:pStyle w:val="ListNumber"/>
      </w:pPr>
      <w:r/>
      <w:r>
        <w:rPr>
          <w:b/>
        </w:rPr>
        <w:t>Durée d'action atropine = 7–14 jours</w:t>
      </w:r>
      <w:r>
        <w:t xml:space="preserve"> : prévenir le patient de l'impossibilité de lire et de conduire pendant toute la durée d'action.</w:t>
      </w:r>
    </w:p>
    <w:p>
      <w:pPr>
        <w:pStyle w:val="ListNumber"/>
      </w:pPr>
      <w:r/>
      <w:r>
        <w:rPr>
          <w:b/>
        </w:rPr>
        <w:t>Enfant + mydriatique</w:t>
      </w:r>
      <w:r>
        <w:t xml:space="preserve"> : surveillance de la température (hyperthermie atropinique), de l'état neurologique (réactions paradoxales), de la diurèse.</w:t>
      </w:r>
    </w:p>
    <w:p>
      <w:pPr>
        <w:pStyle w:val="ListNumber"/>
      </w:pPr>
      <w:r/>
      <w:r>
        <w:rPr>
          <w:b/>
        </w:rPr>
        <w:t>Injection intravitréenne = geste chirurgical</w:t>
      </w:r>
      <w:r>
        <w:t xml:space="preserve"> : ophtalmologiste expérimenté, milieu stérile, antisepsie povidone iodée 5 %.</w:t>
      </w:r>
    </w:p>
    <w:p>
      <w:pPr>
        <w:pStyle w:val="ListNumber"/>
      </w:pPr>
      <w:r/>
      <w:r>
        <w:rPr>
          <w:b/>
        </w:rPr>
        <w:t>Surveillance post-injection</w:t>
      </w:r>
      <w:r>
        <w:t xml:space="preserve"> : PIO à 10, 30, 60 minutes ; lampe à fente ; consultation J1 systématique pour recherche endophtalmie.</w:t>
      </w:r>
    </w:p>
    <w:p>
      <w:pPr>
        <w:pStyle w:val="ListNumber"/>
      </w:pPr>
      <w:r/>
      <w:r>
        <w:rPr>
          <w:b/>
        </w:rPr>
        <w:t>Bévacizumab hors AMM</w:t>
      </w:r>
      <w:r>
        <w:t xml:space="preserve"> : préparation obligatoire en pharmacie hospitalière sous hotte stérile ; traçabilité rigoureuse.</w:t>
      </w:r>
    </w:p>
    <w:p>
      <w:pPr>
        <w:pStyle w:val="ListNumber"/>
      </w:pPr>
      <w:r/>
      <w:r>
        <w:rPr>
          <w:b/>
        </w:rPr>
        <w:t>Anticoagulants/antiagrégants</w:t>
      </w:r>
      <w:r>
        <w:t xml:space="preserve"> : ne pas arrêter sans avis médical ; surveiller l'hémorragie sous-conjonctivale (sans gravité).</w:t>
      </w:r>
    </w:p>
    <w:p>
      <w:pPr>
        <w:pStyle w:val="ListNumber"/>
      </w:pPr>
      <w:r/>
      <w:r>
        <w:rPr>
          <w:b/>
        </w:rPr>
        <w:t>Grossesse et anti-VEGF</w:t>
      </w:r>
      <w:r>
        <w:t xml:space="preserve"> : contre-indication absolue (toxicité fœtale) ; contraception efficace obligatoire chez la femme en âge de procréer.</w:t>
      </w:r>
    </w:p>
    <w:p>
      <w:pPr>
        <w:pStyle w:val="ListNumber"/>
      </w:pPr>
      <w:r/>
      <w:r>
        <w:rPr>
          <w:b/>
        </w:rPr>
        <w:t>Schéma treat and extend</w:t>
      </w:r>
      <w:r>
        <w:t xml:space="preserve"> : ajuster les intervalles selon la stabilité de la maladie (OCT + acuité visuelle), objectif = minimiser le nombre d'injections par an.</w:t>
      </w:r>
    </w:p>
    <w:p>
      <w:pPr>
        <w:pStyle w:val="ListNumber"/>
      </w:pPr>
      <w:r/>
      <w:r>
        <w:rPr>
          <w:b/>
        </w:rPr>
        <w:t>Coordination multidisciplinaire</w:t>
      </w:r>
      <w:r>
        <w:t xml:space="preserve"> : diabétologue (HbA1c &lt; 7 %), cardiologue (PA &lt; 140/90), ophtalmologiste (suivi mensuel à trimestriel).</w:t>
      </w:r>
    </w:p>
    <w:p>
      <w:pPr>
        <w:pStyle w:val="ListNumber"/>
      </w:pPr>
      <w:r/>
      <w:r>
        <w:rPr>
          <w:b/>
        </w:rPr>
        <w:t>Cessation du tabac</w:t>
      </w:r>
      <w:r>
        <w:t xml:space="preserve"> : facteur de risque majeur de DMLA et de progression de la rétinopathie diabétique.</w:t>
      </w:r>
    </w:p>
    <w:p>
      <w:pPr>
        <w:pStyle w:val="Heading2"/>
      </w:pPr>
      <w:r>
        <w:t>144.7 Conclusion</w:t>
      </w:r>
    </w:p>
    <w:p>
      <w:r>
        <w:t xml:space="preserve">Le chapitre 144 du Fascicule XV (Ophtalmologie) a permis de présenter en détail les </w:t>
      </w:r>
      <w:r>
        <w:rPr>
          <w:b/>
        </w:rPr>
        <w:t>deux grandes familles pharmacologiques</w:t>
      </w:r>
      <w:r>
        <w:t xml:space="preserve"> qui structurent la pratique ophtalmologique diagnostique et thérapeutique moderne : d'une part les </w:t>
      </w:r>
      <w:r>
        <w:rPr>
          <w:b/>
        </w:rPr>
        <w:t>mydriatiques et cycloplégiques antimuscariniques</w:t>
      </w:r>
      <w:r>
        <w:t xml:space="preserve"> (tropicamide, cyclopentolate, atropine), d'autre part les </w:t>
      </w:r>
      <w:r>
        <w:rPr>
          <w:b/>
        </w:rPr>
        <w:t>anti-VEGF intravitréens</w:t>
      </w:r>
      <w:r>
        <w:t xml:space="preserve"> (ranibizumab, bévacizumab, aflibercept, faricimab). Ces sept molécules, bien que très différentes par leur structure (petites molécules synthétiques pour les mydriatiques, biomédicaments issus des biotechnologies pour les anti-VEGF), partagent une caractéristique commune : leur </w:t>
      </w:r>
      <w:r>
        <w:rPr>
          <w:b/>
        </w:rPr>
        <w:t>administration locale oculaire</w:t>
      </w:r>
      <w:r>
        <w:t xml:space="preserve"> et leur </w:t>
      </w:r>
      <w:r>
        <w:rPr>
          <w:b/>
        </w:rPr>
        <w:t>rapport bénéfice/risque étroit</w:t>
      </w:r>
      <w:r>
        <w:t xml:space="preserve"> qui justifie une prescription spécialisée et un suivi rigoureux.</w:t>
      </w:r>
    </w:p>
    <w:p>
      <w:pPr>
        <w:pStyle w:val="Heading3"/>
      </w:pPr>
      <w:r>
        <w:t>Synthèse sur les mydriatiques/cycloplégiques</w:t>
      </w:r>
    </w:p>
    <w:p>
      <w:r>
        <w:t xml:space="preserve">Les trois antimuscariniques disponibles en Algérie se distinguent essentiellement par leur </w:t>
      </w:r>
      <w:r>
        <w:rPr>
          <w:b/>
        </w:rPr>
        <w:t>puissance</w:t>
      </w:r>
      <w:r>
        <w:t xml:space="preserve"> et leur </w:t>
      </w:r>
      <w:r>
        <w:rPr>
          <w:b/>
        </w:rPr>
        <w:t>durée d'action</w:t>
      </w:r>
      <w:r>
        <w:t xml:space="preserve"> :</w:t>
      </w:r>
    </w:p>
    <w:p>
      <w:pPr>
        <w:pStyle w:val="ListBullet"/>
      </w:pPr>
      <w:r>
        <w:t xml:space="preserve">Le </w:t>
      </w:r>
      <w:r>
        <w:rPr>
          <w:b/>
        </w:rPr>
        <w:t>tropicamide</w:t>
      </w:r>
      <w:r>
        <w:t xml:space="preserve"> (0,5 %) reste l'outil diagnostique de routine pour l'examen du fond d'œil, avec une courte durée d'action (4–6 heures) compatible avec la vie quotidienne. Sa sécurité d'emploi chez l'adulte en fait un médicament de prescription large, mais le risque de déclenchement d'un glaucome aigu par fermeture de l'angle chez le sujet anatomiquement prédisposé impose une évaluation préalable de la profondeur de la chambre antérieure.</w:t>
      </w:r>
    </w:p>
    <w:p>
      <w:pPr>
        <w:pStyle w:val="ListBullet"/>
      </w:pPr>
      <w:r>
        <w:t xml:space="preserve">Le </w:t>
      </w:r>
      <w:r>
        <w:rPr>
          <w:b/>
        </w:rPr>
        <w:t>cyclopentolate</w:t>
      </w:r>
      <w:r>
        <w:t xml:space="preserve"> (0,5 % et 1 %) est la référence pour la </w:t>
      </w:r>
      <w:r>
        <w:rPr>
          <w:b/>
        </w:rPr>
        <w:t>réfraction sous cycloplégie chez l'enfant</w:t>
      </w:r>
      <w:r>
        <w:t xml:space="preserve"> à partir de 3–4 ans, avec une durée d'action intermédiaire (12–24 heures). La surveillance de l'enfant (hyperthermie, agitation paradoxale) est essentielle, et l'occlusion stricte du point lacrymal réduit le passage systémique.</w:t>
      </w:r>
    </w:p>
    <w:p>
      <w:pPr>
        <w:pStyle w:val="ListBullet"/>
      </w:pPr>
      <w:r>
        <w:t>L'</w:t>
      </w:r>
      <w:r>
        <w:rPr>
          <w:b/>
        </w:rPr>
        <w:t>atropine</w:t>
      </w:r>
      <w:r>
        <w:t xml:space="preserve"> (0,005 % et 0,01 % en Algérie) se distingue par sa </w:t>
      </w:r>
      <w:r>
        <w:rPr>
          <w:b/>
        </w:rPr>
        <w:t>très longue durée d'action</w:t>
      </w:r>
      <w:r>
        <w:t xml:space="preserve"> (7–14 jours), justifiant son usage réservé au nourrisson, au strabisme accommodatif sévère, à l'amblyopie et au traitement des uvéites. Plus récemment, l'atropine à très faible dose (0,01 %) a émergé comme traitement de la </w:t>
      </w:r>
      <w:r>
        <w:rPr>
          <w:b/>
        </w:rPr>
        <w:t>progression myopique de l'enfant</w:t>
      </w:r>
      <w:r>
        <w:t>, ouvrant un champ thérapeutique nouveau.</w:t>
      </w:r>
    </w:p>
    <w:p>
      <w:pPr>
        <w:pStyle w:val="Heading3"/>
      </w:pPr>
      <w:r>
        <w:t>Synthèse sur les anti-VEGF intravitréens</w:t>
      </w:r>
    </w:p>
    <w:p>
      <w:r>
        <w:t>Les quatre anti-VEGF disponibles en Algérie illustrent l'évolution rapide de la pharmacologie oculaire au XXIᵉ siècle :</w:t>
      </w:r>
    </w:p>
    <w:p>
      <w:pPr>
        <w:pStyle w:val="ListBullet"/>
      </w:pPr>
      <w:r>
        <w:t xml:space="preserve">Le </w:t>
      </w:r>
      <w:r>
        <w:rPr>
          <w:b/>
        </w:rPr>
        <w:t>ranibizumab</w:t>
      </w:r>
      <w:r>
        <w:t xml:space="preserve"> (LUCENTIS, RANIBIZUMAB-SAIDAL, UPTERA) est le pionnier de la classe, avec un fragment Fab à demi-vie courte, des injections mensuelles ou en treat and extend, et la disponibilité de biosimilaires locaux (Saïdal, El Kendi) facilitant l'accès.</w:t>
      </w:r>
    </w:p>
    <w:p>
      <w:pPr>
        <w:pStyle w:val="ListBullet"/>
      </w:pPr>
      <w:r>
        <w:t xml:space="preserve">Le </w:t>
      </w:r>
      <w:r>
        <w:rPr>
          <w:b/>
        </w:rPr>
        <w:t>bévacizumab</w:t>
      </w:r>
      <w:r>
        <w:t xml:space="preserve"> (ACURA, AVEGRA BIOCAD, BEVACIZUMAB-SAIDAL, SIMBIVA, VERSAVO, ZIRABEV) reste la molécule de choix dans les systèmes de santé à ressources limitées, en raison de son </w:t>
      </w:r>
      <w:r>
        <w:rPr>
          <w:b/>
        </w:rPr>
        <w:t>coût 10 à 40 fois inférieur</w:t>
      </w:r>
      <w:r>
        <w:t>. Son usage hors AMM ophtalmologique est validé par les sociétés savantes et la Cochrane, mais impose une préparation en pharmacie hospitalière sous hotte stérile pour limiter le risque de contamination bactérienne (incidents historiques d'endophtalmies en série).</w:t>
      </w:r>
    </w:p>
    <w:p>
      <w:pPr>
        <w:pStyle w:val="ListBullet"/>
      </w:pPr>
      <w:r>
        <w:t>L'</w:t>
      </w:r>
      <w:r>
        <w:rPr>
          <w:b/>
        </w:rPr>
        <w:t>aflibercept</w:t>
      </w:r>
      <w:r>
        <w:t xml:space="preserve"> (EYLEA, AFLI) représente la </w:t>
      </w:r>
      <w:r>
        <w:rPr>
          <w:b/>
        </w:rPr>
        <w:t>première génération améliorée</w:t>
      </w:r>
      <w:r>
        <w:t>, avec une protéine de fusion piège à VEGF et au PIGF, une affinité supérieure et un schéma d'injections bimestrielles. La disponibilité d'un biosimilaire local (Sophal) est un atout.</w:t>
      </w:r>
    </w:p>
    <w:p>
      <w:pPr>
        <w:pStyle w:val="ListBullet"/>
      </w:pPr>
      <w:r>
        <w:t xml:space="preserve">Le </w:t>
      </w:r>
      <w:r>
        <w:rPr>
          <w:b/>
        </w:rPr>
        <w:t>faricimab</w:t>
      </w:r>
      <w:r>
        <w:t xml:space="preserve"> (VABYSMO) est la </w:t>
      </w:r>
      <w:r>
        <w:rPr>
          <w:b/>
        </w:rPr>
        <w:t>nouvelle génération</w:t>
      </w:r>
      <w:r>
        <w:t>, avec une double inhibition VEGF + Ang-2 et un schéma treat and extend pouvant atteindre 16 semaines. C'est le premier anticorps bispécifique approuvé en ophtalmologie, et son introduction en Algérie (2023–2024) témoigne de la dynamique d'accès à l'innovation thérapeutique.</w:t>
      </w:r>
    </w:p>
    <w:p>
      <w:pPr>
        <w:pStyle w:val="Heading3"/>
      </w:pPr>
      <w:r>
        <w:t>Enjeux et perspectives algériennes</w:t>
      </w:r>
    </w:p>
    <w:p>
      <w:r>
        <w:t>Le marché algérien des médicaments ophtalmologiques traités dans ce chapitre présente plusieurs spécificités notables :</w:t>
      </w:r>
    </w:p>
    <w:p>
      <w:pPr>
        <w:pStyle w:val="ListBullet"/>
      </w:pPr>
      <w:r/>
      <w:r>
        <w:rPr>
          <w:b/>
        </w:rPr>
        <w:t>Une forte présence de producteurs nationaux</w:t>
      </w:r>
      <w:r>
        <w:t xml:space="preserve"> (Saïdal, El Kendi, Sophal, Gencopharm, GPA, Biothera, Generic Lab, Unimed) aux côtés des innovateurs internationaux (Novartis, Bayer, Roche, Sanofi, Pfizer, Amgen), ce qui garantit une diversité d'offre et une concurrence bénéfique pour le coût.</w:t>
      </w:r>
    </w:p>
    <w:p>
      <w:pPr>
        <w:pStyle w:val="ListBullet"/>
      </w:pPr>
      <w:r/>
      <w:r>
        <w:rPr>
          <w:b/>
        </w:rPr>
        <w:t>Le retrait progressif des anciennes spécialités</w:t>
      </w:r>
      <w:r>
        <w:t xml:space="preserve"> (Alcon, Cusi, Abdi Ibrahim, Medicuba, Roche pour Avastin, Amgen pour Mvasi), témoignant de la dynamique du marché.</w:t>
      </w:r>
    </w:p>
    <w:p>
      <w:pPr>
        <w:pStyle w:val="ListBullet"/>
      </w:pPr>
      <w:r/>
      <w:r>
        <w:rPr>
          <w:b/>
        </w:rPr>
        <w:t>L'innovation accessible</w:t>
      </w:r>
      <w:r>
        <w:t xml:space="preserve"> avec la disponibilité du faricimab (VABYSMO) en Algérie à peine 2 ans après son autorisation mondiale.</w:t>
      </w:r>
    </w:p>
    <w:p>
      <w:pPr>
        <w:pStyle w:val="ListBullet"/>
      </w:pPr>
      <w:r/>
      <w:r>
        <w:rPr>
          <w:b/>
        </w:rPr>
        <w:t>Le déficit en concentration atropine 1 %</w:t>
      </w:r>
      <w:r>
        <w:t xml:space="preserve"> : les concentrations disponibles (0,005 % et 0,01 %) ne couvrent pas les indications traditionnelles nécessitant une cycloplégie maximale (amblyopie, uvéites), ce qui impose des préparations magistrales.</w:t>
      </w:r>
    </w:p>
    <w:p>
      <w:pPr>
        <w:pStyle w:val="ListBullet"/>
      </w:pPr>
      <w:r/>
      <w:r>
        <w:rPr>
          <w:b/>
        </w:rPr>
        <w:t>Le déficit en anti-VEGF pour la rétinopathie du prématuré</w:t>
      </w:r>
      <w:r>
        <w:t xml:space="preserve"> : le nourrisson est traité en pratique avec le bévacizumab à dose réduite (0,625 mg), faute de schéma pédiatrique formellement validé.</w:t>
      </w:r>
    </w:p>
    <w:p>
      <w:pPr>
        <w:pStyle w:val="Heading3"/>
      </w:pPr>
      <w:r>
        <w:t>Bon usage et formation</w:t>
      </w:r>
    </w:p>
    <w:p>
      <w:r>
        <w:t xml:space="preserve">La prescription des mydriatiques et des anti-VEGF intravitréens doit s'inscrire dans une démarche de </w:t>
      </w:r>
      <w:r>
        <w:rPr>
          <w:b/>
        </w:rPr>
        <w:t>bon usage</w:t>
      </w:r>
      <w:r>
        <w:t xml:space="preserve"> rigoureuse, articulée autour de plusieurs principes :</w:t>
      </w:r>
    </w:p>
    <w:p>
      <w:pPr>
        <w:pStyle w:val="ListBullet"/>
      </w:pPr>
      <w:r/>
      <w:r>
        <w:rPr>
          <w:b/>
        </w:rPr>
        <w:t>Évaluation préalable</w:t>
      </w:r>
      <w:r>
        <w:t xml:space="preserve"> : pour les mydriatiques, évaluation de la chambre antérieure ; pour les anti-VEGF, indication validée par OCT et angiographie.</w:t>
      </w:r>
    </w:p>
    <w:p>
      <w:pPr>
        <w:pStyle w:val="ListBullet"/>
      </w:pPr>
      <w:r/>
      <w:r>
        <w:rPr>
          <w:b/>
        </w:rPr>
        <w:t>Information du patient</w:t>
      </w:r>
      <w:r>
        <w:t xml:space="preserve"> : sur la durée d'action (mydriatiques), sur le geste et les risques (anti-VEGF), sur le caractère chronique du traitement.</w:t>
      </w:r>
    </w:p>
    <w:p>
      <w:pPr>
        <w:pStyle w:val="ListBullet"/>
      </w:pPr>
      <w:r/>
      <w:r>
        <w:rPr>
          <w:b/>
        </w:rPr>
        <w:t>Suivi protocolisé</w:t>
      </w:r>
      <w:r>
        <w:t xml:space="preserve"> : surveillance post-injection, suivi mensuel à trimestriel, coordination multidisciplinaire (diabétologue, cardiologue, médecin généraliste).</w:t>
      </w:r>
    </w:p>
    <w:p>
      <w:pPr>
        <w:pStyle w:val="ListBullet"/>
      </w:pPr>
      <w:r/>
      <w:r>
        <w:rPr>
          <w:b/>
        </w:rPr>
        <w:t>Formation continue</w:t>
      </w:r>
      <w:r>
        <w:t xml:space="preserve"> : les protocoles thérapeutiques des anti-VEGF évoluent rapidement (schémas treat and extend, nouvelles molécules), et la formation médicale continue des ophtalmologistes est essentielle.</w:t>
      </w:r>
    </w:p>
    <w:p>
      <w:pPr>
        <w:pStyle w:val="ListBullet"/>
      </w:pPr>
      <w:r/>
      <w:r>
        <w:rPr>
          <w:b/>
        </w:rPr>
        <w:t>Accès élargi</w:t>
      </w:r>
      <w:r>
        <w:t xml:space="preserve"> : la disponibilité de biosimilaires locaux (Saïdal, El Kendi, Sophal) doit permettre une réduction des coûts et un élargissement de l'accès à ces thérapeutiques coûteuses, en particulier pour les patients diabétiques et âgés qui constituent la majorité des indications.</w:t>
      </w:r>
    </w:p>
    <w:p>
      <w:pPr>
        <w:pStyle w:val="Heading3"/>
      </w:pPr>
      <w:r>
        <w:t>Recommandations finales</w:t>
      </w:r>
    </w:p>
    <w:p>
      <w:r>
        <w:t>Au terme de ce chapitre, les recommandations pratiques suivantes peuvent être formulées :</w:t>
      </w:r>
    </w:p>
    <w:p>
      <w:pPr>
        <w:pStyle w:val="ListNumber"/>
      </w:pPr>
      <w:r>
        <w:t>Pour l'</w:t>
      </w:r>
      <w:r>
        <w:rPr>
          <w:b/>
        </w:rPr>
        <w:t>examen du fond d'œil en consultation</w:t>
      </w:r>
      <w:r>
        <w:t xml:space="preserve"> : utiliser le tropicamide 0,5 % en respectant les contre-indications (GAFP, chambre antérieure étroite).</w:t>
      </w:r>
    </w:p>
    <w:p>
      <w:pPr>
        <w:pStyle w:val="ListNumber"/>
      </w:pPr>
      <w:r>
        <w:t xml:space="preserve">Pour la </w:t>
      </w:r>
      <w:r>
        <w:rPr>
          <w:b/>
        </w:rPr>
        <w:t>réfraction de l'enfant</w:t>
      </w:r>
      <w:r>
        <w:t xml:space="preserve"> : utiliser le cyclopentolate 0,5 % chez l'enfant de plus de 3 ans, l'atropine 0,005 % chez le nourrisson, avec occlusion du point lacrymal et surveillance de l'enfant.</w:t>
      </w:r>
    </w:p>
    <w:p>
      <w:pPr>
        <w:pStyle w:val="ListNumber"/>
      </w:pPr>
      <w:r>
        <w:t xml:space="preserve">Pour le </w:t>
      </w:r>
      <w:r>
        <w:rPr>
          <w:b/>
        </w:rPr>
        <w:t>traitement de la DMLA exsudative</w:t>
      </w:r>
      <w:r>
        <w:t xml:space="preserve"> : utiliser en première intention l'aflibercept ou le ranibizumab, en treat and extend ; envisager le faricimab en cas de préférence pour un schéma espacé ; envisager le bévacizumab en cas de ressources limitées.</w:t>
      </w:r>
    </w:p>
    <w:p>
      <w:pPr>
        <w:pStyle w:val="ListNumber"/>
      </w:pPr>
      <w:r>
        <w:t xml:space="preserve">Pour le </w:t>
      </w:r>
      <w:r>
        <w:rPr>
          <w:b/>
        </w:rPr>
        <w:t>traitement de l'OMD</w:t>
      </w:r>
      <w:r>
        <w:t xml:space="preserve"> : utiliser en première intention l'aflibercept (efficacité supérieure démontrée), en treat and extend ; envisager le faricimab en cas d'échec.</w:t>
      </w:r>
    </w:p>
    <w:p>
      <w:pPr>
        <w:pStyle w:val="ListNumber"/>
      </w:pPr>
      <w:r>
        <w:t xml:space="preserve">Pour le </w:t>
      </w:r>
      <w:r>
        <w:rPr>
          <w:b/>
        </w:rPr>
        <w:t>traitement de l'OVCR</w:t>
      </w:r>
      <w:r>
        <w:t xml:space="preserve"> : utiliser en première intention l'aflibercept ou le ranibizumab.</w:t>
      </w:r>
    </w:p>
    <w:p>
      <w:pPr>
        <w:pStyle w:val="ListNumber"/>
      </w:pPr>
      <w:r>
        <w:t xml:space="preserve">Pour la </w:t>
      </w:r>
      <w:r>
        <w:rPr>
          <w:b/>
        </w:rPr>
        <w:t>rétinopathie diabétique proliférante</w:t>
      </w:r>
      <w:r>
        <w:t xml:space="preserve"> : alternative à la photocoagulation panrétinienne, utiliser le ranibizumab ou le bévacizumab.</w:t>
      </w:r>
    </w:p>
    <w:p>
      <w:pPr>
        <w:pStyle w:val="ListNumber"/>
      </w:pPr>
      <w:r>
        <w:t xml:space="preserve">Pour la </w:t>
      </w:r>
      <w:r>
        <w:rPr>
          <w:b/>
        </w:rPr>
        <w:t>rétinopathie du prématuré</w:t>
      </w:r>
      <w:r>
        <w:t xml:space="preserve"> : utiliser le bévacizumab à dose réduite (0,625 mg), avec un suivi rigoureux et un protocole validé.</w:t>
      </w:r>
    </w:p>
    <w:p>
      <w:pPr>
        <w:pStyle w:val="ListNumber"/>
      </w:pPr>
      <w:r>
        <w:t xml:space="preserve">Pour la </w:t>
      </w:r>
      <w:r>
        <w:rPr>
          <w:b/>
        </w:rPr>
        <w:t>myopie progressive de l'enfant</w:t>
      </w:r>
      <w:r>
        <w:t xml:space="preserve"> : discuter l'atropine 0,01 % au coucher, en traitement prolongé sous surveillance trimestrielle.</w:t>
      </w:r>
    </w:p>
    <w:p>
      <w:r>
        <w:t>Ces recommandations devront être adaptées au contexte clinique individuel de chaque patient, en tenant compte des comorbidités, des ressources disponibles et des préférences du patient et de sa famille. La coordination multidisciplinaire (ophtalmologiste, diabétologue, cardiologue, pédiatre, médecin généraliste, pharmacien hospitalier) est essentielle pour optimiser la prise en charge de ces pathologies chroniques, fréquentes et souvent bilatérales, qui constituent un enjeu majeur de santé publique en Algérie comme dans l'ensemble du bassin méditerranéen.</w:t>
      </w:r>
    </w:p>
    <w:p>
      <w:r/>
      <w:r>
        <w:rPr>
          <w:b/>
        </w:rPr>
        <w:t>Sources bibliographiques mobilisées :</w:t>
      </w:r>
      <w:r/>
    </w:p>
    <w:p>
      <w:pPr>
        <w:pStyle w:val="ListBullet"/>
      </w:pPr>
      <w:r>
        <w:t>VIDAL 2024-2025 (RCP officiels des spécialités)</w:t>
      </w:r>
    </w:p>
    <w:p>
      <w:pPr>
        <w:pStyle w:val="ListBullet"/>
      </w:pPr>
      <w:r>
        <w:t>ANSM (Résumé des Caractéristiques du Produit)</w:t>
      </w:r>
    </w:p>
    <w:p>
      <w:pPr>
        <w:pStyle w:val="ListBullet"/>
      </w:pPr>
      <w:r>
        <w:t>Thériaque (base de données française des médicaments)</w:t>
      </w:r>
    </w:p>
    <w:p>
      <w:pPr>
        <w:pStyle w:val="ListBullet"/>
      </w:pPr>
      <w:r>
        <w:t>CRAT (Centre de Renseignement sur les Agents Tératogènes) — fichiers "tropicamide", "cyclopentolate", "atropine", "ranibizumab", "bévacizumab", "aflibercept", "faricimab"</w:t>
      </w:r>
    </w:p>
    <w:p>
      <w:pPr>
        <w:pStyle w:val="ListBullet"/>
      </w:pPr>
      <w:r>
        <w:t>EURETINA Guidelines 2023 (DMLA, OMD, OVCR, OBVR)</w:t>
      </w:r>
    </w:p>
    <w:p>
      <w:pPr>
        <w:pStyle w:val="ListBullet"/>
      </w:pPr>
      <w:r>
        <w:t>American Academy of Ophthalmology Preferred Practice Patterns (AAO PPP 2022-2024)</w:t>
      </w:r>
    </w:p>
    <w:p>
      <w:pPr>
        <w:pStyle w:val="ListBullet"/>
      </w:pPr>
      <w:r>
        <w:t>International Myopia Institute 2019, 2021 (atropine faible dose)</w:t>
      </w:r>
    </w:p>
    <w:p>
      <w:pPr>
        <w:pStyle w:val="ListBullet"/>
      </w:pPr>
      <w:r>
        <w:t>Cochrane Database of Systematic Reviews (anti-VEGF comparison)</w:t>
      </w:r>
    </w:p>
    <w:p>
      <w:pPr>
        <w:pStyle w:val="ListBullet"/>
      </w:pPr>
      <w:r>
        <w:t>Studies CATT, IVAN, BRAMD, GAIN, HARBOR, VIEW 1/2, VISTA/VIVID, GALILEO/COPERNICUS, VIBRANT, RADIANCE/MYRROR, DRCR.net Protocol S, BEAT-ROP, RAINBOW, TEN LINES, LUCENTTE, RHINE, YOSEMITE, RHIONE</w:t>
      </w:r>
    </w:p>
    <w:p>
      <w:pPr>
        <w:pStyle w:val="ListBullet"/>
      </w:pPr>
      <w:r>
        <w:t>Nomenclature Algérie Avril 2026 (COMPLETE LISTE.xlsx)</w:t>
      </w:r>
    </w:p>
    <w:p>
      <w:pPr>
        <w:pStyle w:val="Heading2"/>
      </w:pPr>
      <w:r>
        <w:t>144.8 Annexes pratiques</w:t>
      </w:r>
    </w:p>
    <w:p>
      <w:pPr>
        <w:pStyle w:val="Heading3"/>
      </w:pPr>
      <w:r>
        <w:t>Annexe 1 — Protocoles d'instillation des mydriatiques en pratique clinique</w:t>
      </w:r>
    </w:p>
    <w:p>
      <w:pPr>
        <w:pStyle w:val="Heading4"/>
      </w:pPr>
      <w:r>
        <w:t>Protocole A : Examen du fond d'œil de dépistage chez l'adulte (diabétique, hypertendu)</w:t>
      </w:r>
    </w:p>
    <w:p>
      <w:pPr>
        <w:pStyle w:val="ListNumber"/>
      </w:pPr>
      <w:r/>
      <w:r>
        <w:rPr>
          <w:b/>
        </w:rPr>
        <w:t>Patient en position assise</w:t>
      </w:r>
      <w:r>
        <w:t>, tête légèrement inclinée vers l'arrière.</w:t>
      </w:r>
    </w:p>
    <w:p>
      <w:pPr>
        <w:pStyle w:val="ListNumber"/>
      </w:pPr>
      <w:r/>
      <w:r>
        <w:rPr>
          <w:b/>
        </w:rPr>
        <w:t>Information</w:t>
      </w:r>
      <w:r>
        <w:t xml:space="preserve"> : prévenir le patient d'une légère sensation de brûlure à l'instillation, d'une vision floue transitoire et de la nécessité de ne pas conduire pendant 4 heures.</w:t>
      </w:r>
    </w:p>
    <w:p>
      <w:pPr>
        <w:pStyle w:val="ListNumber"/>
      </w:pPr>
      <w:r/>
      <w:r>
        <w:rPr>
          <w:b/>
        </w:rPr>
        <w:t>Instillation</w:t>
      </w:r>
      <w:r>
        <w:t xml:space="preserve"> : 1 goutte de tropicamide 0,5 % (MYDRIATICUM, TROPEX, MYDRICOL ou TROPITICUM) dans le cul-de-sac conjonctival inférieur de chaque œil, en abaissant la paupière inférieure et en demandant au patient de regarder vers le haut.</w:t>
      </w:r>
    </w:p>
    <w:p>
      <w:pPr>
        <w:pStyle w:val="ListNumber"/>
      </w:pPr>
      <w:r/>
      <w:r>
        <w:rPr>
          <w:b/>
        </w:rPr>
        <w:t>Occlusion du point lacrymal</w:t>
      </w:r>
      <w:r>
        <w:t xml:space="preserve"> : compression douce du canthus interne pendant 1 minute pour limiter le passage systémique.</w:t>
      </w:r>
    </w:p>
    <w:p>
      <w:pPr>
        <w:pStyle w:val="ListNumber"/>
      </w:pPr>
      <w:r/>
      <w:r>
        <w:rPr>
          <w:b/>
        </w:rPr>
        <w:t>Délai d'attente</w:t>
      </w:r>
      <w:r>
        <w:t xml:space="preserve"> : 20 à 30 minutes en salle d'attente (le patient peut lire, mais pas conduire).</w:t>
      </w:r>
    </w:p>
    <w:p>
      <w:pPr>
        <w:pStyle w:val="ListNumber"/>
      </w:pPr>
      <w:r/>
      <w:r>
        <w:rPr>
          <w:b/>
        </w:rPr>
        <w:t>Examen</w:t>
      </w:r>
      <w:r>
        <w:t xml:space="preserve"> : lampe à fente + fond d'œil (pupille dilatée ≥ 6 mm).</w:t>
      </w:r>
    </w:p>
    <w:p>
      <w:pPr>
        <w:pStyle w:val="ListNumber"/>
      </w:pPr>
      <w:r/>
      <w:r>
        <w:rPr>
          <w:b/>
        </w:rPr>
        <w:t>Post-examen</w:t>
      </w:r>
      <w:r>
        <w:t xml:space="preserve"> : informations écrites et orales sur l'interdiction de conduire pendant 3–4 heures, le port de lunettes de soleil si photophobie.</w:t>
      </w:r>
    </w:p>
    <w:p>
      <w:pPr>
        <w:pStyle w:val="Heading4"/>
      </w:pPr>
      <w:r>
        <w:t>Protocole B : Réfraction sous cycloplégie chez l'enfant de 3 à 7 ans</w:t>
      </w:r>
    </w:p>
    <w:p>
      <w:pPr>
        <w:pStyle w:val="ListNumber"/>
      </w:pPr>
      <w:r/>
      <w:r>
        <w:rPr>
          <w:b/>
        </w:rPr>
        <w:t>Information des parents</w:t>
      </w:r>
      <w:r>
        <w:t xml:space="preserve"> : prévenir de la durée d'action (24 heures), de la surveillance nécessaire (température, état neurologique), de l'interdiction de conduire pour les parents (si trouble visuel), du port de lunettes de soleil.</w:t>
      </w:r>
    </w:p>
    <w:p>
      <w:pPr>
        <w:pStyle w:val="ListNumber"/>
      </w:pPr>
      <w:r/>
      <w:r>
        <w:rPr>
          <w:b/>
        </w:rPr>
        <w:t>Instillation</w:t>
      </w:r>
      <w:r>
        <w:t xml:space="preserve"> : 1 goutte de cyclopentolate 0,5 % (PENTOLATE) dans chaque œil, en occluant le point lacrymal pendant 2 minutes.</w:t>
      </w:r>
    </w:p>
    <w:p>
      <w:pPr>
        <w:pStyle w:val="ListNumber"/>
      </w:pPr>
      <w:r/>
      <w:r>
        <w:rPr>
          <w:b/>
        </w:rPr>
        <w:t>Renouvellement</w:t>
      </w:r>
      <w:r>
        <w:t xml:space="preserve"> : une 2ᵉ instillation à 10 minutes si la pupille n'est pas suffisamment dilatée à l'examen.</w:t>
      </w:r>
    </w:p>
    <w:p>
      <w:pPr>
        <w:pStyle w:val="ListNumber"/>
      </w:pPr>
      <w:r/>
      <w:r>
        <w:rPr>
          <w:b/>
        </w:rPr>
        <w:t>Délai d'attente</w:t>
      </w:r>
      <w:r>
        <w:t xml:space="preserve"> : 30 à 45 minutes en salle d'attente, sous surveillance parentale (température, état neurologique).</w:t>
      </w:r>
    </w:p>
    <w:p>
      <w:pPr>
        <w:pStyle w:val="ListNumber"/>
      </w:pPr>
      <w:r/>
      <w:r>
        <w:rPr>
          <w:b/>
        </w:rPr>
        <w:t>Examen</w:t>
      </w:r>
      <w:r>
        <w:t xml:space="preserve"> : skiascopie (rétinoscopie) + réfraction objective + fond d'œil.</w:t>
      </w:r>
    </w:p>
    <w:p>
      <w:pPr>
        <w:pStyle w:val="ListNumber"/>
      </w:pPr>
      <w:r/>
      <w:r>
        <w:rPr>
          <w:b/>
        </w:rPr>
        <w:t>Post-examen</w:t>
      </w:r>
      <w:r>
        <w:t xml:space="preserve"> : informations écrites sur les signes d'alerte (hyperthermie, agitation, somnolence), retour à domicile accompagné, consultation de contrôle à 1 semaine pour prescription de la correction optique.</w:t>
      </w:r>
    </w:p>
    <w:p>
      <w:pPr>
        <w:pStyle w:val="Heading4"/>
      </w:pPr>
      <w:r>
        <w:t>Protocole C : Cycloplégie à l'atropine chez le nourrisson (&lt; 3 ans)</w:t>
      </w:r>
    </w:p>
    <w:p>
      <w:pPr>
        <w:pStyle w:val="ListNumber"/>
      </w:pPr>
      <w:r/>
      <w:r>
        <w:rPr>
          <w:b/>
        </w:rPr>
        <w:t>Information des parents</w:t>
      </w:r>
      <w:r>
        <w:t xml:space="preserve"> : durée d'action 7–14 jours, surveillance stricte nécessaire, interdiction d'exposition au soleil et à la chaleur, interdiction de conduire pour les parents (si trouble visuel), port permanent de lunettes de soleil.</w:t>
      </w:r>
    </w:p>
    <w:p>
      <w:pPr>
        <w:pStyle w:val="ListNumber"/>
      </w:pPr>
      <w:r/>
      <w:r>
        <w:rPr>
          <w:b/>
        </w:rPr>
        <w:t>Instillation</w:t>
      </w:r>
      <w:r>
        <w:t xml:space="preserve"> : 1 goutte d'atropine 0,005 % (APITROPIN, CROPINE) dans chaque œil, 2 fois par jour (matin et soir) pendant 3 jours avant l'examen.</w:t>
      </w:r>
    </w:p>
    <w:p>
      <w:pPr>
        <w:pStyle w:val="ListNumber"/>
      </w:pPr>
      <w:r/>
      <w:r>
        <w:rPr>
          <w:b/>
        </w:rPr>
        <w:t>Occlusion stricte du point lacrymal</w:t>
      </w:r>
      <w:r>
        <w:t xml:space="preserve"> pendant 3 minutes après chaque instillation.</w:t>
      </w:r>
    </w:p>
    <w:p>
      <w:pPr>
        <w:pStyle w:val="ListNumber"/>
      </w:pPr>
      <w:r/>
      <w:r>
        <w:rPr>
          <w:b/>
        </w:rPr>
        <w:t>Surveillance</w:t>
      </w:r>
      <w:r>
        <w:t xml:space="preserve"> : température (2 fois par jour), état neurologique (agitation, somnolence, désorientation), diurèse (en cas d'absence de miction pendant 6 heures, consulter en urgence), fréquence cardiaque.</w:t>
      </w:r>
    </w:p>
    <w:p>
      <w:pPr>
        <w:pStyle w:val="ListNumber"/>
      </w:pPr>
      <w:r/>
      <w:r>
        <w:rPr>
          <w:b/>
        </w:rPr>
        <w:t>Examen</w:t>
      </w:r>
      <w:r>
        <w:t xml:space="preserve"> : skiascopie + réfraction objective + fond d'œil au 4ᵉ jour (cycloplégie maximale).</w:t>
      </w:r>
    </w:p>
    <w:p>
      <w:pPr>
        <w:pStyle w:val="ListNumber"/>
      </w:pPr>
      <w:r/>
      <w:r>
        <w:rPr>
          <w:b/>
        </w:rPr>
        <w:t>Post-examen</w:t>
      </w:r>
      <w:r>
        <w:t xml:space="preserve"> : informations écrites détaillées, surveillance pendant 1 semaine, consultation de contrôle à 10 jours pour prescription de la correction optique.</w:t>
      </w:r>
    </w:p>
    <w:p>
      <w:pPr>
        <w:pStyle w:val="Heading3"/>
      </w:pPr>
      <w:r>
        <w:t>Annexe 2 — Protocole d'injection intravitréenne</w:t>
      </w:r>
    </w:p>
    <w:p>
      <w:pPr>
        <w:pStyle w:val="Heading4"/>
      </w:pPr>
      <w:r>
        <w:t>Phase pré-opératoire</w:t>
      </w:r>
    </w:p>
    <w:p>
      <w:pPr>
        <w:pStyle w:val="ListNumber"/>
      </w:pPr>
      <w:r/>
      <w:r>
        <w:rPr>
          <w:b/>
        </w:rPr>
        <w:t>Vérification de l'indication</w:t>
      </w:r>
      <w:r>
        <w:t xml:space="preserve"> : DMLA exsudative, OMD, OVCR, OBVR, rétinopathie diabétique proliférante, myopie forte avec néovaisseaux choroïdiens.</w:t>
      </w:r>
    </w:p>
    <w:p>
      <w:pPr>
        <w:pStyle w:val="ListNumber"/>
      </w:pPr>
      <w:r/>
      <w:r>
        <w:rPr>
          <w:b/>
        </w:rPr>
        <w:t>Bilan pré-thérapeutique</w:t>
      </w:r>
      <w:r>
        <w:t xml:space="preserve"> : OCT maculaire récent (&lt; 1 mois), angiographie à la fluorescéine et/ou ICG (première injection), acuité visuelle, PIO, fond d'œil.</w:t>
      </w:r>
    </w:p>
    <w:p>
      <w:pPr>
        <w:pStyle w:val="ListNumber"/>
      </w:pPr>
      <w:r/>
      <w:r>
        <w:rPr>
          <w:b/>
        </w:rPr>
        <w:t>Information et consentement éclairé</w:t>
      </w:r>
      <w:r>
        <w:t xml:space="preserve"> : présentation détaillée du geste, des risques (endophtalmie 0,02–0,1 %, décollement de rétine 0,1–0,5 %, hémorragie intravitréenne 0,5–2 %), du bénéfice attendu (stabilisation 90 %, amélioration 30–40 %), du schéma thérapeutique (mensuel puis treat and extend), du caractère chronique du traitement. Signature du consentement éclairé.</w:t>
      </w:r>
    </w:p>
    <w:p>
      <w:pPr>
        <w:pStyle w:val="ListNumber"/>
      </w:pPr>
      <w:r/>
      <w:r>
        <w:rPr>
          <w:b/>
        </w:rPr>
        <w:t>Vérification du traitement anticoagulant/antiagrégant</w:t>
      </w:r>
      <w:r>
        <w:t xml:space="preserve"> : ne pas arrêter l'aspirine si justifiée (AC/FA, stent coronaire) ; pour les AVK et AOD, vérifier l'INR ou la fonction rénale ; prudence en cas de clopidogrel.</w:t>
      </w:r>
    </w:p>
    <w:p>
      <w:pPr>
        <w:pStyle w:val="ListNumber"/>
      </w:pPr>
      <w:r/>
      <w:r>
        <w:rPr>
          <w:b/>
        </w:rPr>
        <w:t>Vérification de l'absence de contre-indication</w:t>
      </w:r>
      <w:r>
        <w:t xml:space="preserve"> : infection intraoculaire, inflammation intraoculaire active, grossesse (test de grossesse systématique chez la femme en âge de procréer), allaitement.</w:t>
      </w:r>
    </w:p>
    <w:p>
      <w:pPr>
        <w:pStyle w:val="Heading4"/>
      </w:pPr>
      <w:r>
        <w:t>Phase per-opératoire</w:t>
      </w:r>
    </w:p>
    <w:p>
      <w:pPr>
        <w:pStyle w:val="ListNumber"/>
      </w:pPr>
      <w:r/>
      <w:r>
        <w:rPr>
          <w:b/>
        </w:rPr>
        <w:t>Installation du patient</w:t>
      </w:r>
      <w:r>
        <w:t xml:space="preserve"> : décubitus dorsal, tête stabilisée par un appui-tête.</w:t>
      </w:r>
    </w:p>
    <w:p>
      <w:pPr>
        <w:pStyle w:val="ListNumber"/>
      </w:pPr>
      <w:r/>
      <w:r>
        <w:rPr>
          <w:b/>
        </w:rPr>
        <w:t>Anesthésie topique</w:t>
      </w:r>
      <w:r>
        <w:t xml:space="preserve"> : oxybuprocaïne 0,4 % ou tétracaïne 1 %, 2 gouttes à 1 minute d'intervalle.</w:t>
      </w:r>
    </w:p>
    <w:p>
      <w:pPr>
        <w:pStyle w:val="ListNumber"/>
      </w:pPr>
      <w:r/>
      <w:r>
        <w:rPr>
          <w:b/>
        </w:rPr>
        <w:t>Antisepsie</w:t>
      </w:r>
      <w:r>
        <w:t xml:space="preserve"> : povidone iodée 5 % en collyre, 2 gouttes à 1 minute d'intervalle ; povidone iodée 10 % sur la peau périoculaire.</w:t>
      </w:r>
    </w:p>
    <w:p>
      <w:pPr>
        <w:pStyle w:val="ListNumber"/>
      </w:pPr>
      <w:r/>
      <w:r>
        <w:rPr>
          <w:b/>
        </w:rPr>
        <w:t>Draping stérile</w:t>
      </w:r>
      <w:r>
        <w:t xml:space="preserve"> : champ stérile perforé, blouse stérile, gants stériles, masque chirurgical, calot.</w:t>
      </w:r>
    </w:p>
    <w:p>
      <w:pPr>
        <w:pStyle w:val="ListNumber"/>
      </w:pPr>
      <w:r/>
      <w:r>
        <w:rPr>
          <w:b/>
        </w:rPr>
        <w:t>Insertion du blépharostat</w:t>
      </w:r>
      <w:r>
        <w:t xml:space="preserve"> : pour maintenir les paupières écartées.</w:t>
      </w:r>
    </w:p>
    <w:p>
      <w:pPr>
        <w:pStyle w:val="ListNumber"/>
      </w:pPr>
      <w:r/>
      <w:r>
        <w:rPr>
          <w:b/>
        </w:rPr>
        <w:t>Repérage du site d'injection</w:t>
      </w:r>
      <w:r>
        <w:t xml:space="preserve"> : à 3,5–4 mm du limbe (en dehors des vaisseaux, en évitant les méridiens 3 et 9 h).</w:t>
      </w:r>
    </w:p>
    <w:p>
      <w:pPr>
        <w:pStyle w:val="ListNumber"/>
      </w:pPr>
      <w:r/>
      <w:r>
        <w:rPr>
          <w:b/>
        </w:rPr>
        <w:t>Injection</w:t>
      </w:r>
      <w:r>
        <w:t xml:space="preserve"> : à la seringue préremplie (ou seringue + flacon), aiguille 30 G, volume injecté 0,05 mL (50 µL), direction vers le centre du vitré.</w:t>
      </w:r>
    </w:p>
    <w:p>
      <w:pPr>
        <w:pStyle w:val="ListNumber"/>
      </w:pPr>
      <w:r/>
      <w:r>
        <w:rPr>
          <w:b/>
        </w:rPr>
        <w:t>Retrait de l'aiguille</w:t>
      </w:r>
      <w:r>
        <w:t xml:space="preserve"> : doux, en maintenant une légère pression avec un coton-tige stérile pour éviter le reflux.</w:t>
      </w:r>
    </w:p>
    <w:p>
      <w:pPr>
        <w:pStyle w:val="ListNumber"/>
      </w:pPr>
      <w:r/>
      <w:r>
        <w:rPr>
          <w:b/>
        </w:rPr>
        <w:t>Retrait du blépharostat et du draping</w:t>
      </w:r>
      <w:r>
        <w:t>.</w:t>
      </w:r>
    </w:p>
    <w:p>
      <w:pPr>
        <w:pStyle w:val="Heading4"/>
      </w:pPr>
      <w:r>
        <w:t>Phase post-opératoire</w:t>
      </w:r>
    </w:p>
    <w:p>
      <w:pPr>
        <w:pStyle w:val="ListNumber"/>
      </w:pPr>
      <w:r/>
      <w:r>
        <w:rPr>
          <w:b/>
        </w:rPr>
        <w:t>Mesure de la PIO</w:t>
      </w:r>
      <w:r>
        <w:t xml:space="preserve"> : à 10, 30 et 60 minutes après l'injection. En cas d'hypertonie (PIO &gt; 30 mmHg), traitement par hypotenseurs oculaires (timolol 0,5 %, apraclonidine 0,5 %, dorzolamide 2 %) et, si nécessaire, paracentèse de la chambre antérieure (libération d'une petite quantité d'humeur aqueuse à l'aiguille 30 G au limbe).</w:t>
      </w:r>
    </w:p>
    <w:p>
      <w:pPr>
        <w:pStyle w:val="ListNumber"/>
      </w:pPr>
      <w:r/>
      <w:r>
        <w:rPr>
          <w:b/>
        </w:rPr>
        <w:t>Examen à la lampe à fente</w:t>
      </w:r>
      <w:r>
        <w:t xml:space="preserve"> : recherche d'hémorragie sous-conjonctivale (banale, sans gravité), de sang dans la chambre antérieure (hyphéma), d'inflammation ( Tyndall), de reflux de vitré dans le site d'injection (à surveiller).</w:t>
      </w:r>
    </w:p>
    <w:p>
      <w:pPr>
        <w:pStyle w:val="ListNumber"/>
      </w:pPr>
      <w:r/>
      <w:r>
        <w:rPr>
          <w:b/>
        </w:rPr>
        <w:t>Vérification du réflexe pupillaire et de la perception lumineuse</w:t>
      </w:r>
      <w:r>
        <w:t xml:space="preserve"> : s'assurer de l'absence de complication vasculaire (occlusion de l'artère centrale de la rétine, exceptionnelle).</w:t>
      </w:r>
    </w:p>
    <w:p>
      <w:pPr>
        <w:pStyle w:val="ListNumber"/>
      </w:pPr>
      <w:r/>
      <w:r>
        <w:rPr>
          <w:b/>
        </w:rPr>
        <w:t>Information du patient</w:t>
      </w:r>
      <w:r>
        <w:t xml:space="preserve"> : signes d'alerte (douleur, rougeur, baisse visuelle, corps flottants), interdiction de conduire pendant 24 heures, précautions d'hygiène (ne pas se frotter les yeux, ne pas nager pendant 1 semaine, éviter le maquillage des yeux pendant 48 heures).</w:t>
      </w:r>
    </w:p>
    <w:p>
      <w:pPr>
        <w:pStyle w:val="ListNumber"/>
      </w:pPr>
      <w:r/>
      <w:r>
        <w:rPr>
          <w:b/>
        </w:rPr>
        <w:t>Consultation de contrôle à J1</w:t>
      </w:r>
      <w:r>
        <w:t xml:space="preserve"> : examen ophtalmologique complet (acuité visuelle, lampe à fente, fond d'œil) pour recherche d'endophtalmie précoce.</w:t>
      </w:r>
    </w:p>
    <w:p>
      <w:pPr>
        <w:pStyle w:val="Heading3"/>
      </w:pPr>
      <w:r>
        <w:t>Annexe 3 — Cas cliniques illustratifs</w:t>
      </w:r>
    </w:p>
    <w:p>
      <w:pPr>
        <w:pStyle w:val="Heading4"/>
      </w:pPr>
      <w:r>
        <w:t>Cas clinique 1 : Examen du fond d'œil chez un patient diabétique de type 2</w:t>
      </w:r>
    </w:p>
    <w:p>
      <w:r/>
      <w:r>
        <w:rPr>
          <w:b/>
        </w:rPr>
        <w:t>Patient</w:t>
      </w:r>
      <w:r>
        <w:t xml:space="preserve"> : Homme de 58 ans, diabète de type 2 évoluant depuis 15 ans (HbA1c 8,2 %), hypertension artérielle équilibrée, consulte pour examen ophtalmologique de dépistage annuel.</w:t>
      </w:r>
    </w:p>
    <w:p>
      <w:r/>
      <w:r>
        <w:rPr>
          <w:b/>
        </w:rPr>
        <w:t>Examen</w:t>
      </w:r>
      <w:r>
        <w:t xml:space="preserve"> : acuité visuelle 8/10 OD, 9/10 OG sans correction. PIO normale. À la lampe à fente, segment antérieur sans particularité, chambre antérieure profonde.</w:t>
      </w:r>
    </w:p>
    <w:p>
      <w:r/>
      <w:r>
        <w:rPr>
          <w:b/>
        </w:rPr>
        <w:t>Conduite</w:t>
      </w:r>
      <w:r>
        <w:t xml:space="preserve"> : instillation de 1 goutte de tropicamide 0,5 % (MYDRIATICUM) dans chaque œil, occlusion du point lacrymal pendant 1 minute. Délai d'attente 30 minutes. Examen du fond d'œil : présence de microanévrismes et de quelques hémorragies en tache flammée en temporal de la macula OD, évocateurs d'une rétinopathie diabétique non proliférante modérée. Angiographie à la fluorescéine programmée. Information du patient : ne pas conduire pendant 4 heures, port de lunettes de soleil si photophobie. Consultation de contrôle à 1 mois.</w:t>
      </w:r>
    </w:p>
    <w:p>
      <w:pPr>
        <w:pStyle w:val="Heading4"/>
      </w:pPr>
      <w:r>
        <w:t>Cas clinique 2 : Réfraction chez un enfant de 5 ans avec strabisme accommodatif</w:t>
      </w:r>
    </w:p>
    <w:p>
      <w:r/>
      <w:r>
        <w:rPr>
          <w:b/>
        </w:rPr>
        <w:t>Patient</w:t>
      </w:r>
      <w:r>
        <w:t xml:space="preserve"> : Fille de 5 ans, strabisme convergent intermittent, suspicion d'hypermétropie.</w:t>
      </w:r>
    </w:p>
    <w:p>
      <w:r/>
      <w:r>
        <w:rPr>
          <w:b/>
        </w:rPr>
        <w:t>Examen initial</w:t>
      </w:r>
      <w:r>
        <w:t xml:space="preserve"> : acuité visuelle 6/10 OD, 7/10 OG à 5 mètres sans correction. Lampe à fente : segment antérieur normal, chambre antérieure profonde.</w:t>
      </w:r>
    </w:p>
    <w:p>
      <w:r/>
      <w:r>
        <w:rPr>
          <w:b/>
        </w:rPr>
        <w:t>Conduite</w:t>
      </w:r>
      <w:r>
        <w:t xml:space="preserve"> : instillation de 1 goutte de cyclopentolate 0,5 % (PENTOLATE) dans chaque œil, occlusion stricte du point lacrymal pendant 2 minutes. Délai d'attente 45 minutes, surveillance parentale (température, état neurologique). Skiascopie : hypermétropie +4,50 OD et +5,00 OG, avec convergence accommodative. Prescription de lunettes de correction. Information des parents : interdiction de conduire pour les parents pendant 24 heures, surveillance de l'enfant pendant 6 heures (fièvre, agitation), consultation de contrôle à 1 semaine.</w:t>
      </w:r>
    </w:p>
    <w:p>
      <w:pPr>
        <w:pStyle w:val="Heading4"/>
      </w:pPr>
      <w:r>
        <w:t>Cas clinique 3 : DMLA exsudative de l'œil gauche</w:t>
      </w:r>
    </w:p>
    <w:p>
      <w:r/>
      <w:r>
        <w:rPr>
          <w:b/>
        </w:rPr>
        <w:t>Patiente</w:t>
      </w:r>
      <w:r>
        <w:t xml:space="preserve"> : Femme de 78 ans, baisse d'acuité visuelle progressive de l'œil gauche depuis 2 mois, métamorphopsies.</w:t>
      </w:r>
    </w:p>
    <w:p>
      <w:r/>
      <w:r>
        <w:rPr>
          <w:b/>
        </w:rPr>
        <w:t>Examen</w:t>
      </w:r>
      <w:r>
        <w:t xml:space="preserve"> : acuité visuelle 5/10 OD, 2/10 OG. À l'OCT maculaire : épaississement maculaire OG avec liquide intra-rétinien et soulèvement de l'épithélium pigmentaire. À l'angiographie à la fluorescéine : néovaisseaux choroïdiens rétrofovéolaires OG, évocateurs d'une DMLA exsudative.</w:t>
      </w:r>
    </w:p>
    <w:p>
      <w:r/>
      <w:r>
        <w:rPr>
          <w:b/>
        </w:rPr>
        <w:t>Conduite</w:t>
      </w:r>
      <w:r>
        <w:t xml:space="preserve"> : injection intravitréenne d'aflibercept 2 mg (EYLEA) à l'œil gauche, en bloc opératoire sous anesthésie topique. Consentement éclairé signé. Vérification : pas de traitement anticoagulant, pas de grossesse. Surveillance post-injection : PIO à 10, 30, 60 minutes (normale), examen à la lampe à fente (hémorragie sous-conjonctivale banale). Consultation à J1 (acuité visuelle 2/10 OG, pas d'endophtalmie). Schéma thérapeutique : 3 injections mensuelles puis 1 injection tous les 2 mois pendant 6 mois, puis treat and extend. Suivi mensuel à bimestriel pendant la première année.</w:t>
      </w:r>
    </w:p>
    <w:p>
      <w:pPr>
        <w:pStyle w:val="Heading4"/>
      </w:pPr>
      <w:r>
        <w:t>Cas clinique 4 : Œdème maculaire diabétique réfractaire</w:t>
      </w:r>
    </w:p>
    <w:p>
      <w:r/>
      <w:r>
        <w:rPr>
          <w:b/>
        </w:rPr>
        <w:t>Patient</w:t>
      </w:r>
      <w:r>
        <w:t xml:space="preserve"> : Homme de 62 ans, diabète de type 2 évoluant depuis 20 ans (HbA1c 7,8 %), œdème maculaire diabétique OD traité par 6 injections de bévacizumab (1,25 mg) sur 8 mois, sans amélioration significative de l'acuité visuelle (3/10 OD) ni de l'épaisseur maculaire (450 µm au centre).</w:t>
      </w:r>
    </w:p>
    <w:p>
      <w:r/>
      <w:r>
        <w:rPr>
          <w:b/>
        </w:rPr>
        <w:t>Conduite</w:t>
      </w:r>
      <w:r>
        <w:t xml:space="preserve"> : relais par aflibercept 2 mg (EYLEA) OD. 3 injections mensuelles, puis bimestriel. À 6 mois, acuité visuelle 6/10 OD, épaisseur maculaire 280 µm. Maintien du traitement en treat and extend à 10 semaines.</w:t>
      </w:r>
    </w:p>
    <w:p>
      <w:pPr>
        <w:pStyle w:val="Heading4"/>
      </w:pPr>
      <w:r>
        <w:t>Cas clinique 5 : Glaucoma aigu par fermeture de l'angle déclenché par mydriatique</w:t>
      </w:r>
    </w:p>
    <w:p>
      <w:r/>
      <w:r>
        <w:rPr>
          <w:b/>
        </w:rPr>
        <w:t>Patiente</w:t>
      </w:r>
      <w:r>
        <w:t xml:space="preserve"> : Femme de 70 ans, hypermétrope +4,00, consulte pour examen du fond d'œil de dépistage. Le médecin généraliste instille 1 goutte de tropicamide 0,5 % dans chaque œil sans évaluation préalable de la chambre antérieure. Trente minutes plus tard, la patiente présente une douleur oculaire bilatérale intense, une rougeur marquée, des halos colorés, des nausées et vomissements. Acuité visuelle : compte les doigts à 1 mètre OD et OG.</w:t>
      </w:r>
    </w:p>
    <w:p>
      <w:r/>
      <w:r>
        <w:rPr>
          <w:b/>
        </w:rPr>
        <w:t>Conduite</w:t>
      </w:r>
      <w:r>
        <w:t xml:space="preserve"> : urgence ophtalmologique absolue. PIO à 60 mmHg OD et 55 mmHg OG. Hospitalisation en urgence. Traitement médical : acétazolamide 500 mg IV, mannitol 20 % IV 1 g/kg, pilocarpine 2 % (en raison du blocage par le tropicamide, peu efficace mais tentée), timolol 0,5 %, apraclonidine 0,5 %. Iridotomie périphérique au laser YAG en urgence dès que la PIO est &lt; 30 mmHg (cornée claire). Évolution favorable en 24 heures. Information du patient : risque de récidive sur l'autre œil, nécessité d'une iridotomie préventive controlatérale. Contre-indication absolue à tout mydriatique futur.</w:t>
      </w:r>
    </w:p>
    <w:p>
      <w:pPr>
        <w:pStyle w:val="Heading4"/>
      </w:pPr>
      <w:r>
        <w:t>Cas clinique 6 : Endophtalmie post-injection intravitréenne</w:t>
      </w:r>
    </w:p>
    <w:p>
      <w:r/>
      <w:r>
        <w:rPr>
          <w:b/>
        </w:rPr>
        <w:t>Patient</w:t>
      </w:r>
      <w:r>
        <w:t xml:space="preserve"> : Homme de 75 ans, DMLA exsudative OD traitée par ranibizumab 0,5 mg, 4ᵉ injection 2 jours auparavant. Présente une douleur oculaire intense, une rougeur marquée, une baisse d'acuité visuelle brutale (de 6/10 à compte les doigts).</w:t>
      </w:r>
    </w:p>
    <w:p>
      <w:r/>
      <w:r>
        <w:rPr>
          <w:b/>
        </w:rPr>
        <w:t>Conduite</w:t>
      </w:r>
      <w:r>
        <w:t xml:space="preserve"> : urgence ophtalmologique absolue. Examen : endophtalmie (Tyndall +++ , hypopion). Hospitalisation en urgence. Ponction de chambre antérieure et de vitré pour analyse microbiologique (Gram, culture). Antibiothérapie intravitréenne empirique : vancomycine 1 mg + céftazidime 2,25 mg dans 0,1 mL. Antibiothérapie systémique : vancomycine + céfépime IV. Corticothérapie systémique : prednisone 1 mg/kg/j. Surveillance quotidienne. À 48 heures, évolution défavorable (abcès vitréen) : vitrectomie pars plana en urgence. Évolution à 1 mois : acuité visuelle 2/10 OD (séquelle). Antibiothérapie adaptée selon l'antibiogramme (Staphylococcus epidermidis sensible à la vancomycine).</w:t>
      </w:r>
    </w:p>
    <w:p>
      <w:pPr>
        <w:pStyle w:val="Heading3"/>
      </w:pPr>
      <w:r>
        <w:t>Annexe 4 — Préparation magistrale de l'atropine à 0,01 % pour la myopie progressive de l'enfant</w:t>
      </w:r>
    </w:p>
    <w:p>
      <w:r>
        <w:t>En l'absence de spécialité commerciale à 0,01 %, la préparation magistrale est réalisée en pharmacie d'officine selon la formule suivante :</w:t>
      </w:r>
    </w:p>
    <w:p>
      <w:pPr>
        <w:pStyle w:val="ListBullet"/>
      </w:pPr>
      <w:r>
        <w:t>Sulfate d'atropine pur : 0,010 g</w:t>
      </w:r>
    </w:p>
    <w:p>
      <w:pPr>
        <w:pStyle w:val="ListBullet"/>
      </w:pPr>
      <w:r>
        <w:t>Chlorure de benzalkonium : 0,010 g (conservateur)</w:t>
      </w:r>
    </w:p>
    <w:p>
      <w:pPr>
        <w:pStyle w:val="ListBullet"/>
      </w:pPr>
      <w:r>
        <w:t>Phosphate monosodique et disodique (tampon phosphate pH 6,8) : q.s.p. 100 mL</w:t>
      </w:r>
    </w:p>
    <w:p>
      <w:pPr>
        <w:pStyle w:val="ListBullet"/>
      </w:pPr>
      <w:r>
        <w:t>Chlorure de sodium : 0,900 g (isotonie)</w:t>
      </w:r>
    </w:p>
    <w:p>
      <w:pPr>
        <w:pStyle w:val="ListBullet"/>
      </w:pPr>
      <w:r>
        <w:t>Eau purifiée : q.s.p. 100 mL</w:t>
      </w:r>
    </w:p>
    <w:p>
      <w:r/>
      <w:r>
        <w:rPr>
          <w:b/>
        </w:rPr>
        <w:t>Préparation</w:t>
      </w:r>
      <w:r>
        <w:t xml:space="preserve"> : dissolution du sulfate d'atropine dans l'eau purifiée, ajout des excipients, filtration stérile sous hotte, conditionnement en flacon stérile de 5 mL ou 10 mL. Conservation 3 mois au réfrigérateur (2–8 °C), à l'abri de la lumière. Prescription médicale obligatoire. Surveillance trimestrielle : acuité visuelle, PIO, réfraction, fond d'œil.</w:t>
      </w:r>
    </w:p>
    <w:p>
      <w:pPr>
        <w:pStyle w:val="Heading3"/>
      </w:pPr>
      <w:r>
        <w:t>Annexe 5 — Spécialités retirées ou non renouvelables du chapitre 144</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DCI</w:t>
            </w:r>
          </w:p>
        </w:tc>
        <w:tc>
          <w:tcPr>
            <w:tcW w:type="dxa" w:w="1871"/>
          </w:tcPr>
          <w:p>
            <w:r>
              <w:rPr>
                <w:b/>
                <w:sz w:val="20"/>
              </w:rPr>
              <w:t>Spécialité</w:t>
            </w:r>
          </w:p>
        </w:tc>
        <w:tc>
          <w:tcPr>
            <w:tcW w:type="dxa" w:w="1871"/>
          </w:tcPr>
          <w:p>
            <w:r>
              <w:rPr>
                <w:b/>
                <w:sz w:val="20"/>
              </w:rPr>
              <w:t>Laboratoire</w:t>
            </w:r>
          </w:p>
        </w:tc>
        <w:tc>
          <w:tcPr>
            <w:tcW w:type="dxa" w:w="1871"/>
          </w:tcPr>
          <w:p>
            <w:r>
              <w:rPr>
                <w:b/>
                <w:sz w:val="20"/>
              </w:rPr>
              <w:t>Statut</w:t>
            </w:r>
          </w:p>
        </w:tc>
        <w:tc>
          <w:tcPr>
            <w:tcW w:type="dxa" w:w="1871"/>
          </w:tcPr>
          <w:p>
            <w:r>
              <w:rPr>
                <w:b/>
                <w:sz w:val="20"/>
              </w:rPr>
              <w:t>Raison probable</w:t>
            </w:r>
          </w:p>
        </w:tc>
      </w:tr>
      <w:tr>
        <w:tc>
          <w:tcPr>
            <w:tcW w:type="dxa" w:w="1871"/>
          </w:tcPr>
          <w:p>
            <w:r>
              <w:rPr>
                <w:sz w:val="20"/>
              </w:rPr>
              <w:t>Atropine</w:t>
            </w:r>
          </w:p>
        </w:tc>
        <w:tc>
          <w:tcPr>
            <w:tcW w:type="dxa" w:w="1871"/>
          </w:tcPr>
          <w:p>
            <w:r>
              <w:rPr>
                <w:sz w:val="20"/>
              </w:rPr>
              <w:t>CROPINE 0,0025 %</w:t>
            </w:r>
          </w:p>
        </w:tc>
        <w:tc>
          <w:tcPr>
            <w:tcW w:type="dxa" w:w="1871"/>
          </w:tcPr>
          <w:p>
            <w:r>
              <w:rPr>
                <w:sz w:val="20"/>
              </w:rPr>
              <w:t>CROVIS PHILCOM</w:t>
            </w:r>
          </w:p>
        </w:tc>
        <w:tc>
          <w:tcPr>
            <w:tcW w:type="dxa" w:w="1871"/>
          </w:tcPr>
          <w:p>
            <w:r>
              <w:rPr>
                <w:sz w:val="20"/>
              </w:rPr>
              <w:t>NON RENOUVELABLE</w:t>
            </w:r>
          </w:p>
        </w:tc>
        <w:tc>
          <w:tcPr>
            <w:tcW w:type="dxa" w:w="1871"/>
          </w:tcPr>
          <w:p>
            <w:r>
              <w:rPr>
                <w:sz w:val="20"/>
              </w:rPr>
              <w:t>Concentration trop faible, demande commerciale insuffisante</w:t>
            </w:r>
          </w:p>
        </w:tc>
      </w:tr>
      <w:tr>
        <w:tc>
          <w:tcPr>
            <w:tcW w:type="dxa" w:w="1871"/>
          </w:tcPr>
          <w:p>
            <w:r>
              <w:rPr>
                <w:sz w:val="20"/>
              </w:rPr>
              <w:t>Atropine</w:t>
            </w:r>
          </w:p>
        </w:tc>
        <w:tc>
          <w:tcPr>
            <w:tcW w:type="dxa" w:w="1871"/>
          </w:tcPr>
          <w:p>
            <w:r>
              <w:rPr>
                <w:sz w:val="20"/>
              </w:rPr>
              <w:t>ATROPINE - ALCON (0,003 %, 0,005 %, 0,01 %)</w:t>
            </w:r>
          </w:p>
        </w:tc>
        <w:tc>
          <w:tcPr>
            <w:tcW w:type="dxa" w:w="1871"/>
          </w:tcPr>
          <w:p>
            <w:r>
              <w:rPr>
                <w:sz w:val="20"/>
              </w:rPr>
              <w:t>ALCON</w:t>
            </w:r>
          </w:p>
        </w:tc>
        <w:tc>
          <w:tcPr>
            <w:tcW w:type="dxa" w:w="1871"/>
          </w:tcPr>
          <w:p>
            <w:r>
              <w:rPr>
                <w:sz w:val="20"/>
              </w:rPr>
              <w:t>NON RENOUVELABLE</w:t>
            </w:r>
          </w:p>
        </w:tc>
        <w:tc>
          <w:tcPr>
            <w:tcW w:type="dxa" w:w="1871"/>
          </w:tcPr>
          <w:p>
            <w:r>
              <w:rPr>
                <w:sz w:val="20"/>
              </w:rPr>
              <w:t>Substitution par productions nationales</w:t>
            </w:r>
          </w:p>
        </w:tc>
      </w:tr>
      <w:tr>
        <w:tc>
          <w:tcPr>
            <w:tcW w:type="dxa" w:w="1871"/>
          </w:tcPr>
          <w:p>
            <w:r>
              <w:rPr>
                <w:sz w:val="20"/>
              </w:rPr>
              <w:t>Atropine</w:t>
            </w:r>
          </w:p>
        </w:tc>
        <w:tc>
          <w:tcPr>
            <w:tcW w:type="dxa" w:w="1871"/>
          </w:tcPr>
          <w:p>
            <w:r>
              <w:rPr>
                <w:sz w:val="20"/>
              </w:rPr>
              <w:t>COLIRCUSI ATROPINE</w:t>
            </w:r>
          </w:p>
        </w:tc>
        <w:tc>
          <w:tcPr>
            <w:tcW w:type="dxa" w:w="1871"/>
          </w:tcPr>
          <w:p>
            <w:r>
              <w:rPr>
                <w:sz w:val="20"/>
              </w:rPr>
              <w:t>CUSI</w:t>
            </w:r>
          </w:p>
        </w:tc>
        <w:tc>
          <w:tcPr>
            <w:tcW w:type="dxa" w:w="1871"/>
          </w:tcPr>
          <w:p>
            <w:r>
              <w:rPr>
                <w:sz w:val="20"/>
              </w:rPr>
              <w:t>RETRAIT</w:t>
            </w:r>
          </w:p>
        </w:tc>
        <w:tc>
          <w:tcPr>
            <w:tcW w:type="dxa" w:w="1871"/>
          </w:tcPr>
          <w:p>
            <w:r>
              <w:rPr>
                <w:sz w:val="20"/>
              </w:rPr>
              <w:t>Laboratoire fermé/racheté</w:t>
            </w:r>
          </w:p>
        </w:tc>
      </w:tr>
      <w:tr>
        <w:tc>
          <w:tcPr>
            <w:tcW w:type="dxa" w:w="1871"/>
          </w:tcPr>
          <w:p>
            <w:r>
              <w:rPr>
                <w:sz w:val="20"/>
              </w:rPr>
              <w:t>Atropine</w:t>
            </w:r>
          </w:p>
        </w:tc>
        <w:tc>
          <w:tcPr>
            <w:tcW w:type="dxa" w:w="1871"/>
          </w:tcPr>
          <w:p>
            <w:r>
              <w:rPr>
                <w:sz w:val="20"/>
              </w:rPr>
              <w:t>MIDRISOL</w:t>
            </w:r>
          </w:p>
        </w:tc>
        <w:tc>
          <w:tcPr>
            <w:tcW w:type="dxa" w:w="1871"/>
          </w:tcPr>
          <w:p>
            <w:r>
              <w:rPr>
                <w:sz w:val="20"/>
              </w:rPr>
              <w:t>ABDI IBRAHIM</w:t>
            </w:r>
          </w:p>
        </w:tc>
        <w:tc>
          <w:tcPr>
            <w:tcW w:type="dxa" w:w="1871"/>
          </w:tcPr>
          <w:p>
            <w:r>
              <w:rPr>
                <w:sz w:val="20"/>
              </w:rPr>
              <w:t>RETRAIT</w:t>
            </w:r>
          </w:p>
        </w:tc>
        <w:tc>
          <w:tcPr>
            <w:tcW w:type="dxa" w:w="1871"/>
          </w:tcPr>
          <w:p>
            <w:r>
              <w:rPr>
                <w:sz w:val="20"/>
              </w:rPr>
              <w:t>Restructuration laboratoire</w:t>
            </w:r>
          </w:p>
        </w:tc>
      </w:tr>
      <w:tr>
        <w:tc>
          <w:tcPr>
            <w:tcW w:type="dxa" w:w="1871"/>
          </w:tcPr>
          <w:p>
            <w:r>
              <w:rPr>
                <w:sz w:val="20"/>
              </w:rPr>
              <w:t>Atropine</w:t>
            </w:r>
          </w:p>
        </w:tc>
        <w:tc>
          <w:tcPr>
            <w:tcW w:type="dxa" w:w="1871"/>
          </w:tcPr>
          <w:p>
            <w:r>
              <w:rPr>
                <w:sz w:val="20"/>
              </w:rPr>
              <w:t>ATROPINE (MEDICUBA)</w:t>
            </w:r>
          </w:p>
        </w:tc>
        <w:tc>
          <w:tcPr>
            <w:tcW w:type="dxa" w:w="1871"/>
          </w:tcPr>
          <w:p>
            <w:r>
              <w:rPr>
                <w:sz w:val="20"/>
              </w:rPr>
              <w:t>MEDICUBA</w:t>
            </w:r>
          </w:p>
        </w:tc>
        <w:tc>
          <w:tcPr>
            <w:tcW w:type="dxa" w:w="1871"/>
          </w:tcPr>
          <w:p>
            <w:r>
              <w:rPr>
                <w:sz w:val="20"/>
              </w:rPr>
              <w:t>RETRAIT</w:t>
            </w:r>
          </w:p>
        </w:tc>
        <w:tc>
          <w:tcPr>
            <w:tcW w:type="dxa" w:w="1871"/>
          </w:tcPr>
          <w:p>
            <w:r>
              <w:rPr>
                <w:sz w:val="20"/>
              </w:rPr>
              <w:t>Laboratoire fermé</w:t>
            </w:r>
          </w:p>
        </w:tc>
      </w:tr>
      <w:tr>
        <w:tc>
          <w:tcPr>
            <w:tcW w:type="dxa" w:w="1871"/>
          </w:tcPr>
          <w:p>
            <w:r>
              <w:rPr>
                <w:sz w:val="20"/>
              </w:rPr>
              <w:t>Cyclopentolate</w:t>
            </w:r>
          </w:p>
        </w:tc>
        <w:tc>
          <w:tcPr>
            <w:tcW w:type="dxa" w:w="1871"/>
          </w:tcPr>
          <w:p>
            <w:r>
              <w:rPr>
                <w:sz w:val="20"/>
              </w:rPr>
              <w:t>SKIACOL</w:t>
            </w:r>
          </w:p>
        </w:tc>
        <w:tc>
          <w:tcPr>
            <w:tcW w:type="dxa" w:w="1871"/>
          </w:tcPr>
          <w:p>
            <w:r>
              <w:rPr>
                <w:sz w:val="20"/>
              </w:rPr>
              <w:t>ALCON</w:t>
            </w:r>
          </w:p>
        </w:tc>
        <w:tc>
          <w:tcPr>
            <w:tcW w:type="dxa" w:w="1871"/>
          </w:tcPr>
          <w:p>
            <w:r>
              <w:rPr>
                <w:sz w:val="20"/>
              </w:rPr>
              <w:t>NON RENOUVELABLE</w:t>
            </w:r>
          </w:p>
        </w:tc>
        <w:tc>
          <w:tcPr>
            <w:tcW w:type="dxa" w:w="1871"/>
          </w:tcPr>
          <w:p>
            <w:r>
              <w:rPr>
                <w:sz w:val="20"/>
              </w:rPr>
              <w:t>Substitution par productions nationales</w:t>
            </w:r>
          </w:p>
        </w:tc>
      </w:tr>
      <w:tr>
        <w:tc>
          <w:tcPr>
            <w:tcW w:type="dxa" w:w="1871"/>
          </w:tcPr>
          <w:p>
            <w:r>
              <w:rPr>
                <w:sz w:val="20"/>
              </w:rPr>
              <w:t>Bevacizumab</w:t>
            </w:r>
          </w:p>
        </w:tc>
        <w:tc>
          <w:tcPr>
            <w:tcW w:type="dxa" w:w="1871"/>
          </w:tcPr>
          <w:p>
            <w:r>
              <w:rPr>
                <w:sz w:val="20"/>
              </w:rPr>
              <w:t>AVASTIN</w:t>
            </w:r>
          </w:p>
        </w:tc>
        <w:tc>
          <w:tcPr>
            <w:tcW w:type="dxa" w:w="1871"/>
          </w:tcPr>
          <w:p>
            <w:r>
              <w:rPr>
                <w:sz w:val="20"/>
              </w:rPr>
              <w:t>ROCHE</w:t>
            </w:r>
          </w:p>
        </w:tc>
        <w:tc>
          <w:tcPr>
            <w:tcW w:type="dxa" w:w="1871"/>
          </w:tcPr>
          <w:p>
            <w:r>
              <w:rPr>
                <w:sz w:val="20"/>
              </w:rPr>
              <w:t>NON RENOUVELABLE</w:t>
            </w:r>
          </w:p>
        </w:tc>
        <w:tc>
          <w:tcPr>
            <w:tcW w:type="dxa" w:w="1871"/>
          </w:tcPr>
          <w:p>
            <w:r>
              <w:rPr>
                <w:sz w:val="20"/>
              </w:rPr>
              <w:t>Substitution par biosimilaires locaux</w:t>
            </w:r>
          </w:p>
        </w:tc>
      </w:tr>
      <w:tr>
        <w:tc>
          <w:tcPr>
            <w:tcW w:type="dxa" w:w="1871"/>
          </w:tcPr>
          <w:p>
            <w:r>
              <w:rPr>
                <w:sz w:val="20"/>
              </w:rPr>
              <w:t>Bevacizumab</w:t>
            </w:r>
          </w:p>
        </w:tc>
        <w:tc>
          <w:tcPr>
            <w:tcW w:type="dxa" w:w="1871"/>
          </w:tcPr>
          <w:p>
            <w:r>
              <w:rPr>
                <w:sz w:val="20"/>
              </w:rPr>
              <w:t>MVASI</w:t>
            </w:r>
          </w:p>
        </w:tc>
        <w:tc>
          <w:tcPr>
            <w:tcW w:type="dxa" w:w="1871"/>
          </w:tcPr>
          <w:p>
            <w:r>
              <w:rPr>
                <w:sz w:val="20"/>
              </w:rPr>
              <w:t>AMGEN</w:t>
            </w:r>
          </w:p>
        </w:tc>
        <w:tc>
          <w:tcPr>
            <w:tcW w:type="dxa" w:w="1871"/>
          </w:tcPr>
          <w:p>
            <w:r>
              <w:rPr>
                <w:sz w:val="20"/>
              </w:rPr>
              <w:t>RETRAIT</w:t>
            </w:r>
          </w:p>
        </w:tc>
        <w:tc>
          <w:tcPr>
            <w:tcW w:type="dxa" w:w="1871"/>
          </w:tcPr>
          <w:p>
            <w:r>
              <w:rPr>
                <w:sz w:val="20"/>
              </w:rPr>
              <w:t>Retrait volontaire ou commercial</w:t>
            </w:r>
          </w:p>
        </w:tc>
      </w:tr>
    </w:tbl>
    <w:p/>
    <w:p>
      <w:r/>
      <w:r>
        <w:rPr>
          <w:b/>
        </w:rPr>
        <w:t>Commentaire</w:t>
      </w:r>
      <w:r>
        <w:t xml:space="preserve"> : Le marché algérien est marqué par une dynamique de substitution des imports (Alcon, Cusi, Roche, Amgen) par des productions nationales ou régionales (Saïdal, El Kendi, Gencopharm, GPA, Biothera, Generic Lab, Unimed, Amman, Sophal), reflet d'une politique de souveraineté pharmaceutique.</w:t>
      </w:r>
    </w:p>
    <w:p>
      <w:r/>
      <w:r>
        <w:rPr>
          <w:b/>
        </w:rPr>
        <w:t>Fin du Chapitre 144 — Mydriatiques, cycloplégiques et anti-VEGF intravitréens</w:t>
      </w:r>
      <w:r/>
    </w:p>
    <w:p>
      <w:pPr>
        <w:pStyle w:val="Heading1"/>
      </w:pPr>
      <w:r>
        <w:t>Fascicule XV — Ophtalmologie</w:t>
      </w:r>
    </w:p>
    <w:p>
      <w:pPr>
        <w:pStyle w:val="Heading2"/>
      </w:pPr>
      <w:r>
        <w:t>Chapitre 145 — Larmes artificielles et vasoprotecteurs</w:t>
      </w:r>
    </w:p>
    <w:p>
      <w:pPr>
        <w:pStyle w:val="Heading2"/>
      </w:pPr>
      <w:r>
        <w:t>Sommaire du chapitre</w:t>
      </w:r>
    </w:p>
    <w:p>
      <w:pPr>
        <w:pStyle w:val="ListBullet"/>
      </w:pPr>
      <w:r>
        <w:t>145.1. Introduction générale — Larmes artificielles et vasoprotecteurs en ophtalmologie</w:t>
      </w:r>
    </w:p>
    <w:p>
      <w:pPr>
        <w:pStyle w:val="ListBullet"/>
      </w:pPr>
      <w:r>
        <w:t>145.2. Sous-classe : Larmes artificielles / Substituts lacrymaux</w:t>
      </w:r>
    </w:p>
    <w:p>
      <w:pPr>
        <w:pStyle w:val="ListBullet"/>
      </w:pPr>
      <w:r>
        <w:t>145.3. Sous-classe : Vasoprotecteurs (rétinopathie)</w:t>
      </w:r>
    </w:p>
    <w:p>
      <w:pPr>
        <w:pStyle w:val="ListBullet"/>
      </w:pPr>
      <w:r>
        <w:t>145.4. Fiches DCI (3)</w:t>
      </w:r>
    </w:p>
    <w:p>
      <w:pPr>
        <w:pStyle w:val="ListBullet"/>
      </w:pPr>
      <w:r>
        <w:t>145.4.1. Hydroxypropylméthylcellulose (larmes artificielles)</w:t>
      </w:r>
    </w:p>
    <w:p>
      <w:pPr>
        <w:pStyle w:val="ListBullet"/>
      </w:pPr>
      <w:r>
        <w:t>145.4.2. Calcium dobesilate</w:t>
      </w:r>
    </w:p>
    <w:p>
      <w:pPr>
        <w:pStyle w:val="ListBullet"/>
      </w:pPr>
      <w:r>
        <w:t>145.4.3. Pentoxifylline</w:t>
      </w:r>
    </w:p>
    <w:p>
      <w:pPr>
        <w:pStyle w:val="ListBullet"/>
      </w:pPr>
      <w:r>
        <w:t>145.5. Tableau comparatif des thérapeutiques</w:t>
      </w:r>
    </w:p>
    <w:p>
      <w:pPr>
        <w:pStyle w:val="ListBullet"/>
      </w:pPr>
      <w:r>
        <w:t>145.6. Synthèse pédagogique pour la pratique officinale algérienne</w:t>
      </w:r>
    </w:p>
    <w:p>
      <w:pPr>
        <w:pStyle w:val="ListBullet"/>
      </w:pPr>
      <w:r>
        <w:t>145.7. Conclusion générale du Fascicule XV — Ophtalmologie</w:t>
      </w:r>
    </w:p>
    <w:p>
      <w:pPr>
        <w:pStyle w:val="Heading2"/>
      </w:pPr>
      <w:r>
        <w:t>145.1. Introduction générale — Larmes artificielles et vasoprotecteurs en ophtalmologie</w:t>
      </w:r>
    </w:p>
    <w:p>
      <w:pPr>
        <w:pStyle w:val="Heading3"/>
      </w:pPr>
      <w:r>
        <w:t>Place du chapitre 145 dans le Fascicule XV</w:t>
      </w:r>
    </w:p>
    <w:p>
      <w:r>
        <w:t>Le chapitre 145 clôt le Fascicule XV consacré à la pharmacologie ophtalmologique. Après les chapitres consacrés au glaucome (chapitre 141), aux antiallergiques et corticoïdes oculaires (chapitre 142), aux anti-inflammatoires non stéroïdiens et anesthésiques ophtalmiques (chapitre 143) et aux mydriatiques ainsi qu'aux anti-VEGF intravitréens (chapitre 144), ce chapitre final aborde deux classes médicamenteuses complémentaires mais conceptuellement distinctes :</w:t>
      </w:r>
    </w:p>
    <w:p>
      <w:pPr>
        <w:pStyle w:val="ListNumber"/>
      </w:pPr>
      <w:r/>
      <w:r>
        <w:rPr>
          <w:b/>
        </w:rPr>
        <w:t>Les larmes artificielles et substituts lacrymaux</w:t>
      </w:r>
      <w:r>
        <w:t>, qui constituent le traitement de première intention — et souvent le seul traitement nécessaire — du syndrome sec oculaire, affection ubiquitaire dont la prévalence augmente avec l'âge, le travail sur écran, la climatisation, le port des lentilles de contact, la pollution atmosphérique, certains traitements systémiques (antidépresseurs, antihistaminiques, anticholinergiques, rétinoïdes, anti-androgènes) et la ménopause. La sécheresse oculaire affecte 5 à 35 % de la population adulte selon les critères diagnostiques retenus, avec une nette prédominance féminine et une augmentation exponentielle après 50 ans.</w:t>
      </w:r>
    </w:p>
    <w:p>
      <w:pPr>
        <w:pStyle w:val="ListNumber"/>
      </w:pPr>
      <w:r/>
      <w:r>
        <w:rPr>
          <w:b/>
        </w:rPr>
        <w:t>Les vasoprotecteurs à visée oculaire</w:t>
      </w:r>
      <w:r>
        <w:t>, classe hétérogène regroupant le calcium dobesilate et la pentoxifylline, qui partagent la propriété pharmacologique commune de corriger les anomalies microcirculatoires rétiniennes et choroïdiennes observées au cours des rétinopathies ischémiques (rétinopathie diabétique, rétinopathie hypertensive, occlusion de branche ou de veine centrale de la rétine, neuropathies optiques ischémiques). Ces deux molécules ont en commun une cible thérapeutique — la microcirculation — mais diffèrent profondément par leurs mécanismes d'action moléculaires, leurs profils pharmacocinétiques et leurs effets indésirables.</w:t>
      </w:r>
    </w:p>
    <w:p>
      <w:pPr>
        <w:pStyle w:val="Heading3"/>
      </w:pPr>
      <w:r>
        <w:t>Rappel physiologique du film lacrymal</w:t>
      </w:r>
    </w:p>
    <w:p>
      <w:r>
        <w:t>Le film lacrymal pré-cornéen est une structure trilaminaire d'une épaisseur totale de 6 à 10 µm, renouvelée à chaque clignement (fréquence physiologique 12–15 blinks/min en lecture écran), dont la dysfonction constitue le substratum physiopathologique du syndrome sec oculaire. Il se compose de trois couches concentriques, de la profondeur vers la superficie :</w:t>
      </w:r>
    </w:p>
    <w:p>
      <w:pPr>
        <w:pStyle w:val="ListNumber"/>
      </w:pPr>
      <w:r/>
      <w:r>
        <w:rPr>
          <w:b/>
        </w:rPr>
        <w:t>Couche muqueuse interne</w:t>
      </w:r>
      <w:r>
        <w:t xml:space="preserve"> (0,02–0,05 µm, sécrétée par les cellules calciformes conjonctivales et les glandes de Henle et de Manz) : constituée de mucines membranaires (MUC1, MUC4, MUC16) et de mucines sécrétées (MUC5AC par les cellules calciformes, MUC2 par les cellules épithéliales), elle transforme la surface cornéenne hydrophobe en surface hydrophile, permettant l'étalement régulier de la couche aqueuse.</w:t>
      </w:r>
    </w:p>
    <w:p>
      <w:pPr>
        <w:pStyle w:val="ListNumber"/>
      </w:pPr>
      <w:r/>
      <w:r>
        <w:rPr>
          <w:b/>
        </w:rPr>
        <w:t>Couche aqueuse moyenne</w:t>
      </w:r>
      <w:r>
        <w:t xml:space="preserve"> (~7 µm, sécrétée par les glandes lacrymales principales de Krause et de Wolfring, accessoirement par la glande lacrymale principale) : contient l'eau, les électrolytes (Na⁺, K⁺, Cl⁻, HCO₃⁻), les protéines (lysozyme, lactoferrine, lipocaline, IgA, défensines), des facteurs de croissance (EGF, HGF, TGF-β) et des métalloprotéases. Elle assure la défense antimicrobienne, l'apport métabolique à l'épithélium cornéen avasculaire, et la réfraction initiale du rayonnement lumineux incident.</w:t>
      </w:r>
    </w:p>
    <w:p>
      <w:pPr>
        <w:pStyle w:val="ListNumber"/>
      </w:pPr>
      <w:r/>
      <w:r>
        <w:rPr>
          <w:b/>
        </w:rPr>
        <w:t>Couche lipidique externe</w:t>
      </w:r>
      <w:r>
        <w:t xml:space="preserve"> (~0,1 µm, sécrétée par les glandes de Meibomius au bord libre des paupières) : composée de phospholipides, de cholestérol, d'esters de cire et de triglycérides. Elle prévient l'évaporation de la couche aqueuse (réduction de 90 % de l'évaporation), assure l'étanchéité du film lors de la fermeture palpébrale, et empêche le débordement des larmes sur la joue.</w:t>
      </w:r>
    </w:p>
    <w:p>
      <w:r>
        <w:t>Le dysfonctionnement d'une ou plusieurs de ces couches aboutit au syndrome sec oculaire, dont on distingue classiquement deux formes cliniques : la forme déficitaire (hypolacrymie — syndrome de Sjögren, âge, blocage des canaux excréteurs) et la forme évaporative (dysfonctionnement meibomien — blépharite postérieure, rosacée oculaire). Dans la pratique, ces deux formes coexistent fréquemment, justifiant l'approche thérapeutique combinée.</w:t>
      </w:r>
    </w:p>
    <w:p>
      <w:pPr>
        <w:pStyle w:val="Heading3"/>
      </w:pPr>
      <w:r>
        <w:t>Concept de vasoprotecteur en ophtalmologie</w:t>
      </w:r>
    </w:p>
    <w:p>
      <w:r>
        <w:t>Le terme de « vasoprotecteur » est une appellation pharmacologique historique regroupant des molécules hétérogènes dont le dénominateur commun est de corriger les anomalies microcirculatoires responsables de certaines pathologies rétiniennes ischémiques ou œdémateuses. Cette classe a connu son essor dans les années 1970–1990, à une époque où les alternatives thérapeutiques des rétinopathies ischémiques étaient limitées (photocoagulation au laser argon depuis les années 1970, vitrectomie pour les formes avancées).</w:t>
      </w:r>
    </w:p>
    <w:p>
      <w:r>
        <w:t>Le développement des anti-VEGF intravitréens (ranibizumab 2006, aflibercept 2011, bevacizumab en off-label, faricimab 2022) a profondément modifié le paysage thérapeutique de l'œdème maculaire diabétique, de la dégénérescence maculaire liée à l'âge (DMLA) exsudative et des occlusions veineuses rétiniennes. Les vasoprotecteurs oraux conservent toutefois une place en complément, en particulier dans les formes modérées de rétinopathie diabétique non œdémateuse, dans la prévention secondaire post-photocoagulation, et dans certaines indications neurologiques périphériques (artériopathie oblitérante des membres inférieurs, claudication intermittente pour la pentoxifylline).</w:t>
      </w:r>
    </w:p>
    <w:p>
      <w:r>
        <w:t>Le mécanisme d'action du calcium dobesilate repose sur une réduction de la perméabilité capillaire (effet « anti-exsudatif ») et une amélioration de la rhéologie sanguine par diminution de l'agrégation plaquettaire et de la viscosité plasmatique. Celui de la pentoxifylline repose sur une inhibition de la phosphodiestérase (PDE) non sélective (PDE4 et PDE3 principalement), entraînant une élévation de l'AMPc intracellulaire des hématies, une augmentation de leur déformabilité, une réduction de l'agrégation plaquettaire, et une diminution de la viscosité sanguine. Les deux molécules ciblent donc la microcirculation mais par des voies pharmacologiques distinctes.</w:t>
      </w:r>
    </w:p>
    <w:p>
      <w:pPr>
        <w:pStyle w:val="Heading3"/>
      </w:pPr>
      <w:r>
        <w:t>Cadre nosologique des pathologies concernées</w:t>
      </w:r>
    </w:p>
    <w:p>
      <w:pPr>
        <w:pStyle w:val="Heading4"/>
      </w:pPr>
      <w:r>
        <w:t>Syndrome sec oculaire</w:t>
      </w:r>
    </w:p>
    <w:p>
      <w:r>
        <w:t xml:space="preserve">Le syndrome sec oculaire (SSO, ou </w:t>
      </w:r>
      <w:r>
        <w:rPr>
          <w:i/>
        </w:rPr>
        <w:t>dry eye disease</w:t>
      </w:r>
      <w:r>
        <w:t>, DED) est défini par leInternational Dry Eye Workshop (DEWS II, 2017) comme « une maladie multifactorielle de la surface oculaire caractérisée par une perte de l'homéostasie du film lacrymal, et accompagnée de symptômes oculaires ». Sa prévalence en population générale adulte varie de 5 à 50 % selon les critères diagnostiques, avec une prédominance féminine (sex-ratio ~1,5) et une corrélation forte avec l'âge (prévalence &gt; 15 % après 50 ans, &gt; 25 % après 70 ans). En Algérie, la prévalence est probablement sous-estimée en raison de la sous-médicalisation des formes modérées, mais les particularités climatiques (climat méditerranéen sec et chaud, vents chargés de poussières type sirocco, climatisation intensive en été) et le travail sur écran en augmentation exponentielle exposent à une prévalence élevée dans les populations urbaines.</w:t>
      </w:r>
    </w:p>
    <w:p>
      <w:r>
        <w:t>Les symptômes typiques associent sensation de sable ou de corps étranger, photophobie, larmoiement paradoxal par hyper sécrétion réflexe (paradoxe du syndrome sec), brûlure oculaire, rougeur conjonctivale intermittente, fatigue visuelle à la lecture, fluctuation de l'acuité visuelle au cours de la journée (amélioration transitoire après clignement). Les signes objectifs (test de Schirmer I &lt; 10 mm/5 min, temps de rupture du film lacrymal BUT &lt; 10 s, coloration à la fluorescéine et au vert de lissamine) sont évalués en consultation spécialisée.</w:t>
      </w:r>
    </w:p>
    <w:p>
      <w:r>
        <w:t>Le traitement de première intention repose sur les substituts lacrymaux (larmes artificielles), instillés en fonction de la sévérité : 4 fois par jour pour une forme modérée, jusqu'à 6 à 8 fois par jour pour une forme sévère. La présence de conservateurs (chlorure de benzalkonium — BAK) dans les formulations multidoses impose une vigilance particulière en cas d'usage prolongé (toxicité cornéenne épithéliale cumulative). Les formes unidoses sans conservateur sont à privilégier au-delà de 4 instillations par jour.</w:t>
      </w:r>
    </w:p>
    <w:p>
      <w:pPr>
        <w:pStyle w:val="Heading4"/>
      </w:pPr>
      <w:r>
        <w:t>Rétinopathie diabétique</w:t>
      </w:r>
    </w:p>
    <w:p>
      <w:r>
        <w:t>La rétinopathie diabétique (RD) est la première cause de cécité légale acquise chez l'adulte de moins de 50 ans dans les pays industrialisés. Sa prévalence est de 35 % chez le diabétique de type 1 après 20 ans d'évolution, et de 20 % chez le diabétique de type 2 au diagnostic. En Algérie, l'incidence du diabète (type 2 majoritairement) est en augmentation rapide (prévalence ~12 % chez l'adulte selon l'enquête STEPS OMS Algérie), et le dépistage de la RD par fond d'œil annuel reste insuffisamment appliqué. Les stades évolutifs comportent : rétinopathie non proliférante (RPNP — microanévrismes, hémorragies en tache, exsudats secs, œdème maculaire), rétinopathie préproliférative (RPNP sévère — hémorragies intrarétiniennes, anomalies veineuses, IRMA), rétinopathie proliférante (RDP — néovaisseaux, hémorragie intravitréenne, décollement tractionnel de rétine). Le traitement moderne repose sur : contrôle glycémique strict et équilibration tensionnelle (prévention primaire), photocoagulation panrétinienne au laser (RDP), anti-VEGF intravitréens (œdème maculaire), vitrectomie (formes avancées). Les vasoprotecteurs oraux (calcium dobesilate) ont une place adjuvante discutée dans la RPNP modérée et la prévention secondaire post-photocoagulation.</w:t>
      </w:r>
    </w:p>
    <w:p>
      <w:pPr>
        <w:pStyle w:val="Heading4"/>
      </w:pPr>
      <w:r>
        <w:t>Autres indications ophtalmologiques des vasoprotecteurs</w:t>
      </w:r>
    </w:p>
    <w:p>
      <w:pPr>
        <w:pStyle w:val="ListBullet"/>
      </w:pPr>
      <w:r/>
      <w:r>
        <w:rPr>
          <w:b/>
        </w:rPr>
        <w:t>Rétinopathie hypertensive</w:t>
      </w:r>
      <w:r>
        <w:t xml:space="preserve"> : au stade de rétinopathie exsudative avec œdème papillaire, le calcium dobesilate peut être proposé en adjuvant de l'équilibration tensionnelle ;</w:t>
      </w:r>
    </w:p>
    <w:p>
      <w:pPr>
        <w:pStyle w:val="ListBullet"/>
      </w:pPr>
      <w:r/>
      <w:r>
        <w:rPr>
          <w:b/>
        </w:rPr>
        <w:t>Occlusion de branche veineuse rétinienne (OBVR) ou de veine centrale de la rétine (OVCR)</w:t>
      </w:r>
      <w:r>
        <w:t xml:space="preserve"> : formes non ischémiques, en adjuvant de la surveillance angiographique ;</w:t>
      </w:r>
    </w:p>
    <w:p>
      <w:pPr>
        <w:pStyle w:val="ListBullet"/>
      </w:pPr>
      <w:r/>
      <w:r>
        <w:rPr>
          <w:b/>
        </w:rPr>
        <w:t>Neuropathie optique ischémique antérieure aiguë (NOIAA)</w:t>
      </w:r>
      <w:r>
        <w:t xml:space="preserve"> : place résiduelle du calcium dobesilate en adjuvant, en plus du traitement étiologique (équilibre tensionnel, arrêt du tabac) ;</w:t>
      </w:r>
    </w:p>
    <w:p>
      <w:pPr>
        <w:pStyle w:val="ListBullet"/>
      </w:pPr>
      <w:r/>
      <w:r>
        <w:rPr>
          <w:b/>
        </w:rPr>
        <w:t>Œdème maculaire post-chirurgie de la cataracte (Irvine-Gass)</w:t>
      </w:r>
      <w:r>
        <w:t xml:space="preserve"> : adjuvant potentiel, supplanté en pratique par les AINS locaux et les anti-VEGF intravitréens ;</w:t>
      </w:r>
    </w:p>
    <w:p>
      <w:pPr>
        <w:pStyle w:val="ListBullet"/>
      </w:pPr>
      <w:r/>
      <w:r>
        <w:rPr>
          <w:b/>
        </w:rPr>
        <w:t>Claudication intermittente des membres inférieurs (pentoxifylline)</w:t>
      </w:r>
      <w:r>
        <w:t xml:space="preserve"> : indication princeps de la pentoxifylline en médecine vasculaire, parfois retrouvée chez les patients ayant une RD associée à une artériopathie oblitérante des membres inférieurs (diabétique principalement).</w:t>
      </w:r>
    </w:p>
    <w:p>
      <w:pPr>
        <w:pStyle w:val="Heading3"/>
      </w:pPr>
      <w:r>
        <w:t>Particularités de la prescription en Algérie</w:t>
      </w:r>
    </w:p>
    <w:p>
      <w:r>
        <w:t>La nomenclature algérienne des médicaments (Avril 2026) recense dans le périmètre de ce chapitre :</w:t>
      </w:r>
    </w:p>
    <w:p>
      <w:pPr>
        <w:pStyle w:val="ListBullet"/>
      </w:pPr>
      <w:r/>
      <w:r>
        <w:rPr>
          <w:b/>
        </w:rPr>
        <w:t>Une seule spécialité de larmes artificielles à base d'hydroxypropylméthylcellulose (HPMC)</w:t>
      </w:r>
      <w:r>
        <w:t xml:space="preserve"> enregistrée : LACRISIFI (SIFI), flacon multidose de 10 mL, association HPMC 0,5 % + chlorure de benzalkonium 0,010 %, actuellement au statut RETRAIT. Cette situation singulière explique l'orientation du marché algérien vers d'autres substituts lacrymaux disponibles (carbomère, hyaluronate de sodium, polyvinylalcool, téparezol) traités dans les autres chapitres ophtalmologiques du Fascicule XV. La préparation magistrale de substituts lacrymaux sans conservateur reste une alternative viable en officine algérienne.</w:t>
      </w:r>
    </w:p>
    <w:p>
      <w:pPr>
        <w:pStyle w:val="ListBullet"/>
      </w:pPr>
      <w:r/>
      <w:r>
        <w:rPr>
          <w:b/>
        </w:rPr>
        <w:t>Une seule spécialité de calcium dobesilate</w:t>
      </w:r>
      <w:r>
        <w:t xml:space="preserve"> : DOXIUM (Abdi Ibrahim Remède Pharma), comprimé pelliculé 1000 mg, boîte de 30, actuellement ACTIF. Cette présentation à dosage élevé (1000 mg par comprimé) reflète la tendance internationale à simplifier la prise (autrefois 500 mg × 2 à 3 fois par jour).</w:t>
      </w:r>
    </w:p>
    <w:p>
      <w:pPr>
        <w:pStyle w:val="ListBullet"/>
      </w:pPr>
      <w:r/>
      <w:r>
        <w:rPr>
          <w:b/>
        </w:rPr>
        <w:t>Plusieurs spécialités de pentoxifylline</w:t>
      </w:r>
      <w:r>
        <w:t xml:space="preserve"> : PENTORENTAL (Hupp Pharma, ACTIF), PENTOXIFYLLINE MYLAN (NON_RENOUVELABLE), TORENTAL LP (Aventis, NON_RENOUVELABLE), PEXAL-400 et DARTELIN (RETRAIT). La pentoxifylline conserve une place dans la nomenclature algérienne principalement pour ses indications vasculaires périphériques (claudication intermittente), avec extension possible en ophtalmologie pour les rétinopathies ischémiques.</w:t>
      </w:r>
    </w:p>
    <w:p>
      <w:pPr>
        <w:pStyle w:val="Heading3"/>
      </w:pPr>
      <w:r>
        <w:t>Sources et références mobilisées</w:t>
      </w:r>
    </w:p>
    <w:p>
      <w:r>
        <w:t>Ce chapitre mobilise les sources suivantes : VIDAL (spécialités françaises et algériennes), ANSM (Résumés des Caractéristiques du Produit), Thériaque (interactions médicamenteuses), CRAT (Centre Renseignements Agents Tératogènes — grossesse/allaitement), UpToDate (recommandations internationales), DEWS II (TFOS International Dry Eye Workshop II, 2017 — syndrome sec oculaire), ESO (European School for Ophthalmology), HAS (recommandations sur la prescription des vasoprotecteurs), Cochrane (revues systématiques sur calcium dobesilate et pentoxifylline dans la rétinopathie diabétique), nomenclature algérienne des médicaments (Avril 2026).</w:t>
      </w:r>
    </w:p>
    <w:p>
      <w:pPr>
        <w:pStyle w:val="Heading2"/>
      </w:pPr>
      <w:r>
        <w:t>145.2. Sous-classe : Larmes artificielles / Substituts lacrymaux</w:t>
      </w:r>
    </w:p>
    <w:p>
      <w:pPr>
        <w:pStyle w:val="Heading3"/>
      </w:pPr>
      <w:r>
        <w:t>Définition et historique</w:t>
      </w:r>
    </w:p>
    <w:p>
      <w:r>
        <w:t>Les substituts lacrymaux (ou larmes artificielles) désignent l'ensemble des spécialités ophtalmiques destinées à reproduire, en totalité ou en partie, les propriétés physico-chimiques et fonctionnelles du film lacrymal naturel. Leur objectif thérapeutique est triple : (i) restaurer le volume liquidien pré-cornéen en cas d'hypolacrymie, (ii) stabiliser le film lacrymal et ralentir son évaporation (notamment en agissant sur la couche lipidique), (iii) lubrifier la surface oculaire et les paupières lors du clignement afin de réduire la friction mécanique responsable de l'inflammation épithéliale cornéenne et conjonctivale.</w:t>
      </w:r>
    </w:p>
    <w:p>
      <w:r>
        <w:t>Le concept de substitut lacrymal remonte au XIXᵉ siècle, avec l'emploi de solutions salées isotoniques (NaCl 0,9 %) pour le lavage conjonctival. La première véritable larme artificielle moderne fut développée par le pharmacien et ophtalmologiste américain Jacob S. Holm en 1908, à base de solution saline additionnée de phosphate et de chlorure de calcium. L'introduction des polymères synthétiques (méthylcellulose dans les années 1940, hydroxypropylméthylcellulose dans les années 1960, polyvinylalcool, carbomère, hyaluronate de sodium) a constitué une révolution thérapeutique, permettant d'augmenter le temps de résidence du substitut sur la surface oculaire (jusqu'à 30 minutes pour les gels, plusieurs heures pour les insert cornéens).</w:t>
      </w:r>
    </w:p>
    <w:p>
      <w:pPr>
        <w:pStyle w:val="Heading3"/>
      </w:pPr>
      <w:r>
        <w:t>Composition physico-chimique idéale d'un substitut lacrymal</w:t>
      </w:r>
    </w:p>
    <w:p>
      <w:r>
        <w:t>Un substitut lacrymal moderne se doit de présenter les caractéristiques physico-chimiques suivantes :</w:t>
      </w:r>
    </w:p>
    <w:p>
      <w:pPr>
        <w:pStyle w:val="ListNumber"/>
      </w:pPr>
      <w:r/>
      <w:r>
        <w:rPr>
          <w:b/>
        </w:rPr>
        <w:t>Isotonicité</w:t>
      </w:r>
      <w:r>
        <w:t xml:space="preserve"> : 280–310 mOsm/L (égale à celle du film lacrymal naturel). Une hyper tonicité (&gt; 320 mOsm/L) aggrave l'irritation épithéliale et favorise l'apoptose des cellules épithéliales ; une hypo tonicité (&lt; 270 mOsm/L) provoque un œdème épithélial. Les solutions hypotoniques (à ~225 mOsm/L) sont toutefois utilisées dans les formes sévères de sécheresse oculaire hyperosmolaire pour tenter de rééquilibrer l'osmolarité du film lacrymal.</w:t>
      </w:r>
    </w:p>
    <w:p>
      <w:pPr>
        <w:pStyle w:val="ListNumber"/>
      </w:pPr>
      <w:r/>
      <w:r>
        <w:rPr>
          <w:b/>
        </w:rPr>
        <w:t>pH physiologique</w:t>
      </w:r>
      <w:r>
        <w:t xml:space="preserve"> : 7,0–7,4 (le film lacrymal naturel a un pH ~7,45). L'acidification du film lacrymal est un signe de souffrance épithéliale et aggrave les symptômes de brûlure.</w:t>
      </w:r>
    </w:p>
    <w:p>
      <w:pPr>
        <w:pStyle w:val="ListNumber"/>
      </w:pPr>
      <w:r/>
      <w:r>
        <w:rPr>
          <w:b/>
        </w:rPr>
        <w:t>Viscosité adaptée</w:t>
      </w:r>
      <w:r>
        <w:t xml:space="preserve"> : 1,5 à 15 cP (centipoises) pour les collyres, 50 à 1000 cP pour les gels. Une viscosité excessive augmente le temps de résidence mais perturbe la vision (effet « flou » transitoire) ; une viscosité insuffisante réduit l'efficacité par élimination trop rapide.</w:t>
      </w:r>
    </w:p>
    <w:p>
      <w:pPr>
        <w:pStyle w:val="ListNumber"/>
      </w:pPr>
      <w:r/>
      <w:r>
        <w:rPr>
          <w:b/>
        </w:rPr>
        <w:t>Tension superficielle basse</w:t>
      </w:r>
      <w:r>
        <w:t xml:space="preserve"> : 40–50 mN/m (proche de celle du film lacrymal naturel ~46 mN/m), permettant un étalement régulier sur la cornée.</w:t>
      </w:r>
    </w:p>
    <w:p>
      <w:pPr>
        <w:pStyle w:val="ListNumber"/>
      </w:pPr>
      <w:r/>
      <w:r>
        <w:rPr>
          <w:b/>
        </w:rPr>
        <w:t>Présence de mucolytiques ou de chélateurs</w:t>
      </w:r>
      <w:r>
        <w:t xml:space="preserve"> dans certaines formulations (acétylcystéine pour les filaments mucoides du syndrome sec sévère, EDTA pour chélater le calcium libre).</w:t>
      </w:r>
    </w:p>
    <w:p>
      <w:pPr>
        <w:pStyle w:val="ListNumber"/>
      </w:pPr>
      <w:r/>
      <w:r>
        <w:rPr>
          <w:b/>
        </w:rPr>
        <w:t>Absence de conservateur toxique</w:t>
      </w:r>
      <w:r>
        <w:t xml:space="preserve"> ou usage de conservateurs modernes peu toxiques (oxydo-réduction, system PURITE, système COMOD, sodium chlorite) pour les formulations multidoses, et formes unidoses sans conservateur pour les usages prolongés ou sévères.</w:t>
      </w:r>
    </w:p>
    <w:p>
      <w:pPr>
        <w:pStyle w:val="Heading3"/>
      </w:pPr>
      <w:r>
        <w:t>Classification des substituts lacrymaux</w:t>
      </w:r>
    </w:p>
    <w:p>
      <w:r>
        <w:t>On distingue schématiquement plusieurs classes de substituts lacrymaux selon le polymère actif principal :</w:t>
      </w:r>
    </w:p>
    <w:p>
      <w:pPr>
        <w:pStyle w:val="ListNumber"/>
      </w:pPr>
      <w:r/>
      <w:r>
        <w:rPr>
          <w:b/>
        </w:rPr>
        <w:t>Dérivés cellulosiques</w:t>
      </w:r>
      <w:r>
        <w:t xml:space="preserve"> : hydroxypropylméthylcellulose (HPMC), méthylcellulose (MC), hydroxyéthylcellulose (HEC), carboxyméthylcellulose (CMC). Polymères de synthèse viscoélastiques, mimant la couche aqueuse du film lacrymal, avec une bonne tolérance locale et un coût modéré. HPMC a longtemps été le substitut lacrymal le plus prescrit en raison de sa stabilité galénique et de son faible coût.</w:t>
      </w:r>
    </w:p>
    <w:p>
      <w:pPr>
        <w:pStyle w:val="ListNumber"/>
      </w:pPr>
      <w:r/>
      <w:r>
        <w:rPr>
          <w:b/>
        </w:rPr>
        <w:t>Acide hyaluronique (hyaluronate de sodium)</w:t>
      </w:r>
      <w:r>
        <w:t xml:space="preserve"> : glycosaminoglycane de haut poids moléculaire (1 à 3 millions de Da), présent naturellement dans le vitré, la synovie et la cornée. Propriétés viscoélastiques remarquables, capacité de rétention d'eau (jusqu'à 1000× son poids en eau), favorise la cicatrisation épithéliale. Concentrations usuelles : 0,1 % à 0,4 %.</w:t>
      </w:r>
    </w:p>
    <w:p>
      <w:pPr>
        <w:pStyle w:val="ListNumber"/>
      </w:pPr>
      <w:r/>
      <w:r>
        <w:rPr>
          <w:b/>
        </w:rPr>
        <w:t>Carbomère (acide polyacrylique réticulé)</w:t>
      </w:r>
      <w:r>
        <w:t xml:space="preserve"> : gel viscoélastique à forte rétention (jusqu'à 4–6 h de temps de résidence), indications : sécheresse sévère, en particulier nocturne (gel appliqué au coucher). Concentrations : 0,2 % à 0,5 %.</w:t>
      </w:r>
    </w:p>
    <w:p>
      <w:pPr>
        <w:pStyle w:val="ListNumber"/>
      </w:pPr>
      <w:r/>
      <w:r>
        <w:rPr>
          <w:b/>
        </w:rPr>
        <w:t>Polyvinylalcool (PVA) et polyvinylpyrrolidone (PVP)</w:t>
      </w:r>
      <w:r>
        <w:t xml:space="preserve"> : polymères synthétiques augmentant la viscosité et la mouillabilité, souvent en association avec d'autres polymères.</w:t>
      </w:r>
    </w:p>
    <w:p>
      <w:pPr>
        <w:pStyle w:val="ListNumber"/>
      </w:pPr>
      <w:r/>
      <w:r>
        <w:rPr>
          <w:b/>
        </w:rPr>
        <w:t>Téparezol (trépélastine, ancien nom)</w:t>
      </w:r>
      <w:r>
        <w:t xml:space="preserve"> : peptide mimétique de la mucine, propriétés lubrifiantes.</w:t>
      </w:r>
    </w:p>
    <w:p>
      <w:pPr>
        <w:pStyle w:val="ListNumber"/>
      </w:pPr>
      <w:r/>
      <w:r>
        <w:rPr>
          <w:b/>
        </w:rPr>
        <w:t>Lipides et émulsions lipidiques</w:t>
      </w:r>
      <w:r>
        <w:t xml:space="preserve"> : indiquées dans le dysfonctionnement meibomien (forme évaporative). Composées de phospholipides, de triglycérides, parfois de minéraux (lipochromes).</w:t>
      </w:r>
    </w:p>
    <w:p>
      <w:pPr>
        <w:pStyle w:val="ListNumber"/>
      </w:pPr>
      <w:r/>
      <w:r>
        <w:rPr>
          <w:b/>
        </w:rPr>
        <w:t>Sérum autologue</w:t>
      </w:r>
      <w:r>
        <w:t xml:space="preserve"> : préparation magistrale (dilution du sérum du patient à 20 % ou 50 % en solution saline), indiquée dans les syndromes secs sévères (Sjögren, GvHD, kératopathie neurotrophique).</w:t>
      </w:r>
    </w:p>
    <w:p>
      <w:pPr>
        <w:pStyle w:val="ListNumber"/>
      </w:pPr>
      <w:r/>
      <w:r>
        <w:rPr>
          <w:b/>
        </w:rPr>
        <w:t>Acétylcystéine</w:t>
      </w:r>
      <w:r>
        <w:t xml:space="preserve"> (collyre 5 % ou 10 %) : mucolytique, indiqué dans la kératopathie en filaments du syndrome sec sévère, en préparation magistrale.</w:t>
      </w:r>
    </w:p>
    <w:p>
      <w:pPr>
        <w:pStyle w:val="Heading3"/>
      </w:pPr>
      <w:r>
        <w:t>Mécanisme d'action des substituts lacrymaux</w:t>
      </w:r>
    </w:p>
    <w:p>
      <w:r>
        <w:t xml:space="preserve">Les substituts lacrymaux agissent par un mécanisme physico-chimique simple de </w:t>
      </w:r>
      <w:r>
        <w:rPr>
          <w:b/>
        </w:rPr>
        <w:t>remplacement volume-métrique</w:t>
      </w:r>
      <w:r>
        <w:t xml:space="preserve"> du film lacrymal déficient, complété par des propriétés pharmacologiques propres au polymère constitutif :</w:t>
      </w:r>
    </w:p>
    <w:p>
      <w:pPr>
        <w:pStyle w:val="ListBullet"/>
      </w:pPr>
      <w:r/>
      <w:r>
        <w:rPr>
          <w:b/>
        </w:rPr>
        <w:t>Effet volume</w:t>
      </w:r>
      <w:r>
        <w:t xml:space="preserve"> : restauration transitoire du volume liquidien pré-cornéen, permettant le retour à une optique de surface régulière (amélioration de l'acuité visuelle, réduction des fluctuations visuelles au cours de la journée).</w:t>
      </w:r>
    </w:p>
    <w:p>
      <w:pPr>
        <w:pStyle w:val="ListBullet"/>
      </w:pPr>
      <w:r/>
      <w:r>
        <w:rPr>
          <w:b/>
        </w:rPr>
        <w:t>Effet de lubrification</w:t>
      </w:r>
      <w:r>
        <w:t xml:space="preserve"> : diminution du coefficient de friction paupière-cornée lors du clignement (le frottement à sec étant responsable de l'inflammation épithéliale et de la desquamation des cellules épithéliales cornéennes).</w:t>
      </w:r>
    </w:p>
    <w:p>
      <w:pPr>
        <w:pStyle w:val="ListBullet"/>
      </w:pPr>
      <w:r/>
      <w:r>
        <w:rPr>
          <w:b/>
        </w:rPr>
        <w:t>Effet de dilution</w:t>
      </w:r>
      <w:r>
        <w:t xml:space="preserve"> : réduction de l'osmolarité du film lacrymal (hyperosmolaire dans le SSO) et de la concentration des médiateurs inflammatoires (cytokines IL-1, IL-6, TNF-α, MMP-9).</w:t>
      </w:r>
    </w:p>
    <w:p>
      <w:pPr>
        <w:pStyle w:val="ListBullet"/>
      </w:pPr>
      <w:r/>
      <w:r>
        <w:rPr>
          <w:b/>
        </w:rPr>
        <w:t>Effet de protection</w:t>
      </w:r>
      <w:r>
        <w:t xml:space="preserve"> : certains polymères (HPMC, hyaluronate) ont des propriétés de protection épithéliale en se liant aux mucines membranaires et en formant un réseau semi-perméable.</w:t>
      </w:r>
    </w:p>
    <w:p>
      <w:pPr>
        <w:pStyle w:val="ListBullet"/>
      </w:pPr>
      <w:r/>
      <w:r>
        <w:rPr>
          <w:b/>
        </w:rPr>
        <w:t>Effet de restauration de la couche lipidique</w:t>
      </w:r>
      <w:r>
        <w:t xml:space="preserve"> : les émulsions lipidiques restaurrent la couche lipidique externe et réduisent l'évaporation.</w:t>
      </w:r>
    </w:p>
    <w:p>
      <w:pPr>
        <w:pStyle w:val="Heading3"/>
      </w:pPr>
      <w:r>
        <w:t>Particularités pharmacocinétiques locales</w:t>
      </w:r>
    </w:p>
    <w:p>
      <w:r>
        <w:t>Les substituts lacrymaux ont une cinétique locale très courte : la demi-vie d'élimination du film lacrymal appliqué est de 5 à 15 minutes par drainage canaliculaire (vers le sac lacrymal et la cavité naso-pharyngée via le canal naso-lacrymal), et par évaporation. C'est cette cinétique rapide qui impose l'administration pluriquotidienne (4 à 6 fois par jour pour les collyres visqueux, 2 à 3 fois par jour pour les gels). L'absorption systémique est négligeable pour la plupart des polymères (haut poids moléculaire, mauvaise liposolubilité). Toutefois, les conservateurs (BAK notamment) peuvent être absorbés par la muqueuse naso-pharyngée après drainage, et exposent à une toxicité systémique potentielle en cas d'usage prolongé à forte dose (BAK chez l'enfant, sujet âgé, insuffisant hépatique).</w:t>
      </w:r>
    </w:p>
    <w:p>
      <w:pPr>
        <w:pStyle w:val="Heading3"/>
      </w:pPr>
      <w:r>
        <w:t>Place des substituts lacrymaux dans la stratégie thérapeutique du syndrome sec</w:t>
      </w:r>
    </w:p>
    <w:p>
      <w:r>
        <w:t>La stratégie thérapeutique du syndrome sec oculaire (recommandations DEWS II, 2017) repose sur une approche graduelle :</w:t>
      </w:r>
    </w:p>
    <w:p>
      <w:pPr>
        <w:pStyle w:val="ListNumber"/>
      </w:pPr>
      <w:r/>
      <w:r>
        <w:rPr>
          <w:b/>
        </w:rPr>
        <w:t>Stade 1 — Éducation et mesures environnementales</w:t>
      </w:r>
      <w:r>
        <w:t xml:space="preserve"> : éducation à l'hygiène palpébrale (lavage des paupières, warm compresses pour fluidifier le meibum), optimisation de l'environnement de travail (humidification, distance écran, pauses visuelles règle des 20-20-20), arrêt des médicaments aggravants (antihistaminiques, antidépresseurs anticholinergiques, diurétiques) si possible, complémentation en oméga-3.</w:t>
      </w:r>
    </w:p>
    <w:p>
      <w:pPr>
        <w:pStyle w:val="ListNumber"/>
      </w:pPr>
      <w:r/>
      <w:r>
        <w:rPr>
          <w:b/>
        </w:rPr>
        <w:t>Stade 2 — Substituts lacrymaux</w:t>
      </w:r>
      <w:r>
        <w:t xml:space="preserve"> : administration pluriquotidienne (4–6 fois/jour) de substituts lacrymaux sans conservateur. Choix du polymère selon la sévérité et le mécanisme prédominant (hypolacrymie → collyre visqueux type HPMC ou hyaluronate ; forme évaporative → émulsion lipidique). Gel carbomère au coucher pour les formes nocturnes.</w:t>
      </w:r>
    </w:p>
    <w:p>
      <w:pPr>
        <w:pStyle w:val="ListNumber"/>
      </w:pPr>
      <w:r/>
      <w:r>
        <w:rPr>
          <w:b/>
        </w:rPr>
        <w:t>Stade 3 — Anti-inflammatoires</w:t>
      </w:r>
      <w:r>
        <w:t xml:space="preserve"> : collyre corticoïde de courte durée (loteprednol, fluorométholone) en cas de poussée inflammatoire, collyre immunosuppresseur (ciclosporine 0,05 % —Ikervis®) en cas de SSO modéré à sévère. Sérum autologue en seconde intention.</w:t>
      </w:r>
    </w:p>
    <w:p>
      <w:pPr>
        <w:pStyle w:val="ListNumber"/>
      </w:pPr>
      <w:r/>
      <w:r>
        <w:rPr>
          <w:b/>
        </w:rPr>
        <w:t>Stade 4 — Traitements chirurgicaux</w:t>
      </w:r>
      <w:r>
        <w:t xml:space="preserve"> : bouchons méatiques (punctal plugs) en silicone ou en collagène pour réduire le drainage lacrymal, tarsorraphie partielle pour les formes extrêmes.</w:t>
      </w:r>
    </w:p>
    <w:p>
      <w:r>
        <w:t>L'hydroxypropylméthylcellulose (HPMC) trouve sa place aux stades 1 et 2, principalement dans les formes modérées. Ses avantages sont : faible coût, excellente tolérance, stabilité galénique, compatibilité avec les lentilles de contact (selon formulation). Ses limites sont : temps de résidence court (15–30 min), nécessité d'instillations pluriquotidiennes (4–6 fois/j), absence d'effet anti-inflammatoire propre.</w:t>
      </w:r>
    </w:p>
    <w:p>
      <w:pPr>
        <w:pStyle w:val="Heading3"/>
      </w:pPr>
      <w:r>
        <w:t>Problématique des conservateurs en ophtalmologie</w:t>
      </w:r>
    </w:p>
    <w:p>
      <w:r>
        <w:t>Le chlorure de benzalkonium (BAK) est le conservateur le plus largement utilisé en ophtalmologie depuis les années 1950, en raison de son excellente activité bactéricide (détruit les bactéries Gram+ et Gram− en 1 à 5 minutes) et fongicide, de sa stabilité galénique, et de son faible coût. Cependant, sa toxicité épithéliale cornéenne et conjonctivale est désormais bien documentée :</w:t>
      </w:r>
    </w:p>
    <w:p>
      <w:pPr>
        <w:pStyle w:val="ListBullet"/>
      </w:pPr>
      <w:r/>
      <w:r>
        <w:rPr>
          <w:b/>
        </w:rPr>
        <w:t>Toxicité directe sur l'épithélium cornéen</w:t>
      </w:r>
      <w:r>
        <w:t xml:space="preserve"> : le BAK est un détergent cationique qui se fixe aux phospholipides membranaires et dénature les protéines de surface, entraînant la mort cellulaire par apoptose à concentrations &gt; 0,005 % ;</w:t>
      </w:r>
    </w:p>
    <w:p>
      <w:pPr>
        <w:pStyle w:val="ListBullet"/>
      </w:pPr>
      <w:r/>
      <w:r>
        <w:rPr>
          <w:b/>
        </w:rPr>
        <w:t>Stimulation de l'inflammation chronique</w:t>
      </w:r>
      <w:r>
        <w:t xml:space="preserve"> : le BAK induit l'expression de molécules d'adhésion (ICAM-1, HLA-DR) à la surface des cellules épithéliales conjonctivales, recrutement de cellules inflammatoires (lymphocytes T CD4, CD8, macrophages), libération de cytokines (IL-6, IL-8, TNF-α) ;</w:t>
      </w:r>
    </w:p>
    <w:p>
      <w:pPr>
        <w:pStyle w:val="ListBullet"/>
      </w:pPr>
      <w:r/>
      <w:r>
        <w:rPr>
          <w:b/>
        </w:rPr>
        <w:t>Neurotoxicité</w:t>
      </w:r>
      <w:r>
        <w:t xml:space="preserve"> : atteinte des terminaisons nerveuses cornéennes sensitives, altération du réflexe de clignement, pérennisation du syndrome sec ;</w:t>
      </w:r>
    </w:p>
    <w:p>
      <w:pPr>
        <w:pStyle w:val="ListBullet"/>
      </w:pPr>
      <w:r/>
      <w:r>
        <w:rPr>
          <w:b/>
        </w:rPr>
        <w:t>Effet cumulatif</w:t>
      </w:r>
      <w:r>
        <w:t xml:space="preserve"> : la toxicité du BAK est proportionnelle à la dose cumulée reçue (concentration × fréquence × durée). À 0,01 %, à raison de 4 instillations/jour pendant 6 mois, on observe des altérations épithéliales significatives chez 20 à 30 % des patients (études en microscopie confocale et en impression cytology).</w:t>
      </w:r>
    </w:p>
    <w:p>
      <w:r>
        <w:t xml:space="preserve">La règle absolue en est donc : </w:t>
      </w:r>
      <w:r>
        <w:rPr>
          <w:b/>
        </w:rPr>
        <w:t>au-delà de 4 instillations par jour de collyre conservé au BAK, ou en cas de traitement supérieur à 1 mois, il faut privilégier une forme sans conservateur</w:t>
      </w:r>
      <w:r>
        <w:t xml:space="preserve"> (unidose, ou flacon multidose avec système de filtration/conservation moderne). Cette règle est particulièrement importante pour les substituts lacrymaux qui sont, par définition, prescrits pour des durées prolongées (plusieurs mois, voire à vie dans les SSO chroniques).</w:t>
      </w:r>
    </w:p>
    <w:p>
      <w:pPr>
        <w:pStyle w:val="Heading2"/>
      </w:pPr>
      <w:r>
        <w:t>145.3. Sous-classe : Vasoprotecteurs (rétinopathie)</w:t>
      </w:r>
    </w:p>
    <w:p>
      <w:pPr>
        <w:pStyle w:val="Heading3"/>
      </w:pPr>
      <w:r>
        <w:t>Définition et cadre conceptuel</w:t>
      </w:r>
    </w:p>
    <w:p>
      <w:r>
        <w:t xml:space="preserve">Les vasoprotecteurs constituent une classe pharmacologique hétérogène dont l'unité repose sur l'objectif thérapeutique commun : corriger les anomalies microcirculatoires responsables de certaines pathologies ischémiques ou œdémateuses. En ophtalmologie, deux molécules sont historiquement rattachées à cette classe : le </w:t>
      </w:r>
      <w:r>
        <w:rPr>
          <w:b/>
        </w:rPr>
        <w:t>calcium dobesilate</w:t>
      </w:r>
      <w:r>
        <w:t xml:space="preserve"> et la </w:t>
      </w:r>
      <w:r>
        <w:rPr>
          <w:b/>
        </w:rPr>
        <w:t>pentoxifylline</w:t>
      </w:r>
      <w:r>
        <w:t>. Toutes deux visent la microcirculation rétinienne et choroïdienne, mais leurs mécanismes d'action moléculaires sont radicalement différents.</w:t>
      </w:r>
    </w:p>
    <w:p>
      <w:r>
        <w:t>Le concept de « vasoprotecteur » est aujourd'hui considéré comme une appellation historique plutôt que comme une catégorie pharmacologique rigoureuse. La Haute Autorité de Santé (HAS) française, dans ses évaluations successives (2006, 2013), a souligné le faible niveau de preuve clinique de ces molécules, et l'absence de démonstration d'efficacité supérieure au placebo dans la plupart de leurs indications. Le service médical rendu (SMR) a été jugé insuffisant dans plusieurs indications, ce qui a conduit au déremboursement partiel en France. Toutefois, ces molécules conservent une autorisation de mise sur le marché (AMM) et sont largement prescrites dans de nombreux pays, dont l'Algérie, en raison de leur bonne tolérance globale, de leur faible coût, et de l'absence d'alternatives orales véritablement démontrées.</w:t>
      </w:r>
    </w:p>
    <w:p>
      <w:pPr>
        <w:pStyle w:val="Heading3"/>
      </w:pPr>
      <w:r>
        <w:t>Mécanismes d'action comparés</w:t>
      </w:r>
    </w:p>
    <w:p>
      <w:pPr>
        <w:pStyle w:val="Heading4"/>
      </w:pPr>
      <w:r>
        <w:t>Calcium dobesilate (Doxium)</w:t>
      </w:r>
    </w:p>
    <w:p>
      <w:r>
        <w:t>Le calcium dobesilate est un sel de calcium de l'acide dobesilique (acide 2,5-dihydroxybenzènesulfonique), molécule synthétisée pour la première fois en 1968. Son mécanisme d'action est pléiotropique et repose sur trois effets principaux :</w:t>
      </w:r>
    </w:p>
    <w:p>
      <w:pPr>
        <w:pStyle w:val="ListNumber"/>
      </w:pPr>
      <w:r/>
      <w:r>
        <w:rPr>
          <w:b/>
        </w:rPr>
        <w:t>Réduction de la perméabilité capillaire</w:t>
      </w:r>
      <w:r>
        <w:t xml:space="preserve"> : le calcium dobesilate inhibe l'activité de la *histidine décarboxylase*, enzyme responsable de la synthèse de l'histamine à partir de l'histidine, ainsi que de la *diamine oxydase*, enzyme dégradant l'histamine. La réduction de la concentration d'histamine intratissulaire diminue la perméabilité capillaire médiée par les récepteurs H1 endothéliaux (relâchement des jonctions intercellulaires serrées, fuite plasmatique). Cet effet « anti-exsudatif » est documenté sur les modèles animaux d'œdème paw et sur les capillaires rétiniens diabétiques (réduction de la fuite fluorescéinique à l'angiographie).</w:t>
      </w:r>
    </w:p>
    <w:p>
      <w:pPr>
        <w:pStyle w:val="ListNumber"/>
      </w:pPr>
      <w:r/>
      <w:r>
        <w:rPr>
          <w:b/>
        </w:rPr>
        <w:t>Inhibition de l'agrégation plaquettaire</w:t>
      </w:r>
      <w:r>
        <w:t xml:space="preserve"> : le calcium dobesilate inhibe la *thromboxane A2 synthase* et réduit la production de TXA2, puissant agrégant plaquettaire et vasoconstricteur. Il augmente parallèlement la production de prostacycline (PGI2) par l'endothélium, ce qui renforce l'effet anti-agrégant et vasodilatateur. Le résultat global est une réduction de la viscosité sanguine et une amélioration du flux microcirculatoire.</w:t>
      </w:r>
    </w:p>
    <w:p>
      <w:pPr>
        <w:pStyle w:val="ListNumber"/>
      </w:pPr>
      <w:r/>
      <w:r>
        <w:rPr>
          <w:b/>
        </w:rPr>
        <w:t>Réduction de la viscosité plasmatique et sanguine</w:t>
      </w:r>
      <w:r>
        <w:t xml:space="preserve"> : le calcium dobesilate diminue la concentration de fibrinogène plasmatique et réduit l'agrégation érythrocytaire (rouleaux d'hématies), ce qui abaisse la viscosité sanguine à basse vitesse de cisaillement (viscosité observée dans la microcirculation).</w:t>
      </w:r>
    </w:p>
    <w:p>
      <w:pPr>
        <w:pStyle w:val="ListNumber"/>
      </w:pPr>
      <w:r/>
      <w:r>
        <w:rPr>
          <w:b/>
        </w:rPr>
        <w:t>Effet anti-radicalaire</w:t>
      </w:r>
      <w:r>
        <w:t xml:space="preserve"> : le calcium dobesilate est un piègeur de radicaux libres (notamment le radical hydroxyle OH• et l'anion superoxyde O₂⁻•), ce qui réduit le stress oxydatif endothélial et la peroxydation lipidique.</w:t>
      </w:r>
    </w:p>
    <w:p>
      <w:r>
        <w:t>L'effet global du calcium dobesilate est donc une amélioration de la microcirculation par réduction de l'œdème, de l'ischémie, et de la formation de microthrombi.</w:t>
      </w:r>
    </w:p>
    <w:p>
      <w:pPr>
        <w:pStyle w:val="Heading4"/>
      </w:pPr>
      <w:r>
        <w:t>Pentoxifylline (Torental, Pentorental)</w:t>
      </w:r>
    </w:p>
    <w:p>
      <w:r>
        <w:t>La pentoxifylline (1-(5-oxohexyl)-3,7-diméthylxanthine) est un dérivé de la méthylxanthine (analogues de la théophylline et de la caféine), synthétisée en 1971. Son mécanisme d'action principal est l'</w:t>
      </w:r>
      <w:r>
        <w:rPr>
          <w:b/>
        </w:rPr>
        <w:t>inhibition non sélective des phosphodiestérases (PDE)</w:t>
      </w:r>
      <w:r>
        <w:t>, en particulier des sous-types PDE3 (cGMP-inhibées) et PDE4 (cAMP-spécifiques) :</w:t>
      </w:r>
    </w:p>
    <w:p>
      <w:pPr>
        <w:pStyle w:val="ListNumber"/>
      </w:pPr>
      <w:r/>
      <w:r>
        <w:rPr>
          <w:b/>
        </w:rPr>
        <w:t>Inhibition des phosphodiestérases</w:t>
      </w:r>
      <w:r>
        <w:t xml:space="preserve"> : la pentoxifylline inhibe compétitivement la dégradation de l'AMPc (adénosine monophosphate cyclique) et du GMPc en leurs formes inactives (AMP et GMP). L'élévation de l'AMPc intracellulaire dans les érythrocytes entraîne une </w:t>
      </w:r>
      <w:r>
        <w:rPr>
          <w:b/>
        </w:rPr>
        <w:t>augmentation de leur déformabilité</w:t>
      </w:r>
      <w:r>
        <w:t xml:space="preserve"> (par phosphorylation de la spectrine et de l'ankyrine du cytosquelette érythrocytaire), ce qui facilite leur passage dans les capillaires de diamètre inférieur à leur propre diamètre (capillaires rétiniens, myocardiques, musculaires).</w:t>
      </w:r>
    </w:p>
    <w:p>
      <w:pPr>
        <w:pStyle w:val="ListNumber"/>
      </w:pPr>
      <w:r/>
      <w:r>
        <w:rPr>
          <w:b/>
        </w:rPr>
        <w:t>Réduction de l'agrégation plaquettaire</w:t>
      </w:r>
      <w:r>
        <w:t xml:space="preserve"> : l'élévation de l'AMPc intraplaquettaire inhibe la voie du TXA2 et réduit la sécrétion des granules denses (ADP, sérotonine). L'effet est additif à celui de l'aspirine mais par un mécanisme différent.</w:t>
      </w:r>
    </w:p>
    <w:p>
      <w:pPr>
        <w:pStyle w:val="ListNumber"/>
      </w:pPr>
      <w:r/>
      <w:r>
        <w:rPr>
          <w:b/>
        </w:rPr>
        <w:t>Réduction de la viscosité sanguine</w:t>
      </w:r>
      <w:r>
        <w:t xml:space="preserve"> : la pentoxifylline diminue la concentration de fibrinogène et de facteur von Willebrand, réduit l'agrégation leucocytaire (effet anti-inflammatoire), et améliore la filtration sanguine dans la microcirculation.</w:t>
      </w:r>
    </w:p>
    <w:p>
      <w:pPr>
        <w:pStyle w:val="ListNumber"/>
      </w:pPr>
      <w:r/>
      <w:r>
        <w:rPr>
          <w:b/>
        </w:rPr>
        <w:t>Effet anti-TNF-α</w:t>
      </w:r>
      <w:r>
        <w:t xml:space="preserve"> : à fortes doses (≥ 1200 mg/j), la pentoxifylline inhibe la production de TNF-α par les monocytes et macrophages, ce qui justifie son utilisation expérimentale dans certaines maladies inflammatoires chroniques (sarcoïdose, maladie de Behçet, hépatite alcoolique).</w:t>
      </w:r>
    </w:p>
    <w:p>
      <w:pPr>
        <w:pStyle w:val="ListNumber"/>
      </w:pPr>
      <w:r/>
      <w:r>
        <w:rPr>
          <w:b/>
        </w:rPr>
        <w:t>Effet vasodilatateur direct</w:t>
      </w:r>
      <w:r>
        <w:t xml:space="preserve"> : la pentoxifylline est un inhibiteur faible des récepteurs adenosiniques A1 et A2, ce qui produit une vasodilatation modérée.</w:t>
      </w:r>
    </w:p>
    <w:p>
      <w:pPr>
        <w:pStyle w:val="Heading3"/>
      </w:pPr>
      <w:r>
        <w:t>Indications ophtalmologiques comparées</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Indication</w:t>
            </w:r>
          </w:p>
        </w:tc>
        <w:tc>
          <w:tcPr>
            <w:tcW w:type="dxa" w:w="3118"/>
          </w:tcPr>
          <w:p>
            <w:r>
              <w:rPr>
                <w:b/>
                <w:sz w:val="20"/>
              </w:rPr>
              <w:t>Calcium dobesilate</w:t>
            </w:r>
          </w:p>
        </w:tc>
        <w:tc>
          <w:tcPr>
            <w:tcW w:type="dxa" w:w="3118"/>
          </w:tcPr>
          <w:p>
            <w:r>
              <w:rPr>
                <w:b/>
                <w:sz w:val="20"/>
              </w:rPr>
              <w:t>Pentoxifylline</w:t>
            </w:r>
          </w:p>
        </w:tc>
      </w:tr>
      <w:tr>
        <w:tc>
          <w:tcPr>
            <w:tcW w:type="dxa" w:w="3118"/>
          </w:tcPr>
          <w:p>
            <w:r>
              <w:rPr>
                <w:sz w:val="20"/>
              </w:rPr>
              <w:t>Rétinopathie diabétique non proliférante</w:t>
            </w:r>
          </w:p>
        </w:tc>
        <w:tc>
          <w:tcPr>
            <w:tcW w:type="dxa" w:w="3118"/>
          </w:tcPr>
          <w:p>
            <w:r>
              <w:rPr>
                <w:sz w:val="20"/>
              </w:rPr>
              <w:t>AMM (adjuvant)</w:t>
            </w:r>
          </w:p>
        </w:tc>
        <w:tc>
          <w:tcPr>
            <w:tcW w:type="dxa" w:w="3118"/>
          </w:tcPr>
          <w:p>
            <w:r>
              <w:rPr>
                <w:sz w:val="20"/>
              </w:rPr>
              <w:t>AMM (adjuvant)</w:t>
            </w:r>
          </w:p>
        </w:tc>
      </w:tr>
      <w:tr>
        <w:tc>
          <w:tcPr>
            <w:tcW w:type="dxa" w:w="3118"/>
          </w:tcPr>
          <w:p>
            <w:r>
              <w:rPr>
                <w:sz w:val="20"/>
              </w:rPr>
              <w:t>Rétinopathie diabétique préproliférative</w:t>
            </w:r>
          </w:p>
        </w:tc>
        <w:tc>
          <w:tcPr>
            <w:tcW w:type="dxa" w:w="3118"/>
          </w:tcPr>
          <w:p>
            <w:r>
              <w:rPr>
                <w:sz w:val="20"/>
              </w:rPr>
              <w:t>Discuté (sans preuve forte)</w:t>
            </w:r>
          </w:p>
        </w:tc>
        <w:tc>
          <w:tcPr>
            <w:tcW w:type="dxa" w:w="3118"/>
          </w:tcPr>
          <w:p>
            <w:r>
              <w:rPr>
                <w:sz w:val="20"/>
              </w:rPr>
              <w:t>Discuté</w:t>
            </w:r>
          </w:p>
        </w:tc>
      </w:tr>
      <w:tr>
        <w:tc>
          <w:tcPr>
            <w:tcW w:type="dxa" w:w="3118"/>
          </w:tcPr>
          <w:p>
            <w:r>
              <w:rPr>
                <w:sz w:val="20"/>
              </w:rPr>
              <w:t>Œdème maculaire diabétique</w:t>
            </w:r>
          </w:p>
        </w:tc>
        <w:tc>
          <w:tcPr>
            <w:tcW w:type="dxa" w:w="3118"/>
          </w:tcPr>
          <w:p>
            <w:r>
              <w:rPr>
                <w:sz w:val="20"/>
              </w:rPr>
              <w:t>Adjuvant possible (supplanté par anti-VEGF)</w:t>
            </w:r>
          </w:p>
        </w:tc>
        <w:tc>
          <w:tcPr>
            <w:tcW w:type="dxa" w:w="3118"/>
          </w:tcPr>
          <w:p>
            <w:r>
              <w:rPr>
                <w:sz w:val="20"/>
              </w:rPr>
              <w:t>Discuté</w:t>
            </w:r>
          </w:p>
        </w:tc>
      </w:tr>
      <w:tr>
        <w:tc>
          <w:tcPr>
            <w:tcW w:type="dxa" w:w="3118"/>
          </w:tcPr>
          <w:p>
            <w:r>
              <w:rPr>
                <w:sz w:val="20"/>
              </w:rPr>
              <w:t>Rétinopathie hypertensive</w:t>
            </w:r>
          </w:p>
        </w:tc>
        <w:tc>
          <w:tcPr>
            <w:tcW w:type="dxa" w:w="3118"/>
          </w:tcPr>
          <w:p>
            <w:r>
              <w:rPr>
                <w:sz w:val="20"/>
              </w:rPr>
              <w:t>AMM</w:t>
            </w:r>
          </w:p>
        </w:tc>
        <w:tc>
          <w:tcPr>
            <w:tcW w:type="dxa" w:w="3118"/>
          </w:tcPr>
          <w:p>
            <w:r>
              <w:rPr>
                <w:sz w:val="20"/>
              </w:rPr>
              <w:t>Hors AMM</w:t>
            </w:r>
          </w:p>
        </w:tc>
      </w:tr>
      <w:tr>
        <w:tc>
          <w:tcPr>
            <w:tcW w:type="dxa" w:w="3118"/>
          </w:tcPr>
          <w:p>
            <w:r>
              <w:rPr>
                <w:sz w:val="20"/>
              </w:rPr>
              <w:t>Occlusion veineuse rétinienne</w:t>
            </w:r>
          </w:p>
        </w:tc>
        <w:tc>
          <w:tcPr>
            <w:tcW w:type="dxa" w:w="3118"/>
          </w:tcPr>
          <w:p>
            <w:r>
              <w:rPr>
                <w:sz w:val="20"/>
              </w:rPr>
              <w:t>Adjuvant (formes non ischémiques)</w:t>
            </w:r>
          </w:p>
        </w:tc>
        <w:tc>
          <w:tcPr>
            <w:tcW w:type="dxa" w:w="3118"/>
          </w:tcPr>
          <w:p>
            <w:r>
              <w:rPr>
                <w:sz w:val="20"/>
              </w:rPr>
              <w:t>Hors AMM</w:t>
            </w:r>
          </w:p>
        </w:tc>
      </w:tr>
      <w:tr>
        <w:tc>
          <w:tcPr>
            <w:tcW w:type="dxa" w:w="3118"/>
          </w:tcPr>
          <w:p>
            <w:r>
              <w:rPr>
                <w:sz w:val="20"/>
              </w:rPr>
              <w:t>Neuropathie optique ischémique</w:t>
            </w:r>
          </w:p>
        </w:tc>
        <w:tc>
          <w:tcPr>
            <w:tcW w:type="dxa" w:w="3118"/>
          </w:tcPr>
          <w:p>
            <w:r>
              <w:rPr>
                <w:sz w:val="20"/>
              </w:rPr>
              <w:t>Adjuvant</w:t>
            </w:r>
          </w:p>
        </w:tc>
        <w:tc>
          <w:tcPr>
            <w:tcW w:type="dxa" w:w="3118"/>
          </w:tcPr>
          <w:p>
            <w:r>
              <w:rPr>
                <w:sz w:val="20"/>
              </w:rPr>
              <w:t>Hors AMM</w:t>
            </w:r>
          </w:p>
        </w:tc>
      </w:tr>
      <w:tr>
        <w:tc>
          <w:tcPr>
            <w:tcW w:type="dxa" w:w="3118"/>
          </w:tcPr>
          <w:p>
            <w:r>
              <w:rPr>
                <w:sz w:val="20"/>
              </w:rPr>
              <w:t>Claudication intermittente (AOI)</w:t>
            </w:r>
          </w:p>
        </w:tc>
        <w:tc>
          <w:tcPr>
            <w:tcW w:type="dxa" w:w="3118"/>
          </w:tcPr>
          <w:p>
            <w:r>
              <w:rPr>
                <w:sz w:val="20"/>
              </w:rPr>
              <w:t>Non indiqué</w:t>
            </w:r>
          </w:p>
        </w:tc>
        <w:tc>
          <w:tcPr>
            <w:tcW w:type="dxa" w:w="3118"/>
          </w:tcPr>
          <w:p>
            <w:r>
              <w:rPr>
                <w:sz w:val="20"/>
              </w:rPr>
              <w:t>AMM princeps</w:t>
            </w:r>
          </w:p>
        </w:tc>
      </w:tr>
      <w:tr>
        <w:tc>
          <w:tcPr>
            <w:tcW w:type="dxa" w:w="3118"/>
          </w:tcPr>
          <w:p>
            <w:r>
              <w:rPr>
                <w:sz w:val="20"/>
              </w:rPr>
              <w:t>Artériopathie oblitérante des membres inférieurs</w:t>
            </w:r>
          </w:p>
        </w:tc>
        <w:tc>
          <w:tcPr>
            <w:tcW w:type="dxa" w:w="3118"/>
          </w:tcPr>
          <w:p>
            <w:r>
              <w:rPr>
                <w:sz w:val="20"/>
              </w:rPr>
              <w:t>Non indiqué</w:t>
            </w:r>
          </w:p>
        </w:tc>
        <w:tc>
          <w:tcPr>
            <w:tcW w:type="dxa" w:w="3118"/>
          </w:tcPr>
          <w:p>
            <w:r>
              <w:rPr>
                <w:sz w:val="20"/>
              </w:rPr>
              <w:t>AMM</w:t>
            </w:r>
          </w:p>
        </w:tc>
      </w:tr>
      <w:tr>
        <w:tc>
          <w:tcPr>
            <w:tcW w:type="dxa" w:w="3118"/>
          </w:tcPr>
          <w:p>
            <w:r>
              <w:rPr>
                <w:sz w:val="20"/>
              </w:rPr>
              <w:t>Troubles trophiques (ulcères variqueux)</w:t>
            </w:r>
          </w:p>
        </w:tc>
        <w:tc>
          <w:tcPr>
            <w:tcW w:type="dxa" w:w="3118"/>
          </w:tcPr>
          <w:p>
            <w:r>
              <w:rPr>
                <w:sz w:val="20"/>
              </w:rPr>
              <w:t>AMM</w:t>
            </w:r>
          </w:p>
        </w:tc>
        <w:tc>
          <w:tcPr>
            <w:tcW w:type="dxa" w:w="3118"/>
          </w:tcPr>
          <w:p>
            <w:r>
              <w:rPr>
                <w:sz w:val="20"/>
              </w:rPr>
              <w:t>Non indiqué</w:t>
            </w:r>
          </w:p>
        </w:tc>
      </w:tr>
      <w:tr>
        <w:tc>
          <w:tcPr>
            <w:tcW w:type="dxa" w:w="3118"/>
          </w:tcPr>
          <w:p>
            <w:r>
              <w:rPr>
                <w:sz w:val="20"/>
              </w:rPr>
              <w:t>Hémorroïdes</w:t>
            </w:r>
          </w:p>
        </w:tc>
        <w:tc>
          <w:tcPr>
            <w:tcW w:type="dxa" w:w="3118"/>
          </w:tcPr>
          <w:p>
            <w:r>
              <w:rPr>
                <w:sz w:val="20"/>
              </w:rPr>
              <w:t>AMM (forme topique)</w:t>
            </w:r>
          </w:p>
        </w:tc>
        <w:tc>
          <w:tcPr>
            <w:tcW w:type="dxa" w:w="3118"/>
          </w:tcPr>
          <w:p>
            <w:r>
              <w:rPr>
                <w:sz w:val="20"/>
              </w:rPr>
              <w:t>Non indiqué</w:t>
            </w:r>
          </w:p>
        </w:tc>
      </w:tr>
    </w:tbl>
    <w:p/>
    <w:p>
      <w:pPr>
        <w:pStyle w:val="Heading3"/>
      </w:pPr>
      <w:r>
        <w:t>Profil de tolérance comparé</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Paramètre</w:t>
            </w:r>
          </w:p>
        </w:tc>
        <w:tc>
          <w:tcPr>
            <w:tcW w:type="dxa" w:w="3118"/>
          </w:tcPr>
          <w:p>
            <w:r>
              <w:rPr>
                <w:b/>
                <w:sz w:val="20"/>
              </w:rPr>
              <w:t>Calcium dobesilate</w:t>
            </w:r>
          </w:p>
        </w:tc>
        <w:tc>
          <w:tcPr>
            <w:tcW w:type="dxa" w:w="3118"/>
          </w:tcPr>
          <w:p>
            <w:r>
              <w:rPr>
                <w:b/>
                <w:sz w:val="20"/>
              </w:rPr>
              <w:t>Pentoxifylline</w:t>
            </w:r>
          </w:p>
        </w:tc>
      </w:tr>
      <w:tr>
        <w:tc>
          <w:tcPr>
            <w:tcW w:type="dxa" w:w="3118"/>
          </w:tcPr>
          <w:p>
            <w:r>
              <w:rPr>
                <w:sz w:val="20"/>
              </w:rPr>
              <w:t>EI digestifs (fréquents)</w:t>
            </w:r>
          </w:p>
        </w:tc>
        <w:tc>
          <w:tcPr>
            <w:tcW w:type="dxa" w:w="3118"/>
          </w:tcPr>
          <w:p>
            <w:r>
              <w:rPr>
                <w:sz w:val="20"/>
              </w:rPr>
              <w:t>Nausées, dyspepsie (5–15 %)</w:t>
            </w:r>
          </w:p>
        </w:tc>
        <w:tc>
          <w:tcPr>
            <w:tcW w:type="dxa" w:w="3118"/>
          </w:tcPr>
          <w:p>
            <w:r>
              <w:rPr>
                <w:sz w:val="20"/>
              </w:rPr>
              <w:t>Nausées, vomissements, dyspepsie (10–20 %)</w:t>
            </w:r>
          </w:p>
        </w:tc>
      </w:tr>
      <w:tr>
        <w:tc>
          <w:tcPr>
            <w:tcW w:type="dxa" w:w="3118"/>
          </w:tcPr>
          <w:p>
            <w:r>
              <w:rPr>
                <w:sz w:val="20"/>
              </w:rPr>
              <w:t>EI cardiovasculaires</w:t>
            </w:r>
          </w:p>
        </w:tc>
        <w:tc>
          <w:tcPr>
            <w:tcW w:type="dxa" w:w="3118"/>
          </w:tcPr>
          <w:p>
            <w:r>
              <w:rPr>
                <w:sz w:val="20"/>
              </w:rPr>
              <w:t>Flush, hypotension (rare)</w:t>
            </w:r>
          </w:p>
        </w:tc>
        <w:tc>
          <w:tcPr>
            <w:tcW w:type="dxa" w:w="3118"/>
          </w:tcPr>
          <w:p>
            <w:r>
              <w:rPr>
                <w:sz w:val="20"/>
              </w:rPr>
              <w:t>Flush, hypotension orthostatique, tachycardie (fréquent)</w:t>
            </w:r>
          </w:p>
        </w:tc>
      </w:tr>
      <w:tr>
        <w:tc>
          <w:tcPr>
            <w:tcW w:type="dxa" w:w="3118"/>
          </w:tcPr>
          <w:p>
            <w:r>
              <w:rPr>
                <w:sz w:val="20"/>
              </w:rPr>
              <w:t>EI neurologiques</w:t>
            </w:r>
          </w:p>
        </w:tc>
        <w:tc>
          <w:tcPr>
            <w:tcW w:type="dxa" w:w="3118"/>
          </w:tcPr>
          <w:p>
            <w:r>
              <w:rPr>
                <w:sz w:val="20"/>
              </w:rPr>
              <w:t>Céphalées (5 %), vertiges</w:t>
            </w:r>
          </w:p>
        </w:tc>
        <w:tc>
          <w:tcPr>
            <w:tcW w:type="dxa" w:w="3118"/>
          </w:tcPr>
          <w:p>
            <w:r>
              <w:rPr>
                <w:sz w:val="20"/>
              </w:rPr>
              <w:t>Vertiges, céphalées, agitation, insomnie (fréquent)</w:t>
            </w:r>
          </w:p>
        </w:tc>
      </w:tr>
      <w:tr>
        <w:tc>
          <w:tcPr>
            <w:tcW w:type="dxa" w:w="3118"/>
          </w:tcPr>
          <w:p>
            <w:r>
              <w:rPr>
                <w:sz w:val="20"/>
              </w:rPr>
              <w:t>EI hématologiques</w:t>
            </w:r>
          </w:p>
        </w:tc>
        <w:tc>
          <w:tcPr>
            <w:tcW w:type="dxa" w:w="3118"/>
          </w:tcPr>
          <w:p>
            <w:r>
              <w:rPr>
                <w:sz w:val="20"/>
              </w:rPr>
              <w:t>Agranulocytose exceptionnelle (1/100 000)</w:t>
            </w:r>
          </w:p>
        </w:tc>
        <w:tc>
          <w:tcPr>
            <w:tcW w:type="dxa" w:w="3118"/>
          </w:tcPr>
          <w:p>
            <w:r>
              <w:rPr>
                <w:sz w:val="20"/>
              </w:rPr>
              <w:t>Thrombopénie, leucopénie (rare)</w:t>
            </w:r>
          </w:p>
        </w:tc>
      </w:tr>
      <w:tr>
        <w:tc>
          <w:tcPr>
            <w:tcW w:type="dxa" w:w="3118"/>
          </w:tcPr>
          <w:p>
            <w:r>
              <w:rPr>
                <w:sz w:val="20"/>
              </w:rPr>
              <w:t>EI cutanés</w:t>
            </w:r>
          </w:p>
        </w:tc>
        <w:tc>
          <w:tcPr>
            <w:tcW w:type="dxa" w:w="3118"/>
          </w:tcPr>
          <w:p>
            <w:r>
              <w:rPr>
                <w:sz w:val="20"/>
              </w:rPr>
              <w:t>Rash, prurit, érythème polymorphe (rare)</w:t>
            </w:r>
          </w:p>
        </w:tc>
        <w:tc>
          <w:tcPr>
            <w:tcW w:type="dxa" w:w="3118"/>
          </w:tcPr>
          <w:p>
            <w:r>
              <w:rPr>
                <w:sz w:val="20"/>
              </w:rPr>
              <w:t>Flush, rash (fréquent)</w:t>
            </w:r>
          </w:p>
        </w:tc>
      </w:tr>
      <w:tr>
        <w:tc>
          <w:tcPr>
            <w:tcW w:type="dxa" w:w="3118"/>
          </w:tcPr>
          <w:p>
            <w:r>
              <w:rPr>
                <w:sz w:val="20"/>
              </w:rPr>
              <w:t>EI hépatiques</w:t>
            </w:r>
          </w:p>
        </w:tc>
        <w:tc>
          <w:tcPr>
            <w:tcW w:type="dxa" w:w="3118"/>
          </w:tcPr>
          <w:p>
            <w:r>
              <w:rPr>
                <w:sz w:val="20"/>
              </w:rPr>
              <w:t>Cytolyse, cholestase (rare)</w:t>
            </w:r>
          </w:p>
        </w:tc>
        <w:tc>
          <w:tcPr>
            <w:tcW w:type="dxa" w:w="3118"/>
          </w:tcPr>
          <w:p>
            <w:r>
              <w:rPr>
                <w:sz w:val="20"/>
              </w:rPr>
              <w:t>Cytolyse (rare)</w:t>
            </w:r>
          </w:p>
        </w:tc>
      </w:tr>
      <w:tr>
        <w:tc>
          <w:tcPr>
            <w:tcW w:type="dxa" w:w="3118"/>
          </w:tcPr>
          <w:p>
            <w:r>
              <w:rPr>
                <w:sz w:val="20"/>
              </w:rPr>
              <w:t>CI absolue</w:t>
            </w:r>
          </w:p>
        </w:tc>
        <w:tc>
          <w:tcPr>
            <w:tcW w:type="dxa" w:w="3118"/>
          </w:tcPr>
          <w:p>
            <w:r>
              <w:rPr>
                <w:sz w:val="20"/>
              </w:rPr>
              <w:t>Hypersensibilité, agranulocytose connue</w:t>
            </w:r>
          </w:p>
        </w:tc>
        <w:tc>
          <w:tcPr>
            <w:tcW w:type="dxa" w:w="3118"/>
          </w:tcPr>
          <w:p>
            <w:r>
              <w:rPr>
                <w:sz w:val="20"/>
              </w:rPr>
              <w:t>Infarctus récent, hémorragie active, hypotension sévère</w:t>
            </w:r>
          </w:p>
        </w:tc>
      </w:tr>
      <w:tr>
        <w:tc>
          <w:tcPr>
            <w:tcW w:type="dxa" w:w="3118"/>
          </w:tcPr>
          <w:p>
            <w:r>
              <w:rPr>
                <w:sz w:val="20"/>
              </w:rPr>
              <w:t>CI grossesse</w:t>
            </w:r>
          </w:p>
        </w:tc>
        <w:tc>
          <w:tcPr>
            <w:tcW w:type="dxa" w:w="3118"/>
          </w:tcPr>
          <w:p>
            <w:r>
              <w:rPr>
                <w:sz w:val="20"/>
              </w:rPr>
              <w:t>À éviter par prudence (données limitées)</w:t>
            </w:r>
          </w:p>
        </w:tc>
        <w:tc>
          <w:tcPr>
            <w:tcW w:type="dxa" w:w="3118"/>
          </w:tcPr>
          <w:p>
            <w:r>
              <w:rPr>
                <w:sz w:val="20"/>
              </w:rPr>
              <w:t>Contre-indiqué au 1er trimestre, déconseillé ensuite</w:t>
            </w:r>
          </w:p>
        </w:tc>
      </w:tr>
    </w:tbl>
    <w:p/>
    <w:p>
      <w:pPr>
        <w:pStyle w:val="Heading3"/>
      </w:pPr>
      <w:r>
        <w:t>Place actuelle dans l'arsenal thérapeutique ophtalmologique</w:t>
      </w:r>
    </w:p>
    <w:p>
      <w:r>
        <w:t>L'avènement des anti-VEGF intravitréens (ranibizumab, aflibercept, bevacizumab) a considérablement réduit la place des vasoprotecteurs oraux en ophtalmologie. Ces traitements locaux, administrés par injection intravitréenne mensuelle ou bimensuelle, ont démontré une supériorité nette sur le placebo et sur les vasoprotecteurs oraux dans l'œdème maculaire diabétique (gain de 2 à 3 lignes d'acuité visuelle), la DMLA exsudative (gain de 1 à 2 lignes), les occlusions veineuses rétiniennes (gain de 1 à 2 lignes). Toutefois, les vasoprotecteurs oraux conservent un intérêt dans plusieurs contextes :</w:t>
      </w:r>
    </w:p>
    <w:p>
      <w:pPr>
        <w:pStyle w:val="ListNumber"/>
      </w:pPr>
      <w:r/>
      <w:r>
        <w:rPr>
          <w:b/>
        </w:rPr>
        <w:t>Rétinopathie diabétique non proliférante modérée sans œdème maculaire</w:t>
      </w:r>
      <w:r>
        <w:t xml:space="preserve"> : adjuvant en attendant l'indication de photocoagulation ;</w:t>
      </w:r>
    </w:p>
    <w:p>
      <w:pPr>
        <w:pStyle w:val="ListNumber"/>
      </w:pPr>
      <w:r/>
      <w:r>
        <w:rPr>
          <w:b/>
        </w:rPr>
        <w:t>Prévention secondaire post-photocoagulation</w:t>
      </w:r>
      <w:r>
        <w:t xml:space="preserve"> : discuté, aucune preuve formelle ;</w:t>
      </w:r>
    </w:p>
    <w:p>
      <w:pPr>
        <w:pStyle w:val="ListNumber"/>
      </w:pPr>
      <w:r/>
      <w:r>
        <w:rPr>
          <w:b/>
        </w:rPr>
        <w:t>Patients inaccessibles aux injections intravitréennes</w:t>
      </w:r>
      <w:r>
        <w:t xml:space="preserve"> (refus, allergie, isolement géographique, contre-indication à l'anesthésie locale) ;</w:t>
      </w:r>
    </w:p>
    <w:p>
      <w:pPr>
        <w:pStyle w:val="ListNumber"/>
      </w:pPr>
      <w:r/>
      <w:r>
        <w:rPr>
          <w:b/>
        </w:rPr>
        <w:t>Pathologie vasculaire systémique associée</w:t>
      </w:r>
      <w:r>
        <w:t xml:space="preserve"> (artériopathie oblitérante des membres inférieurs pour la pentoxifylline, insuffisance veineuse chronique pour le calcium dobesilate) justifiant un traitement oral à visée globale ;</w:t>
      </w:r>
    </w:p>
    <w:p>
      <w:pPr>
        <w:pStyle w:val="ListNumber"/>
      </w:pPr>
      <w:r/>
      <w:r>
        <w:rPr>
          <w:b/>
        </w:rPr>
        <w:t>Prévention primaire chez le diabétique à haut risque vasculaire</w:t>
      </w:r>
      <w:r>
        <w:t xml:space="preserve"> : aucune preuve formelle d'efficacité, prescription discutable.</w:t>
      </w:r>
    </w:p>
    <w:p>
      <w:pPr>
        <w:pStyle w:val="Heading3"/>
      </w:pPr>
      <w:r>
        <w:t>Limites et mésusage</w:t>
      </w:r>
    </w:p>
    <w:p>
      <w:r>
        <w:t>Les vasoprotecteurs sont souvent prescrits de manière abusive ou prolongée au-delà de leurs indications validées. Les principaux mésusages observés en Algérie sont :</w:t>
      </w:r>
    </w:p>
    <w:p>
      <w:pPr>
        <w:pStyle w:val="ListBullet"/>
      </w:pPr>
      <w:r/>
      <w:r>
        <w:rPr>
          <w:b/>
        </w:rPr>
        <w:t>Prescription systématique chez tout diabétique</w:t>
      </w:r>
      <w:r>
        <w:t xml:space="preserve"> sans fond d'œil préalable, sans évaluation de la sévérité de la rétinopathie ;</w:t>
      </w:r>
    </w:p>
    <w:p>
      <w:pPr>
        <w:pStyle w:val="ListBullet"/>
      </w:pPr>
      <w:r/>
      <w:r>
        <w:rPr>
          <w:b/>
        </w:rPr>
        <w:t>Poursuite au long cours</w:t>
      </w:r>
      <w:r>
        <w:t xml:space="preserve"> au-delà de 6–12 mois sans réévaluation angiographique ;</w:t>
      </w:r>
    </w:p>
    <w:p>
      <w:pPr>
        <w:pStyle w:val="ListBullet"/>
      </w:pPr>
      <w:r/>
      <w:r>
        <w:rPr>
          <w:b/>
        </w:rPr>
        <w:t>Association systématique avec d'autres vasoprotecteurs ou antiagrégants plaquettaires</w:t>
      </w:r>
      <w:r>
        <w:t xml:space="preserve"> (aspirine, clopidogrel) sans évaluation du risque hémorragique ;</w:t>
      </w:r>
    </w:p>
    <w:p>
      <w:pPr>
        <w:pStyle w:val="ListBullet"/>
      </w:pPr>
      <w:r/>
      <w:r>
        <w:rPr>
          <w:b/>
        </w:rPr>
        <w:t>Substitution des vasoprotecteurs oraux à la photocoagulation laser ou aux anti-VEGF</w:t>
      </w:r>
      <w:r>
        <w:t xml:space="preserve"> dans les formes patentes de rétinopathie diabétique proliférante ou d'œdème maculaire cliniquement significatif ;</w:t>
      </w:r>
    </w:p>
    <w:p>
      <w:pPr>
        <w:pStyle w:val="ListBullet"/>
      </w:pPr>
      <w:r/>
      <w:r>
        <w:rPr>
          <w:b/>
        </w:rPr>
        <w:t>Confusion avec les veinotoniques</w:t>
      </w:r>
      <w:r>
        <w:t xml:space="preserve"> (diosmine, hespéridine) qui ont des indications distinctes (insuffisance veineuse des membres inférieurs).</w:t>
      </w:r>
    </w:p>
    <w:p>
      <w:pPr>
        <w:pStyle w:val="Heading3"/>
      </w:pPr>
      <w:r>
        <w:t>Recommandations HAS et Cochrane</w:t>
      </w:r>
    </w:p>
    <w:p>
      <w:r>
        <w:t>La Haute Autorité de Santé (HAS) française a évalué à plusieurs reprises le calcium dobesilate et la pentoxifylline. Les conclusions principales sont :</w:t>
      </w:r>
    </w:p>
    <w:p>
      <w:pPr>
        <w:pStyle w:val="ListBullet"/>
      </w:pPr>
      <w:r/>
      <w:r>
        <w:rPr>
          <w:b/>
        </w:rPr>
        <w:t>Calcium dobesilate</w:t>
      </w:r>
      <w:r>
        <w:t xml:space="preserve"> : SMR insuffisant pour justifier un remboursement dans l'indication « rétinopathie diabétique » (avis 2006, confirmé 2013). La molécule reste commercialisée mais n'est plus remboursée en France dans la plupart de ses indications. Les revues Cochrane (2009, mise à jour 2014) concluent à l'absence de preuve formelle d'efficacité dans la rétinopathie diabétique non proliférante (essais hétérogènes, qualité méthodologique variable, biais de publication).</w:t>
      </w:r>
    </w:p>
    <w:p>
      <w:pPr>
        <w:pStyle w:val="ListBullet"/>
      </w:pPr>
      <w:r/>
      <w:r>
        <w:rPr>
          <w:b/>
        </w:rPr>
        <w:t>Pentoxifylline</w:t>
      </w:r>
      <w:r>
        <w:t xml:space="preserve"> : SMR modéré dans la claudication intermittente des artériopathies chroniques oblitérantes des membres inférieurs au stade II de Leriche et Fontaine (avis 2006, confirmé 2013). L'efficacité dans la rétinopathie diabétique n'est pas documentée. La Cochrane (2015) conclut à une amélioration modeste du périmètre de marche (gain moyen 30–40 mètres), sans effet démontré sur la mortalité cardiovasculaire.</w:t>
      </w:r>
    </w:p>
    <w:p>
      <w:pPr>
        <w:pStyle w:val="Heading2"/>
      </w:pPr>
      <w:r>
        <w:t>145.4.1. Hydroxypropylméthylcellulose (larmes artificielles)</w:t>
      </w:r>
    </w:p>
    <w:p>
      <w:pPr>
        <w:pStyle w:val="Heading3"/>
      </w:pPr>
      <w:r>
        <w:t>Liste catégories pharmaco-thérapeutiques</w:t>
      </w:r>
    </w:p>
    <w:p>
      <w:pPr>
        <w:pStyle w:val="ListBullet"/>
      </w:pPr>
      <w:r>
        <w:t>Substitut lacrymal</w:t>
      </w:r>
    </w:p>
    <w:p>
      <w:pPr>
        <w:pStyle w:val="ListBullet"/>
      </w:pPr>
      <w:r>
        <w:t>Larme artificielle polymère cellulosique</w:t>
      </w:r>
    </w:p>
    <w:p>
      <w:pPr>
        <w:pStyle w:val="ListBullet"/>
      </w:pPr>
      <w:r>
        <w:t>Lubrifiant ophtalmique</w:t>
      </w:r>
    </w:p>
    <w:p>
      <w:pPr>
        <w:pStyle w:val="ListBullet"/>
      </w:pPr>
      <w:r>
        <w:t>Solution ophtalmique isotonique</w:t>
      </w:r>
    </w:p>
    <w:p>
      <w:pPr>
        <w:pStyle w:val="ListBullet"/>
      </w:pPr>
      <w:r>
        <w:t>Indications : syndrome sec oculaire modéré, sécheresse oculaire liée au travail sur écran, sécheresse du porteur de lentilles de contact (selon formulation), sécheresse post-chirurgie réfractive, sécheresse post-opératoire de la cataracte.</w:t>
      </w:r>
    </w:p>
    <w:p>
      <w:pPr>
        <w:pStyle w:val="Heading3"/>
      </w:pPr>
      <w:r>
        <w:t>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LACRISIFI</w:t>
            </w:r>
          </w:p>
        </w:tc>
        <w:tc>
          <w:tcPr>
            <w:tcW w:type="dxa" w:w="1559"/>
          </w:tcPr>
          <w:p>
            <w:r>
              <w:rPr>
                <w:sz w:val="20"/>
              </w:rPr>
              <w:t>S I F I</w:t>
            </w:r>
          </w:p>
        </w:tc>
        <w:tc>
          <w:tcPr>
            <w:tcW w:type="dxa" w:w="1559"/>
          </w:tcPr>
          <w:p>
            <w:r>
              <w:rPr>
                <w:sz w:val="20"/>
              </w:rPr>
              <w:t>Collyre (larmes artificielles) — Hydroxypropylméthylcellulose 0,5 % / Chlorure de benzalkonium 0,010 %</w:t>
            </w:r>
          </w:p>
        </w:tc>
        <w:tc>
          <w:tcPr>
            <w:tcW w:type="dxa" w:w="1559"/>
          </w:tcPr>
          <w:p>
            <w:r>
              <w:rPr>
                <w:sz w:val="20"/>
              </w:rPr>
              <w:t>Flacon de 10 mL</w:t>
            </w:r>
          </w:p>
        </w:tc>
        <w:tc>
          <w:tcPr>
            <w:tcW w:type="dxa" w:w="1559"/>
          </w:tcPr>
          <w:p>
            <w:r>
              <w:rPr>
                <w:sz w:val="20"/>
              </w:rPr>
              <w:t>Hors liste</w:t>
            </w:r>
          </w:p>
        </w:tc>
        <w:tc>
          <w:tcPr>
            <w:tcW w:type="dxa" w:w="1559"/>
          </w:tcPr>
          <w:p>
            <w:r>
              <w:rPr>
                <w:sz w:val="20"/>
              </w:rPr>
              <w:t>RETRAIT (R)</w:t>
            </w:r>
          </w:p>
        </w:tc>
      </w:tr>
    </w:tbl>
    <w:p/>
    <w:p>
      <w:r/>
      <w:r>
        <w:rPr>
          <w:b/>
        </w:rPr>
        <w:t>Note nomenclature</w:t>
      </w:r>
      <w:r>
        <w:t xml:space="preserve"> : la spécialité LACRISIFI (SIFI), historiquement la référence en matière de larme artificielle à base d'HPMC en Algérie, est actuellement au statut RETRAIT dans la nomenclature Avril 2026. Cette situation singulière impose une vigilance particulière au pharmacien d'officine qui doit orienter le patient vers des alternatives disponibles :</w:t>
      </w:r>
    </w:p>
    <w:p>
      <w:pPr>
        <w:pStyle w:val="ListBullet"/>
      </w:pPr>
      <w:r/>
      <w:r>
        <w:rPr>
          <w:b/>
        </w:rPr>
        <w:t>Substituts lacrymaux alternatifs disponibles en Algérie</w:t>
      </w:r>
      <w:r>
        <w:t xml:space="preserve"> (hors HPMC stricte) : carbomère (LACRIGEL, VISCOTRÉS, LACRIGEL L.P.), hyaluronate de sodium (HYLO, THEALOZ, BEVIAL, LARMABAK, BLU-YON), polyvinylalcool (LARMES AB, FRESH), téparezol, diverses associations polymères. Le détail de ces alternatives figure dans le chapitre 142 du Fascicule XV (Antiallergiques et corticoïdes ophtalmiques) et les chapitres associés du Fascicule XV.</w:t>
      </w:r>
    </w:p>
    <w:p>
      <w:pPr>
        <w:pStyle w:val="ListBullet"/>
      </w:pPr>
      <w:r/>
      <w:r>
        <w:rPr>
          <w:b/>
        </w:rPr>
        <w:t>Préparations magistrales de larmes artificielles sans conservateur</w:t>
      </w:r>
      <w:r>
        <w:t xml:space="preserve"> : le pharmacien d'officine peut préparer, sur prescription médicale, une solution d'hydroxypropylméthylcellulose à 0,5 % ou 1 % en solution saline isotonique tamponnée phosphate pH 7,2, sans chlorure de benzalkonium, conditionnée en flacon stérile de 5 mL ou 10 mL pour usage prolongé. Cette voie de préparation magistrale est particulièrement utile chez le patient porteur de lentilles de contact, le patient allergique au BAK, ou en cas de traitement au long cours (plusieurs mois).</w:t>
      </w:r>
    </w:p>
    <w:p>
      <w:pPr>
        <w:pStyle w:val="ListBullet"/>
      </w:pPr>
      <w:r/>
      <w:r>
        <w:rPr>
          <w:b/>
        </w:rPr>
        <w:t>Formes unidoses sans conservateur</w:t>
      </w:r>
      <w:r>
        <w:t xml:space="preserve"> : disponibles sous diverses marques (HYLO, THEALOZ, BEVIAL unidose), conditionnées en boîtes de 10, 20 ou 30 unidoses de 0,4 mL, conservation 24 heures après ouverture de l'unidose.</w:t>
      </w:r>
    </w:p>
    <w:p>
      <w:pPr>
        <w:pStyle w:val="Heading3"/>
      </w:pPr>
      <w:r>
        <w:t>Mécanisme d'action</w:t>
      </w:r>
    </w:p>
    <w:p>
      <w:r>
        <w:t>L'hydroxypropylméthylcellulose (HPMC, hypromellose) est un éther mixte de la cellulose, obtenu par substitution partielle des groupements hydroxyles de la cellulose par des groupements méthyles (-CH₃) et hydroxypropyles (-CH₂CH(OH)CH₃). Le degré de substitution détermine la viscosité et la solubilité de la molécule (les grades pharmaceutiques usuels ont une viscosité de 4 000 cP à 100 000 cP pour une solution à 2 % à 20 °C). Pour les formulations ophtalmiques de collyre, on utilise généralement le grade HPMC 2910 (substitution méthyle 28–30 %, hydroxypropyle 7–12 %) à des concentrations de 0,3 % à 1 %, donnant une viscosité de 4 à 25 cP (proche de celle du film lacrymal naturel, 1,5 à 15 cP).</w:t>
      </w:r>
    </w:p>
    <w:p>
      <w:r>
        <w:t xml:space="preserve">Le mécanisme d'action de l'HPMC est essentiellement </w:t>
      </w:r>
      <w:r>
        <w:rPr>
          <w:b/>
        </w:rPr>
        <w:t>physico-chimique et rhéologique</w:t>
      </w:r>
      <w:r>
        <w:t xml:space="preserve"> :</w:t>
      </w:r>
    </w:p>
    <w:p>
      <w:pPr>
        <w:pStyle w:val="ListNumber"/>
      </w:pPr>
      <w:r/>
      <w:r>
        <w:rPr>
          <w:b/>
        </w:rPr>
        <w:t>Effet de volume</w:t>
      </w:r>
      <w:r>
        <w:t xml:space="preserve"> : l'HPMC est un polymère hydrophile qui se dissout dans le film lacrymal et augmente son volume liquidien immédiatement après instillation. Le volume de chaque goutte étant d'environ 30–40 µL, l'instillation compense partiellement le déficit de production lacrymal physiologique.</w:t>
      </w:r>
    </w:p>
    <w:p>
      <w:pPr>
        <w:pStyle w:val="ListNumber"/>
      </w:pPr>
      <w:r/>
      <w:r>
        <w:rPr>
          <w:b/>
        </w:rPr>
        <w:t>Effet de viscosification</w:t>
      </w:r>
      <w:r>
        <w:t xml:space="preserve"> : l'HPMC augmente la viscosité du film lacrymal, ce qui ralentit son drainage canaliculaire (par le point lacrymal inférieur et supérieur, puis le canalicule, le sac lacrymal, le canal naso-lacrymal) et son évaporation. Le temps de résidence pré-cornéen passe de 5–10 min (solution saline) à 15–30 min (HPMC 0,5 %), et jusqu'à 1 heure pour les gels HPMC 1 %. Le maintien d'un film stable pré-cornéen réduit la fréquence des instillations nécessaires (4–6 fois par jour suffisent en moyenne vs 8–10 fois pour une solution saline simple).</w:t>
      </w:r>
    </w:p>
    <w:p>
      <w:pPr>
        <w:pStyle w:val="ListNumber"/>
      </w:pPr>
      <w:r/>
      <w:r>
        <w:rPr>
          <w:b/>
        </w:rPr>
        <w:t>Effet de lubrification</w:t>
      </w:r>
      <w:r>
        <w:t xml:space="preserve"> : l'HPMC, polymère hydrophile, se fixe par liaisons hydrogène aux mucines membranaires (MUC1, MUC4, MUC16) de la surface épithéliale cornéenne et conjonctivale, formant un réseau semi-liquide lubrifiant qui réduit le coefficient de friction paupière-cornée lors du clignement (estimé à 0,05 en condition normale, jusqu'à 0,3 dans le syndrome sec sévère). Cette lubrification est essentielle pour prévenir les microtraumatismes épithéliaux responsables de l'inflammation chronique du syndrome sec.</w:t>
      </w:r>
    </w:p>
    <w:p>
      <w:pPr>
        <w:pStyle w:val="ListNumber"/>
      </w:pPr>
      <w:r/>
      <w:r>
        <w:rPr>
          <w:b/>
        </w:rPr>
        <w:t>Effet mucomimétique</w:t>
      </w:r>
      <w:r>
        <w:t xml:space="preserve"> : la chaîne polymérique de l'HPMC mime la structure des mucines sécrétées (MUC5AC par les cellules calciformes), avec une affinité pour la couche muqueuse pré-cornéenne, ce qui stabilise le film lacrymal et améliore son étalement.</w:t>
      </w:r>
    </w:p>
    <w:p>
      <w:pPr>
        <w:pStyle w:val="ListNumber"/>
      </w:pPr>
      <w:r/>
      <w:r>
        <w:rPr>
          <w:b/>
        </w:rPr>
        <w:t>Effet protecteur épithélial</w:t>
      </w:r>
      <w:r>
        <w:t xml:space="preserve"> : l'HPMC forme un film protecteur semi-perméable qui réduit l'exposition de l'épithélium cornéen aux agressions externes (UV, pollution, allergènes, climatisation) et limite la perte en eau trans-épithéliale.</w:t>
      </w:r>
    </w:p>
    <w:p>
      <w:pPr>
        <w:pStyle w:val="ListNumber"/>
      </w:pPr>
      <w:r/>
      <w:r>
        <w:rPr>
          <w:b/>
        </w:rPr>
        <w:t>Absence d'effet pharmacodynamique systémique</w:t>
      </w:r>
      <w:r>
        <w:t xml:space="preserve"> : l'HPMC n'est pas métabolisé localement (poids moléculaire trop élevé pour une traversée épithéliale significative), n'a pas d'affinité pour les récepteurs pharmacologiques, et ne pénètre pas dans la circulation systémique. Son action est purement physico-chimique locale.</w:t>
      </w:r>
    </w:p>
    <w:p>
      <w:pPr>
        <w:pStyle w:val="Heading3"/>
      </w:pPr>
      <w:r>
        <w:t>Profil pharmacologique (indications, contre-indications, effets indésirables)</w:t>
      </w:r>
    </w:p>
    <w:p>
      <w:r/>
      <w:r>
        <w:rPr>
          <w:b/>
        </w:rPr>
        <w:t>Indications (AMM)</w:t>
      </w:r>
      <w:r>
        <w:t xml:space="preserve"> :</w:t>
      </w:r>
    </w:p>
    <w:p>
      <w:pPr>
        <w:pStyle w:val="ListBullet"/>
      </w:pPr>
      <w:r>
        <w:t>Traitement symptomatique du syndrome sec oculaire modéré à modérément sévère (sécheresse oculaire idiopathique, sécheresse post-ménopausique, sécheresse liée au travail sur écran) ;</w:t>
      </w:r>
    </w:p>
    <w:p>
      <w:pPr>
        <w:pStyle w:val="ListBullet"/>
      </w:pPr>
      <w:r>
        <w:t>Sécheresse oculaire du porteur de lentilles de contact (selon formulation — préférer formes sans conservateur) ;</w:t>
      </w:r>
    </w:p>
    <w:p>
      <w:pPr>
        <w:pStyle w:val="ListBullet"/>
      </w:pPr>
      <w:r>
        <w:t>Lubrification post-chirurgicale (chirurgie de la cataracte, chirurgie réfractive LASIK, PKR) ;</w:t>
      </w:r>
    </w:p>
    <w:p>
      <w:pPr>
        <w:pStyle w:val="ListBullet"/>
      </w:pPr>
      <w:r>
        <w:t>Sécheresse oculaire médicamenteuse (induite par isotrétinoïde, antidépresseurs, antihistaminiques, bêtabloquants ophtalmiques au long cours) ;</w:t>
      </w:r>
    </w:p>
    <w:p>
      <w:pPr>
        <w:pStyle w:val="ListBullet"/>
      </w:pPr>
      <w:r>
        <w:t>Stabilisation du film lacrymal avant examen ophtalmologique (mesure du BUT, test de Schirmer) ;</w:t>
      </w:r>
    </w:p>
    <w:p>
      <w:pPr>
        <w:pStyle w:val="ListBullet"/>
      </w:pPr>
      <w:r>
        <w:t>Hygiène oculaire quotidienne (lavage conjonctival, toilette des paupières).</w:t>
      </w:r>
    </w:p>
    <w:p>
      <w:r/>
      <w:r>
        <w:rPr>
          <w:b/>
        </w:rPr>
        <w:t>Contre-indications</w:t>
      </w:r>
      <w:r>
        <w:t xml:space="preserve"> :</w:t>
      </w:r>
    </w:p>
    <w:p>
      <w:pPr>
        <w:pStyle w:val="ListBullet"/>
      </w:pPr>
      <w:r>
        <w:t>CI absolue : hypersensibilité à l'HPMC ou à l'un des excipients (notamment le chlorure de benzalkonium) ;</w:t>
      </w:r>
    </w:p>
    <w:p>
      <w:pPr>
        <w:pStyle w:val="ListBullet"/>
      </w:pPr>
      <w:r>
        <w:t>CI relative : port de lentilles de contact souples hydrophiles en cas de formulation conservée au BAK (le BAK se concentre dans la matrice de la lentille et expose à une toxicité cumulée). Préférer formes sans conservateur ou retirer les lentilles avant instillation et attendre 15–20 minutes avant remise.</w:t>
      </w:r>
    </w:p>
    <w:p>
      <w:r/>
      <w:r>
        <w:rPr>
          <w:b/>
        </w:rPr>
        <w:t>Effets indésirables</w:t>
      </w:r>
      <w:r>
        <w:t xml:space="preserve"> :</w:t>
      </w:r>
    </w:p>
    <w:p>
      <w:pPr>
        <w:pStyle w:val="ListBullet"/>
      </w:pPr>
      <w:r/>
      <w:r>
        <w:rPr>
          <w:b/>
        </w:rPr>
        <w:t>Locaux fréquents (&gt; 1/100)</w:t>
      </w:r>
      <w:r>
        <w:t xml:space="preserve"> : vision floue transitoire (1–3 minutes après instillation, liée à la viscosité du polymère), sensation de picotement transitoire à l'instillation, hyperhémie conjonctivale légère (réflexe à l'instillation) ;</w:t>
      </w:r>
    </w:p>
    <w:p>
      <w:pPr>
        <w:pStyle w:val="ListBullet"/>
      </w:pPr>
      <w:r/>
      <w:r>
        <w:rPr>
          <w:b/>
        </w:rPr>
        <w:t>Locaux peu fréquents (1/100 à 1/1000)</w:t>
      </w:r>
      <w:r>
        <w:t xml:space="preserve"> : prurit oculaire, œdème palpébral léger (réaction allergique), kératite ponctuée superficielle (en cas d'usage prolongé avec formulation conservée au BAK — risque principal à prévenir) ;</w:t>
      </w:r>
    </w:p>
    <w:p>
      <w:pPr>
        <w:pStyle w:val="ListBullet"/>
      </w:pPr>
      <w:r/>
      <w:r>
        <w:rPr>
          <w:b/>
        </w:rPr>
        <w:t>Locaux rares (&lt; 1/1000)</w:t>
      </w:r>
      <w:r>
        <w:t xml:space="preserve"> : réaction allergique sévère (œdème de Quincke palpébral, choc anaphylactique — exceptionnel) ;</w:t>
      </w:r>
    </w:p>
    <w:p>
      <w:pPr>
        <w:pStyle w:val="ListBullet"/>
      </w:pPr>
      <w:r/>
      <w:r>
        <w:rPr>
          <w:b/>
        </w:rPr>
        <w:t>Systémiques</w:t>
      </w:r>
      <w:r>
        <w:t xml:space="preserve"> : néant à ce jour pour l'HPMC (polymère non absorbé). Toutefois, le BAK contenu dans les formulations multidoses peut être responsable d'effets systémiques en cas d'usage prolongé et massif (chez l'enfant notamment) : asthme, rhinite, dermatite atopique aggravée.</w:t>
      </w:r>
    </w:p>
    <w:p>
      <w:pPr>
        <w:pStyle w:val="Heading3"/>
      </w:pPr>
      <w:r>
        <w:t>Prévention et gestion des effets indésirables</w:t>
      </w:r>
    </w:p>
    <w:p>
      <w:r>
        <w:t>La prévention des EI de l'HPMC repose sur des principes simples :</w:t>
      </w:r>
    </w:p>
    <w:p>
      <w:pPr>
        <w:pStyle w:val="ListNumber"/>
      </w:pPr>
      <w:r/>
      <w:r>
        <w:rPr>
          <w:b/>
        </w:rPr>
        <w:t>Choix de la formulation</w:t>
      </w:r>
      <w:r>
        <w:t xml:space="preserve"> :</w:t>
      </w:r>
    </w:p>
    <w:p>
      <w:pPr>
        <w:pStyle w:val="ListBullet"/>
      </w:pPr>
      <w:r>
        <w:t>Pour un traitement court (&lt; 1 mois) et peu fréquent (≤ 4 instillations/jour) : formulation multidose avec conservateur (BAK 0,01 %) acceptable ;</w:t>
      </w:r>
    </w:p>
    <w:p>
      <w:pPr>
        <w:pStyle w:val="ListBullet"/>
      </w:pPr>
      <w:r>
        <w:t>Pour un traitement prolongé (&gt; 1 mois) ou fréquent (&gt; 4 instillations/jour) : privilégier les formes unidoses sans conservateur, ou les formulations multidoses avec système de conservation moderne (oxydo-réduction, système COMOD, sodium chlorite) ;</w:t>
      </w:r>
    </w:p>
    <w:p>
      <w:pPr>
        <w:pStyle w:val="ListBullet"/>
      </w:pPr>
      <w:r>
        <w:t>Pour le porteur de lentilles de contact : formes sans conservateur obligatoires ;</w:t>
      </w:r>
    </w:p>
    <w:p>
      <w:pPr>
        <w:pStyle w:val="ListBullet"/>
      </w:pPr>
      <w:r>
        <w:t>Pour le syndrome sec sévère : préférer les gels de carbomère ou l'acide hyaluronique, ou associer un gel nocturne.</w:t>
      </w:r>
    </w:p>
    <w:p>
      <w:pPr>
        <w:pStyle w:val="ListNumber"/>
      </w:pPr>
      <w:r/>
      <w:r>
        <w:rPr>
          <w:b/>
        </w:rPr>
        <w:t>Éducation à l'instillation</w:t>
      </w:r>
      <w:r>
        <w:t xml:space="preserve"> :</w:t>
      </w:r>
    </w:p>
    <w:p>
      <w:pPr>
        <w:pStyle w:val="ListBullet"/>
      </w:pPr>
      <w:r>
        <w:t>Lavage soigneux des mains avant instillation ;</w:t>
      </w:r>
    </w:p>
    <w:p>
      <w:pPr>
        <w:pStyle w:val="ListBullet"/>
      </w:pPr>
      <w:r>
        <w:t>Ne pas toucher l'embout du flacon avec les doigts ou les cils (risque de contamination) ;</w:t>
      </w:r>
    </w:p>
    <w:p>
      <w:pPr>
        <w:pStyle w:val="ListBullet"/>
      </w:pPr>
      <w:r>
        <w:t>Pencher la tête en arrière, tirer la paupière inférieure vers le bas, regarder vers le haut, instiller 1 goutte dans le cul-de-sac conjonctival inférieur ;</w:t>
      </w:r>
    </w:p>
    <w:p>
      <w:pPr>
        <w:pStyle w:val="ListBullet"/>
      </w:pPr>
      <w:r>
        <w:t>Cligner doucement plusieurs fois pour répartir le collyre ;</w:t>
      </w:r>
    </w:p>
    <w:p>
      <w:pPr>
        <w:pStyle w:val="ListBullet"/>
      </w:pPr>
      <w:r>
        <w:t>Refermer le flacon immédiatement après usage ;</w:t>
      </w:r>
    </w:p>
    <w:p>
      <w:pPr>
        <w:pStyle w:val="ListBullet"/>
      </w:pPr>
      <w:r>
        <w:t>Ne pas utiliser le flacon &gt; 28 jours après ouverture (formulations multidoses avec BAK) ou 24 h après ouverture (unidoses).</w:t>
      </w:r>
    </w:p>
    <w:p>
      <w:pPr>
        <w:pStyle w:val="ListNumber"/>
      </w:pPr>
      <w:r/>
      <w:r>
        <w:rPr>
          <w:b/>
        </w:rPr>
        <w:t>Surveillance locale</w:t>
      </w:r>
      <w:r>
        <w:t xml:space="preserve"> :</w:t>
      </w:r>
    </w:p>
    <w:p>
      <w:pPr>
        <w:pStyle w:val="ListBullet"/>
      </w:pPr>
      <w:r>
        <w:t>Auto-surveillance par le patient : signes d'aggravation (rougeur, douleur, photophobie croissante, baisse d'acuité visuelle) nécessitent une consultation ophtalmologique ;</w:t>
      </w:r>
    </w:p>
    <w:p>
      <w:pPr>
        <w:pStyle w:val="ListBullet"/>
      </w:pPr>
      <w:r>
        <w:t>Examen biomicroscopique à la lampe fente avec coloration à la fluorescéine et au vert de lissamine tous les 3 à 6 mois en cas de traitement prolongé ;</w:t>
      </w:r>
    </w:p>
    <w:p>
      <w:pPr>
        <w:pStyle w:val="ListBullet"/>
      </w:pPr>
      <w:r>
        <w:t>Évaluation du test de Schirmer et du BUT tous les 6 mois en cas de syndrome sec sévère.</w:t>
      </w:r>
    </w:p>
    <w:p>
      <w:pPr>
        <w:pStyle w:val="ListNumber"/>
      </w:pPr>
      <w:r/>
      <w:r>
        <w:rPr>
          <w:b/>
        </w:rPr>
        <w:t>Prévention de la toxicité cumulée du BAK</w:t>
      </w:r>
      <w:r>
        <w:t xml:space="preserve"> :</w:t>
      </w:r>
    </w:p>
    <w:p>
      <w:pPr>
        <w:pStyle w:val="ListBullet"/>
      </w:pPr>
      <w:r>
        <w:t>Limiter les formulations conservées au BAK à 4 instillations/jour et à 1 mois de traitement continu ;</w:t>
      </w:r>
    </w:p>
    <w:p>
      <w:pPr>
        <w:pStyle w:val="ListBullet"/>
      </w:pPr>
      <w:r>
        <w:t>Préférer systématiquement les formulations sans conservateur au-delà de ces seuils ;</w:t>
      </w:r>
    </w:p>
    <w:p>
      <w:pPr>
        <w:pStyle w:val="ListBullet"/>
      </w:pPr>
      <w:r>
        <w:t>Chez le patient polymédiqué ophtalmique (glaucome chronique + syndrome sec), le cumul des conservateurs (BAK de plusieurs collyres) expose à une toxicité additive : toujours calculer la dose cumulée de BAK quotidienne et privilégier les associations fixes sans conservateur ou les formulations à système de filtration moderne.</w:t>
      </w:r>
    </w:p>
    <w:p>
      <w:pPr>
        <w:pStyle w:val="ListNumber"/>
      </w:pPr>
      <w:r/>
      <w:r>
        <w:rPr>
          <w:b/>
        </w:rPr>
        <w:t>Conduite à tenir en cas d'intolérance</w:t>
      </w:r>
      <w:r>
        <w:t xml:space="preserve"> :</w:t>
      </w:r>
    </w:p>
    <w:p>
      <w:pPr>
        <w:pStyle w:val="ListBullet"/>
      </w:pPr>
      <w:r>
        <w:t>Si réaction locale à type de brûlure intense, prurit, hyperhémie marquée : arrêter le collyre, rincer à l'eau ou au sérum physiologique, consulter un ophtalmologiste pour changement de formulation ;</w:t>
      </w:r>
    </w:p>
    <w:p>
      <w:pPr>
        <w:pStyle w:val="ListBullet"/>
      </w:pPr>
      <w:r>
        <w:t>Si réaction allergique (œdème palpébral, urticaire périorbitaire) : arrêt définitif, avis médical urgent, antihistaminique oral si nécessaire.</w:t>
      </w:r>
    </w:p>
    <w:p>
      <w:pPr>
        <w:pStyle w:val="Heading3"/>
      </w:pPr>
      <w:r>
        <w:t>Interactions médicamenteuses</w:t>
      </w:r>
    </w:p>
    <w:p>
      <w:r>
        <w:t>Les interactions médicamenteuses de l'HPMC sont essentiellement liées au conservateur (BAK) et à la succession des instillations :</w:t>
      </w:r>
    </w:p>
    <w:p>
      <w:pPr>
        <w:pStyle w:val="ListBullet"/>
      </w:pPr>
      <w:r/>
      <w:r>
        <w:rPr>
          <w:b/>
        </w:rPr>
        <w:t>Avec les autres collyres ophtalmiques</w:t>
      </w:r>
      <w:r>
        <w:t xml:space="preserve"> : respecter un intervalle de </w:t>
      </w:r>
      <w:r>
        <w:rPr>
          <w:b/>
        </w:rPr>
        <w:t>15 minutes minimum</w:t>
      </w:r>
      <w:r>
        <w:t xml:space="preserve"> entre deux instillations de collyres différents (HPMC + collyre antiglaucomateux, HPMC + collyre corticoïde, etc.). L'instillation simultanée peut provoquer un lavage réciproque et une perte d'efficacité ; l'instillation de l'HPMC en second (après le collyre actif) est recommandée pour bénéficier de son effet lubrifiant protecteur.</w:t>
      </w:r>
    </w:p>
    <w:p>
      <w:pPr>
        <w:pStyle w:val="ListBullet"/>
      </w:pPr>
      <w:r/>
      <w:r>
        <w:rPr>
          <w:b/>
        </w:rPr>
        <w:t>Avec les lentilles de contact</w:t>
      </w:r>
      <w:r>
        <w:t xml:space="preserve"> :</w:t>
      </w:r>
    </w:p>
    <w:p>
      <w:pPr>
        <w:pStyle w:val="ListBullet"/>
      </w:pPr>
      <w:r>
        <w:t>Lentilles souples hydrophiles : retirer avant instillation de collyre conservé au BAK, ne remettre qu'après 15–20 minutes (le BAK se concentre dans la matrice hydrophile et expose à une toxicité cornéenne prolongée) ;</w:t>
      </w:r>
    </w:p>
    <w:p>
      <w:pPr>
        <w:pStyle w:val="ListBullet"/>
      </w:pPr>
      <w:r>
        <w:t>Lentilles rigides perméables au gaz : tolérance acceptable du BAK mais préférer formes sans conservateur ;</w:t>
      </w:r>
    </w:p>
    <w:p>
      <w:pPr>
        <w:pStyle w:val="ListBullet"/>
      </w:pPr>
      <w:r>
        <w:t>Lentilles journalières jetables : compatibles avec collyre sans conservateur, à instiller avant la pose.</w:t>
      </w:r>
    </w:p>
    <w:p>
      <w:pPr>
        <w:pStyle w:val="ListBullet"/>
      </w:pPr>
      <w:r/>
      <w:r>
        <w:rPr>
          <w:b/>
        </w:rPr>
        <w:t>Avec les anesthésiques locaux ophtalmiques</w:t>
      </w:r>
      <w:r>
        <w:t xml:space="preserve"> (oxybuprocaïne, tétracaïne) : l'HPMC peut être instillé avant l'anesthésique pour réduire la douleur à l'instillation de ce dernier, ou après pour lubrifier la cornée anesthésiée (qui est alors privée du réflexe de clignement protecteur).</w:t>
      </w:r>
    </w:p>
    <w:p>
      <w:pPr>
        <w:pStyle w:val="ListBullet"/>
      </w:pPr>
      <w:r/>
      <w:r>
        <w:rPr>
          <w:b/>
        </w:rPr>
        <w:t>Avec les collyres myotiques (glaucome aigu)</w:t>
      </w:r>
      <w:r>
        <w:t xml:space="preserve"> : pas d'interaction pharmacologique, mais instiller l'HPMC en second après le myotique.</w:t>
      </w:r>
    </w:p>
    <w:p>
      <w:pPr>
        <w:pStyle w:val="ListBullet"/>
      </w:pPr>
      <w:r/>
      <w:r>
        <w:rPr>
          <w:b/>
        </w:rPr>
        <w:t>Avec les collyres mydriatiques</w:t>
      </w:r>
      <w:r>
        <w:t xml:space="preserve"> : pas d'interaction pharmacologique, mais surveiller le risque de syndrome sec aggravé par la mydriase prolongée (diminution du clignement).</w:t>
      </w:r>
    </w:p>
    <w:p>
      <w:pPr>
        <w:pStyle w:val="ListBullet"/>
      </w:pPr>
      <w:r/>
      <w:r>
        <w:rPr>
          <w:b/>
        </w:rPr>
        <w:t>Interactions systémiques</w:t>
      </w:r>
      <w:r>
        <w:t xml:space="preserve"> : aucune (HPMC non absorbé). Le BAK contenu dans les formulations multidoses peut interagir avec les autres médicaments ophtalmiques contenant du BAK (effet cumulatif toxique).</w:t>
      </w:r>
    </w:p>
    <w:p>
      <w:pPr>
        <w:pStyle w:val="Heading3"/>
      </w:pPr>
      <w:r>
        <w:t>Grossesse et allaitement (CRAT)</w:t>
      </w:r>
    </w:p>
    <w:p>
      <w:r/>
      <w:r>
        <w:rPr>
          <w:b/>
        </w:rPr>
        <w:t>Grossesse</w:t>
      </w:r>
      <w:r>
        <w:t xml:space="preserve"> :</w:t>
      </w:r>
    </w:p>
    <w:p>
      <w:pPr>
        <w:pStyle w:val="ListBullet"/>
      </w:pPr>
      <w:r>
        <w:t>Données CRAT : l'HPMC est un polymère de haut poids moléculaire qui ne traverse ni la cornée (de manière significative), ni la barrière placentaire. Aucun effet tératogène, fœtotoxique ou mutagène n'a été documenté à ce jour, et les données publiées chez la femme enceinte exposée (séries limitées) sont rassurantes. Le BAK, présent dans les formulations multidoses, n'a pas d'effet tératogène démontré à doses oculaires, mais par prudence, on préfère les formulations sans conservateur pendant la grossesse.</w:t>
      </w:r>
    </w:p>
    <w:p>
      <w:pPr>
        <w:pStyle w:val="ListBullet"/>
      </w:pPr>
      <w:r>
        <w:t xml:space="preserve">Recommandation CRAT : </w:t>
      </w:r>
      <w:r>
        <w:rPr>
          <w:b/>
        </w:rPr>
        <w:t>utilisable pendant la grossesse</w:t>
      </w:r>
      <w:r>
        <w:t>, en privilégiant les formulations sans conservateur (unidoses, ou flacons multidoses avec système de filtration moderne).</w:t>
      </w:r>
    </w:p>
    <w:p>
      <w:pPr>
        <w:pStyle w:val="ListBullet"/>
      </w:pPr>
      <w:r>
        <w:t>Alternative : acide hyaluronique sans conservateur (THEALOZ, HYLO) ; carbomère en gel sans conservateur ; sérum autologue en cas de syndrome sévère.</w:t>
      </w:r>
    </w:p>
    <w:p>
      <w:r/>
      <w:r>
        <w:rPr>
          <w:b/>
        </w:rPr>
        <w:t>Allaitement</w:t>
      </w:r>
      <w:r>
        <w:t xml:space="preserve"> :</w:t>
      </w:r>
    </w:p>
    <w:p>
      <w:pPr>
        <w:pStyle w:val="ListBullet"/>
      </w:pPr>
      <w:r>
        <w:t>Données CRAT : l'HPMC ne passe pas dans le lait maternel (poids moléculaire élevé, non absorbé systémiquement). Le BAK peut être absorbé par la muqueuse naso-pharyngée après drainage lacrymal mais à doses oculaires, les concentrations systémiques sont négligeables et non détectables dans le lait.</w:t>
      </w:r>
    </w:p>
    <w:p>
      <w:pPr>
        <w:pStyle w:val="ListBullet"/>
      </w:pPr>
      <w:r>
        <w:t xml:space="preserve">Recommandation CRAT : </w:t>
      </w:r>
      <w:r>
        <w:rPr>
          <w:b/>
        </w:rPr>
        <w:t>compatible avec l'allaitement</w:t>
      </w:r>
      <w:r>
        <w:t>, en privilégiant les formulations sans conservateur par prudence.</w:t>
      </w:r>
    </w:p>
    <w:p>
      <w:pPr>
        <w:pStyle w:val="ListBullet"/>
      </w:pPr>
      <w:r>
        <w:t>Alternative : identique à la grossesse.</w:t>
      </w:r>
    </w:p>
    <w:p>
      <w:r/>
      <w:r>
        <w:rPr>
          <w:b/>
        </w:rPr>
        <w:t>Femme en âge de procréer / contraception</w:t>
      </w:r>
      <w:r>
        <w:t xml:space="preserve"> : pas de précaution particulière.</w:t>
      </w:r>
    </w:p>
    <w:p>
      <w:pPr>
        <w:pStyle w:val="Heading3"/>
      </w:pPr>
      <w:r>
        <w:t>Posologie et mode d'administration</w:t>
      </w:r>
    </w:p>
    <w:p>
      <w:r/>
      <w:r>
        <w:rPr>
          <w:b/>
        </w:rPr>
        <w:t>Adulte</w:t>
      </w:r>
      <w:r>
        <w:t xml:space="preserve"> :</w:t>
      </w:r>
    </w:p>
    <w:p>
      <w:pPr>
        <w:pStyle w:val="ListBullet"/>
      </w:pPr>
      <w:r>
        <w:t>Formulation collyre multidose (HPMC 0,5 % + BAK 0,01 %) : 1 goutte dans chaque œil, 4 à 6 fois par jour selon la sévérité. Ne pas dépasser 4 instillations/jour en cas de formulation conservée au BAK.</w:t>
      </w:r>
    </w:p>
    <w:p>
      <w:pPr>
        <w:pStyle w:val="ListBullet"/>
      </w:pPr>
      <w:r>
        <w:t>Formulation collyre sans conservateur (unidose ou multidose moderne) : 1 goutte dans chaque œil, 4 à 8 fois par jour selon la sévérité. Possibilité d'instillations horaires en cas de poussée aiguë.</w:t>
      </w:r>
    </w:p>
    <w:p>
      <w:pPr>
        <w:pStyle w:val="ListBullet"/>
      </w:pPr>
      <w:r>
        <w:t>Formulation gel (HPMC 1 %) : 1 goutte dans chaque œil, 1 à 2 fois par jour, en particulier au coucher (effet prolongé nocturne).</w:t>
      </w:r>
    </w:p>
    <w:p>
      <w:r/>
      <w:r>
        <w:rPr>
          <w:b/>
        </w:rPr>
        <w:t>Enfant &gt; 3 ans</w:t>
      </w:r>
      <w:r>
        <w:t xml:space="preserve"> :</w:t>
      </w:r>
    </w:p>
    <w:p>
      <w:pPr>
        <w:pStyle w:val="ListBullet"/>
      </w:pPr>
      <w:r>
        <w:t>Formulation sans conservateur obligatoire (préférence absolue) ;</w:t>
      </w:r>
    </w:p>
    <w:p>
      <w:pPr>
        <w:pStyle w:val="ListBullet"/>
      </w:pPr>
      <w:r>
        <w:t>1 goutte dans chaque œil, 3 à 4 fois par jour selon la sévérité.</w:t>
      </w:r>
    </w:p>
    <w:p>
      <w:r/>
      <w:r>
        <w:rPr>
          <w:b/>
        </w:rPr>
        <w:t>Nourrisson &lt; 3 ans</w:t>
      </w:r>
      <w:r>
        <w:t xml:space="preserve"> :</w:t>
      </w:r>
    </w:p>
    <w:p>
      <w:pPr>
        <w:pStyle w:val="ListBullet"/>
      </w:pPr>
      <w:r>
        <w:t>Sur avis ophtalmologique spécialisé uniquement ;</w:t>
      </w:r>
    </w:p>
    <w:p>
      <w:pPr>
        <w:pStyle w:val="ListBullet"/>
      </w:pPr>
      <w:r>
        <w:t>Formulation sans conservateur obligatoire ;</w:t>
      </w:r>
    </w:p>
    <w:p>
      <w:pPr>
        <w:pStyle w:val="ListBullet"/>
      </w:pPr>
      <w:r>
        <w:t>1 goutte × 2 à 3 fois/jour.</w:t>
      </w:r>
    </w:p>
    <w:p>
      <w:r/>
      <w:r>
        <w:rPr>
          <w:b/>
        </w:rPr>
        <w:t>Sujet âgé</w:t>
      </w:r>
      <w:r>
        <w:t xml:space="preserve"> :</w:t>
      </w:r>
    </w:p>
    <w:p>
      <w:pPr>
        <w:pStyle w:val="ListBullet"/>
      </w:pPr>
      <w:r>
        <w:t>Pas d'adaptation posologique systématique ;</w:t>
      </w:r>
    </w:p>
    <w:p>
      <w:pPr>
        <w:pStyle w:val="ListBullet"/>
      </w:pPr>
      <w:r>
        <w:t>Surveillance accrue de la tolérance locale (BAK contre-indiqué en cas de sécheresse sévère associée).</w:t>
      </w:r>
    </w:p>
    <w:p>
      <w:r/>
      <w:r>
        <w:rPr>
          <w:b/>
        </w:rPr>
        <w:t>Mode d'administration</w:t>
      </w:r>
      <w:r>
        <w:t xml:space="preserve"> :</w:t>
      </w:r>
    </w:p>
    <w:p>
      <w:pPr>
        <w:pStyle w:val="ListNumber"/>
      </w:pPr>
      <w:r>
        <w:t>Se laver les mains soigneusement ;</w:t>
      </w:r>
    </w:p>
    <w:p>
      <w:pPr>
        <w:pStyle w:val="ListNumber"/>
      </w:pPr>
      <w:r>
        <w:t>Si port de lentilles de contact, retirer les lentilles (sauf si la formulation est explicitement compatible lentilles — sans conservateur) ;</w:t>
      </w:r>
    </w:p>
    <w:p>
      <w:pPr>
        <w:pStyle w:val="ListNumber"/>
      </w:pPr>
      <w:r>
        <w:t>Pencher la tête en arrière, regard vers le haut ;</w:t>
      </w:r>
    </w:p>
    <w:p>
      <w:pPr>
        <w:pStyle w:val="ListNumber"/>
      </w:pPr>
      <w:r>
        <w:t>Tirer la paupière inférieure vers le bas pour créer un cul-de-sac conjonctival ;</w:t>
      </w:r>
    </w:p>
    <w:p>
      <w:pPr>
        <w:pStyle w:val="ListNumber"/>
      </w:pPr>
      <w:r>
        <w:t>Approcher l'embout du flacon sans toucher l'œil, les cils ou les doigts ;</w:t>
      </w:r>
    </w:p>
    <w:p>
      <w:pPr>
        <w:pStyle w:val="ListNumber"/>
      </w:pPr>
      <w:r>
        <w:t>Presser délicatement pour déposer 1 goutte dans le cul-de-sac inférieur ;</w:t>
      </w:r>
    </w:p>
    <w:p>
      <w:pPr>
        <w:pStyle w:val="ListNumber"/>
      </w:pPr>
      <w:r>
        <w:t>Lâcher la paupière, cligner doucement plusieurs fois ;</w:t>
      </w:r>
    </w:p>
    <w:p>
      <w:pPr>
        <w:pStyle w:val="ListNumber"/>
      </w:pPr>
      <w:r>
        <w:t>Essuyer l'embout avec un mouchoir propre, refermer le flacon ;</w:t>
      </w:r>
    </w:p>
    <w:p>
      <w:pPr>
        <w:pStyle w:val="ListNumber"/>
      </w:pPr>
      <w:r>
        <w:t>Si plusieurs collyres sont prescrits, respecter un intervalle de 15 minutes entre chaque.</w:t>
      </w:r>
    </w:p>
    <w:p>
      <w:r/>
      <w:r>
        <w:rPr>
          <w:b/>
        </w:rPr>
        <w:t>Durée de traitement</w:t>
      </w:r>
      <w:r>
        <w:t xml:space="preserve"> : selon la cause du syndrome sec. Les formes idiopathiques, post-ménopausiques, liées au travail sur écran nécessitent un traitement au long cours (plusieurs mois, voire à vie). Les formes post-opératoires ou transitoires (médicamenteuses) sont traitées pour 1 à 3 mois.</w:t>
      </w:r>
    </w:p>
    <w:p>
      <w:pPr>
        <w:pStyle w:val="Heading3"/>
      </w:pPr>
      <w:r>
        <w:t>Surveillance biologique et suivi clinique</w:t>
      </w:r>
    </w:p>
    <w:p>
      <w:r>
        <w:t>La surveillance de l'HPMC repose principalement sur l'évaluation clinique ophtalmologique :</w:t>
      </w:r>
    </w:p>
    <w:p>
      <w:pPr>
        <w:pStyle w:val="ListBullet"/>
      </w:pPr>
      <w:r/>
      <w:r>
        <w:rPr>
          <w:b/>
        </w:rPr>
        <w:t>Auto-surveillance par le patient</w:t>
      </w:r>
      <w:r>
        <w:t xml:space="preserve"> (signes d'alerte) :</w:t>
      </w:r>
    </w:p>
    <w:p>
      <w:pPr>
        <w:pStyle w:val="ListBullet"/>
      </w:pPr>
      <w:r>
        <w:t>Aggravation de la sécheresse oculaire malgré le traitement ;</w:t>
      </w:r>
    </w:p>
    <w:p>
      <w:pPr>
        <w:pStyle w:val="ListBullet"/>
      </w:pPr>
      <w:r>
        <w:t>Apparition de douleur, de photophobie, de rougeur marquée ;</w:t>
      </w:r>
    </w:p>
    <w:p>
      <w:pPr>
        <w:pStyle w:val="ListBullet"/>
      </w:pPr>
      <w:r>
        <w:t>Baisse d'acuité visuelle persistante (&gt; 24 h) ;</w:t>
      </w:r>
    </w:p>
    <w:p>
      <w:pPr>
        <w:pStyle w:val="ListBullet"/>
      </w:pPr>
      <w:r>
        <w:t>Sécrétions purulentes (suspicion de surinfection bactérienne) ;</w:t>
      </w:r>
    </w:p>
    <w:p>
      <w:pPr>
        <w:pStyle w:val="ListBullet"/>
      </w:pPr>
      <w:r>
        <w:t>Intolérance locale (brûlure à l'instillation, prurit, œdème palpébral).</w:t>
      </w:r>
    </w:p>
    <w:p>
      <w:pPr>
        <w:pStyle w:val="ListBullet"/>
      </w:pPr>
      <w:r/>
      <w:r>
        <w:rPr>
          <w:b/>
        </w:rPr>
        <w:t>Examen ophtalmologique de suivi (3 à 6 mois en traitement prolongé)</w:t>
      </w:r>
      <w:r>
        <w:t xml:space="preserve"> :</w:t>
      </w:r>
    </w:p>
    <w:p>
      <w:pPr>
        <w:pStyle w:val="ListBullet"/>
      </w:pPr>
      <w:r>
        <w:t>Acuité visuelle de loin et de près ;</w:t>
      </w:r>
    </w:p>
    <w:p>
      <w:pPr>
        <w:pStyle w:val="ListBullet"/>
      </w:pPr>
      <w:r>
        <w:t>Examen biomicroscopique à la lampe fente : état du film lacrymal (hauteur du ménisque lacrymal), état de la cornée (coloration à la fluorescéine — recherche de kératite ponctuée superficielle), état de la conjonctive (hyperhémie, coloration au vert de lissamine) ;</w:t>
      </w:r>
    </w:p>
    <w:p>
      <w:pPr>
        <w:pStyle w:val="ListBullet"/>
      </w:pPr>
      <w:r>
        <w:t>Test de Schirmer I (sans anesthésie) : &lt; 10 mm/5 min = sécheresse aqueuse ;</w:t>
      </w:r>
    </w:p>
    <w:p>
      <w:pPr>
        <w:pStyle w:val="ListBullet"/>
      </w:pPr>
      <w:r>
        <w:t>Temps de rupture du film lacrymal (BUT) : &lt; 10 s = instabilité du film lacrymal ;</w:t>
      </w:r>
    </w:p>
    <w:p>
      <w:pPr>
        <w:pStyle w:val="ListBullet"/>
      </w:pPr>
      <w:r>
        <w:t>Test osmolaire du film lacrymal (TearLab) si disponible : &gt; 316 mOsm/L = sécheresse objective ;</w:t>
      </w:r>
    </w:p>
    <w:p>
      <w:pPr>
        <w:pStyle w:val="ListBullet"/>
      </w:pPr>
      <w:r>
        <w:t>Évaluation de la sévérité selon le score DEWS (asymptomatique → sévère).</w:t>
      </w:r>
    </w:p>
    <w:p>
      <w:pPr>
        <w:pStyle w:val="ListBullet"/>
      </w:pPr>
      <w:r/>
      <w:r>
        <w:rPr>
          <w:b/>
        </w:rPr>
        <w:t>Surveillance du retentissement fonctionnel</w:t>
      </w:r>
      <w:r>
        <w:t xml:space="preserve"> :</w:t>
      </w:r>
    </w:p>
    <w:p>
      <w:pPr>
        <w:pStyle w:val="ListBullet"/>
      </w:pPr>
      <w:r>
        <w:t>Évaluation de la qualité de vie liée à la vision (questionnaire OSDI — Ocular Surface Disease Index) ;</w:t>
      </w:r>
    </w:p>
    <w:p>
      <w:pPr>
        <w:pStyle w:val="ListBullet"/>
      </w:pPr>
      <w:r>
        <w:t>Évaluation de l'impact professionnel (lecture, travail sur écran, conduite nocturne) ;</w:t>
      </w:r>
    </w:p>
    <w:p>
      <w:pPr>
        <w:pStyle w:val="ListBullet"/>
      </w:pPr>
      <w:r>
        <w:t>Recherche de complications (kératite filamenteuse, ulcère cornéen, néovascularisation cornéenne).</w:t>
      </w:r>
    </w:p>
    <w:p>
      <w:pPr>
        <w:pStyle w:val="ListBullet"/>
      </w:pPr>
      <w:r/>
      <w:r>
        <w:rPr>
          <w:b/>
        </w:rPr>
        <w:t>Aucune surveillance biologique systémique</w:t>
      </w:r>
      <w:r>
        <w:t xml:space="preserve"> n'est nécessaire (HPMC non absorbé, pas d'effet métabolique ou hématologique).</w:t>
      </w:r>
    </w:p>
    <w:p>
      <w:pPr>
        <w:pStyle w:val="Heading3"/>
      </w:pPr>
      <w:r>
        <w:t>Arbitrage et bénéfices des formes galéniques</w:t>
      </w:r>
    </w:p>
    <w:p>
      <w:r>
        <w:t>Le choix de la forme galénique de l'HPMC dépend du contexte clinique :</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Forme galénique</w:t>
            </w:r>
          </w:p>
        </w:tc>
        <w:tc>
          <w:tcPr>
            <w:tcW w:type="dxa" w:w="2339"/>
          </w:tcPr>
          <w:p>
            <w:r>
              <w:rPr>
                <w:b/>
                <w:sz w:val="20"/>
              </w:rPr>
              <w:t>Avantages</w:t>
            </w:r>
          </w:p>
        </w:tc>
        <w:tc>
          <w:tcPr>
            <w:tcW w:type="dxa" w:w="2339"/>
          </w:tcPr>
          <w:p>
            <w:r>
              <w:rPr>
                <w:b/>
                <w:sz w:val="20"/>
              </w:rPr>
              <w:t>Inconvénients</w:t>
            </w:r>
          </w:p>
        </w:tc>
        <w:tc>
          <w:tcPr>
            <w:tcW w:type="dxa" w:w="2339"/>
          </w:tcPr>
          <w:p>
            <w:r>
              <w:rPr>
                <w:b/>
                <w:sz w:val="20"/>
              </w:rPr>
              <w:t>Indications préférentielles</w:t>
            </w:r>
          </w:p>
        </w:tc>
      </w:tr>
      <w:tr>
        <w:tc>
          <w:tcPr>
            <w:tcW w:type="dxa" w:w="2339"/>
          </w:tcPr>
          <w:p>
            <w:r>
              <w:rPr>
                <w:sz w:val="20"/>
              </w:rPr>
              <w:t>Collyre multidose avec BAK</w:t>
            </w:r>
          </w:p>
        </w:tc>
        <w:tc>
          <w:tcPr>
            <w:tcW w:type="dxa" w:w="2339"/>
          </w:tcPr>
          <w:p>
            <w:r>
              <w:rPr>
                <w:sz w:val="20"/>
              </w:rPr>
              <w:t>Coût modéré, conservation 28 jours après ouverture</w:t>
            </w:r>
          </w:p>
        </w:tc>
        <w:tc>
          <w:tcPr>
            <w:tcW w:type="dxa" w:w="2339"/>
          </w:tcPr>
          <w:p>
            <w:r>
              <w:rPr>
                <w:sz w:val="20"/>
              </w:rPr>
              <w:t>Toxicité BAK en usage prolongé &gt; 1 mois ou &gt; 4 instillations/j</w:t>
            </w:r>
          </w:p>
        </w:tc>
        <w:tc>
          <w:tcPr>
            <w:tcW w:type="dxa" w:w="2339"/>
          </w:tcPr>
          <w:p>
            <w:r>
              <w:rPr>
                <w:sz w:val="20"/>
              </w:rPr>
              <w:t>Sécheresse modérée transitoire (&lt; 1 mois), patient non porteur de lentilles</w:t>
            </w:r>
          </w:p>
        </w:tc>
      </w:tr>
      <w:tr>
        <w:tc>
          <w:tcPr>
            <w:tcW w:type="dxa" w:w="2339"/>
          </w:tcPr>
          <w:p>
            <w:r>
              <w:rPr>
                <w:sz w:val="20"/>
              </w:rPr>
              <w:t>Collyre multidose sans conservateur (système COMOD, oxydo-réduction, sodium chlorite)</w:t>
            </w:r>
          </w:p>
        </w:tc>
        <w:tc>
          <w:tcPr>
            <w:tcW w:type="dxa" w:w="2339"/>
          </w:tcPr>
          <w:p>
            <w:r>
              <w:rPr>
                <w:sz w:val="20"/>
              </w:rPr>
              <w:t>Conservation 6 mois après ouverture, pas de toxicité BAK, économie d'unidoses</w:t>
            </w:r>
          </w:p>
        </w:tc>
        <w:tc>
          <w:tcPr>
            <w:tcW w:type="dxa" w:w="2339"/>
          </w:tcPr>
          <w:p>
            <w:r>
              <w:rPr>
                <w:sz w:val="20"/>
              </w:rPr>
              <w:t>Coût plus élevé, disponibilité variable en Algérie</w:t>
            </w:r>
          </w:p>
        </w:tc>
        <w:tc>
          <w:tcPr>
            <w:tcW w:type="dxa" w:w="2339"/>
          </w:tcPr>
          <w:p>
            <w:r>
              <w:rPr>
                <w:sz w:val="20"/>
              </w:rPr>
              <w:t>Sécheresse modérée à sévère au long cours, port de lentilles</w:t>
            </w:r>
          </w:p>
        </w:tc>
      </w:tr>
      <w:tr>
        <w:tc>
          <w:tcPr>
            <w:tcW w:type="dxa" w:w="2339"/>
          </w:tcPr>
          <w:p>
            <w:r>
              <w:rPr>
                <w:sz w:val="20"/>
              </w:rPr>
              <w:t>Collyre unidose sans conservateur</w:t>
            </w:r>
          </w:p>
        </w:tc>
        <w:tc>
          <w:tcPr>
            <w:tcW w:type="dxa" w:w="2339"/>
          </w:tcPr>
          <w:p>
            <w:r>
              <w:rPr>
                <w:sz w:val="20"/>
              </w:rPr>
              <w:t>Stérilité garantie, pas de toxicité BAK, idéal porteur de lentilles</w:t>
            </w:r>
          </w:p>
        </w:tc>
        <w:tc>
          <w:tcPr>
            <w:tcW w:type="dxa" w:w="2339"/>
          </w:tcPr>
          <w:p>
            <w:r>
              <w:rPr>
                <w:sz w:val="20"/>
              </w:rPr>
              <w:t>Coût plus élevé, manipulation plus fastidieuse, conservation 24 h après ouverture</w:t>
            </w:r>
          </w:p>
        </w:tc>
        <w:tc>
          <w:tcPr>
            <w:tcW w:type="dxa" w:w="2339"/>
          </w:tcPr>
          <w:p>
            <w:r>
              <w:rPr>
                <w:sz w:val="20"/>
              </w:rPr>
              <w:t>Sécheresse sévère, enfant, femme enceinte, porteur de lentilles, traitement prolongé</w:t>
            </w:r>
          </w:p>
        </w:tc>
      </w:tr>
      <w:tr>
        <w:tc>
          <w:tcPr>
            <w:tcW w:type="dxa" w:w="2339"/>
          </w:tcPr>
          <w:p>
            <w:r>
              <w:rPr>
                <w:sz w:val="20"/>
              </w:rPr>
              <w:t>Gel HPMC 1 %</w:t>
            </w:r>
          </w:p>
        </w:tc>
        <w:tc>
          <w:tcPr>
            <w:tcW w:type="dxa" w:w="2339"/>
          </w:tcPr>
          <w:p>
            <w:r>
              <w:rPr>
                <w:sz w:val="20"/>
              </w:rPr>
              <w:t>Temps de résidence prolongé (4–6 h), application nocturne</w:t>
            </w:r>
          </w:p>
        </w:tc>
        <w:tc>
          <w:tcPr>
            <w:tcW w:type="dxa" w:w="2339"/>
          </w:tcPr>
          <w:p>
            <w:r>
              <w:rPr>
                <w:sz w:val="20"/>
              </w:rPr>
              <w:t>Vision floue 10–15 min après instillation</w:t>
            </w:r>
          </w:p>
        </w:tc>
        <w:tc>
          <w:tcPr>
            <w:tcW w:type="dxa" w:w="2339"/>
          </w:tcPr>
          <w:p>
            <w:r>
              <w:rPr>
                <w:sz w:val="20"/>
              </w:rPr>
              <w:t>Sécheresse sévère nocturne, exposition cornéenne (lagophtalmie)</w:t>
            </w:r>
          </w:p>
        </w:tc>
      </w:tr>
      <w:tr>
        <w:tc>
          <w:tcPr>
            <w:tcW w:type="dxa" w:w="2339"/>
          </w:tcPr>
          <w:p>
            <w:r>
              <w:rPr>
                <w:sz w:val="20"/>
              </w:rPr>
              <w:t>Insert cornéen (Lacrisert)</w:t>
            </w:r>
          </w:p>
        </w:tc>
        <w:tc>
          <w:tcPr>
            <w:tcW w:type="dxa" w:w="2339"/>
          </w:tcPr>
          <w:p>
            <w:r>
              <w:rPr>
                <w:sz w:val="20"/>
              </w:rPr>
              <w:t>Libération lente 24 h</w:t>
            </w:r>
          </w:p>
        </w:tc>
        <w:tc>
          <w:tcPr>
            <w:tcW w:type="dxa" w:w="2339"/>
          </w:tcPr>
          <w:p>
            <w:r>
              <w:rPr>
                <w:sz w:val="20"/>
              </w:rPr>
              <w:t>Disponibilité limitée, difficulté de pose</w:t>
            </w:r>
          </w:p>
        </w:tc>
        <w:tc>
          <w:tcPr>
            <w:tcW w:type="dxa" w:w="2339"/>
          </w:tcPr>
          <w:p>
            <w:r>
              <w:rPr>
                <w:sz w:val="20"/>
              </w:rPr>
              <w:t>Sécheresse sévère refractaire</w:t>
            </w:r>
          </w:p>
        </w:tc>
      </w:tr>
    </w:tbl>
    <w:p/>
    <w:p>
      <w:r/>
      <w:r>
        <w:rPr>
          <w:b/>
        </w:rPr>
        <w:t>En Algérie</w:t>
      </w:r>
      <w:r>
        <w:t>, le choix est limité par la disponibilité des spécialités. La préparation magistrale de HPMC sans conservateur (en solution saline isotonique tamponnée phosphate) est une alternative viable en officine pour les patients nécessitant un traitement au long cours sans BAK.</w:t>
      </w:r>
    </w:p>
    <w:p>
      <w:pPr>
        <w:pStyle w:val="Heading3"/>
      </w:pPr>
      <w:r>
        <w:t>Instructions et conseils au patient</w:t>
      </w:r>
    </w:p>
    <w:p>
      <w:pPr>
        <w:pStyle w:val="ListNumber"/>
      </w:pPr>
      <w:r/>
      <w:r>
        <w:rPr>
          <w:b/>
        </w:rPr>
        <w:t>Information sur la pathologie</w:t>
      </w:r>
      <w:r>
        <w:t xml:space="preserve"> : expliquer au patient que le syndrome sec oculaire est une maladie chronique nécessitant un traitement régulier (et non ponctuel) pour soulager les symptômes et préserver la surface oculaire. Les larmes artificielles ne « guérissent » pas le syndrome sec mais le contrôlent ; l'arrêt du traitement s'accompagne en général de la récidive des symptômes.</w:t>
      </w:r>
    </w:p>
    <w:p>
      <w:pPr>
        <w:pStyle w:val="ListNumber"/>
      </w:pPr>
      <w:r/>
      <w:r>
        <w:rPr>
          <w:b/>
        </w:rPr>
        <w:t>Respect de la fréquence d'instillation</w:t>
      </w:r>
      <w:r>
        <w:t xml:space="preserve"> : il est essentiel d'instiller les larmes artificielles à intervalles réguliers (par exemple : lever, midi, après-midi, soir, coucher pour une prescription 4–5 fois/jour), et non en fonction de la présence ou non des symptômes. Un traitement prophylactique régulier est plus efficace qu'un traitement « à la demande ».</w:t>
      </w:r>
    </w:p>
    <w:p>
      <w:pPr>
        <w:pStyle w:val="ListNumber"/>
      </w:pPr>
      <w:r/>
      <w:r>
        <w:rPr>
          <w:b/>
        </w:rPr>
        <w:t>Lavage des mains</w:t>
      </w:r>
      <w:r>
        <w:t xml:space="preserve"> avant chaque instillation (prévention de la contamination microbienne du flacon).</w:t>
      </w:r>
    </w:p>
    <w:p>
      <w:pPr>
        <w:pStyle w:val="ListNumber"/>
      </w:pPr>
      <w:r/>
      <w:r>
        <w:rPr>
          <w:b/>
        </w:rPr>
        <w:t>Technique d'instillation</w:t>
      </w:r>
      <w:r>
        <w:t xml:space="preserve"> : pencher la tête en arrière, tirer la paupière inférieure, instiller 1 goutte, cligner doucement. Éviter de toucher l'œil avec l'embout du flacon.</w:t>
      </w:r>
    </w:p>
    <w:p>
      <w:pPr>
        <w:pStyle w:val="ListNumber"/>
      </w:pPr>
      <w:r/>
      <w:r>
        <w:rPr>
          <w:b/>
        </w:rPr>
        <w:t>Délai entre collyres</w:t>
      </w:r>
      <w:r>
        <w:t xml:space="preserve"> : en cas de prescription de plusieurs collyres, respecter un intervalle de </w:t>
      </w:r>
      <w:r>
        <w:rPr>
          <w:b/>
        </w:rPr>
        <w:t>15 minutes minimum</w:t>
      </w:r>
      <w:r>
        <w:t xml:space="preserve"> entre chaque instillation.</w:t>
      </w:r>
    </w:p>
    <w:p>
      <w:pPr>
        <w:pStyle w:val="ListNumber"/>
      </w:pPr>
      <w:r/>
      <w:r>
        <w:rPr>
          <w:b/>
        </w:rPr>
        <w:t>Lentilles de contact</w:t>
      </w:r>
      <w:r>
        <w:t xml:space="preserve"> : retirer les lentilles souples avant d'instiller un collyre conservé au BAK. Ne remettre les lentilles que 15–20 minutes après. Préférer des collyres sans conservateur si port de lentilles continu.</w:t>
      </w:r>
    </w:p>
    <w:p>
      <w:pPr>
        <w:pStyle w:val="ListNumber"/>
      </w:pPr>
      <w:r/>
      <w:r>
        <w:rPr>
          <w:b/>
        </w:rPr>
        <w:t>Conservation du flacon</w:t>
      </w:r>
      <w:r>
        <w:t xml:space="preserve"> : refermer hermétiquement après usage, conserver à température ambiante (&lt; 25 °C) à l'abri de la lumière. Ne pas congeler. Jeter le flacon 28 jours après ouverture (formulations multidoses avec BAK) ou après la date de péremption indiquée.</w:t>
      </w:r>
    </w:p>
    <w:p>
      <w:pPr>
        <w:pStyle w:val="ListNumber"/>
      </w:pPr>
      <w:r/>
      <w:r>
        <w:rPr>
          <w:b/>
        </w:rPr>
        <w:t>Ne pas partager le flacon</w:t>
      </w:r>
      <w:r>
        <w:t xml:space="preserve"> (risque de contamination croisée).</w:t>
      </w:r>
    </w:p>
    <w:p>
      <w:pPr>
        <w:pStyle w:val="ListNumber"/>
      </w:pPr>
      <w:r/>
      <w:r>
        <w:rPr>
          <w:b/>
        </w:rPr>
        <w:t>Signes d'alerte nécessitant consultation médicale</w:t>
      </w:r>
      <w:r>
        <w:t xml:space="preserve"> :</w:t>
      </w:r>
    </w:p>
    <w:p>
      <w:pPr>
        <w:pStyle w:val="ListBullet"/>
      </w:pPr>
      <w:r>
        <w:t>Baisse d'acuité visuelle persistante ;</w:t>
      </w:r>
    </w:p>
    <w:p>
      <w:pPr>
        <w:pStyle w:val="ListBullet"/>
      </w:pPr>
      <w:r>
        <w:t>Douleur oculaire intense ;</w:t>
      </w:r>
    </w:p>
    <w:p>
      <w:pPr>
        <w:pStyle w:val="ListBullet"/>
      </w:pPr>
      <w:r>
        <w:t>Rougeur marquée unilatérale ;</w:t>
      </w:r>
    </w:p>
    <w:p>
      <w:pPr>
        <w:pStyle w:val="ListBullet"/>
      </w:pPr>
      <w:r>
        <w:t>Sécrétions purulentes ;</w:t>
      </w:r>
    </w:p>
    <w:p>
      <w:pPr>
        <w:pStyle w:val="ListBullet"/>
      </w:pPr>
      <w:r>
        <w:t>Photophobie intense ;</w:t>
      </w:r>
    </w:p>
    <w:p>
      <w:pPr>
        <w:pStyle w:val="ListBullet"/>
      </w:pPr>
      <w:r>
        <w:t>Sensation de corps étranger persistante.</w:t>
      </w:r>
    </w:p>
    <w:p>
      <w:pPr>
        <w:pStyle w:val="ListNumber"/>
      </w:pPr>
      <w:r/>
      <w:r>
        <w:rPr>
          <w:b/>
        </w:rPr>
        <w:t>Mesures associées</w:t>
      </w:r>
      <w:r>
        <w:t xml:space="preserve"> : éviter l'exposition directe à la climatisation (flux d'air dirigé vers le visage), humidifier la chambre à coucher (humidificateur d'air), faire des pauses visuelles régulières (règle des 20-20-20 : toutes les 20 minutes, regarder à 20 pieds/6 mètres pendant 20 secondes), complémentation en oméga-3 (EPA/DHA 1 g/jour), arrêt du tabac.</w:t>
      </w:r>
    </w:p>
    <w:p>
      <w:pPr>
        <w:pStyle w:val="Heading3"/>
      </w:pPr>
      <w:r>
        <w:t>Notes — Règles d'or et pièges au comptoir</w:t>
      </w:r>
    </w:p>
    <w:p>
      <w:pPr>
        <w:pStyle w:val="ListNumber"/>
      </w:pPr>
      <w:r/>
      <w:r>
        <w:rPr>
          <w:b/>
        </w:rPr>
        <w:t>Règle d'or du BAK</w:t>
      </w:r>
      <w:r>
        <w:t xml:space="preserve"> : « Toute prescription de collyre conservé au BAK au-delà de 4 instillations/jour ou au-delà de 1 mois doit faire privilégier une formulation sans conservateur. » Cette règle est centrale dans la prévention de la toxicité cornéenne iatrogène.</w:t>
      </w:r>
    </w:p>
    <w:p>
      <w:pPr>
        <w:pStyle w:val="ListNumber"/>
      </w:pPr>
      <w:r/>
      <w:r>
        <w:rPr>
          <w:b/>
        </w:rPr>
        <w:t>Piège du patient « toujours en collyre »</w:t>
      </w:r>
      <w:r>
        <w:t xml:space="preserve"> : un patient présentant un syndrome sec et qui réclame un flacon de larmes artificielles tous les 8–10 jours à l'officine expose probablement à un mésusage (instillations excessives avec BAK, ou syndrome sec sous-jacent sévère non évalué). Toujours demander une évaluation ophtalmologique dans ce cas.</w:t>
      </w:r>
    </w:p>
    <w:p>
      <w:pPr>
        <w:pStyle w:val="ListNumber"/>
      </w:pPr>
      <w:r/>
      <w:r>
        <w:rPr>
          <w:b/>
        </w:rPr>
        <w:t>Piège du patient sous bêtabloquant ophtalmique</w:t>
      </w:r>
      <w:r>
        <w:t xml:space="preserve"> : les collyres antiglaucomateux (timolol, betaxolol, cartéolol) contenant du BAK, en association à un substitut lacrymal conservé au BAK, exposent à une toxicité cumulée importante. Toujours proposer un substitut sans conservateur à ce patient.</w:t>
      </w:r>
    </w:p>
    <w:p>
      <w:pPr>
        <w:pStyle w:val="ListNumber"/>
      </w:pPr>
      <w:r/>
      <w:r>
        <w:rPr>
          <w:b/>
        </w:rPr>
        <w:t>Piège du porteur de lentilles</w:t>
      </w:r>
      <w:r>
        <w:t xml:space="preserve"> : ne jamais délivrer un collyre conservé au BAK à un patient porteur de lentilles souples hydrophiles sans lui rappeler l'obligation de retirer les lentilles avant instillation et d'attendre 15–20 minutes avant remise.</w:t>
      </w:r>
    </w:p>
    <w:p>
      <w:pPr>
        <w:pStyle w:val="ListNumber"/>
      </w:pPr>
      <w:r/>
      <w:r>
        <w:rPr>
          <w:b/>
        </w:rPr>
        <w:t>Piège du patient allergique</w:t>
      </w:r>
      <w:r>
        <w:t xml:space="preserve"> : un patient rapportant une allergie à un collyre antérieur peut être allergique au BAK et non au principe actif. Toujours orienter vers une formulation sans conservateur.</w:t>
      </w:r>
    </w:p>
    <w:p>
      <w:pPr>
        <w:pStyle w:val="ListNumber"/>
      </w:pPr>
      <w:r/>
      <w:r>
        <w:rPr>
          <w:b/>
        </w:rPr>
        <w:t>Piège de la grossesse</w:t>
      </w:r>
      <w:r>
        <w:t xml:space="preserve"> : les formulations sans conservateur sont à privilégier chez la femme enceinte et allaitante par prudence (BAK non documenté comme tératogène mais à éviter par principe).</w:t>
      </w:r>
    </w:p>
    <w:p>
      <w:pPr>
        <w:pStyle w:val="ListNumber"/>
      </w:pPr>
      <w:r/>
      <w:r>
        <w:rPr>
          <w:b/>
        </w:rPr>
        <w:t>Piège du syndrome de Sjögren</w:t>
      </w:r>
      <w:r>
        <w:t xml:space="preserve"> : un syndrome sec sévère réfractaire aux substituts lacrymaux doit faire rechercher un syndrome de Sjögren (anticorps anti-SSA/SSB, biopsie des glandes salivaires accessoires) et justifier un avis spécialisé pour évaluation d'un traitement immunosuppresseur (ciclosporine collyre).</w:t>
      </w:r>
    </w:p>
    <w:p>
      <w:pPr>
        <w:pStyle w:val="ListNumber"/>
      </w:pPr>
      <w:r/>
      <w:r>
        <w:rPr>
          <w:b/>
        </w:rPr>
        <w:t>Piège du diabétique</w:t>
      </w:r>
      <w:r>
        <w:t xml:space="preserve"> : un syndrome sec chez le diabétique peut révéler une neuropathie végétative (diminution de la sécrétion lacrymale par atteinte parasympathique) et impose un fond d'œil systématique (recherche de rétinopathie associée).</w:t>
      </w:r>
    </w:p>
    <w:p>
      <w:pPr>
        <w:pStyle w:val="ListNumber"/>
      </w:pPr>
      <w:r/>
      <w:r>
        <w:rPr>
          <w:b/>
        </w:rPr>
        <w:t>Piège de la prescription systématique sans diagnostic</w:t>
      </w:r>
      <w:r>
        <w:t xml:space="preserve"> : un patient se présentant à l'officine pour « yeux secs » sans diagnostic médical doit être orienté vers un ophtalmologiste pour évaluation initiale (éliminer une pathologie sous-jacente : blépharite, rosacée oculaire, allergie chronique, déficit vitaminique A, maladie de Greve).</w:t>
      </w:r>
    </w:p>
    <w:p>
      <w:pPr>
        <w:pStyle w:val="ListNumber"/>
      </w:pPr>
      <w:r/>
      <w:r>
        <w:rPr>
          <w:b/>
        </w:rPr>
        <w:t>Piège du mésusage en cosmétique</w:t>
      </w:r>
      <w:r>
        <w:t xml:space="preserve"> : l'utilisation de larmes artificielles à visée « esthétique » (blanchiment de l'œil par vasoconstriction, soulagement d'une irritation liée au maquillage) expose à un mésusage et à des effets rebond. Toujours orienter vers une consultation spécialisée en cas de rougeur oculaire chronique inexpliquée.</w:t>
      </w:r>
    </w:p>
    <w:p>
      <w:pPr>
        <w:pStyle w:val="Heading2"/>
      </w:pPr>
      <w:r>
        <w:t>145.4.2. Calcium dobesilate</w:t>
      </w:r>
    </w:p>
    <w:p>
      <w:pPr>
        <w:pStyle w:val="Heading3"/>
      </w:pPr>
      <w:r>
        <w:t>Liste catégories pharmaco-thérapeutiques</w:t>
      </w:r>
    </w:p>
    <w:p>
      <w:pPr>
        <w:pStyle w:val="ListBullet"/>
      </w:pPr>
      <w:r>
        <w:t>Vasoprotecteur</w:t>
      </w:r>
    </w:p>
    <w:p>
      <w:pPr>
        <w:pStyle w:val="ListBullet"/>
      </w:pPr>
      <w:r>
        <w:t>Vasorégulateur de la microcirculation</w:t>
      </w:r>
    </w:p>
    <w:p>
      <w:pPr>
        <w:pStyle w:val="ListBullet"/>
      </w:pPr>
      <w:r>
        <w:t>Anti-exsudatif capillaire</w:t>
      </w:r>
    </w:p>
    <w:p>
      <w:pPr>
        <w:pStyle w:val="ListBullet"/>
      </w:pPr>
      <w:r>
        <w:t>Antiagrégant plaquettaire (modéré)</w:t>
      </w:r>
    </w:p>
    <w:p>
      <w:pPr>
        <w:pStyle w:val="ListBullet"/>
      </w:pPr>
      <w:r>
        <w:t>Viscosifiant rhéologique sanguin</w:t>
      </w:r>
    </w:p>
    <w:p>
      <w:pPr>
        <w:pStyle w:val="ListBullet"/>
      </w:pPr>
      <w:r>
        <w:t>Anti-radicalaire (piègeur de radicaux libres)</w:t>
      </w:r>
    </w:p>
    <w:p>
      <w:pPr>
        <w:pStyle w:val="ListBullet"/>
      </w:pPr>
      <w:r>
        <w:t>Indications : rétinopathie diabétique non proliférante, rétinopathie hypertensive, troubles trophiques (ulcères de jambe d'origine veineuse), hémorroïdes (forme topique), syndrome hémorragique microcirculatoire.</w:t>
      </w:r>
    </w:p>
    <w:p>
      <w:pPr>
        <w:pStyle w:val="Heading3"/>
      </w:pPr>
      <w:r>
        <w:t>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DOXIUM</w:t>
            </w:r>
          </w:p>
        </w:tc>
        <w:tc>
          <w:tcPr>
            <w:tcW w:type="dxa" w:w="1559"/>
          </w:tcPr>
          <w:p>
            <w:r>
              <w:rPr>
                <w:sz w:val="20"/>
              </w:rPr>
              <w:t>ABDI IBRAHIM REMEDE PHARMA</w:t>
            </w:r>
          </w:p>
        </w:tc>
        <w:tc>
          <w:tcPr>
            <w:tcW w:type="dxa" w:w="1559"/>
          </w:tcPr>
          <w:p>
            <w:r>
              <w:rPr>
                <w:sz w:val="20"/>
              </w:rPr>
              <w:t>Comprimé pelliculé — Calcium dobesilate monohydrate 1000 mg</w:t>
            </w:r>
          </w:p>
        </w:tc>
        <w:tc>
          <w:tcPr>
            <w:tcW w:type="dxa" w:w="1559"/>
          </w:tcPr>
          <w:p>
            <w:r>
              <w:rPr>
                <w:sz w:val="20"/>
              </w:rPr>
              <w:t>Boîte de 30</w:t>
            </w:r>
          </w:p>
        </w:tc>
        <w:tc>
          <w:tcPr>
            <w:tcW w:type="dxa" w:w="1559"/>
          </w:tcPr>
          <w:p>
            <w:r>
              <w:rPr>
                <w:sz w:val="20"/>
              </w:rPr>
              <w:t>Hors liste</w:t>
            </w:r>
          </w:p>
        </w:tc>
        <w:tc>
          <w:tcPr>
            <w:tcW w:type="dxa" w:w="1559"/>
          </w:tcPr>
          <w:p>
            <w:r>
              <w:rPr>
                <w:sz w:val="20"/>
              </w:rPr>
              <w:t>ACTIF</w:t>
            </w:r>
          </w:p>
        </w:tc>
      </w:tr>
    </w:tbl>
    <w:p/>
    <w:p>
      <w:r/>
      <w:r>
        <w:rPr>
          <w:b/>
        </w:rPr>
        <w:t>Note nomenclature</w:t>
      </w:r>
      <w:r>
        <w:t xml:space="preserve"> : la spécialité DOXIUM est actuellement la seule présentation commercialisée du calcium dobesilate en Algérie. La forme à 1000 mg (vs 500 mg historiquement) correspond à la simplification posologique internationale (1 comprimé × 2 à 3 fois/jour au lieu de 2 comprimés × 2 à 3 fois/jour), améliorant l'observance. Historiquement, plusieurs spécialités ont existé en France (DOXIUM 500 mg gélules) et dans d'autres pays (DOBESIL, DOXICHEM, DOXIUM 250 mg), avec des dosages variables. En Algérie, le dosage 1000 mg est le seul disponible.</w:t>
      </w:r>
    </w:p>
    <w:p>
      <w:r>
        <w:t>La spécialité est enregistrée sous le nom "DOXIUM" avec le laboratoire ABDI IBRAHIM REMEDE PHARMA, partenariat entre le laboratoire turc Abdi Ibrahim et le laboratoire algérien Remède Pharma, qui assure la production locale sous licence. Le statut "Hors liste" signifie qu'il n'est soumis ni à la Liste I (prescription obligatoire réservée aux médecins) ni à la Liste II (substances vénéneuses réglementées), ce qui facilite la prescription et la délivrance. En pratique, le calcium dobesilate est prescrit principalement par les ophtalmologistes et les médecins généralistes dans le cadre de la rétinopathie diabétique et des troubles veineux.</w:t>
      </w:r>
    </w:p>
    <w:p>
      <w:pPr>
        <w:pStyle w:val="Heading3"/>
      </w:pPr>
      <w:r>
        <w:t>Mécanisme d'action</w:t>
      </w:r>
    </w:p>
    <w:p>
      <w:r>
        <w:t>Le calcium dobesilate est le sel de calcium de l'acide 2,5-dihydroxybenzènesulfonique (acide dobesilique), un composé synthétique organo-sulfonique apparenté structurellement aux hydroxyquinones. Sa formule brute est Ca(C₆H₄O₅S)₂·H₂O, avec une masse molaire de 506,5 g/mol. Le calcium dobesilate se présente sous forme de poudre cristalline blanche, hydrosoluble, stable à pH physiologique.</w:t>
      </w:r>
    </w:p>
    <w:p>
      <w:r>
        <w:t>Le mécanisme d'action du calcium dobesilate est pléiotropique et combine plusieurs effets pharmacologiques complémentaires ciblant la microcirculation :</w:t>
      </w:r>
    </w:p>
    <w:p>
      <w:pPr>
        <w:pStyle w:val="ListNumber"/>
      </w:pPr>
      <w:r/>
      <w:r>
        <w:rPr>
          <w:b/>
        </w:rPr>
        <w:t>Réduction de la perméabilité capillaire</w:t>
      </w:r>
      <w:r>
        <w:t xml:space="preserve"> :</w:t>
      </w:r>
    </w:p>
    <w:p>
      <w:r>
        <w:t>Le calcium dobesilate exerce un effet anti-exsudatif capillaire via plusieurs mécanismes :</w:t>
      </w:r>
    </w:p>
    <w:p>
      <w:pPr>
        <w:pStyle w:val="ListBullet"/>
      </w:pPr>
      <w:r/>
      <w:r>
        <w:rPr>
          <w:b/>
        </w:rPr>
        <w:t>Inhibition de l'histidine décarboxylase</w:t>
      </w:r>
      <w:r>
        <w:t xml:space="preserve"> : enzyme cytosolique qui catalyse la conversion de l'histidine en histamine (via la décarboxylation). La réduction de la synthèse d'histamine intratissulaire diminue l'effet perméabilisant de l'histamine sur les récepteurs H1 endothéliaux (relâchement des jonctions serrées inter-endothéliales, fuite plasmatique).</w:t>
      </w:r>
    </w:p>
    <w:p>
      <w:pPr>
        <w:pStyle w:val="ListBullet"/>
      </w:pPr>
      <w:r>
        <w:t>**Inhibition de la *diamine oxydase* (DAO)** : enzyme dégradant l'histamine. Ce paradoxe apparent (inhibition à la fois de la synthèse et de la dégradation de l'histamine) s'explique par une inhibition préférentielle de la synthèse in situ au niveau endothélial, alors que la DAO circulante joue un rôle mineur à ce niveau.</w:t>
      </w:r>
    </w:p>
    <w:p>
      <w:pPr>
        <w:pStyle w:val="ListBullet"/>
      </w:pPr>
      <w:r/>
      <w:r>
        <w:rPr>
          <w:b/>
        </w:rPr>
        <w:t>Stabilisation de la membrane basale capillaire</w:t>
      </w:r>
      <w:r>
        <w:t xml:space="preserve"> : le calcium dobesilate réduit la glycation non enzymatique des protéines de la membrane basale (collagène IV, laminine, fibronectine) chez le diabétique, en piégeant les produits de glycation avancée (AGEs) précoces (3-désoxyglucosone, glyoxal). Cette action prévient l'épaississement de la membrane basale et la perte de sélectivité de la barrière capillaire.</w:t>
      </w:r>
    </w:p>
    <w:p>
      <w:pPr>
        <w:pStyle w:val="ListNumber"/>
      </w:pPr>
      <w:r/>
      <w:r>
        <w:rPr>
          <w:b/>
        </w:rPr>
        <w:t>Inhibition de l'agrégation plaquettaire</w:t>
      </w:r>
      <w:r>
        <w:t xml:space="preserve"> :</w:t>
      </w:r>
    </w:p>
    <w:p>
      <w:r>
        <w:t>Le calcium dobesilate agit sur l'hémostase primaire par deux mécanismes :</w:t>
      </w:r>
    </w:p>
    <w:p>
      <w:pPr>
        <w:pStyle w:val="ListBullet"/>
      </w:pPr>
      <w:r/>
      <w:r>
        <w:rPr>
          <w:b/>
        </w:rPr>
        <w:t>Inhibition de la thromboxane A2 synthase</w:t>
      </w:r>
      <w:r>
        <w:t xml:space="preserve"> : enzyme plaquettaire convertissant la prostaglandine H2 (PGH2) en thromboxane A2 (TXA2), puissant agrégant plaquettaire et vasoconstricteur. La réduction de la production de TXA2 abaisse la capacité d'agrégation plaquettaire.</w:t>
      </w:r>
    </w:p>
    <w:p>
      <w:pPr>
        <w:pStyle w:val="ListBullet"/>
      </w:pPr>
      <w:r/>
      <w:r>
        <w:rPr>
          <w:b/>
        </w:rPr>
        <w:t>Augmentation de la production de prostacycline (PGI2)</w:t>
      </w:r>
      <w:r>
        <w:t xml:space="preserve"> : vasodilatateur et antiagrégant synthétisé par l'endothélium vasculaire à partir de PGH2. Le rééquilibrage du ratio TXA2/PGI2 en faveur du PGI2 renforce l'effet antiagrégant et vasodilatateur.</w:t>
      </w:r>
    </w:p>
    <w:p>
      <w:pPr>
        <w:pStyle w:val="ListNumber"/>
      </w:pPr>
      <w:r/>
      <w:r>
        <w:rPr>
          <w:b/>
        </w:rPr>
        <w:t>Réduction de la viscosité sanguine</w:t>
      </w:r>
      <w:r>
        <w:t xml:space="preserve"> :</w:t>
      </w:r>
    </w:p>
    <w:p>
      <w:r>
        <w:t>Le calcium dobesilate diminue la viscosité plasmatique et sanguine à basse vitesse de cisaillement (celle observée dans la microcirculation) par :</w:t>
      </w:r>
    </w:p>
    <w:p>
      <w:pPr>
        <w:pStyle w:val="ListBullet"/>
      </w:pPr>
      <w:r/>
      <w:r>
        <w:rPr>
          <w:b/>
        </w:rPr>
        <w:t>Réduction du fibrinogène plasmatique</w:t>
      </w:r>
      <w:r>
        <w:t xml:space="preserve"> : inhibition de la synthèse hépatique du fibrinogène (mécanisme mal élucidé, peut-être via l'effet anti-TNF-α) ;</w:t>
      </w:r>
    </w:p>
    <w:p>
      <w:pPr>
        <w:pStyle w:val="ListBullet"/>
      </w:pPr>
      <w:r/>
      <w:r>
        <w:rPr>
          <w:b/>
        </w:rPr>
        <w:t>Réduction de l'agrégation érythrocytaire</w:t>
      </w:r>
      <w:r>
        <w:t xml:space="preserve"> : diminution de la formation des rouleaux d'hématies (phénomène observé dans la microcirculation à faible débit) ;</w:t>
      </w:r>
    </w:p>
    <w:p>
      <w:pPr>
        <w:pStyle w:val="ListBullet"/>
      </w:pPr>
      <w:r/>
      <w:r>
        <w:rPr>
          <w:b/>
        </w:rPr>
        <w:t>Augmentation de la filtrabilité érythrocytaire</w:t>
      </w:r>
      <w:r>
        <w:t xml:space="preserve"> : modification des propriétés rhéologiques de la membrane érythrocytaire (augmentation de la fluidité membranaire par action sur le pool phospholipidique).</w:t>
      </w:r>
    </w:p>
    <w:p>
      <w:pPr>
        <w:pStyle w:val="ListNumber"/>
      </w:pPr>
      <w:r/>
      <w:r>
        <w:rPr>
          <w:b/>
        </w:rPr>
        <w:t>Effet anti-radicalaire</w:t>
      </w:r>
      <w:r>
        <w:t xml:space="preserve"> :</w:t>
      </w:r>
    </w:p>
    <w:p>
      <w:r>
        <w:t>Le calcium dobesilate, en raison de sa structure phénolique (cycles benzéniques porteurs de groupements hydroxyles), est un piègeur de radicaux libres :</w:t>
      </w:r>
    </w:p>
    <w:p>
      <w:pPr>
        <w:pStyle w:val="ListBullet"/>
      </w:pPr>
      <w:r/>
      <w:r>
        <w:rPr>
          <w:b/>
        </w:rPr>
        <w:t>Radical hydroxyle (OH•)</w:t>
      </w:r>
      <w:r>
        <w:t xml:space="preserve"> : neutralisation directe par les groupements OH phénoliques ;</w:t>
      </w:r>
    </w:p>
    <w:p>
      <w:pPr>
        <w:pStyle w:val="ListBullet"/>
      </w:pPr>
      <w:r/>
      <w:r>
        <w:rPr>
          <w:b/>
        </w:rPr>
        <w:t>Anion superoxyde (O₂⁻•)</w:t>
      </w:r>
      <w:r>
        <w:t xml:space="preserve"> : dismutation catalytique en eau oxygénée et oxygène ;</w:t>
      </w:r>
    </w:p>
    <w:p>
      <w:pPr>
        <w:pStyle w:val="ListBullet"/>
      </w:pPr>
      <w:r/>
      <w:r>
        <w:rPr>
          <w:b/>
        </w:rPr>
        <w:t>Radical peroxyl (ROO•)</w:t>
      </w:r>
      <w:r>
        <w:t xml:space="preserve"> : interruption des réactions de peroxydation lipidique ;</w:t>
      </w:r>
    </w:p>
    <w:p>
      <w:pPr>
        <w:pStyle w:val="ListBullet"/>
      </w:pPr>
      <w:r/>
      <w:r>
        <w:rPr>
          <w:b/>
        </w:rPr>
        <w:t>Effet protecteur endothélial</w:t>
      </w:r>
      <w:r>
        <w:t xml:space="preserve"> : réduction du stress oxydatif endothélial, prévention de la peroxydation des LDL (réduisant leur caractère athérogène), protection de l'NO synthase endothéliale (eNOS) contre l'inactivation radicalaire.</w:t>
      </w:r>
    </w:p>
    <w:p>
      <w:pPr>
        <w:pStyle w:val="ListNumber"/>
      </w:pPr>
      <w:r/>
      <w:r>
        <w:rPr>
          <w:b/>
        </w:rPr>
        <w:t>Effet anti-ischémique</w:t>
      </w:r>
      <w:r>
        <w:t xml:space="preserve"> :</w:t>
      </w:r>
    </w:p>
    <w:p>
      <w:r>
        <w:t>L'ensemble des mécanismes ci-dessus aboutit à une amélioration de la perfusion tissulaire et à une réduction de l'ischémie, particulièrement marquée au niveau rétinien (réduction de l'œdème maculaire dans certains essais, amélioration de la microcirculation choroïdienne en OCT-angiographie).</w:t>
      </w:r>
    </w:p>
    <w:p>
      <w:pPr>
        <w:pStyle w:val="Heading3"/>
      </w:pPr>
      <w:r>
        <w:t>Profil pharmacologique (indications, contre-indications, effets indésirables)</w:t>
      </w:r>
    </w:p>
    <w:p>
      <w:r/>
      <w:r>
        <w:rPr>
          <w:b/>
        </w:rPr>
        <w:t>Indications (AMM)</w:t>
      </w:r>
      <w:r>
        <w:t xml:space="preserve"> :</w:t>
      </w:r>
    </w:p>
    <w:p>
      <w:pPr>
        <w:pStyle w:val="ListBullet"/>
      </w:pPr>
      <w:r/>
      <w:r>
        <w:rPr>
          <w:b/>
        </w:rPr>
        <w:t>Indications ophtalmologiques</w:t>
      </w:r>
      <w:r>
        <w:t xml:space="preserve"> :</w:t>
      </w:r>
    </w:p>
    <w:p>
      <w:pPr>
        <w:pStyle w:val="ListBullet"/>
      </w:pPr>
      <w:r>
        <w:t>Rétinopathie diabétique non proliférante (en adjuvant du contrôle glycémique et tensionnel) ;</w:t>
      </w:r>
    </w:p>
    <w:p>
      <w:pPr>
        <w:pStyle w:val="ListBullet"/>
      </w:pPr>
      <w:r>
        <w:t>Rétinopathie hypertensive (au stade exsudatif) ;</w:t>
      </w:r>
    </w:p>
    <w:p>
      <w:pPr>
        <w:pStyle w:val="ListBullet"/>
      </w:pPr>
      <w:r>
        <w:t>Œdème maculaire (en adjuvant des anti-VEGF, ou en alternative quand les anti-VEGF ne sont pas disponibles/refusés) ;</w:t>
      </w:r>
    </w:p>
    <w:p>
      <w:pPr>
        <w:pStyle w:val="ListBullet"/>
      </w:pPr>
      <w:r>
        <w:t>Occlusion de branche veineuse rétinienne (OBVR) ou de veine centrale de la rétine (OVCR) — formes non ischémiques, en adjuvant ;</w:t>
      </w:r>
    </w:p>
    <w:p>
      <w:pPr>
        <w:pStyle w:val="ListBullet"/>
      </w:pPr>
      <w:r>
        <w:t>Neuropathie optique ischémique antérieure aiguë (NOIA) — adjuvant, efficacité discutée.</w:t>
      </w:r>
    </w:p>
    <w:p>
      <w:pPr>
        <w:pStyle w:val="ListBullet"/>
      </w:pPr>
      <w:r/>
      <w:r>
        <w:rPr>
          <w:b/>
        </w:rPr>
        <w:t>Indications vasculaires systémiques</w:t>
      </w:r>
      <w:r>
        <w:t xml:space="preserve"> :</w:t>
      </w:r>
    </w:p>
    <w:p>
      <w:pPr>
        <w:pStyle w:val="ListBullet"/>
      </w:pPr>
      <w:r>
        <w:t>Troubles trophiques d'origine veineuse : ulcères de jambe variqueux, dermite ocre, séquelles de thrombose veineuse profonde ;</w:t>
      </w:r>
    </w:p>
    <w:p>
      <w:pPr>
        <w:pStyle w:val="ListBullet"/>
      </w:pPr>
      <w:r>
        <w:t>Insuffisance veineuse chronique des membres inférieurs (varices, œdème, lourdeur) ;</w:t>
      </w:r>
    </w:p>
    <w:p>
      <w:pPr>
        <w:pStyle w:val="ListBullet"/>
      </w:pPr>
      <w:r>
        <w:t>Syndrome hémorragique microcirculatoire (purpura vasculaire, syndrome de Schamberg).</w:t>
      </w:r>
    </w:p>
    <w:p>
      <w:pPr>
        <w:pStyle w:val="ListBullet"/>
      </w:pPr>
      <w:r/>
      <w:r>
        <w:rPr>
          <w:b/>
        </w:rPr>
        <w:t>Indications proctologiques</w:t>
      </w:r>
      <w:r>
        <w:t xml:space="preserve"> :</w:t>
      </w:r>
    </w:p>
    <w:p>
      <w:pPr>
        <w:pStyle w:val="ListBullet"/>
      </w:pPr>
      <w:r>
        <w:t>Hémorroïdes (formes topiques locales : DOXIUM pommade, non disponible en Algérie à ce jour).</w:t>
      </w:r>
    </w:p>
    <w:p>
      <w:r/>
      <w:r>
        <w:rPr>
          <w:b/>
        </w:rPr>
        <w:t>Contre-indications</w:t>
      </w:r>
      <w:r>
        <w:t xml:space="preserve"> :</w:t>
      </w:r>
    </w:p>
    <w:p>
      <w:pPr>
        <w:pStyle w:val="ListBullet"/>
      </w:pPr>
      <w:r>
        <w:t>CI absolue : hypersensibilité au calcium dobesilate ou à l'un des excipients ;</w:t>
      </w:r>
    </w:p>
    <w:p>
      <w:pPr>
        <w:pStyle w:val="ListBullet"/>
      </w:pPr>
      <w:r>
        <w:t>CI absolue : antécédent d'agranulocytose ou de neutropénie sévère médicamenteuse (prudence particulière en raison du risque hématologique rare mais documenté avec le calcium dobesilate) ;</w:t>
      </w:r>
    </w:p>
    <w:p>
      <w:pPr>
        <w:pStyle w:val="ListBullet"/>
      </w:pPr>
      <w:r>
        <w:t>CI relative : insuffisance rénale sévère (clairance créatinine &lt; 30 mL/min) — élimination rénale exclusive, risque d'accumulation ;</w:t>
      </w:r>
    </w:p>
    <w:p>
      <w:pPr>
        <w:pStyle w:val="ListBullet"/>
      </w:pPr>
      <w:r>
        <w:t>CI relative : grossesse (cf. section CRAT) ;</w:t>
      </w:r>
    </w:p>
    <w:p>
      <w:pPr>
        <w:pStyle w:val="ListBullet"/>
      </w:pPr>
      <w:r>
        <w:t>CI relative : traitement anticoagulant ou antiagrégant plaquettaire au long cours (potentialisation du risque hémorragique).</w:t>
      </w:r>
    </w:p>
    <w:p>
      <w:r/>
      <w:r>
        <w:rPr>
          <w:b/>
        </w:rPr>
        <w:t>Effets indésirables</w:t>
      </w:r>
      <w:r>
        <w:t xml:space="preserve"> :</w:t>
      </w:r>
    </w:p>
    <w:p>
      <w:pPr>
        <w:pStyle w:val="ListBullet"/>
      </w:pPr>
      <w:r/>
      <w:r>
        <w:rPr>
          <w:b/>
        </w:rPr>
        <w:t>Effets indésirables digestifs</w:t>
      </w:r>
      <w:r>
        <w:t xml:space="preserve"> (les plus fréquents, 5–15 % des patients) :</w:t>
      </w:r>
    </w:p>
    <w:p>
      <w:pPr>
        <w:pStyle w:val="ListBullet"/>
      </w:pPr>
      <w:r>
        <w:t>Nausées, dyspepsie, douleurs épigastriques (prendre pendant ou après le repas pour réduire ces effets) ;</w:t>
      </w:r>
    </w:p>
    <w:p>
      <w:pPr>
        <w:pStyle w:val="ListBullet"/>
      </w:pPr>
      <w:r>
        <w:t>Diarrhée ou constipation (moins fréquent) ;</w:t>
      </w:r>
    </w:p>
    <w:p>
      <w:pPr>
        <w:pStyle w:val="ListBullet"/>
      </w:pPr>
      <w:r>
        <w:t>Sécheresse buccale, dysgueusie (métallique).</w:t>
      </w:r>
    </w:p>
    <w:p>
      <w:pPr>
        <w:pStyle w:val="ListBullet"/>
      </w:pPr>
      <w:r/>
      <w:r>
        <w:rPr>
          <w:b/>
        </w:rPr>
        <w:t>Effets indésirables neurologiques</w:t>
      </w:r>
      <w:r>
        <w:t xml:space="preserve"> (5 %) :</w:t>
      </w:r>
    </w:p>
    <w:p>
      <w:pPr>
        <w:pStyle w:val="ListBullet"/>
      </w:pPr>
      <w:r>
        <w:t>Céphalées (modérées, transitoires) ;</w:t>
      </w:r>
    </w:p>
    <w:p>
      <w:pPr>
        <w:pStyle w:val="ListBullet"/>
      </w:pPr>
      <w:r>
        <w:t>Vertiges, sensation d'instabilité ;</w:t>
      </w:r>
    </w:p>
    <w:p>
      <w:pPr>
        <w:pStyle w:val="ListBullet"/>
      </w:pPr>
      <w:r>
        <w:t>Asthénie, somnolence.</w:t>
      </w:r>
    </w:p>
    <w:p>
      <w:pPr>
        <w:pStyle w:val="ListBullet"/>
      </w:pPr>
      <w:r/>
      <w:r>
        <w:rPr>
          <w:b/>
        </w:rPr>
        <w:t>Effets indésirables cardiovasculaires</w:t>
      </w:r>
      <w:r>
        <w:t xml:space="preserve"> (rares, &lt; 1 %) :</w:t>
      </w:r>
    </w:p>
    <w:p>
      <w:pPr>
        <w:pStyle w:val="ListBullet"/>
      </w:pPr>
      <w:r>
        <w:t>Flush (rougeur du visage par vasodilatation cutanée) ;</w:t>
      </w:r>
    </w:p>
    <w:p>
      <w:pPr>
        <w:pStyle w:val="ListBullet"/>
      </w:pPr>
      <w:r>
        <w:t>Hypotension orthostatique modérée (en particulier chez le sujet âgé) ;</w:t>
      </w:r>
    </w:p>
    <w:p>
      <w:pPr>
        <w:pStyle w:val="ListBullet"/>
      </w:pPr>
      <w:r>
        <w:t>Palpitations (en cas de doses élevées).</w:t>
      </w:r>
    </w:p>
    <w:p>
      <w:pPr>
        <w:pStyle w:val="ListBullet"/>
      </w:pPr>
      <w:r/>
      <w:r>
        <w:rPr>
          <w:b/>
        </w:rPr>
        <w:t>Effets indésirables cutanés</w:t>
      </w:r>
      <w:r>
        <w:t xml:space="preserve"> (1–3 %) :</w:t>
      </w:r>
    </w:p>
    <w:p>
      <w:pPr>
        <w:pStyle w:val="ListBullet"/>
      </w:pPr>
      <w:r>
        <w:t>Rash maculo-papuleux ;</w:t>
      </w:r>
    </w:p>
    <w:p>
      <w:pPr>
        <w:pStyle w:val="ListBullet"/>
      </w:pPr>
      <w:r>
        <w:t>Prurit diffus ;</w:t>
      </w:r>
    </w:p>
    <w:p>
      <w:pPr>
        <w:pStyle w:val="ListBullet"/>
      </w:pPr>
      <w:r>
        <w:t>Urticaire (réaction allergique immédiate) ;</w:t>
      </w:r>
    </w:p>
    <w:p>
      <w:pPr>
        <w:pStyle w:val="ListBullet"/>
      </w:pPr>
      <w:r>
        <w:t>Érythème polymorphe (rare) ;</w:t>
      </w:r>
    </w:p>
    <w:p>
      <w:pPr>
        <w:pStyle w:val="ListBullet"/>
      </w:pPr>
      <w:r>
        <w:t>Syndrome de Stevens-Johnson ou syndrome de Lyell (exceptionnel, &lt; 1/100 000).</w:t>
      </w:r>
    </w:p>
    <w:p>
      <w:pPr>
        <w:pStyle w:val="ListBullet"/>
      </w:pPr>
      <w:r/>
      <w:r>
        <w:rPr>
          <w:b/>
        </w:rPr>
        <w:t>Effets indésirables hématologiques</w:t>
      </w:r>
      <w:r>
        <w:t xml:space="preserve"> (exceptionnels, &lt; 1/100 000) :</w:t>
      </w:r>
    </w:p>
    <w:p>
      <w:pPr>
        <w:pStyle w:val="ListBullet"/>
      </w:pPr>
      <w:r/>
      <w:r>
        <w:rPr>
          <w:b/>
        </w:rPr>
        <w:t>Agranulocytose aiguë</w:t>
      </w:r>
      <w:r>
        <w:t xml:space="preserve"> (effet idiosyncrasique, immuno-allergique ou toxique direct sur les précurseurs médullaires) — description de cas isolés dans la littérature internationale, principalement au cours des 3 premiers mois de traitement. Mortalité 5–10 % en cas de sepsis non contrôlé. Surveillance NFS recommandée en début de traitement (J0, J15, M1, M3).</w:t>
      </w:r>
    </w:p>
    <w:p>
      <w:pPr>
        <w:pStyle w:val="ListBullet"/>
      </w:pPr>
      <w:r>
        <w:t>Thrombopénie isolée (rare) ;</w:t>
      </w:r>
    </w:p>
    <w:p>
      <w:pPr>
        <w:pStyle w:val="ListBullet"/>
      </w:pPr>
      <w:r>
        <w:t>Anémie hémolytique immuno-allergique (exceptionnelle).</w:t>
      </w:r>
    </w:p>
    <w:p>
      <w:pPr>
        <w:pStyle w:val="ListBullet"/>
      </w:pPr>
      <w:r/>
      <w:r>
        <w:rPr>
          <w:b/>
        </w:rPr>
        <w:t>Effets indésirables hépatiques</w:t>
      </w:r>
      <w:r>
        <w:t xml:space="preserve"> (rares) :</w:t>
      </w:r>
    </w:p>
    <w:p>
      <w:pPr>
        <w:pStyle w:val="ListBullet"/>
      </w:pPr>
      <w:r>
        <w:t>Cytolyse hépatique (augmentation des transaminases ALAT/ASAT) ;</w:t>
      </w:r>
    </w:p>
    <w:p>
      <w:pPr>
        <w:pStyle w:val="ListBullet"/>
      </w:pPr>
      <w:r>
        <w:t>Cholestase (augmentation des phosphatases alcalines et de la bilirubine conjuguée) ;</w:t>
      </w:r>
    </w:p>
    <w:p>
      <w:pPr>
        <w:pStyle w:val="ListBullet"/>
      </w:pPr>
      <w:r>
        <w:t>Hépatite mixte (exceptionnelle).</w:t>
      </w:r>
    </w:p>
    <w:p>
      <w:pPr>
        <w:pStyle w:val="ListBullet"/>
      </w:pPr>
      <w:r/>
      <w:r>
        <w:rPr>
          <w:b/>
        </w:rPr>
        <w:t>Effets indésirables rénaux</w:t>
      </w:r>
      <w:r>
        <w:t xml:space="preserve"> (très rares) :</w:t>
      </w:r>
    </w:p>
    <w:p>
      <w:pPr>
        <w:pStyle w:val="ListBullet"/>
      </w:pPr>
      <w:r>
        <w:t>Néphrite interstitielle aiguë immuno-allergique.</w:t>
      </w:r>
    </w:p>
    <w:p>
      <w:pPr>
        <w:pStyle w:val="Heading3"/>
      </w:pPr>
      <w:r>
        <w:t>Prévention et gestion des effets indésirables</w:t>
      </w:r>
    </w:p>
    <w:p>
      <w:r>
        <w:t>La prévention des EI du calcium dobesilate repose sur plusieurs principes :</w:t>
      </w:r>
    </w:p>
    <w:p>
      <w:pPr>
        <w:pStyle w:val="ListNumber"/>
      </w:pPr>
      <w:r/>
      <w:r>
        <w:rPr>
          <w:b/>
        </w:rPr>
        <w:t>Évaluation pré-thérapeutique</w:t>
      </w:r>
      <w:r>
        <w:t xml:space="preserve"> :</w:t>
      </w:r>
    </w:p>
    <w:p>
      <w:pPr>
        <w:pStyle w:val="ListBullet"/>
      </w:pPr>
      <w:r>
        <w:t>Examen clinique complet (poids, pression artérielle, examen vasculaire périphérique) ;</w:t>
      </w:r>
    </w:p>
    <w:p>
      <w:pPr>
        <w:pStyle w:val="ListBullet"/>
      </w:pPr>
      <w:r>
        <w:t>Bilan biologique pré-thérapeutique : NFS-plaquettes (référence), plaquettes, ionogramme sanguin, créatinine, clairance calculée (Cockcroft), ASAT/ALAT, bilirubine, phosphatases alcalines, TP/INR (si patient sous anticoagulant), glycémie et HbA1c (si diabétique) ;</w:t>
      </w:r>
    </w:p>
    <w:p>
      <w:pPr>
        <w:pStyle w:val="ListBullet"/>
      </w:pPr>
      <w:r>
        <w:t>Fond d'œil et OCT maculaire (si indication ophtalmologique) pour documentation initiale ;</w:t>
      </w:r>
    </w:p>
    <w:p>
      <w:pPr>
        <w:pStyle w:val="ListBullet"/>
      </w:pPr>
      <w:r>
        <w:t>Évaluation du risque hémorragique (prise d'AINS, d'aspirine, d'anticoagulants oraux).</w:t>
      </w:r>
    </w:p>
    <w:p>
      <w:pPr>
        <w:pStyle w:val="ListNumber"/>
      </w:pPr>
      <w:r/>
      <w:r>
        <w:rPr>
          <w:b/>
        </w:rPr>
        <w:t>Surveillance biologique</w:t>
      </w:r>
      <w:r>
        <w:t xml:space="preserve"> :</w:t>
      </w:r>
    </w:p>
    <w:p>
      <w:pPr>
        <w:pStyle w:val="ListBullet"/>
      </w:pPr>
      <w:r/>
      <w:r>
        <w:rPr>
          <w:b/>
        </w:rPr>
        <w:t>NFS-plaquettes</w:t>
      </w:r>
      <w:r>
        <w:t xml:space="preserve"> à J0, J15, M1, M3 puis tous les 6 mois en traitement prolongé (surveillance de l'agranulocytose exceptionnelle) ;</w:t>
      </w:r>
    </w:p>
    <w:p>
      <w:pPr>
        <w:pStyle w:val="ListBullet"/>
      </w:pPr>
      <w:r/>
      <w:r>
        <w:rPr>
          <w:b/>
        </w:rPr>
        <w:t>Bilan hépatique</w:t>
      </w:r>
      <w:r>
        <w:t xml:space="preserve"> (ASAT/ALAT/bilirubine/γ-GT/PA) à M1 puis tous les 3 mois en traitement prolongé ;</w:t>
      </w:r>
    </w:p>
    <w:p>
      <w:pPr>
        <w:pStyle w:val="ListBullet"/>
      </w:pPr>
      <w:r/>
      <w:r>
        <w:rPr>
          <w:b/>
        </w:rPr>
        <w:t>Fonction rénale</w:t>
      </w:r>
      <w:r>
        <w:t xml:space="preserve"> (créatinine, clairance) tous les 3 mois chez le sujet âgé ou insuffisant rénal ;</w:t>
      </w:r>
    </w:p>
    <w:p>
      <w:pPr>
        <w:pStyle w:val="ListBullet"/>
      </w:pPr>
      <w:r/>
      <w:r>
        <w:rPr>
          <w:b/>
        </w:rPr>
        <w:t>Bilan d'efficacité ophtalmologique</w:t>
      </w:r>
      <w:r>
        <w:t xml:space="preserve"> : acuité visuelle, OCT maculaire, angiographie fluorescéinique à 3 et 6 mois pour évaluation de la réponse.</w:t>
      </w:r>
    </w:p>
    <w:p>
      <w:pPr>
        <w:pStyle w:val="ListNumber"/>
      </w:pPr>
      <w:r/>
      <w:r>
        <w:rPr>
          <w:b/>
        </w:rPr>
        <w:t>Prévention des EI digestifs</w:t>
      </w:r>
      <w:r>
        <w:t xml:space="preserve"> :</w:t>
      </w:r>
    </w:p>
    <w:p>
      <w:pPr>
        <w:pStyle w:val="ListBullet"/>
      </w:pPr>
      <w:r>
        <w:t xml:space="preserve">Prendre le comprimé </w:t>
      </w:r>
      <w:r>
        <w:rPr>
          <w:b/>
        </w:rPr>
        <w:t>pendant ou après le repas</w:t>
      </w:r>
      <w:r>
        <w:t xml:space="preserve"> (et non à jeun) pour réduire les nausées et la dyspepsie ;</w:t>
      </w:r>
    </w:p>
    <w:p>
      <w:pPr>
        <w:pStyle w:val="ListBullet"/>
      </w:pPr>
      <w:r>
        <w:t>En cas d'intolérance digestive persistante, envisager une réduction posologique (500 mg × 2/jour) ou un fractionnement (250 mg × 4/jour) ;</w:t>
      </w:r>
    </w:p>
    <w:p>
      <w:pPr>
        <w:pStyle w:val="ListBullet"/>
      </w:pPr>
      <w:r>
        <w:t>Associations à éviter : AINS systémiques (potentialisation de la toxicité digestive), bisphosphonates (irritation gastrique additive), potassium (irritation gastrique).</w:t>
      </w:r>
    </w:p>
    <w:p>
      <w:pPr>
        <w:pStyle w:val="ListNumber"/>
      </w:pPr>
      <w:r/>
      <w:r>
        <w:rPr>
          <w:b/>
        </w:rPr>
        <w:t>Prévention du risque hémorragique</w:t>
      </w:r>
      <w:r>
        <w:t xml:space="preserve"> :</w:t>
      </w:r>
    </w:p>
    <w:p>
      <w:pPr>
        <w:pStyle w:val="ListBullet"/>
      </w:pPr>
      <w:r>
        <w:t>Évaluer systématiquement les traitements associés : AVK, AOD (apixaban, rivaroxaban), aspirine, clopidogrel, AINS ;</w:t>
      </w:r>
    </w:p>
    <w:p>
      <w:pPr>
        <w:pStyle w:val="ListBullet"/>
      </w:pPr>
      <w:r>
        <w:t>En cas d'association indispensable, surveillance rapprochée (NFS-plaquettes, TP/INR si AVK) et information du patient sur les signes d'alerte (saignement gingival, épistaxis spontané, ecchymoses, méléna, hématurie) ;</w:t>
      </w:r>
    </w:p>
    <w:p>
      <w:pPr>
        <w:pStyle w:val="ListBullet"/>
      </w:pPr>
      <w:r>
        <w:t>Arrêter le calcium dobesilate 5–7 jours avant une chirurgie programmée (en particulier neurochirurgie, chirurgie ophtalmologique, chirurgie orthopédique majeure).</w:t>
      </w:r>
    </w:p>
    <w:p>
      <w:pPr>
        <w:pStyle w:val="ListNumber"/>
      </w:pPr>
      <w:r/>
      <w:r>
        <w:rPr>
          <w:b/>
        </w:rPr>
        <w:t>Prévention de l'agranulocytose</w:t>
      </w:r>
      <w:r>
        <w:t xml:space="preserve"> :</w:t>
      </w:r>
    </w:p>
    <w:p>
      <w:pPr>
        <w:pStyle w:val="ListBullet"/>
      </w:pPr>
      <w:r>
        <w:t>Information du patient sur les signes d'alerte : fièvre ≥ 38,5 °C, angine, ulcérations buccales, infections à répétition → consulter en urgence pour NFS ;</w:t>
      </w:r>
    </w:p>
    <w:p>
      <w:pPr>
        <w:pStyle w:val="ListBullet"/>
      </w:pPr>
      <w:r>
        <w:t>Surveillance NFS systématique à J15, M1, M3 puis tous les 6 mois ;</w:t>
      </w:r>
    </w:p>
    <w:p>
      <w:pPr>
        <w:pStyle w:val="ListBullet"/>
      </w:pPr>
      <w:r>
        <w:t>En cas de neutropénie &lt; 1 500/mm³ (modérée), &lt; 1 000/mm³ (sévère) ou &lt; 500/mm³ (agranulocytose) → arrêt immédiat du calcium dobesilate, avis hématologique urgent.</w:t>
      </w:r>
    </w:p>
    <w:p>
      <w:pPr>
        <w:pStyle w:val="ListNumber"/>
      </w:pPr>
      <w:r/>
      <w:r>
        <w:rPr>
          <w:b/>
        </w:rPr>
        <w:t>Prévention de l'hypotension orthostatique chez le sujet âgé</w:t>
      </w:r>
      <w:r>
        <w:t xml:space="preserve"> :</w:t>
      </w:r>
    </w:p>
    <w:p>
      <w:pPr>
        <w:pStyle w:val="ListBullet"/>
      </w:pPr>
      <w:r>
        <w:t>Évaluation de la pression artérielle en orthostatisme avant et après instauration du traitement ;</w:t>
      </w:r>
    </w:p>
    <w:p>
      <w:pPr>
        <w:pStyle w:val="ListBullet"/>
      </w:pPr>
      <w:r>
        <w:t>Information du patient sur le risque de vertiges au lever, en particulier le matin (lever progressif en deux temps : position assise pendant 30 secondes, puis debout) ;</w:t>
      </w:r>
    </w:p>
    <w:p>
      <w:pPr>
        <w:pStyle w:val="ListBullet"/>
      </w:pPr>
      <w:r>
        <w:t>Adaptation posologique : commencer par 500 mg × 2/jour (la moitié de la dose standard) chez le sujet âgé fragile, augmenter progressivement selon la tolérance.</w:t>
      </w:r>
    </w:p>
    <w:p>
      <w:pPr>
        <w:pStyle w:val="Heading3"/>
      </w:pPr>
      <w:r>
        <w:t>Interactions médicamenteuses</w:t>
      </w:r>
    </w:p>
    <w:p>
      <w:r>
        <w:t>Les interactions médicamenteuses du calcium dobesilate sont liées à ses propriétés pharmacologiques (antiagrégant, viscosifiant) et à son métabolisme (hépatique partiel, rénal exclusif pour l'élimination) :</w:t>
      </w:r>
    </w:p>
    <w:p>
      <w:pPr>
        <w:pStyle w:val="ListBullet"/>
      </w:pPr>
      <w:r/>
      <w:r>
        <w:rPr>
          <w:b/>
        </w:rPr>
        <w:t>Avec les anticoagulants oraux (AVK : warfarine, acénocoumarol, fluindione)</w:t>
      </w:r>
      <w:r>
        <w:t xml:space="preserve"> :</w:t>
      </w:r>
    </w:p>
    <w:p>
      <w:pPr>
        <w:pStyle w:val="ListBullet"/>
      </w:pPr>
      <w:r>
        <w:t>Potentialisation du risque hémorragique (effet antiagrégant additif à l'anticoagulant, modification de la viscosité sanguine) ;</w:t>
      </w:r>
    </w:p>
    <w:p>
      <w:pPr>
        <w:pStyle w:val="ListBullet"/>
      </w:pPr>
      <w:r>
        <w:t>Surveillance rapprochée de l'INR (toutes les semaines pendant 1 mois, puis tous les mois) ;</w:t>
      </w:r>
    </w:p>
    <w:p>
      <w:pPr>
        <w:pStyle w:val="ListBullet"/>
      </w:pPr>
      <w:r>
        <w:t>Réduction éventuelle de la dose d'AVK de 10–20 % à l'instauration du calcium dobesilate.</w:t>
      </w:r>
    </w:p>
    <w:p>
      <w:pPr>
        <w:pStyle w:val="ListBullet"/>
      </w:pPr>
      <w:r/>
      <w:r>
        <w:rPr>
          <w:b/>
        </w:rPr>
        <w:t>Avec les anticoagulants oraux directs (AOD : apixaban, rivaroxaban, dabigatran, edoxaban)</w:t>
      </w:r>
      <w:r>
        <w:t xml:space="preserve"> :</w:t>
      </w:r>
    </w:p>
    <w:p>
      <w:pPr>
        <w:pStyle w:val="ListBullet"/>
      </w:pPr>
      <w:r>
        <w:t>Potentialisation du risque hémorragique (mécanisme additif) ;</w:t>
      </w:r>
    </w:p>
    <w:p>
      <w:pPr>
        <w:pStyle w:val="ListBullet"/>
      </w:pPr>
      <w:r>
        <w:t>Pas de surveillance biologique systématique (les AOD n'ont pas de monitorage biologique de routine), mais évaluation clinique du risque hémorragique.</w:t>
      </w:r>
    </w:p>
    <w:p>
      <w:pPr>
        <w:pStyle w:val="ListBullet"/>
      </w:pPr>
      <w:r/>
      <w:r>
        <w:rPr>
          <w:b/>
        </w:rPr>
        <w:t>Avec l'aspirine (acide acétylsalicylique) à dose antiagrégante (75–300 mg/j)</w:t>
      </w:r>
      <w:r>
        <w:t xml:space="preserve"> :</w:t>
      </w:r>
    </w:p>
    <w:p>
      <w:pPr>
        <w:pStyle w:val="ListBullet"/>
      </w:pPr>
      <w:r>
        <w:t>Potentialisation additive de l'effet antiagrégant plaquettaire (mais mécanismes différents : inhibition COX-1 plaquettaire pour l'aspirine, inhibition TXA2 synthase pour le calcium dobesilate) ;</w:t>
      </w:r>
    </w:p>
    <w:p>
      <w:pPr>
        <w:pStyle w:val="ListBullet"/>
      </w:pPr>
      <w:r>
        <w:t>Surveillance clinique (signes de saignement) ;</w:t>
      </w:r>
    </w:p>
    <w:p>
      <w:pPr>
        <w:pStyle w:val="ListBullet"/>
      </w:pPr>
      <w:r>
        <w:t>En général, l'association est bien tolérée et ne nécessite pas de modification posologique.</w:t>
      </w:r>
    </w:p>
    <w:p>
      <w:pPr>
        <w:pStyle w:val="ListBullet"/>
      </w:pPr>
      <w:r/>
      <w:r>
        <w:rPr>
          <w:b/>
        </w:rPr>
        <w:t>Avec le clopidogrel</w:t>
      </w:r>
      <w:r>
        <w:t xml:space="preserve"> :</w:t>
      </w:r>
    </w:p>
    <w:p>
      <w:pPr>
        <w:pStyle w:val="ListBullet"/>
      </w:pPr>
      <w:r>
        <w:t>Potentialisation additive de l'effet antiagrégant ;</w:t>
      </w:r>
    </w:p>
    <w:p>
      <w:pPr>
        <w:pStyle w:val="ListBullet"/>
      </w:pPr>
      <w:r>
        <w:t>Surveillance clinique (saignements, ecchymoses).</w:t>
      </w:r>
    </w:p>
    <w:p>
      <w:pPr>
        <w:pStyle w:val="ListBullet"/>
      </w:pPr>
      <w:r/>
      <w:r>
        <w:rPr>
          <w:b/>
        </w:rPr>
        <w:t>Avec les AINS systémiques (ibuprofène, naproxène, kétoprofène, diclofénac, célécoxib)</w:t>
      </w:r>
      <w:r>
        <w:t xml:space="preserve"> :</w:t>
      </w:r>
    </w:p>
    <w:p>
      <w:pPr>
        <w:pStyle w:val="ListBullet"/>
      </w:pPr>
      <w:r>
        <w:t>Potentialisation de la toxicité digestive (saignement, ulcère) ;</w:t>
      </w:r>
    </w:p>
    <w:p>
      <w:pPr>
        <w:pStyle w:val="ListBullet"/>
      </w:pPr>
      <w:r>
        <w:t>Potentialisation du risque hémorragique (effet antiagrégant additif) ;</w:t>
      </w:r>
    </w:p>
    <w:p>
      <w:pPr>
        <w:pStyle w:val="ListBullet"/>
      </w:pPr>
      <w:r>
        <w:t>Éviter l'association si possible, ou utiliser le paracétamol en alternative.</w:t>
      </w:r>
    </w:p>
    <w:p>
      <w:pPr>
        <w:pStyle w:val="ListBullet"/>
      </w:pPr>
      <w:r/>
      <w:r>
        <w:rPr>
          <w:b/>
        </w:rPr>
        <w:t>Avec les diurétiques (furosémide, hydrochlorothiazide, spironolactone)</w:t>
      </w:r>
      <w:r>
        <w:t xml:space="preserve"> :</w:t>
      </w:r>
    </w:p>
    <w:p>
      <w:pPr>
        <w:pStyle w:val="ListBullet"/>
      </w:pPr>
      <w:r>
        <w:t>Potentialisation de l'hypotension orthostatique (effet additif vasodilatateur et déplétion volémique) ;</w:t>
      </w:r>
    </w:p>
    <w:p>
      <w:pPr>
        <w:pStyle w:val="ListBullet"/>
      </w:pPr>
      <w:r>
        <w:t>Surveillance de la pression artérielle en orthostatisme.</w:t>
      </w:r>
    </w:p>
    <w:p>
      <w:pPr>
        <w:pStyle w:val="ListBullet"/>
      </w:pPr>
      <w:r/>
      <w:r>
        <w:rPr>
          <w:b/>
        </w:rPr>
        <w:t>Avec les inhibiteurs de l'enzyme de conversion (IEC : ramipril, périndopril, enalapril) et les antagonistes des récepteurs de l'angiotensine II (ARA2 : valsartan, telmisartan)</w:t>
      </w:r>
      <w:r>
        <w:t xml:space="preserve"> :</w:t>
      </w:r>
    </w:p>
    <w:p>
      <w:pPr>
        <w:pStyle w:val="ListBullet"/>
      </w:pPr>
      <w:r>
        <w:t>Potentialisation de l'hypotension orthostatique ;</w:t>
      </w:r>
    </w:p>
    <w:p>
      <w:pPr>
        <w:pStyle w:val="ListBullet"/>
      </w:pPr>
      <w:r>
        <w:t>Surveillance de la pression artérielle.</w:t>
      </w:r>
    </w:p>
    <w:p>
      <w:pPr>
        <w:pStyle w:val="ListBullet"/>
      </w:pPr>
      <w:r/>
      <w:r>
        <w:rPr>
          <w:b/>
        </w:rPr>
        <w:t>Avec les alphabloquants (tamsulosine, alfuzosine, doxazosine)</w:t>
      </w:r>
      <w:r>
        <w:t xml:space="preserve"> :</w:t>
      </w:r>
    </w:p>
    <w:p>
      <w:pPr>
        <w:pStyle w:val="ListBullet"/>
      </w:pPr>
      <w:r>
        <w:t>Potentialisation de l'hypotension orthostatique ;</w:t>
      </w:r>
    </w:p>
    <w:p>
      <w:pPr>
        <w:pStyle w:val="ListBullet"/>
      </w:pPr>
      <w:r>
        <w:t>Information du patient sur le risque de vertiges au lever.</w:t>
      </w:r>
    </w:p>
    <w:p>
      <w:pPr>
        <w:pStyle w:val="ListBullet"/>
      </w:pPr>
      <w:r/>
      <w:r>
        <w:rPr>
          <w:b/>
        </w:rPr>
        <w:t>Avec la digoxine</w:t>
      </w:r>
      <w:r>
        <w:t xml:space="preserve"> :</w:t>
      </w:r>
    </w:p>
    <w:p>
      <w:pPr>
        <w:pStyle w:val="ListBullet"/>
      </w:pPr>
      <w:r>
        <w:t>Pas d'interaction pharmacocinétique ou pharmacodynamique significative documentée à ce jour.</w:t>
      </w:r>
    </w:p>
    <w:p>
      <w:pPr>
        <w:pStyle w:val="ListBullet"/>
      </w:pPr>
      <w:r/>
      <w:r>
        <w:rPr>
          <w:b/>
        </w:rPr>
        <w:t>Avec les biguanides (metformine)</w:t>
      </w:r>
      <w:r>
        <w:t xml:space="preserve"> :</w:t>
      </w:r>
    </w:p>
    <w:p>
      <w:pPr>
        <w:pStyle w:val="ListBullet"/>
      </w:pPr>
      <w:r>
        <w:t>Pas d'interaction documentée à ce jour.</w:t>
      </w:r>
    </w:p>
    <w:p>
      <w:pPr>
        <w:pStyle w:val="ListBullet"/>
      </w:pPr>
      <w:r/>
      <w:r>
        <w:rPr>
          <w:b/>
        </w:rPr>
        <w:t>Avec l'insuline et les sulfamides hypoglycémiants</w:t>
      </w:r>
      <w:r>
        <w:t xml:space="preserve"> :</w:t>
      </w:r>
    </w:p>
    <w:p>
      <w:pPr>
        <w:pStyle w:val="ListBullet"/>
      </w:pPr>
      <w:r>
        <w:t>Pas d'interaction documentée à ce jour.</w:t>
      </w:r>
    </w:p>
    <w:p>
      <w:pPr>
        <w:pStyle w:val="ListBullet"/>
      </w:pPr>
      <w:r/>
      <w:r>
        <w:rPr>
          <w:b/>
        </w:rPr>
        <w:t>Avec les inhibiteurs de la PDE5 (sildénafil, tadalafil, vardenafil)</w:t>
      </w:r>
      <w:r>
        <w:t xml:space="preserve"> :</w:t>
      </w:r>
    </w:p>
    <w:p>
      <w:pPr>
        <w:pStyle w:val="ListBullet"/>
      </w:pPr>
      <w:r>
        <w:t>Potentialisation de l'hypotension orthostatique (effet vasodilatateur additif) ;</w:t>
      </w:r>
    </w:p>
    <w:p>
      <w:pPr>
        <w:pStyle w:val="ListBullet"/>
      </w:pPr>
      <w:r>
        <w:t>Surveillance clinique (vertiges, malaise).</w:t>
      </w:r>
    </w:p>
    <w:p>
      <w:pPr>
        <w:pStyle w:val="Heading3"/>
      </w:pPr>
      <w:r>
        <w:t>Grossesse et allaitement (CRAT)</w:t>
      </w:r>
    </w:p>
    <w:p>
      <w:r/>
      <w:r>
        <w:rPr>
          <w:b/>
        </w:rPr>
        <w:t>Grossesse</w:t>
      </w:r>
      <w:r>
        <w:t xml:space="preserve"> :</w:t>
      </w:r>
    </w:p>
    <w:p>
      <w:pPr>
        <w:pStyle w:val="ListBullet"/>
      </w:pPr>
      <w:r>
        <w:t>Données CRAT : les données publiées chez la femme enceinte exposée au calcium dobesilate sont limitées (séries de cas isolés, pas d'étude prospective contrôlée). Les études animales chez le rat et le lapin n'ont pas montré d'effet tératogène à doses thérapeutiques, mais une toxicité fœtale (retard de croissance, atteinte osseuse) a été observée à doses systémiques très élevées (5–10 fois la dose humaine).</w:t>
      </w:r>
    </w:p>
    <w:p>
      <w:pPr>
        <w:pStyle w:val="ListBullet"/>
      </w:pPr>
      <w:r>
        <w:t>Le calcium dobesilate traverse le placenta (molécule hydrosoluble de faible poids moléculaire), mais le passage est probablement limité à doses thérapeutiques.</w:t>
      </w:r>
    </w:p>
    <w:p>
      <w:pPr>
        <w:pStyle w:val="ListBullet"/>
      </w:pPr>
      <w:r>
        <w:t xml:space="preserve">Recommandation CRAT : </w:t>
      </w:r>
      <w:r>
        <w:rPr>
          <w:b/>
        </w:rPr>
        <w:t>à éviter par prudence pendant la grossesse</w:t>
      </w:r>
      <w:r>
        <w:t>, en particulier au 1er trimestre (période d'organogenèse) et au 3e trimestre (risque hémorragique néonatal — le calcium dobesilate traverse le placenta et peut atteindre des concentrations significatives chez le fœtus, dont le système hémostatique est immature).</w:t>
      </w:r>
    </w:p>
    <w:p>
      <w:pPr>
        <w:pStyle w:val="ListBullet"/>
      </w:pPr>
      <w:r>
        <w:t>Alternative : pour la rétinopathie diabétique chez la femme enceinte : privilégier l'équilibre glycémique strict, le contrôle tensionnel, la photocoagulation au laser argon (sans contre-indication obstétricale), et éviter les anti-VEGF intravitréens (contre-indiqués pendant la grossesse par prudence). Le calcium dobesilate peut être exceptionnellement maintenu en cas de rétinopathie sévère progressive, sur avis multidisciplinaire (ophtalmologiste + gynécologue-obstétricien + interniste).</w:t>
      </w:r>
    </w:p>
    <w:p>
      <w:r/>
      <w:r>
        <w:rPr>
          <w:b/>
        </w:rPr>
        <w:t>Allaitement</w:t>
      </w:r>
      <w:r>
        <w:t xml:space="preserve"> :</w:t>
      </w:r>
    </w:p>
    <w:p>
      <w:pPr>
        <w:pStyle w:val="ListBullet"/>
      </w:pPr>
      <w:r>
        <w:t>Données CRAT : le calcium dobesilate passe dans le lait maternel (rapport lait/plasma ~0,3 à 0,5). Les concentrations chez l'enfant allaité sont probablement faibles à doses thérapeutiques maternelles, mais aucune étude clinique n'a évalué formellement la sécurité.</w:t>
      </w:r>
    </w:p>
    <w:p>
      <w:pPr>
        <w:pStyle w:val="ListBullet"/>
      </w:pPr>
      <w:r>
        <w:t xml:space="preserve">Recommandation CRAT : </w:t>
      </w:r>
      <w:r>
        <w:rPr>
          <w:b/>
        </w:rPr>
        <w:t>éviter par prudence pendant l'allaitement</w:t>
      </w:r>
      <w:r>
        <w:t>, en raison du risque théorique d'effets indésirables chez l'enfant (hypotension, troubles digestifs) et de l'absence de données de sécurité formelles.</w:t>
      </w:r>
    </w:p>
    <w:p>
      <w:pPr>
        <w:pStyle w:val="ListBullet"/>
      </w:pPr>
      <w:r>
        <w:t>Alternative : si traitement indispensable, envisager un sevrage temporaire de l'allaitement pendant la durée du traitement. Pour la rétinopathie diabétique, privilégier les mesures non médicamenteuses (équilibration glycémique, photocoagulation laser).</w:t>
      </w:r>
    </w:p>
    <w:p>
      <w:r/>
      <w:r>
        <w:rPr>
          <w:b/>
        </w:rPr>
        <w:t>Femme en âge de procréer / contraception</w:t>
      </w:r>
      <w:r>
        <w:t xml:space="preserve"> : en cas de prescription de calcium dobesilate chez une femme en âge de procréer, s'assurer de l'absence de grossesse (test β-hCG) et conseiller une contraception efficace pendant le traitement.</w:t>
      </w:r>
    </w:p>
    <w:p>
      <w:pPr>
        <w:pStyle w:val="Heading3"/>
      </w:pPr>
      <w:r>
        <w:t>Posologie et mode d'administration</w:t>
      </w:r>
    </w:p>
    <w:p>
      <w:r/>
      <w:r>
        <w:rPr>
          <w:b/>
        </w:rPr>
        <w:t>Adulte</w:t>
      </w:r>
      <w:r>
        <w:t xml:space="preserve"> :</w:t>
      </w:r>
    </w:p>
    <w:p>
      <w:pPr>
        <w:pStyle w:val="ListBullet"/>
      </w:pPr>
      <w:r/>
      <w:r>
        <w:rPr>
          <w:b/>
        </w:rPr>
        <w:t>Indication ophtalmologique (rétinopathie diabétique non proliférante, rétinopathie hypertensive, OBVR/OVCR non ischémique)</w:t>
      </w:r>
      <w:r>
        <w:t xml:space="preserve"> :</w:t>
      </w:r>
    </w:p>
    <w:p>
      <w:pPr>
        <w:pStyle w:val="ListBullet"/>
      </w:pPr>
      <w:r>
        <w:t>Dose initiale : 1000 mg (1 comprimé) × 2 fois/jour (matin et soir, pendant les repas) = 2000 mg/jour ;</w:t>
      </w:r>
    </w:p>
    <w:p>
      <w:pPr>
        <w:pStyle w:val="ListBullet"/>
      </w:pPr>
      <w:r>
        <w:t>Dose d'entretien après 3–6 mois selon la réponse : 1000 mg × 1 à 2 fois/jour = 1000–2000 mg/jour ;</w:t>
      </w:r>
    </w:p>
    <w:p>
      <w:pPr>
        <w:pStyle w:val="ListBullet"/>
      </w:pPr>
      <w:r>
        <w:t>Dose maximale : 3000 mg/jour (en 3 prises) en cas de rétinopathie sévère ou évolutrice ;</w:t>
      </w:r>
    </w:p>
    <w:p>
      <w:pPr>
        <w:pStyle w:val="ListBullet"/>
      </w:pPr>
      <w:r>
        <w:t>Durée : traitement prolongé, réévaluation à 3 mois, 6 mois, puis tous les 6 mois par fond d'œil et OCT maculaire.</w:t>
      </w:r>
    </w:p>
    <w:p>
      <w:pPr>
        <w:pStyle w:val="ListBullet"/>
      </w:pPr>
      <w:r/>
      <w:r>
        <w:rPr>
          <w:b/>
        </w:rPr>
        <w:t>Indication vasculaire systémique (insuffisance veineuse chronique, ulcères de jambe)</w:t>
      </w:r>
      <w:r>
        <w:t xml:space="preserve"> :</w:t>
      </w:r>
    </w:p>
    <w:p>
      <w:pPr>
        <w:pStyle w:val="ListBullet"/>
      </w:pPr>
      <w:r>
        <w:t>Dose initiale : 1000 mg × 2 à 3 fois/jour = 2000–3000 mg/jour ;</w:t>
      </w:r>
    </w:p>
    <w:p>
      <w:pPr>
        <w:pStyle w:val="ListBullet"/>
      </w:pPr>
      <w:r>
        <w:t>Dose d'entretien : 1000 mg × 1 à 2 fois/jour = 1000–2000 mg/jour ;</w:t>
      </w:r>
    </w:p>
    <w:p>
      <w:pPr>
        <w:pStyle w:val="ListBullet"/>
      </w:pPr>
      <w:r>
        <w:t>Durée : traitement prolongé (plusieurs mois à années).</w:t>
      </w:r>
    </w:p>
    <w:p>
      <w:r/>
      <w:r>
        <w:rPr>
          <w:b/>
        </w:rPr>
        <w:t>Sujet âgé (&gt; 75 ans)</w:t>
      </w:r>
      <w:r>
        <w:t xml:space="preserve"> :</w:t>
      </w:r>
    </w:p>
    <w:p>
      <w:pPr>
        <w:pStyle w:val="ListBullet"/>
      </w:pPr>
      <w:r>
        <w:t>Dose initiale réduite : 500 mg × 2 fois/jour (la moitié de la dose adulte) en raison du risque d'hypotension orthostatique et d'insuffisance rénale fréquente ;</w:t>
      </w:r>
    </w:p>
    <w:p>
      <w:pPr>
        <w:pStyle w:val="ListBullet"/>
      </w:pPr>
      <w:r>
        <w:t>Titration progressive selon la tolérance.</w:t>
      </w:r>
    </w:p>
    <w:p>
      <w:r/>
      <w:r>
        <w:rPr>
          <w:b/>
        </w:rPr>
        <w:t>Insuffisance rénale</w:t>
      </w:r>
      <w:r>
        <w:t xml:space="preserve"> :</w:t>
      </w:r>
    </w:p>
    <w:p>
      <w:pPr>
        <w:pStyle w:val="ListBullet"/>
      </w:pPr>
      <w:r>
        <w:t>Clairance ≥ 60 mL/min : pas d'adaptation posologique ;</w:t>
      </w:r>
    </w:p>
    <w:p>
      <w:pPr>
        <w:pStyle w:val="ListBullet"/>
      </w:pPr>
      <w:r>
        <w:t>Clairance 30–59 mL/min : réduire la dose à 500 mg × 2 fois/jour ;</w:t>
      </w:r>
    </w:p>
    <w:p>
      <w:pPr>
        <w:pStyle w:val="ListBullet"/>
      </w:pPr>
      <w:r>
        <w:t>Clairance 15–29 mL/min : réduire la dose à 500 mg × 1 fois/jour ;</w:t>
      </w:r>
    </w:p>
    <w:p>
      <w:pPr>
        <w:pStyle w:val="ListBullet"/>
      </w:pPr>
      <w:r>
        <w:t>Clairance &lt; 15 mL/min : contre-indication relative, à éviter (élimination rénale exclusive).</w:t>
      </w:r>
    </w:p>
    <w:p>
      <w:r/>
      <w:r>
        <w:rPr>
          <w:b/>
        </w:rPr>
        <w:t>Insuffisance hépatique</w:t>
      </w:r>
      <w:r>
        <w:t xml:space="preserve"> :</w:t>
      </w:r>
    </w:p>
    <w:p>
      <w:pPr>
        <w:pStyle w:val="ListBullet"/>
      </w:pPr>
      <w:r>
        <w:t>Légère à modérée (Child-Pugh A ou B) : pas d'adaptation posologique ;</w:t>
      </w:r>
    </w:p>
    <w:p>
      <w:pPr>
        <w:pStyle w:val="ListBullet"/>
      </w:pPr>
      <w:r>
        <w:t>Sévère (Child-Pugh C) : éviter par prudence (risque d'accumulation des métabolites, surveillance hépatique rapprochée).</w:t>
      </w:r>
    </w:p>
    <w:p>
      <w:r/>
      <w:r>
        <w:rPr>
          <w:b/>
        </w:rPr>
        <w:t>Enfant</w:t>
      </w:r>
      <w:r>
        <w:t xml:space="preserve"> : non recommandé en raison de l'absence d'études pédiatriques (le calcium dobesilate n'a pas d'indication validée en pédiatrie).</w:t>
      </w:r>
    </w:p>
    <w:p>
      <w:r/>
      <w:r>
        <w:rPr>
          <w:b/>
        </w:rPr>
        <w:t>Mode d'administration</w:t>
      </w:r>
      <w:r>
        <w:t xml:space="preserve"> :</w:t>
      </w:r>
    </w:p>
    <w:p>
      <w:pPr>
        <w:pStyle w:val="ListBullet"/>
      </w:pPr>
      <w:r>
        <w:t>Voie orale exclusive ;</w:t>
      </w:r>
    </w:p>
    <w:p>
      <w:pPr>
        <w:pStyle w:val="ListBullet"/>
      </w:pPr>
      <w:r>
        <w:t xml:space="preserve">Avaler le comprimé pelliculé entier avec un grand verre d'eau, </w:t>
      </w:r>
      <w:r>
        <w:rPr>
          <w:b/>
        </w:rPr>
        <w:t>pendant ou après le repas</w:t>
      </w:r>
      <w:r>
        <w:t xml:space="preserve"> (réduction des EI digestifs) ;</w:t>
      </w:r>
    </w:p>
    <w:p>
      <w:pPr>
        <w:pStyle w:val="ListBullet"/>
      </w:pPr>
      <w:r>
        <w:t>Ne pas croquer, ne pas écraser (le comprimé pelliculé a un goût désagréable et la pellicule protège la muqueuse gastrique) ;</w:t>
      </w:r>
    </w:p>
    <w:p>
      <w:pPr>
        <w:pStyle w:val="ListBullet"/>
      </w:pPr>
      <w:r>
        <w:t>Respecter un intervalle de 8–12 heures entre les prises (2 prises par jour) ou 6–8 heures (3 prises par jour) ;</w:t>
      </w:r>
    </w:p>
    <w:p>
      <w:pPr>
        <w:pStyle w:val="ListBullet"/>
      </w:pPr>
      <w:r>
        <w:t>En cas d'oubli d'une prise, ne pas doubler la dose suivante (risque de surdosage).</w:t>
      </w:r>
    </w:p>
    <w:p>
      <w:pPr>
        <w:pStyle w:val="Heading3"/>
      </w:pPr>
      <w:r>
        <w:t>Surveillance biologique et suivi clinique</w:t>
      </w:r>
    </w:p>
    <w:p>
      <w:r>
        <w:t>La surveillance du calcium dobesilate repose sur une combinaison d'évaluations biologiques systémiques et cliniques ophtalmologiques :</w:t>
      </w:r>
    </w:p>
    <w:p>
      <w:r/>
      <w:r>
        <w:rPr>
          <w:b/>
        </w:rPr>
        <w:t>Surveillance biologique systémique</w:t>
      </w:r>
      <w:r>
        <w:t xml:space="preserve"> :</w:t>
      </w:r>
    </w:p>
    <w:p>
      <w:pPr>
        <w:pStyle w:val="ListBullet"/>
      </w:pPr>
      <w:r/>
      <w:r>
        <w:rPr>
          <w:b/>
        </w:rPr>
        <w:t>NFS-plaquettes</w:t>
      </w:r>
      <w:r>
        <w:t xml:space="preserve"> :</w:t>
      </w:r>
    </w:p>
    <w:p>
      <w:pPr>
        <w:pStyle w:val="ListBullet"/>
      </w:pPr>
      <w:r>
        <w:t>J0 (avant instauration) ;</w:t>
      </w:r>
    </w:p>
    <w:p>
      <w:pPr>
        <w:pStyle w:val="ListBullet"/>
      </w:pPr>
      <w:r>
        <w:t>J15 (recherche d'une neutropénie précoce) ;</w:t>
      </w:r>
    </w:p>
    <w:p>
      <w:pPr>
        <w:pStyle w:val="ListBullet"/>
      </w:pPr>
      <w:r>
        <w:t>M1, M3 ;</w:t>
      </w:r>
    </w:p>
    <w:p>
      <w:pPr>
        <w:pStyle w:val="ListBullet"/>
      </w:pPr>
      <w:r>
        <w:t>Puis tous les 6 mois en traitement prolongé.</w:t>
      </w:r>
    </w:p>
    <w:p>
      <w:pPr>
        <w:pStyle w:val="ListBullet"/>
      </w:pPr>
      <w:r>
        <w:t>Valeurs normales : PNN ≥ 1 500/mm³ ; si PNN &lt; 1 500/mm³ → surveillance rapprochée (J7) ; si &lt; 1 000/mm³ → arrêt du traitement.</w:t>
      </w:r>
    </w:p>
    <w:p>
      <w:pPr>
        <w:pStyle w:val="ListBullet"/>
      </w:pPr>
      <w:r/>
      <w:r>
        <w:rPr>
          <w:b/>
        </w:rPr>
        <w:t>Bilan hépatique</w:t>
      </w:r>
      <w:r>
        <w:t xml:space="preserve"> (ASAT, ALAT, γ-GT, phosphatases alcalines, bilirubine totale) :</w:t>
      </w:r>
    </w:p>
    <w:p>
      <w:pPr>
        <w:pStyle w:val="ListBullet"/>
      </w:pPr>
      <w:r>
        <w:t>J0, M1, M3 ;</w:t>
      </w:r>
    </w:p>
    <w:p>
      <w:pPr>
        <w:pStyle w:val="ListBullet"/>
      </w:pPr>
      <w:r>
        <w:t>Puis tous les 6 mois en traitement prolongé.</w:t>
      </w:r>
    </w:p>
    <w:p>
      <w:pPr>
        <w:pStyle w:val="ListBullet"/>
      </w:pPr>
      <w:r/>
      <w:r>
        <w:rPr>
          <w:b/>
        </w:rPr>
        <w:t>Fonction rénale</w:t>
      </w:r>
      <w:r>
        <w:t xml:space="preserve"> (créatinine, clairance Cockcroft-MDRD, ionogramme) :</w:t>
      </w:r>
    </w:p>
    <w:p>
      <w:pPr>
        <w:pStyle w:val="ListBullet"/>
      </w:pPr>
      <w:r>
        <w:t>J0 ;</w:t>
      </w:r>
    </w:p>
    <w:p>
      <w:pPr>
        <w:pStyle w:val="ListBullet"/>
      </w:pPr>
      <w:r>
        <w:t>Tous les 3 mois chez le sujet âgé ou l'insuffisant rénal ;</w:t>
      </w:r>
    </w:p>
    <w:p>
      <w:pPr>
        <w:pStyle w:val="ListBullet"/>
      </w:pPr>
      <w:r>
        <w:t>Tous les 6 mois en traitement prolongé.</w:t>
      </w:r>
    </w:p>
    <w:p>
      <w:pPr>
        <w:pStyle w:val="ListBullet"/>
      </w:pPr>
      <w:r/>
      <w:r>
        <w:rPr>
          <w:b/>
        </w:rPr>
        <w:t>Bilan d'hémostase</w:t>
      </w:r>
      <w:r>
        <w:t xml:space="preserve"> (TP/INR si AVK associé, plaquettes) :</w:t>
      </w:r>
    </w:p>
    <w:p>
      <w:pPr>
        <w:pStyle w:val="ListBullet"/>
      </w:pPr>
      <w:r>
        <w:t>Surveillance hebdomadaire pendant 1 mois, puis mensuelle si AVK associé.</w:t>
      </w:r>
    </w:p>
    <w:p>
      <w:r/>
      <w:r>
        <w:rPr>
          <w:b/>
        </w:rPr>
        <w:t>Surveillance clinique ophtalmologique</w:t>
      </w:r>
      <w:r>
        <w:t xml:space="preserve"> :</w:t>
      </w:r>
    </w:p>
    <w:p>
      <w:pPr>
        <w:pStyle w:val="ListBullet"/>
      </w:pPr>
      <w:r/>
      <w:r>
        <w:rPr>
          <w:b/>
        </w:rPr>
        <w:t>Acuité visuelle de loin et de près</w:t>
      </w:r>
      <w:r>
        <w:t xml:space="preserve"> (Échelle Monoyer et Parinaud) :</w:t>
      </w:r>
    </w:p>
    <w:p>
      <w:pPr>
        <w:pStyle w:val="ListBullet"/>
      </w:pPr>
      <w:r>
        <w:t>Avant traitement ;</w:t>
      </w:r>
    </w:p>
    <w:p>
      <w:pPr>
        <w:pStyle w:val="ListBullet"/>
      </w:pPr>
      <w:r>
        <w:t>À 3 mois, 6 mois ;</w:t>
      </w:r>
    </w:p>
    <w:p>
      <w:pPr>
        <w:pStyle w:val="ListBullet"/>
      </w:pPr>
      <w:r>
        <w:t>Puis tous les 6 mois.</w:t>
      </w:r>
    </w:p>
    <w:p>
      <w:pPr>
        <w:pStyle w:val="ListBullet"/>
      </w:pPr>
      <w:r/>
      <w:r>
        <w:rPr>
          <w:b/>
        </w:rPr>
        <w:t>Fond d'œil</w:t>
      </w:r>
      <w:r>
        <w:t xml:space="preserve"> (examen direct et indirect) :</w:t>
      </w:r>
    </w:p>
    <w:p>
      <w:pPr>
        <w:pStyle w:val="ListBullet"/>
      </w:pPr>
      <w:r>
        <w:t>Avant traitement (documentation des microanévrismes, hémorragies, exsudats secs, œdème maculaire) ;</w:t>
      </w:r>
    </w:p>
    <w:p>
      <w:pPr>
        <w:pStyle w:val="ListBullet"/>
      </w:pPr>
      <w:r>
        <w:t>À 3 mois, 6 mois ;</w:t>
      </w:r>
    </w:p>
    <w:p>
      <w:pPr>
        <w:pStyle w:val="ListBullet"/>
      </w:pPr>
      <w:r>
        <w:t>Puis tous les 6 mois à 1 an selon l'évolution.</w:t>
      </w:r>
    </w:p>
    <w:p>
      <w:pPr>
        <w:pStyle w:val="ListBullet"/>
      </w:pPr>
      <w:r/>
      <w:r>
        <w:rPr>
          <w:b/>
        </w:rPr>
        <w:t>Angiographie fluorescéinique</w:t>
      </w:r>
      <w:r>
        <w:t xml:space="preserve"> :</w:t>
      </w:r>
    </w:p>
    <w:p>
      <w:pPr>
        <w:pStyle w:val="ListBullet"/>
      </w:pPr>
      <w:r>
        <w:t>Avant traitement (évaluation de l'ischémie capillaire, des fuites microvasculaires) ;</w:t>
      </w:r>
    </w:p>
    <w:p>
      <w:pPr>
        <w:pStyle w:val="ListBullet"/>
      </w:pPr>
      <w:r>
        <w:t>À 6 mois puis annuelle pour évaluation de l'efficacité.</w:t>
      </w:r>
    </w:p>
    <w:p>
      <w:pPr>
        <w:pStyle w:val="ListBullet"/>
      </w:pPr>
      <w:r/>
      <w:r>
        <w:rPr>
          <w:b/>
        </w:rPr>
        <w:t>OCT maculaire</w:t>
      </w:r>
      <w:r>
        <w:t xml:space="preserve"> (tomographie en cohérence optique) :</w:t>
      </w:r>
    </w:p>
    <w:p>
      <w:pPr>
        <w:pStyle w:val="ListBullet"/>
      </w:pPr>
      <w:r>
        <w:t>Avant traitement (mesure de l'épaisseur maculaire) ;</w:t>
      </w:r>
    </w:p>
    <w:p>
      <w:pPr>
        <w:pStyle w:val="ListBullet"/>
      </w:pPr>
      <w:r>
        <w:t>À 3 mois, 6 mois puis tous les 6 mois (suivi de l'œdème maculaire).</w:t>
      </w:r>
    </w:p>
    <w:p>
      <w:pPr>
        <w:pStyle w:val="ListBullet"/>
      </w:pPr>
      <w:r/>
      <w:r>
        <w:rPr>
          <w:b/>
        </w:rPr>
        <w:t>OCT-angiographie</w:t>
      </w:r>
      <w:r>
        <w:t xml:space="preserve"> (si disponible) :</w:t>
      </w:r>
    </w:p>
    <w:p>
      <w:pPr>
        <w:pStyle w:val="ListBullet"/>
      </w:pPr>
      <w:r>
        <w:t>Évaluation de la densité capillaire superficielle et profonde ;</w:t>
      </w:r>
    </w:p>
    <w:p>
      <w:pPr>
        <w:pStyle w:val="ListBullet"/>
      </w:pPr>
      <w:r>
        <w:t>Suivi de la zone avasculaire fovéolaire.</w:t>
      </w:r>
    </w:p>
    <w:p>
      <w:r/>
      <w:r>
        <w:rPr>
          <w:b/>
        </w:rPr>
        <w:t>Surveillance clinique systémique</w:t>
      </w:r>
      <w:r>
        <w:t xml:space="preserve"> :</w:t>
      </w:r>
    </w:p>
    <w:p>
      <w:pPr>
        <w:pStyle w:val="ListBullet"/>
      </w:pPr>
      <w:r>
        <w:t>Pression artérielle (couché/debout) à chaque consultation ;</w:t>
      </w:r>
    </w:p>
    <w:p>
      <w:pPr>
        <w:pStyle w:val="ListBullet"/>
      </w:pPr>
      <w:r>
        <w:t>Examen neurologique (recherche de vertiges, céphalées, asthénie) ;</w:t>
      </w:r>
    </w:p>
    <w:p>
      <w:pPr>
        <w:pStyle w:val="ListBullet"/>
      </w:pPr>
      <w:r>
        <w:t>Examen vasculaire périphérique (recherche d'œdème des membres inférieurs, ulcères variqueux) ;</w:t>
      </w:r>
    </w:p>
    <w:p>
      <w:pPr>
        <w:pStyle w:val="ListBullet"/>
      </w:pPr>
      <w:r>
        <w:t>Évaluation de la tolérance digestive.</w:t>
      </w:r>
    </w:p>
    <w:p>
      <w:r/>
      <w:r>
        <w:rPr>
          <w:b/>
        </w:rPr>
        <w:t>Critères d'efficacité</w:t>
      </w:r>
      <w:r>
        <w:t xml:space="preserve"> :</w:t>
      </w:r>
    </w:p>
    <w:p>
      <w:pPr>
        <w:pStyle w:val="ListBullet"/>
      </w:pPr>
      <w:r>
        <w:t>Stabilisation ou amélioration de l'acuité visuelle ;</w:t>
      </w:r>
    </w:p>
    <w:p>
      <w:pPr>
        <w:pStyle w:val="ListBullet"/>
      </w:pPr>
      <w:r>
        <w:t>Réduction de l'épaisseur maculaire à l'OCT (si œdème maculaire) ;</w:t>
      </w:r>
    </w:p>
    <w:p>
      <w:pPr>
        <w:pStyle w:val="ListBullet"/>
      </w:pPr>
      <w:r>
        <w:t>Diminution du nombre de microanévrismes actifs à l'angiographie ;</w:t>
      </w:r>
    </w:p>
    <w:p>
      <w:pPr>
        <w:pStyle w:val="ListBullet"/>
      </w:pPr>
      <w:r>
        <w:t>Stabilisation de la surface d'ischémie rétinienne.</w:t>
      </w:r>
    </w:p>
    <w:p>
      <w:r/>
      <w:r>
        <w:rPr>
          <w:b/>
        </w:rPr>
        <w:t>Critères d'arrêt du traitement</w:t>
      </w:r>
      <w:r>
        <w:t xml:space="preserve"> :</w:t>
      </w:r>
    </w:p>
    <w:p>
      <w:pPr>
        <w:pStyle w:val="ListBullet"/>
      </w:pPr>
      <w:r>
        <w:t>Progression de la rétinopathie malgré le traitement → indication de photocoagulation laser ou d'anti-VEGF intravitréen ;</w:t>
      </w:r>
    </w:p>
    <w:p>
      <w:pPr>
        <w:pStyle w:val="ListBullet"/>
      </w:pPr>
      <w:r>
        <w:t>Effets indésirables intolérables (digestifs sévères, allergies, atteinte hématologique, hépatique ou rénale) ;</w:t>
      </w:r>
    </w:p>
    <w:p>
      <w:pPr>
        <w:pStyle w:val="ListBullet"/>
      </w:pPr>
      <w:r>
        <w:t>Non-observance du patient ou absence de suivi ophtalmologique ;</w:t>
      </w:r>
    </w:p>
    <w:p>
      <w:pPr>
        <w:pStyle w:val="ListBullet"/>
      </w:pPr>
      <w:r>
        <w:t>Découverte d'une contre-indication méconnue.</w:t>
      </w:r>
    </w:p>
    <w:p>
      <w:pPr>
        <w:pStyle w:val="Heading3"/>
      </w:pPr>
      <w:r>
        <w:t>Arbitrage et bénéfices des formes galéniques</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Forme galénique</w:t>
            </w:r>
          </w:p>
        </w:tc>
        <w:tc>
          <w:tcPr>
            <w:tcW w:type="dxa" w:w="2339"/>
          </w:tcPr>
          <w:p>
            <w:r>
              <w:rPr>
                <w:b/>
                <w:sz w:val="20"/>
              </w:rPr>
              <w:t>Avantages</w:t>
            </w:r>
          </w:p>
        </w:tc>
        <w:tc>
          <w:tcPr>
            <w:tcW w:type="dxa" w:w="2339"/>
          </w:tcPr>
          <w:p>
            <w:r>
              <w:rPr>
                <w:b/>
                <w:sz w:val="20"/>
              </w:rPr>
              <w:t>Inconvénients</w:t>
            </w:r>
          </w:p>
        </w:tc>
        <w:tc>
          <w:tcPr>
            <w:tcW w:type="dxa" w:w="2339"/>
          </w:tcPr>
          <w:p>
            <w:r>
              <w:rPr>
                <w:b/>
                <w:sz w:val="20"/>
              </w:rPr>
              <w:t>Indications préférentielles</w:t>
            </w:r>
          </w:p>
        </w:tc>
      </w:tr>
      <w:tr>
        <w:tc>
          <w:tcPr>
            <w:tcW w:type="dxa" w:w="2339"/>
          </w:tcPr>
          <w:p>
            <w:r>
              <w:rPr>
                <w:sz w:val="20"/>
              </w:rPr>
              <w:t>Comprimé pelliculé 1000 mg (DOXIUM Algérie)</w:t>
            </w:r>
          </w:p>
        </w:tc>
        <w:tc>
          <w:tcPr>
            <w:tcW w:type="dxa" w:w="2339"/>
          </w:tcPr>
          <w:p>
            <w:r>
              <w:rPr>
                <w:sz w:val="20"/>
              </w:rPr>
              <w:t>Dose unique facilitant l'observance (1 cp × 2/j vs 2 cp × 2/j historique 500 mg), bon rapport coût/efficacité</w:t>
            </w:r>
          </w:p>
        </w:tc>
        <w:tc>
          <w:tcPr>
            <w:tcW w:type="dxa" w:w="2339"/>
          </w:tcPr>
          <w:p>
            <w:r>
              <w:rPr>
                <w:sz w:val="20"/>
              </w:rPr>
              <w:t>Posologie moins flexible (pas de fractionnement à 500 mg possible), contre-indiqué en cas d'insuffisance rénale sévère</w:t>
            </w:r>
          </w:p>
        </w:tc>
        <w:tc>
          <w:tcPr>
            <w:tcW w:type="dxa" w:w="2339"/>
          </w:tcPr>
          <w:p>
            <w:r>
              <w:rPr>
                <w:sz w:val="20"/>
              </w:rPr>
              <w:t>Indications ophtalmologiques et vasculaires de l'adulte</w:t>
            </w:r>
          </w:p>
        </w:tc>
      </w:tr>
      <w:tr>
        <w:tc>
          <w:tcPr>
            <w:tcW w:type="dxa" w:w="2339"/>
          </w:tcPr>
          <w:p>
            <w:r>
              <w:rPr>
                <w:sz w:val="20"/>
              </w:rPr>
              <w:t>Forme 500 mg (gélule ou comprimé, non disponible en Algérie à ce jour)</w:t>
            </w:r>
          </w:p>
        </w:tc>
        <w:tc>
          <w:tcPr>
            <w:tcW w:type="dxa" w:w="2339"/>
          </w:tcPr>
          <w:p>
            <w:r>
              <w:rPr>
                <w:sz w:val="20"/>
              </w:rPr>
              <w:t>Posologie flexible (250/500/1000 mg), adaptation à l'insuffisance rénale et au sujet âgé</w:t>
            </w:r>
          </w:p>
        </w:tc>
        <w:tc>
          <w:tcPr>
            <w:tcW w:type="dxa" w:w="2339"/>
          </w:tcPr>
          <w:p>
            <w:r>
              <w:rPr>
                <w:sz w:val="20"/>
              </w:rPr>
              <w:t>Observance moindre (multiplication des prises)</w:t>
            </w:r>
          </w:p>
        </w:tc>
        <w:tc>
          <w:tcPr>
            <w:tcW w:type="dxa" w:w="2339"/>
          </w:tcPr>
          <w:p>
            <w:r>
              <w:rPr>
                <w:sz w:val="20"/>
              </w:rPr>
              <w:t>Sujet âgé, insuffisance rénale modérée, pédiatrie (hors AMM)</w:t>
            </w:r>
          </w:p>
        </w:tc>
      </w:tr>
      <w:tr>
        <w:tc>
          <w:tcPr>
            <w:tcW w:type="dxa" w:w="2339"/>
          </w:tcPr>
          <w:p>
            <w:r>
              <w:rPr>
                <w:sz w:val="20"/>
              </w:rPr>
              <w:t>Forme topique (pommade proctologique, non disponible en Algérie)</w:t>
            </w:r>
          </w:p>
        </w:tc>
        <w:tc>
          <w:tcPr>
            <w:tcW w:type="dxa" w:w="2339"/>
          </w:tcPr>
          <w:p>
            <w:r>
              <w:rPr>
                <w:sz w:val="20"/>
              </w:rPr>
              <w:t>Application locale, faible passage systémique</w:t>
            </w:r>
          </w:p>
        </w:tc>
        <w:tc>
          <w:tcPr>
            <w:tcW w:type="dxa" w:w="2339"/>
          </w:tcPr>
          <w:p>
            <w:r>
              <w:rPr>
                <w:sz w:val="20"/>
              </w:rPr>
              <w:t>Indication limitée (hémorroïdes)</w:t>
            </w:r>
          </w:p>
        </w:tc>
        <w:tc>
          <w:tcPr>
            <w:tcW w:type="dxa" w:w="2339"/>
          </w:tcPr>
          <w:p>
            <w:r>
              <w:rPr>
                <w:sz w:val="20"/>
              </w:rPr>
              <w:t>Hémorroïdes externes</w:t>
            </w:r>
          </w:p>
        </w:tc>
      </w:tr>
      <w:tr>
        <w:tc>
          <w:tcPr>
            <w:tcW w:type="dxa" w:w="2339"/>
          </w:tcPr>
          <w:p>
            <w:r>
              <w:rPr>
                <w:sz w:val="20"/>
              </w:rPr>
              <w:t>Forme injectable IM/IV (historique, non disponible)</w:t>
            </w:r>
          </w:p>
        </w:tc>
        <w:tc>
          <w:tcPr>
            <w:tcW w:type="dxa" w:w="2339"/>
          </w:tcPr>
          <w:p>
            <w:r>
              <w:rPr>
                <w:sz w:val="20"/>
              </w:rPr>
              <w:t>Effet rapide</w:t>
            </w:r>
          </w:p>
        </w:tc>
        <w:tc>
          <w:tcPr>
            <w:tcW w:type="dxa" w:w="2339"/>
          </w:tcPr>
          <w:p>
            <w:r>
              <w:rPr>
                <w:sz w:val="20"/>
              </w:rPr>
              <w:t>Inconfort, nécessité médicale</w:t>
            </w:r>
          </w:p>
        </w:tc>
        <w:tc>
          <w:tcPr>
            <w:tcW w:type="dxa" w:w="2339"/>
          </w:tcPr>
          <w:p>
            <w:r>
              <w:rPr>
                <w:sz w:val="20"/>
              </w:rPr>
              <w:t>Formes aiguës (non utilisées actuellement)</w:t>
            </w:r>
          </w:p>
        </w:tc>
      </w:tr>
    </w:tbl>
    <w:p/>
    <w:p>
      <w:r/>
      <w:r>
        <w:rPr>
          <w:b/>
        </w:rPr>
        <w:t>En Algérie</w:t>
      </w:r>
      <w:r>
        <w:t>, le calcium dobesilate n'est disponible que sous forme orale 1000 mg. Cette limitation impose :</w:t>
      </w:r>
    </w:p>
    <w:p>
      <w:pPr>
        <w:pStyle w:val="ListBullet"/>
      </w:pPr>
      <w:r>
        <w:t>Adaptation impossible à l'insuffisance rénale modérée à sévère (préférer une alternative thérapeutique) ;</w:t>
      </w:r>
    </w:p>
    <w:p>
      <w:pPr>
        <w:pStyle w:val="ListBullet"/>
      </w:pPr>
      <w:r>
        <w:t>Adaptation impossible chez le sujet âgé fragile (commencer par un jour sur deux si nécessaire) ;</w:t>
      </w:r>
    </w:p>
    <w:p>
      <w:pPr>
        <w:pStyle w:val="ListBullet"/>
      </w:pPr>
      <w:r>
        <w:t>Impossibilité d'utiliser la forme topique proctologique (substituer par un veinotonique local type diosmine, ou un anesthésique local type lidocaïne).</w:t>
      </w:r>
    </w:p>
    <w:p>
      <w:pPr>
        <w:pStyle w:val="Heading3"/>
      </w:pPr>
      <w:r>
        <w:t>Instructions et conseils au patient</w:t>
      </w:r>
    </w:p>
    <w:p>
      <w:pPr>
        <w:pStyle w:val="ListNumber"/>
      </w:pPr>
      <w:r/>
      <w:r>
        <w:rPr>
          <w:b/>
        </w:rPr>
        <w:t>Information sur la pathologie</w:t>
      </w:r>
      <w:r>
        <w:t xml:space="preserve"> : expliquer au patient que le calcium dobesilate est un traitement adjuvant de la rétinopathie diabétique ou hypertensive, qui vise à améliorer la microcirculation rétinienne mais ne se substitue pas aux mesures essentielles : équilibre glycémique strict (HbA1c &lt; 7 %), contrôle tensionnel (&lt; 130/80 mmHg), arrêt du tabac, suivi ophtalmologique régulier.</w:t>
      </w:r>
    </w:p>
    <w:p>
      <w:pPr>
        <w:pStyle w:val="ListNumber"/>
      </w:pPr>
      <w:r/>
      <w:r>
        <w:rPr>
          <w:b/>
        </w:rPr>
        <w:t>Respect de la prescription</w:t>
      </w:r>
      <w:r>
        <w:t xml:space="preserve"> : prendre le comprimé </w:t>
      </w:r>
      <w:r>
        <w:rPr>
          <w:b/>
        </w:rPr>
        <w:t>pendant ou après le repas</w:t>
      </w:r>
      <w:r>
        <w:t xml:space="preserve"> (et non à jeun) pour réduire les troubles digestifs. Avaler entier, ne pas croquer ni écraser.</w:t>
      </w:r>
    </w:p>
    <w:p>
      <w:pPr>
        <w:pStyle w:val="ListNumber"/>
      </w:pPr>
      <w:r/>
      <w:r>
        <w:rPr>
          <w:b/>
        </w:rPr>
        <w:t>Fréquence d'administration</w:t>
      </w:r>
      <w:r>
        <w:t xml:space="preserve"> : 2 prises par jour (matin et soir) à heures fixes (par exemple 8h et 20h). En cas d'oubli d'une prise, ne pas doubler la dose suivante, prendre la dose suivante à l'heure habituelle.</w:t>
      </w:r>
    </w:p>
    <w:p>
      <w:pPr>
        <w:pStyle w:val="ListNumber"/>
      </w:pPr>
      <w:r/>
      <w:r>
        <w:rPr>
          <w:b/>
        </w:rPr>
        <w:t>Surveillance biologique</w:t>
      </w:r>
      <w:r>
        <w:t xml:space="preserve"> : il est important de respecter les contrôles biologiques (NFS, bilan hépatique, fonction rénale) prescrits par le médecin. Ne pas arrêter le traitement sans avis médical.</w:t>
      </w:r>
    </w:p>
    <w:p>
      <w:pPr>
        <w:pStyle w:val="ListNumber"/>
      </w:pPr>
      <w:r/>
      <w:r>
        <w:rPr>
          <w:b/>
        </w:rPr>
        <w:t>Signes d'alerte à signaler immédiatement au médecin</w:t>
      </w:r>
      <w:r>
        <w:t xml:space="preserve"> :</w:t>
      </w:r>
    </w:p>
    <w:p>
      <w:pPr>
        <w:pStyle w:val="ListBullet"/>
      </w:pPr>
      <w:r>
        <w:t>Fièvre ≥ 38,5 °C, angine, ulcérations buccales (signes d'agranulocytose) ;</w:t>
      </w:r>
    </w:p>
    <w:p>
      <w:pPr>
        <w:pStyle w:val="ListBullet"/>
      </w:pPr>
      <w:r>
        <w:t>Saignements anormaux : gingivorragie, épistaxis spontané, ecchymoses, méléna (selles noires), hématurie (urines rouges) ;</w:t>
      </w:r>
    </w:p>
    <w:p>
      <w:pPr>
        <w:pStyle w:val="ListBullet"/>
      </w:pPr>
      <w:r>
        <w:t>Fièvre + angine + ulcérations = consulter en urgence pour NFS ;</w:t>
      </w:r>
    </w:p>
    <w:p>
      <w:pPr>
        <w:pStyle w:val="ListBullet"/>
      </w:pPr>
      <w:r>
        <w:t>Ictère (coloration jaune des conjonctives et de la peau) ;</w:t>
      </w:r>
    </w:p>
    <w:p>
      <w:pPr>
        <w:pStyle w:val="ListBullet"/>
      </w:pPr>
      <w:r>
        <w:t>Éruption cutanée étendue, prurit généralisé, ulcérations buccales.</w:t>
      </w:r>
    </w:p>
    <w:p>
      <w:pPr>
        <w:pStyle w:val="ListNumber"/>
      </w:pPr>
      <w:r/>
      <w:r>
        <w:rPr>
          <w:b/>
        </w:rPr>
        <w:t>Précautions orthostatiques</w:t>
      </w:r>
      <w:r>
        <w:t xml:space="preserve"> (sujet âgé) : se lever progressivement du lit ou du fauteuil (position assise pendant 30 secondes au bord du lit, puis debout lentement) pour éviter les vertiges.</w:t>
      </w:r>
    </w:p>
    <w:p>
      <w:pPr>
        <w:pStyle w:val="ListNumber"/>
      </w:pPr>
      <w:r/>
      <w:r>
        <w:rPr>
          <w:b/>
        </w:rPr>
        <w:t>Éviter l'automédication</w:t>
      </w:r>
      <w:r>
        <w:t xml:space="preserve"> : ne pas associer d'AINS (ibuprofène, aspirine) sans avis médical en raison du risque hémorragique. Préférer le paracétamol pour les antalgiques courants.</w:t>
      </w:r>
    </w:p>
    <w:p>
      <w:pPr>
        <w:pStyle w:val="ListNumber"/>
      </w:pPr>
      <w:r/>
      <w:r>
        <w:rPr>
          <w:b/>
        </w:rPr>
        <w:t>Chirurgie programmée</w:t>
      </w:r>
      <w:r>
        <w:t xml:space="preserve"> : informer le chirurgien et l'anesthésiste du traitement par calcium dobesilate. Arrêt généralement recommandé 5–7 jours avant la chirurgie.</w:t>
      </w:r>
    </w:p>
    <w:p>
      <w:pPr>
        <w:pStyle w:val="ListNumber"/>
      </w:pPr>
      <w:r/>
      <w:r>
        <w:rPr>
          <w:b/>
        </w:rPr>
        <w:t>Grossesse</w:t>
      </w:r>
      <w:r>
        <w:t xml:space="preserve"> : en cas de désir de grossesse ou de grossesse en cours, informer immédiatement le médecin pour évaluer la poursuite ou l'arrêt du traitement.</w:t>
      </w:r>
    </w:p>
    <w:p>
      <w:pPr>
        <w:pStyle w:val="ListNumber"/>
      </w:pPr>
      <w:r/>
      <w:r>
        <w:rPr>
          <w:b/>
        </w:rPr>
        <w:t>Suivi ophtalmologique régulier</w:t>
      </w:r>
      <w:r>
        <w:t xml:space="preserve"> : ne pas négliger les consultations ophtalmologiques de suivi (3 mois, 6 mois, puis tous les 6 mois à 1 an), même en l'absence de symptômes visuels. Le calcium dobesilate ne prévient pas la progression de la rétinopathie vers les formes proliférantes ; seule la photocoagulation laser ou les anti-VEGF sont efficaces dans ces formes.</w:t>
      </w:r>
    </w:p>
    <w:p>
      <w:pPr>
        <w:pStyle w:val="Heading3"/>
      </w:pPr>
      <w:r>
        <w:t>Notes — Règles d'or et pièges au comptoir</w:t>
      </w:r>
    </w:p>
    <w:p>
      <w:pPr>
        <w:pStyle w:val="ListNumber"/>
      </w:pPr>
      <w:r/>
      <w:r>
        <w:rPr>
          <w:b/>
        </w:rPr>
        <w:t>Règle d'or du calcium dobesilate en ophtalmologie</w:t>
      </w:r>
      <w:r>
        <w:t xml:space="preserve"> : « Le calcium dobesilate est un traitement adjuvant de la rétinopathie diabétique non proliférante modérée, jamais un traitement de première intention isolé ni un substitut à la photocoagulation laser ou aux anti-VEGF dans les formes proliférantes ou maculaires. »</w:t>
      </w:r>
    </w:p>
    <w:p>
      <w:pPr>
        <w:pStyle w:val="ListNumber"/>
      </w:pPr>
      <w:r/>
      <w:r>
        <w:rPr>
          <w:b/>
        </w:rPr>
        <w:t>Piège du patient diabétique « sous DOXIUM » sans suivi ophtalmologique</w:t>
      </w:r>
      <w:r>
        <w:t xml:space="preserve"> : un patient diabétique sous calcium dobesilate doit avoir un fond d'œil annuel minimum (semestriel si rétinopathie patente). Le pharmacien d'officine doit systématiquement demander la date du dernier fond d'œil lors du renouvellement.</w:t>
      </w:r>
    </w:p>
    <w:p>
      <w:pPr>
        <w:pStyle w:val="ListNumber"/>
      </w:pPr>
      <w:r/>
      <w:r>
        <w:rPr>
          <w:b/>
        </w:rPr>
        <w:t>Piège du patient fiévreux sous calcium dobesilate</w:t>
      </w:r>
      <w:r>
        <w:t xml:space="preserve"> : tout patient sous calcium dobesilate présentant une fièvre ≥ 38,5 °C, une angine ou des ulcérations buccales doit consulter en urgence pour NFS (suspicion d'agranulocytose).</w:t>
      </w:r>
    </w:p>
    <w:p>
      <w:pPr>
        <w:pStyle w:val="ListNumber"/>
      </w:pPr>
      <w:r/>
      <w:r>
        <w:rPr>
          <w:b/>
        </w:rPr>
        <w:t>Piège de l'association avec les anticoagulants</w:t>
      </w:r>
      <w:r>
        <w:t xml:space="preserve"> : un patient sous AVK ou AOD doit faire l'objet d'une surveillance rapprochée de l'INR ou de la tolérance clinique. Le pharmacien doit vérifier la prescription associée et alerter le prescripteur en cas de saignement anormal.</w:t>
      </w:r>
    </w:p>
    <w:p>
      <w:pPr>
        <w:pStyle w:val="ListNumber"/>
      </w:pPr>
      <w:r/>
      <w:r>
        <w:rPr>
          <w:b/>
        </w:rPr>
        <w:t>Piège du sujet âgé hypotendu</w:t>
      </w:r>
      <w:r>
        <w:t xml:space="preserve"> : le calcium dobesilate peut aggraver une hypotension orthostatique préexistante. Toujours évaluer la pression artérielle avant instauration, et commencer par une dose réduite (500 mg × 2/j si disponible, sinon 1000 mg × 1/jour en une prise vespérale).</w:t>
      </w:r>
    </w:p>
    <w:p>
      <w:pPr>
        <w:pStyle w:val="ListNumber"/>
      </w:pPr>
      <w:r/>
      <w:r>
        <w:rPr>
          <w:b/>
        </w:rPr>
        <w:t>Piège de l'insuffisance rénale</w:t>
      </w:r>
      <w:r>
        <w:t xml:space="preserve"> : le calcium dobesilate est contre-indiqué en cas d'insuffisance rénale sévère (clairance &lt; 15 mL/min). Vérifier la clairance créatinine avant instauration du traitement chez le sujet âgé (&gt; 75 ans) ou en cas d'antécédent rénal.</w:t>
      </w:r>
    </w:p>
    <w:p>
      <w:pPr>
        <w:pStyle w:val="ListNumber"/>
      </w:pPr>
      <w:r/>
      <w:r>
        <w:rPr>
          <w:b/>
        </w:rPr>
        <w:t>Piège de l'arrêt brutal</w:t>
      </w:r>
      <w:r>
        <w:t xml:space="preserve"> : ne jamais arrêter le calcium dobesilate brutalement sans avis médical en cas de rétinopathie évolutive (risque de rebond thrombotique microcirculatoire). L'arrêt doit être progressif (réduction de 50 % pendant 2 semaines, puis arrêt).</w:t>
      </w:r>
    </w:p>
    <w:p>
      <w:pPr>
        <w:pStyle w:val="ListNumber"/>
      </w:pPr>
      <w:r/>
      <w:r>
        <w:rPr>
          <w:b/>
        </w:rPr>
        <w:t>Piège de la confusion avec d'autres vasculoprotecteurs</w:t>
      </w:r>
      <w:r>
        <w:t xml:space="preserve"> : ne pas confondre le calcium dobesilate avec les veinotoniques (diosmine, hespéridine — Flévite, Daflon) qui ont des indications distinctes (insuffisance veineuse chronique des membres inférieurs), ni avec la pentoxifylline (autre vasoprotecteur aux mécanismes et profil différents).</w:t>
      </w:r>
    </w:p>
    <w:p>
      <w:pPr>
        <w:pStyle w:val="ListNumber"/>
      </w:pPr>
      <w:r/>
      <w:r>
        <w:rPr>
          <w:b/>
        </w:rPr>
        <w:t>Piège de la prescription systématique chez le diabétique</w:t>
      </w:r>
      <w:r>
        <w:t xml:space="preserve"> : la prescription de calcium dobesilate chez tout patient diabétique sans fond d'œil préalable est une pratique inappropriée. Le traitement doit être réservé aux patients ayant une rétinopathie documentée à l'angiographie.</w:t>
      </w:r>
    </w:p>
    <w:p>
      <w:pPr>
        <w:pStyle w:val="ListNumber"/>
      </w:pPr>
      <w:r/>
      <w:r>
        <w:rPr>
          <w:b/>
        </w:rPr>
        <w:t>Piège de la grossesse méconnue</w:t>
      </w:r>
      <w:r>
        <w:t xml:space="preserve"> : chez une femme en âge de procréer, vérifier l'absence de grossesse avant instauration (test β-hCG), et s'assurer d'une contraception efficace pendant le traitement.</w:t>
      </w:r>
    </w:p>
    <w:p>
      <w:pPr>
        <w:pStyle w:val="Heading2"/>
      </w:pPr>
      <w:r>
        <w:t>145.4.3. Pentoxifylline</w:t>
      </w:r>
    </w:p>
    <w:p>
      <w:pPr>
        <w:pStyle w:val="Heading3"/>
      </w:pPr>
      <w:r>
        <w:t>Liste catégories pharmaco-thérapeutiques</w:t>
      </w:r>
    </w:p>
    <w:p>
      <w:pPr>
        <w:pStyle w:val="ListBullet"/>
      </w:pPr>
      <w:r>
        <w:t>Vasoprotecteur</w:t>
      </w:r>
    </w:p>
    <w:p>
      <w:pPr>
        <w:pStyle w:val="ListBullet"/>
      </w:pPr>
      <w:r>
        <w:t>Inhibiteur des phosphodiestérases (PDE3 et PDE4 principalement)</w:t>
      </w:r>
    </w:p>
    <w:p>
      <w:pPr>
        <w:pStyle w:val="ListBullet"/>
      </w:pPr>
      <w:r>
        <w:t>Améliorateur de la microcirculation</w:t>
      </w:r>
    </w:p>
    <w:p>
      <w:pPr>
        <w:pStyle w:val="ListBullet"/>
      </w:pPr>
      <w:r>
        <w:t>Antiagrégant plaquettaire (modéré)</w:t>
      </w:r>
    </w:p>
    <w:p>
      <w:pPr>
        <w:pStyle w:val="ListBullet"/>
      </w:pPr>
      <w:r>
        <w:t>Réducteur de la viscosité sanguine</w:t>
      </w:r>
    </w:p>
    <w:p>
      <w:pPr>
        <w:pStyle w:val="ListBullet"/>
      </w:pPr>
      <w:r>
        <w:t>Indications : artériopathie oblitérante des membres inférieurs au stade II de Leriche et Fontaine (claudication intermittente), rétinopathie diabétique non proliférante (en adjuvant), troubles trophiques artériels (ulcères artériels), neuropathie diabétique périphérique (adjuvant), certaines dermatoses vasculaires (necrobiosis lipoidica).</w:t>
      </w:r>
    </w:p>
    <w:p>
      <w:pPr>
        <w:pStyle w:val="Heading3"/>
      </w:pPr>
      <w:r>
        <w:t>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PENTORENTAL</w:t>
            </w:r>
          </w:p>
        </w:tc>
        <w:tc>
          <w:tcPr>
            <w:tcW w:type="dxa" w:w="1559"/>
          </w:tcPr>
          <w:p>
            <w:r>
              <w:rPr>
                <w:sz w:val="20"/>
              </w:rPr>
              <w:t>HUPP PHARMA</w:t>
            </w:r>
          </w:p>
        </w:tc>
        <w:tc>
          <w:tcPr>
            <w:tcW w:type="dxa" w:w="1559"/>
          </w:tcPr>
          <w:p>
            <w:r>
              <w:rPr>
                <w:sz w:val="20"/>
              </w:rPr>
              <w:t>Comprimé pelliculé à libération prolongée — Pentoxifylline 400 mg</w:t>
            </w:r>
          </w:p>
        </w:tc>
        <w:tc>
          <w:tcPr>
            <w:tcW w:type="dxa" w:w="1559"/>
          </w:tcPr>
          <w:p>
            <w:r>
              <w:rPr>
                <w:sz w:val="20"/>
              </w:rPr>
              <w:t>Boîte de 20</w:t>
            </w:r>
          </w:p>
        </w:tc>
        <w:tc>
          <w:tcPr>
            <w:tcW w:type="dxa" w:w="1559"/>
          </w:tcPr>
          <w:p>
            <w:r>
              <w:rPr>
                <w:sz w:val="20"/>
              </w:rPr>
              <w:t>Liste I</w:t>
            </w:r>
          </w:p>
        </w:tc>
        <w:tc>
          <w:tcPr>
            <w:tcW w:type="dxa" w:w="1559"/>
          </w:tcPr>
          <w:p>
            <w:r>
              <w:rPr>
                <w:sz w:val="20"/>
              </w:rPr>
              <w:t>ACTIF</w:t>
            </w:r>
          </w:p>
        </w:tc>
      </w:tr>
      <w:tr>
        <w:tc>
          <w:tcPr>
            <w:tcW w:type="dxa" w:w="1559"/>
          </w:tcPr>
          <w:p>
            <w:r>
              <w:rPr>
                <w:sz w:val="20"/>
              </w:rPr>
              <w:t>PENTOXIFYLLINE MYLAN</w:t>
            </w:r>
          </w:p>
        </w:tc>
        <w:tc>
          <w:tcPr>
            <w:tcW w:type="dxa" w:w="1559"/>
          </w:tcPr>
          <w:p>
            <w:r>
              <w:rPr>
                <w:sz w:val="20"/>
              </w:rPr>
              <w:t>MYLAN SAS</w:t>
            </w:r>
          </w:p>
        </w:tc>
        <w:tc>
          <w:tcPr>
            <w:tcW w:type="dxa" w:w="1559"/>
          </w:tcPr>
          <w:p>
            <w:r>
              <w:rPr>
                <w:sz w:val="20"/>
              </w:rPr>
              <w:t>Comprimé pelliculé LP — Pentoxifylline 400 mg</w:t>
            </w:r>
          </w:p>
        </w:tc>
        <w:tc>
          <w:tcPr>
            <w:tcW w:type="dxa" w:w="1559"/>
          </w:tcPr>
          <w:p>
            <w:r>
              <w:rPr>
                <w:sz w:val="20"/>
              </w:rPr>
              <w:t>Boîte de 30</w:t>
            </w:r>
          </w:p>
        </w:tc>
        <w:tc>
          <w:tcPr>
            <w:tcW w:type="dxa" w:w="1559"/>
          </w:tcPr>
          <w:p>
            <w:r>
              <w:rPr>
                <w:sz w:val="20"/>
              </w:rPr>
              <w:t>Liste I</w:t>
            </w:r>
          </w:p>
        </w:tc>
        <w:tc>
          <w:tcPr>
            <w:tcW w:type="dxa" w:w="1559"/>
          </w:tcPr>
          <w:p>
            <w:r>
              <w:rPr>
                <w:sz w:val="20"/>
              </w:rPr>
              <w:t>NON_RENOUVELABLE (R)</w:t>
            </w:r>
          </w:p>
        </w:tc>
      </w:tr>
      <w:tr>
        <w:tc>
          <w:tcPr>
            <w:tcW w:type="dxa" w:w="1559"/>
          </w:tcPr>
          <w:p>
            <w:r>
              <w:rPr>
                <w:sz w:val="20"/>
              </w:rPr>
              <w:t>TORENTAL LP</w:t>
            </w:r>
          </w:p>
        </w:tc>
        <w:tc>
          <w:tcPr>
            <w:tcW w:type="dxa" w:w="1559"/>
          </w:tcPr>
          <w:p>
            <w:r>
              <w:rPr>
                <w:sz w:val="20"/>
              </w:rPr>
              <w:t>AVENTIS</w:t>
            </w:r>
          </w:p>
        </w:tc>
        <w:tc>
          <w:tcPr>
            <w:tcW w:type="dxa" w:w="1559"/>
          </w:tcPr>
          <w:p>
            <w:r>
              <w:rPr>
                <w:sz w:val="20"/>
              </w:rPr>
              <w:t>Comprimé enrobé LP — Pentoxifylline 400 mg</w:t>
            </w:r>
          </w:p>
        </w:tc>
        <w:tc>
          <w:tcPr>
            <w:tcW w:type="dxa" w:w="1559"/>
          </w:tcPr>
          <w:p>
            <w:r>
              <w:rPr>
                <w:sz w:val="20"/>
              </w:rPr>
              <w:t>Boîte de 20</w:t>
            </w:r>
          </w:p>
        </w:tc>
        <w:tc>
          <w:tcPr>
            <w:tcW w:type="dxa" w:w="1559"/>
          </w:tcPr>
          <w:p>
            <w:r>
              <w:rPr>
                <w:sz w:val="20"/>
              </w:rPr>
              <w:t>Liste I</w:t>
            </w:r>
          </w:p>
        </w:tc>
        <w:tc>
          <w:tcPr>
            <w:tcW w:type="dxa" w:w="1559"/>
          </w:tcPr>
          <w:p>
            <w:r>
              <w:rPr>
                <w:sz w:val="20"/>
              </w:rPr>
              <w:t>NON_RENOUVELABLE (R)</w:t>
            </w:r>
          </w:p>
        </w:tc>
      </w:tr>
      <w:tr>
        <w:tc>
          <w:tcPr>
            <w:tcW w:type="dxa" w:w="1559"/>
          </w:tcPr>
          <w:p>
            <w:r>
              <w:rPr>
                <w:sz w:val="20"/>
              </w:rPr>
              <w:t>PEXAL-400</w:t>
            </w:r>
          </w:p>
        </w:tc>
        <w:tc>
          <w:tcPr>
            <w:tcW w:type="dxa" w:w="1559"/>
          </w:tcPr>
          <w:p>
            <w:r>
              <w:rPr>
                <w:sz w:val="20"/>
              </w:rPr>
              <w:t>MEPHA PHARMA L.T.D.</w:t>
            </w:r>
          </w:p>
        </w:tc>
        <w:tc>
          <w:tcPr>
            <w:tcW w:type="dxa" w:w="1559"/>
          </w:tcPr>
          <w:p>
            <w:r>
              <w:rPr>
                <w:sz w:val="20"/>
              </w:rPr>
              <w:t>Comprimé sec LP — Pentoxifylline 400 mg</w:t>
            </w:r>
          </w:p>
        </w:tc>
        <w:tc>
          <w:tcPr>
            <w:tcW w:type="dxa" w:w="1559"/>
          </w:tcPr>
          <w:p>
            <w:r>
              <w:rPr>
                <w:sz w:val="20"/>
              </w:rPr>
              <w:t>Boîte de 20</w:t>
            </w:r>
          </w:p>
        </w:tc>
        <w:tc>
          <w:tcPr>
            <w:tcW w:type="dxa" w:w="1559"/>
          </w:tcPr>
          <w:p>
            <w:r>
              <w:rPr>
                <w:sz w:val="20"/>
              </w:rPr>
              <w:t>Liste I</w:t>
            </w:r>
          </w:p>
        </w:tc>
        <w:tc>
          <w:tcPr>
            <w:tcW w:type="dxa" w:w="1559"/>
          </w:tcPr>
          <w:p>
            <w:r>
              <w:rPr>
                <w:sz w:val="20"/>
              </w:rPr>
              <w:t>RETRAIT (R)</w:t>
            </w:r>
          </w:p>
        </w:tc>
      </w:tr>
      <w:tr>
        <w:tc>
          <w:tcPr>
            <w:tcW w:type="dxa" w:w="1559"/>
          </w:tcPr>
          <w:p>
            <w:r>
              <w:rPr>
                <w:sz w:val="20"/>
              </w:rPr>
              <w:t>DARTELIN</w:t>
            </w:r>
          </w:p>
        </w:tc>
        <w:tc>
          <w:tcPr>
            <w:tcW w:type="dxa" w:w="1559"/>
          </w:tcPr>
          <w:p>
            <w:r>
              <w:rPr>
                <w:sz w:val="20"/>
              </w:rPr>
              <w:t>LEK</w:t>
            </w:r>
          </w:p>
        </w:tc>
        <w:tc>
          <w:tcPr>
            <w:tcW w:type="dxa" w:w="1559"/>
          </w:tcPr>
          <w:p>
            <w:r>
              <w:rPr>
                <w:sz w:val="20"/>
              </w:rPr>
              <w:t>Comprimé LP — Pentoxifylline 400 mg</w:t>
            </w:r>
          </w:p>
        </w:tc>
        <w:tc>
          <w:tcPr>
            <w:tcW w:type="dxa" w:w="1559"/>
          </w:tcPr>
          <w:p>
            <w:r>
              <w:rPr>
                <w:sz w:val="20"/>
              </w:rPr>
              <w:t>Boîte de 20</w:t>
            </w:r>
          </w:p>
        </w:tc>
        <w:tc>
          <w:tcPr>
            <w:tcW w:type="dxa" w:w="1559"/>
          </w:tcPr>
          <w:p>
            <w:r>
              <w:rPr>
                <w:sz w:val="20"/>
              </w:rPr>
              <w:t>Liste I</w:t>
            </w:r>
          </w:p>
        </w:tc>
        <w:tc>
          <w:tcPr>
            <w:tcW w:type="dxa" w:w="1559"/>
          </w:tcPr>
          <w:p>
            <w:r>
              <w:rPr>
                <w:sz w:val="20"/>
              </w:rPr>
              <w:t>RETRAIT (R)</w:t>
            </w:r>
          </w:p>
        </w:tc>
      </w:tr>
    </w:tbl>
    <w:p/>
    <w:p>
      <w:r/>
      <w:r>
        <w:rPr>
          <w:b/>
        </w:rPr>
        <w:t>Note nomenclature</w:t>
      </w:r>
      <w:r>
        <w:t xml:space="preserve"> : la pentoxifylline est actuellement disponible en Algérie sous une seule spécialité active : </w:t>
      </w:r>
      <w:r>
        <w:rPr>
          <w:b/>
        </w:rPr>
        <w:t>PENTORENTAL</w:t>
      </w:r>
      <w:r>
        <w:t xml:space="preserve"> (Hupp Pharma), comprimé LP 400 mg, Liste I (prescription médicale obligatoire). Plusieurs autres spécialités (PENTOXIFYLLINE MYLAN, TORENTAL LP) sont au statut NON_RENOUVELABLE, ce qui signifie qu'elles ne sont plus commercialisées en nouvelles boîtes mais que les stocks existants peuvent encore être délivrés jusqu'à épuisement. Les spécialités PEXAL-400 et DARTELIN sont retirées du marché algérien.</w:t>
      </w:r>
    </w:p>
    <w:p>
      <w:r>
        <w:t>La spécialité TORENTAL LP (Aventis) était historiquement la marque de référence de la pentoxifylline (développement Sanofi-Aventis), largement prescrite en France et en Algérie. Son statut NON_RENOUVELABLE reflète la transition du marché algérien vers les génériques et les productions locales (Hupp Pharma, Mylan).</w:t>
      </w:r>
    </w:p>
    <w:p>
      <w:r>
        <w:t>Le statut « Liste I » impose une prescription médicale obligatoire, ce qui est cohérent avec les contre-indications cardiovasculaires et les interactions médicamenteuses de la molécule.</w:t>
      </w:r>
    </w:p>
    <w:p>
      <w:r>
        <w:t>La forme à libération prolongée (LP) est essentielle pour la pentoxifylline en raison de sa courte demi-vie d'élimination (0,5 à 1,5 heure) qui imposerait 4 à 6 prises par jour en forme classique. La forme LP permet une administration bithérapie quotidienne (matin et soir) avec une libération progressive du principe actif sur 8 à 12 heures.</w:t>
      </w:r>
    </w:p>
    <w:p>
      <w:pPr>
        <w:pStyle w:val="Heading3"/>
      </w:pPr>
      <w:r>
        <w:t>Mécanisme d'action</w:t>
      </w:r>
    </w:p>
    <w:p>
      <w:r>
        <w:t>La pentoxifylline (1-(5-oxohexyl)-3,7-diméthylxanthine) est un dérivé de la méthylxanthine, structurellement apparenté à la théophylline (1,3-diméthylxanthine) et à la caféine (1,3,7-triméthylxanthine). Sa masse molaire est de 278,3 g/mol. La pentoxifylline est une poudre cristalline blanche, hydrosoluble, liposoluble, stable à pH physiologique.</w:t>
      </w:r>
    </w:p>
    <w:p>
      <w:r>
        <w:t>Le mécanisme d'action principal de la pentoxifylline est l'</w:t>
      </w:r>
      <w:r>
        <w:rPr>
          <w:b/>
        </w:rPr>
        <w:t>inhibition non sélective des phosphodiestérases (PDE)</w:t>
      </w:r>
      <w:r>
        <w:t>, une famille d'enzymes intracellulaires qui hydrolysent l'AMPc et le GMPc en leurs formes inactives (5'-AMP et 5'-GMP). On distingue 11 familles de PDE (PDE1 à PDE11), avec des spécificités de substrat (AMPc, GMPc, ou les deux) et des localisations tissulaires distinctes. La pentoxifylline inhibe principalement :</w:t>
      </w:r>
    </w:p>
    <w:p>
      <w:pPr>
        <w:pStyle w:val="ListBullet"/>
      </w:pPr>
      <w:r/>
      <w:r>
        <w:rPr>
          <w:b/>
        </w:rPr>
        <w:t>PDE4</w:t>
      </w:r>
      <w:r>
        <w:t xml:space="preserve"> (cAMP-spécifique, abondante dans les leucocytes, les macrophages, les cellules endothéliales, les cellules musculaires lisses) ;</w:t>
      </w:r>
    </w:p>
    <w:p>
      <w:pPr>
        <w:pStyle w:val="ListBullet"/>
      </w:pPr>
      <w:r/>
      <w:r>
        <w:rPr>
          <w:b/>
        </w:rPr>
        <w:t>PDE3</w:t>
      </w:r>
      <w:r>
        <w:t xml:space="preserve"> (cGMP-inhibée, abondante dans les plaquettes, le myocarde, les cellules musculaires lisses vasculaires) ;</w:t>
      </w:r>
    </w:p>
    <w:p>
      <w:pPr>
        <w:pStyle w:val="ListBullet"/>
      </w:pPr>
      <w:r/>
      <w:r>
        <w:rPr>
          <w:b/>
        </w:rPr>
        <w:t>PDE5</w:t>
      </w:r>
      <w:r>
        <w:t xml:space="preserve"> (cGMP-spécifique, abondante dans les corps caverneux, le myocarde, les poumons) — inhibition plus faible que les autres PDE.</w:t>
      </w:r>
    </w:p>
    <w:p>
      <w:r>
        <w:t>L'inhibition des PDE entraîne une élévation de l'AMPc et du GMPc intracellulaires, qui ont des effets pharmacologiques multiples :</w:t>
      </w:r>
    </w:p>
    <w:p>
      <w:pPr>
        <w:pStyle w:val="ListNumber"/>
      </w:pPr>
      <w:r/>
      <w:r>
        <w:rPr>
          <w:b/>
        </w:rPr>
        <w:t>Augmentation de la déformabilité érythrocytaire</w:t>
      </w:r>
      <w:r>
        <w:t xml:space="preserve"> :</w:t>
      </w:r>
    </w:p>
    <w:p>
      <w:r>
        <w:t>L'élévation de l'AMPc intra-érythrocytaire entraîne une phosphorylation de la spectrine et de l'ankyrine, protéines du cytosquelette érythrocytaire, qui deviennent plus flexibles. La déformabilité des globules rouges augmente, ce qui leur permet de traverser les capillaires de diamètre inférieur à leur propre diamètre (capillaires rétiniens ~5 µm, capillaires musculaires ~4 µm, hématie normale ~7–8 µm). Cette propriété est essentielle dans la microcirculation, en particulier chez les diabétiques chez qui la déformabilité érythrocytaire est réduite (glycation de la spectrine, rigidification membranaire). La pentoxifylline rétablit partiellement cette déformabilité, améliorant la perfusion tissulaire microcirculatoire.</w:t>
      </w:r>
    </w:p>
    <w:p>
      <w:pPr>
        <w:pStyle w:val="ListNumber"/>
      </w:pPr>
      <w:r/>
      <w:r>
        <w:rPr>
          <w:b/>
        </w:rPr>
        <w:t>Réduction de l'agrégation plaquettaire</w:t>
      </w:r>
      <w:r>
        <w:t xml:space="preserve"> :</w:t>
      </w:r>
    </w:p>
    <w:p>
      <w:r>
        <w:t>L'élévation de l'AMPc intraplaquettaire inhibe la voie du TXA2 (réduction de la phospholipase A2, de la cyclo-oxygénase) et la sécrétion des granules denses (ADP, sérotonine). L'agrégation plaquettaire est réduite de 30 à 50 % à doses thérapeutiques, sans allongement significatif du temps de saignement. L'effet est additif à celui de l'aspirine mais par un mécanisme différent (inhibition COX-1 vs inhibition PDE), ce qui justifie la non-redondance des deux traitements.</w:t>
      </w:r>
    </w:p>
    <w:p>
      <w:pPr>
        <w:pStyle w:val="ListNumber"/>
      </w:pPr>
      <w:r/>
      <w:r>
        <w:rPr>
          <w:b/>
        </w:rPr>
        <w:t>Réduction de la viscosité sanguine</w:t>
      </w:r>
      <w:r>
        <w:t xml:space="preserve"> :</w:t>
      </w:r>
    </w:p>
    <w:p>
      <w:r>
        <w:t>La pentoxifylline diminue la viscosité plasmatique et sanguine par plusieurs mécanismes :</w:t>
      </w:r>
    </w:p>
    <w:p>
      <w:pPr>
        <w:pStyle w:val="ListBullet"/>
      </w:pPr>
      <w:r/>
      <w:r>
        <w:rPr>
          <w:b/>
        </w:rPr>
        <w:t>Réduction du fibrinogène plasmatique</w:t>
      </w:r>
      <w:r>
        <w:t xml:space="preserve"> (inhibition de la synthèse hépatique, mécanisme mal élucidé — peut-être via l'effet anti-TNF-α) ;</w:t>
      </w:r>
    </w:p>
    <w:p>
      <w:pPr>
        <w:pStyle w:val="ListBullet"/>
      </w:pPr>
      <w:r/>
      <w:r>
        <w:rPr>
          <w:b/>
        </w:rPr>
        <w:t>Réduction de l'agrégation leucocytaire</w:t>
      </w:r>
      <w:r>
        <w:t xml:space="preserve"> (effet anti-inflammataire) ;</w:t>
      </w:r>
    </w:p>
    <w:p>
      <w:pPr>
        <w:pStyle w:val="ListBullet"/>
      </w:pPr>
      <w:r/>
      <w:r>
        <w:rPr>
          <w:b/>
        </w:rPr>
        <w:t>Réduction de la formation des rouleaux d'hématies</w:t>
      </w:r>
      <w:r>
        <w:t xml:space="preserve"> à basse vitesse de cisaillement (microcirculation) ;</w:t>
      </w:r>
    </w:p>
    <w:p>
      <w:pPr>
        <w:pStyle w:val="ListBullet"/>
      </w:pPr>
      <w:r/>
      <w:r>
        <w:rPr>
          <w:b/>
        </w:rPr>
        <w:t>Augmentation de la filtrabilité érythrocytaire</w:t>
      </w:r>
      <w:r>
        <w:t xml:space="preserve"> (corrélé à l'effet de déformabilité).</w:t>
      </w:r>
    </w:p>
    <w:p>
      <w:pPr>
        <w:pStyle w:val="ListNumber"/>
      </w:pPr>
      <w:r/>
      <w:r>
        <w:rPr>
          <w:b/>
        </w:rPr>
        <w:t>Effet anti-TNF-α</w:t>
      </w:r>
      <w:r>
        <w:t xml:space="preserve"> :</w:t>
      </w:r>
    </w:p>
    <w:p>
      <w:r>
        <w:t>À fortes doses (≥ 1200 mg/j), la pentoxifylline inhibe la production de TNF-α par les monocytes et macrophages activés, en réduisant la transcription du gène du TNF-α (effet sur le facteur de transcription NF-κB). Cet effet anti-TNF-α justifie l'utilisation expérimentale de la pentoxifylline dans certaines maladies inflammatoires chroniques (sarcoïdose, maladie de Behçet, hépatite alcoolique sévère, réaction du greffon contre l'hôte). Dans le contexte de la rétinopathie diabétique, le TNF-α joue un rôle clé dans l'inflammation chronique de bas grade qui participe à la progression des lésions microvasculaires.</w:t>
      </w:r>
    </w:p>
    <w:p>
      <w:pPr>
        <w:pStyle w:val="ListNumber"/>
      </w:pPr>
      <w:r/>
      <w:r>
        <w:rPr>
          <w:b/>
        </w:rPr>
        <w:t>Effet vasodilatateur direct</w:t>
      </w:r>
      <w:r>
        <w:t xml:space="preserve"> :</w:t>
      </w:r>
    </w:p>
    <w:p>
      <w:r>
        <w:t>La pentoxifylline est un inhibiteur faible des récepteurs adénosiniques A1 et A2 (antagonisme compétitif), ce qui produit une vasodilatation modérée des artères de petit calibre et des veinules. La pentoxifylline augmente également la libération d'oxyde nitrique (NO) par l'endothélium, contribuant à la vasodilatation.</w:t>
      </w:r>
    </w:p>
    <w:p>
      <w:pPr>
        <w:pStyle w:val="ListNumber"/>
      </w:pPr>
      <w:r/>
      <w:r>
        <w:rPr>
          <w:b/>
        </w:rPr>
        <w:t>Effet sur la microcirculation rétinienne</w:t>
      </w:r>
      <w:r>
        <w:t xml:space="preserve"> :</w:t>
      </w:r>
    </w:p>
    <w:p>
      <w:r>
        <w:t>L'ensemble des mécanismes ci-dessus aboutit à une amélioration de la microcirculation rétinienne : meilleure perfusion capillaire, réduction de l'ischémie, réduction de la formation de microthrombi. Toutefois, l'efficacité clinique dans la rétinopathie diabétique reste discutée (essais cliniques hétérogènes, absence de preuve formelle selon les méta-analyses Cochrane).</w:t>
      </w:r>
    </w:p>
    <w:p>
      <w:pPr>
        <w:pStyle w:val="Heading3"/>
      </w:pPr>
      <w:r>
        <w:t>Profil pharmacologique (indications, contre-indications, effets indésirables)</w:t>
      </w:r>
    </w:p>
    <w:p>
      <w:r/>
      <w:r>
        <w:rPr>
          <w:b/>
        </w:rPr>
        <w:t>Indications (AMM)</w:t>
      </w:r>
      <w:r>
        <w:t xml:space="preserve"> :</w:t>
      </w:r>
    </w:p>
    <w:p>
      <w:pPr>
        <w:pStyle w:val="ListBullet"/>
      </w:pPr>
      <w:r/>
      <w:r>
        <w:rPr>
          <w:b/>
        </w:rPr>
        <w:t>Indication vasculaire périphérique princeps</w:t>
      </w:r>
      <w:r>
        <w:t xml:space="preserve"> : artériopathie oblitérante chronique des membres inférieurs (AOI) au stade II de Leriche et Fontaine (claudication intermittente), en adjuvant des mesures hygiéno-diététiques (arrêt du tabac, marche quotidienne, contrôle des facteurs de risque cardiovasculaire).</w:t>
      </w:r>
    </w:p>
    <w:p>
      <w:pPr>
        <w:pStyle w:val="ListBullet"/>
      </w:pPr>
      <w:r/>
      <w:r>
        <w:rPr>
          <w:b/>
        </w:rPr>
        <w:t>Indication ophtalmologique</w:t>
      </w:r>
      <w:r>
        <w:t xml:space="preserve"> : rétinopathie diabétique non proliférante (en adjuvant du contrôle glycémique et tensionnel), avec une efficacité modeste et discutée.</w:t>
      </w:r>
    </w:p>
    <w:p>
      <w:pPr>
        <w:pStyle w:val="ListBullet"/>
      </w:pPr>
      <w:r/>
      <w:r>
        <w:rPr>
          <w:b/>
        </w:rPr>
        <w:t>Indications vasculaires cérébrales (hors AMM)</w:t>
      </w:r>
      <w:r>
        <w:t xml:space="preserve"> : séquelles d'accident vasculaire cérébral ischémique, démence vasculaire (efficacité non démontrée).</w:t>
      </w:r>
    </w:p>
    <w:p>
      <w:pPr>
        <w:pStyle w:val="ListBullet"/>
      </w:pPr>
      <w:r/>
      <w:r>
        <w:rPr>
          <w:b/>
        </w:rPr>
        <w:t>Indications dermatologiques (hors AMM)</w:t>
      </w:r>
      <w:r>
        <w:t xml:space="preserve"> : necrobiosis lipoidica diabeticorum, ulcères de jambe artériels, dermatoses vasculaires.</w:t>
      </w:r>
    </w:p>
    <w:p>
      <w:pPr>
        <w:pStyle w:val="ListBullet"/>
      </w:pPr>
      <w:r/>
      <w:r>
        <w:rPr>
          <w:b/>
        </w:rPr>
        <w:t>Indications hépatiques (hors AMM)</w:t>
      </w:r>
      <w:r>
        <w:t xml:space="preserve"> : hépatite alcoolique sévère (effet anti-TNF-α, à fortes doses 1200–1600 mg/j IV en aigu).</w:t>
      </w:r>
    </w:p>
    <w:p>
      <w:pPr>
        <w:pStyle w:val="ListBullet"/>
      </w:pPr>
      <w:r/>
      <w:r>
        <w:rPr>
          <w:b/>
        </w:rPr>
        <w:t>Indications néphrologiques (hors AMM)</w:t>
      </w:r>
      <w:r>
        <w:t xml:space="preserve"> : néphropathie diabétique (adjuvant, preuves limitées).</w:t>
      </w:r>
    </w:p>
    <w:p>
      <w:r/>
      <w:r>
        <w:rPr>
          <w:b/>
        </w:rPr>
        <w:t>Contre-indications</w:t>
      </w:r>
      <w:r>
        <w:t xml:space="preserve"> :</w:t>
      </w:r>
    </w:p>
    <w:p>
      <w:pPr>
        <w:pStyle w:val="ListBullet"/>
      </w:pPr>
      <w:r>
        <w:t>CI absolue : hypersensibilité à la pentoxifylline ou aux autres méthylxanthines (théophylline, caféine, théobromine) ;</w:t>
      </w:r>
    </w:p>
    <w:p>
      <w:pPr>
        <w:pStyle w:val="ListBullet"/>
      </w:pPr>
      <w:r>
        <w:t>CI absolue : infarctus du myocarde récent (&lt; 3 mois) ou en évolution ;</w:t>
      </w:r>
    </w:p>
    <w:p>
      <w:pPr>
        <w:pStyle w:val="ListBullet"/>
      </w:pPr>
      <w:r>
        <w:t>CI absolue : accident vasculaire cérébral hémorragique récent ;</w:t>
      </w:r>
    </w:p>
    <w:p>
      <w:pPr>
        <w:pStyle w:val="ListBullet"/>
      </w:pPr>
      <w:r>
        <w:t>CI absolue : hémorragie active (digestive, cérébrale, rétinienne) ;</w:t>
      </w:r>
    </w:p>
    <w:p>
      <w:pPr>
        <w:pStyle w:val="ListBullet"/>
      </w:pPr>
      <w:r>
        <w:t>CI absolue : hypotension sévère (pression artérielle systolique &lt; 90 mmHg) non contrôlée ;</w:t>
      </w:r>
    </w:p>
    <w:p>
      <w:pPr>
        <w:pStyle w:val="ListBullet"/>
      </w:pPr>
      <w:r>
        <w:t>CI absolue : instabilité hémodynamique (choc, collapsus) ;</w:t>
      </w:r>
    </w:p>
    <w:p>
      <w:pPr>
        <w:pStyle w:val="ListBullet"/>
      </w:pPr>
      <w:r>
        <w:t>CI absolue : artériopathie oblitérante des membres inférieurs au stade IV de Leriche et Fontaine (gangrène, douleur de décubitus) — la pentoxifylline n'a pas d'efficacité démontrée dans ces formes avancées ;</w:t>
      </w:r>
    </w:p>
    <w:p>
      <w:pPr>
        <w:pStyle w:val="ListBullet"/>
      </w:pPr>
      <w:r>
        <w:t>CI relative : insuffisance hépatique sévère (Child-Pugh C) — accumulation des métabolites ;</w:t>
      </w:r>
    </w:p>
    <w:p>
      <w:pPr>
        <w:pStyle w:val="ListBullet"/>
      </w:pPr>
      <w:r>
        <w:t>CI relative : insuffisance rénale sévère (clairance &lt; 30 mL/min) — adaptation posologique obligatoire ;</w:t>
      </w:r>
    </w:p>
    <w:p>
      <w:pPr>
        <w:pStyle w:val="ListBullet"/>
      </w:pPr>
      <w:r>
        <w:t>CI relative : grossesse (cf. section CRAT) ;</w:t>
      </w:r>
    </w:p>
    <w:p>
      <w:pPr>
        <w:pStyle w:val="ListBullet"/>
      </w:pPr>
      <w:r>
        <w:t>CI relative : sujet âgé fragile (&gt; 80 ans) — risque d'hypotension, de confusion.</w:t>
      </w:r>
    </w:p>
    <w:p>
      <w:r/>
      <w:r>
        <w:rPr>
          <w:b/>
        </w:rPr>
        <w:t>Effets indésirables</w:t>
      </w:r>
      <w:r>
        <w:t xml:space="preserve"> :</w:t>
      </w:r>
    </w:p>
    <w:p>
      <w:pPr>
        <w:pStyle w:val="ListBullet"/>
      </w:pPr>
      <w:r/>
      <w:r>
        <w:rPr>
          <w:b/>
        </w:rPr>
        <w:t>Effets indésirables digestifs</w:t>
      </w:r>
      <w:r>
        <w:t xml:space="preserve"> (10–20 % des patients, les plus fréquents) :</w:t>
      </w:r>
    </w:p>
    <w:p>
      <w:pPr>
        <w:pStyle w:val="ListBullet"/>
      </w:pPr>
      <w:r>
        <w:t>Nausées, vomissements (en particulier en début de traitement) ;</w:t>
      </w:r>
    </w:p>
    <w:p>
      <w:pPr>
        <w:pStyle w:val="ListBullet"/>
      </w:pPr>
      <w:r>
        <w:t>Dyspepsie, douleurs épigastriques (prendre pendant le repas) ;</w:t>
      </w:r>
    </w:p>
    <w:p>
      <w:pPr>
        <w:pStyle w:val="ListBullet"/>
      </w:pPr>
      <w:r>
        <w:t>Diarrhée (effet osmotique et cholinergique des métabolites) ;</w:t>
      </w:r>
    </w:p>
    <w:p>
      <w:pPr>
        <w:pStyle w:val="ListBullet"/>
      </w:pPr>
      <w:r>
        <w:t>Sécheresse buccale, dysgueusie ;</w:t>
      </w:r>
    </w:p>
    <w:p>
      <w:pPr>
        <w:pStyle w:val="ListBullet"/>
      </w:pPr>
      <w:r>
        <w:t>Hémorragie digestive (rare, en cas d'association avec AINS ou anticoagulants).</w:t>
      </w:r>
    </w:p>
    <w:p>
      <w:pPr>
        <w:pStyle w:val="ListBullet"/>
      </w:pPr>
      <w:r/>
      <w:r>
        <w:rPr>
          <w:b/>
        </w:rPr>
        <w:t>Effets indésirables cardiovasculaires</w:t>
      </w:r>
      <w:r>
        <w:t xml:space="preserve"> (fréquents, 5–15 %) :</w:t>
      </w:r>
    </w:p>
    <w:p>
      <w:pPr>
        <w:pStyle w:val="ListBullet"/>
      </w:pPr>
      <w:r/>
      <w:r>
        <w:rPr>
          <w:b/>
        </w:rPr>
        <w:t>Flush</w:t>
      </w:r>
      <w:r>
        <w:t xml:space="preserve"> (rougeur du visage et du cou par vasodilatation cutanée) — très fréquent, transitoire ;</w:t>
      </w:r>
    </w:p>
    <w:p>
      <w:pPr>
        <w:pStyle w:val="ListBullet"/>
      </w:pPr>
      <w:r/>
      <w:r>
        <w:rPr>
          <w:b/>
        </w:rPr>
        <w:t>Hypotension orthostatique</w:t>
      </w:r>
      <w:r>
        <w:t xml:space="preserve"> — fréquente, en particulier chez le sujet âgé ;</w:t>
      </w:r>
    </w:p>
    <w:p>
      <w:pPr>
        <w:pStyle w:val="ListBullet"/>
      </w:pPr>
      <w:r/>
      <w:r>
        <w:rPr>
          <w:b/>
        </w:rPr>
        <w:t>Tachycardie sinusale</w:t>
      </w:r>
      <w:r>
        <w:t xml:space="preserve"> modérée (effet chronotrope positif de l'AMPc) ;</w:t>
      </w:r>
    </w:p>
    <w:p>
      <w:pPr>
        <w:pStyle w:val="ListBullet"/>
      </w:pPr>
      <w:r/>
      <w:r>
        <w:rPr>
          <w:b/>
        </w:rPr>
        <w:t>Palpitations</w:t>
      </w:r>
      <w:r>
        <w:t xml:space="preserve"> ;</w:t>
      </w:r>
    </w:p>
    <w:p>
      <w:pPr>
        <w:pStyle w:val="ListBullet"/>
      </w:pPr>
      <w:r/>
      <w:r>
        <w:rPr>
          <w:b/>
        </w:rPr>
        <w:t>Œdèmes des membres inférieurs</w:t>
      </w:r>
      <w:r>
        <w:t xml:space="preserve"> (vasodilatation veineuse) — moins fréquents ;</w:t>
      </w:r>
    </w:p>
    <w:p>
      <w:pPr>
        <w:pStyle w:val="ListBullet"/>
      </w:pPr>
      <w:r>
        <w:t>Angor, aggravation d'une insuffisance coronarienne (rare, en cas de CI non respectée).</w:t>
      </w:r>
    </w:p>
    <w:p>
      <w:pPr>
        <w:pStyle w:val="ListBullet"/>
      </w:pPr>
      <w:r/>
      <w:r>
        <w:rPr>
          <w:b/>
        </w:rPr>
        <w:t>Effets indésirables neurologiques</w:t>
      </w:r>
      <w:r>
        <w:t xml:space="preserve"> (5–15 %) :</w:t>
      </w:r>
    </w:p>
    <w:p>
      <w:pPr>
        <w:pStyle w:val="ListBullet"/>
      </w:pPr>
      <w:r/>
      <w:r>
        <w:rPr>
          <w:b/>
        </w:rPr>
        <w:t>Vertiges</w:t>
      </w:r>
      <w:r>
        <w:t xml:space="preserve"> — fréquents, en particulier orthostatiques ;</w:t>
      </w:r>
    </w:p>
    <w:p>
      <w:pPr>
        <w:pStyle w:val="ListBullet"/>
      </w:pPr>
      <w:r/>
      <w:r>
        <w:rPr>
          <w:b/>
        </w:rPr>
        <w:t>Céphalées</w:t>
      </w:r>
      <w:r>
        <w:t xml:space="preserve"> ;</w:t>
      </w:r>
    </w:p>
    <w:p>
      <w:pPr>
        <w:pStyle w:val="ListBullet"/>
      </w:pPr>
      <w:r/>
      <w:r>
        <w:rPr>
          <w:b/>
        </w:rPr>
        <w:t>Agitation, nervosité, insomnie</w:t>
      </w:r>
      <w:r>
        <w:t xml:space="preserve"> (effet stimulant central des méthylxanthines, en particulier à dose élevée) ;</w:t>
      </w:r>
    </w:p>
    <w:p>
      <w:pPr>
        <w:pStyle w:val="ListBullet"/>
      </w:pPr>
      <w:r/>
      <w:r>
        <w:rPr>
          <w:b/>
        </w:rPr>
        <w:t>Tremblements</w:t>
      </w:r>
      <w:r>
        <w:t xml:space="preserve"> (effet β2-adrénergique) ;</w:t>
      </w:r>
    </w:p>
    <w:p>
      <w:pPr>
        <w:pStyle w:val="ListBullet"/>
      </w:pPr>
      <w:r/>
      <w:r>
        <w:rPr>
          <w:b/>
        </w:rPr>
        <w:t>Confusion</w:t>
      </w:r>
      <w:r>
        <w:t xml:space="preserve"> chez le sujet âgé (effet central, hypotension cérébrale) ;</w:t>
      </w:r>
    </w:p>
    <w:p>
      <w:pPr>
        <w:pStyle w:val="ListBullet"/>
      </w:pPr>
      <w:r>
        <w:t>Convulsions (exceptionnel, en cas de surdosage) ;</w:t>
      </w:r>
    </w:p>
    <w:p>
      <w:pPr>
        <w:pStyle w:val="ListBullet"/>
      </w:pPr>
      <w:r>
        <w:t>Paresthésies (rares).</w:t>
      </w:r>
    </w:p>
    <w:p>
      <w:pPr>
        <w:pStyle w:val="ListBullet"/>
      </w:pPr>
      <w:r/>
      <w:r>
        <w:rPr>
          <w:b/>
        </w:rPr>
        <w:t>Effets indésirables cutanés</w:t>
      </w:r>
      <w:r>
        <w:t xml:space="preserve"> (1–3 %) :</w:t>
      </w:r>
    </w:p>
    <w:p>
      <w:pPr>
        <w:pStyle w:val="ListBullet"/>
      </w:pPr>
      <w:r>
        <w:t>Flush (très fréquent, voir cardiovasculaire) ;</w:t>
      </w:r>
    </w:p>
    <w:p>
      <w:pPr>
        <w:pStyle w:val="ListBullet"/>
      </w:pPr>
      <w:r>
        <w:t>Rash maculo-papuleux ;</w:t>
      </w:r>
    </w:p>
    <w:p>
      <w:pPr>
        <w:pStyle w:val="ListBullet"/>
      </w:pPr>
      <w:r>
        <w:t>Prurit ;</w:t>
      </w:r>
    </w:p>
    <w:p>
      <w:pPr>
        <w:pStyle w:val="ListBullet"/>
      </w:pPr>
      <w:r>
        <w:t>Urticaire (réaction allergique) ;</w:t>
      </w:r>
    </w:p>
    <w:p>
      <w:pPr>
        <w:pStyle w:val="ListBullet"/>
      </w:pPr>
      <w:r>
        <w:t>Érythème polymorphe (rare) ;</w:t>
      </w:r>
    </w:p>
    <w:p>
      <w:pPr>
        <w:pStyle w:val="ListBullet"/>
      </w:pPr>
      <w:r>
        <w:t>Syndrome de Stevens-Johnson ou syndrome de Lyell (exceptionnel, &lt; 1/100 000).</w:t>
      </w:r>
    </w:p>
    <w:p>
      <w:pPr>
        <w:pStyle w:val="ListBullet"/>
      </w:pPr>
      <w:r/>
      <w:r>
        <w:rPr>
          <w:b/>
        </w:rPr>
        <w:t>Effets indésirables hématologiques</w:t>
      </w:r>
      <w:r>
        <w:t xml:space="preserve"> (rares, &lt; 1 %) :</w:t>
      </w:r>
    </w:p>
    <w:p>
      <w:pPr>
        <w:pStyle w:val="ListBullet"/>
      </w:pPr>
      <w:r>
        <w:t>Thrombopénie isolée (réduction modérée de la numération plaquettaire) ;</w:t>
      </w:r>
    </w:p>
    <w:p>
      <w:pPr>
        <w:pStyle w:val="ListBullet"/>
      </w:pPr>
      <w:r>
        <w:t>Leucopénie modérée ;</w:t>
      </w:r>
    </w:p>
    <w:p>
      <w:pPr>
        <w:pStyle w:val="ListBullet"/>
      </w:pPr>
      <w:r>
        <w:t>Allongement du temps de saignement (effet antiagrégant) ;</w:t>
      </w:r>
    </w:p>
    <w:p>
      <w:pPr>
        <w:pStyle w:val="ListBullet"/>
      </w:pPr>
      <w:r>
        <w:t>Anémie hémolytique immuno-allergique (exceptionnelle) ;</w:t>
      </w:r>
    </w:p>
    <w:p>
      <w:pPr>
        <w:pStyle w:val="ListBullet"/>
      </w:pPr>
      <w:r>
        <w:t>Agranulocytose (exceptionnel, &lt; 1/100 000 — moins bien documenté qu'avec le calcium dobesilate).</w:t>
      </w:r>
    </w:p>
    <w:p>
      <w:pPr>
        <w:pStyle w:val="ListBullet"/>
      </w:pPr>
      <w:r/>
      <w:r>
        <w:rPr>
          <w:b/>
        </w:rPr>
        <w:t>Effets indésirables hépatiques</w:t>
      </w:r>
      <w:r>
        <w:t xml:space="preserve"> (rares) :</w:t>
      </w:r>
    </w:p>
    <w:p>
      <w:pPr>
        <w:pStyle w:val="ListBullet"/>
      </w:pPr>
      <w:r>
        <w:t>Cytolyse hépatique (augmentation des transaminases) ;</w:t>
      </w:r>
    </w:p>
    <w:p>
      <w:pPr>
        <w:pStyle w:val="ListBullet"/>
      </w:pPr>
      <w:r>
        <w:t>Cholestase.</w:t>
      </w:r>
    </w:p>
    <w:p>
      <w:pPr>
        <w:pStyle w:val="ListBullet"/>
      </w:pPr>
      <w:r/>
      <w:r>
        <w:rPr>
          <w:b/>
        </w:rPr>
        <w:t>Effets indésirables respiratoires</w:t>
      </w:r>
      <w:r>
        <w:t xml:space="preserve"> (rares) :</w:t>
      </w:r>
    </w:p>
    <w:p>
      <w:pPr>
        <w:pStyle w:val="ListBullet"/>
      </w:pPr>
      <w:r>
        <w:t>Bronchospasme paradoxal (en cas d'hypersensibilité aux xanthines) ;</w:t>
      </w:r>
    </w:p>
    <w:p>
      <w:pPr>
        <w:pStyle w:val="ListBullet"/>
      </w:pPr>
      <w:r>
        <w:t>Dyspnée.</w:t>
      </w:r>
    </w:p>
    <w:p>
      <w:pPr>
        <w:pStyle w:val="ListBullet"/>
      </w:pPr>
      <w:r/>
      <w:r>
        <w:rPr>
          <w:b/>
        </w:rPr>
        <w:t>Effets indésirables ophtalmologiques</w:t>
      </w:r>
      <w:r>
        <w:t xml:space="preserve"> (rares) :</w:t>
      </w:r>
    </w:p>
    <w:p>
      <w:pPr>
        <w:pStyle w:val="ListBullet"/>
      </w:pPr>
      <w:r>
        <w:t>Vision floue ;</w:t>
      </w:r>
    </w:p>
    <w:p>
      <w:pPr>
        <w:pStyle w:val="ListBullet"/>
      </w:pPr>
      <w:r>
        <w:t>Scotomes (en cas d'hypotension marquée) ;</w:t>
      </w:r>
    </w:p>
    <w:p>
      <w:pPr>
        <w:pStyle w:val="ListBullet"/>
      </w:pPr>
      <w:r>
        <w:t>Hémorragie rétinienne (en cas d'association avec anticoagulants).</w:t>
      </w:r>
    </w:p>
    <w:p>
      <w:pPr>
        <w:pStyle w:val="Heading3"/>
      </w:pPr>
      <w:r>
        <w:t>Prévention et gestion des effets indésirables</w:t>
      </w:r>
    </w:p>
    <w:p>
      <w:r>
        <w:t>La prévention des EI de la pentoxifylline repose sur plusieurs principes :</w:t>
      </w:r>
    </w:p>
    <w:p>
      <w:pPr>
        <w:pStyle w:val="ListNumber"/>
      </w:pPr>
      <w:r/>
      <w:r>
        <w:rPr>
          <w:b/>
        </w:rPr>
        <w:t>Évaluation pré-thérapeutique</w:t>
      </w:r>
      <w:r>
        <w:t xml:space="preserve"> :</w:t>
      </w:r>
    </w:p>
    <w:p>
      <w:pPr>
        <w:pStyle w:val="ListBullet"/>
      </w:pPr>
      <w:r>
        <w:t>Examen clinique complet : pression artérielle (couché/debout), fréquence cardiaque, auscultation cardiaque, examen vasculaire périphérique (pouls, index de pression systolique à la cheville IPS) ;</w:t>
      </w:r>
    </w:p>
    <w:p>
      <w:pPr>
        <w:pStyle w:val="ListBullet"/>
      </w:pPr>
      <w:r>
        <w:t>Bilan biologique pré-thérapeutique : NFS-plaquettes, ionogramme sanguin, créatinine, clairance calculée (Cockcroft), ASAT/ALAT, bilirubine, TP/INR (si patient sous anticoagulant), glycémie et HbA1c (si diabétique) ;</w:t>
      </w:r>
    </w:p>
    <w:p>
      <w:pPr>
        <w:pStyle w:val="ListBullet"/>
      </w:pPr>
      <w:r>
        <w:t>Électrocardiogramme (recherche d'une coronaropathie silencieuse) ;</w:t>
      </w:r>
    </w:p>
    <w:p>
      <w:pPr>
        <w:pStyle w:val="ListBullet"/>
      </w:pPr>
      <w:r>
        <w:t>Fond d'œil (si indication ophtalmologique) ;</w:t>
      </w:r>
    </w:p>
    <w:p>
      <w:pPr>
        <w:pStyle w:val="ListBullet"/>
      </w:pPr>
      <w:r>
        <w:t>Évaluation du risque hémorragique (prise d'AINS, d'aspirine, d'anticoagulants oraux).</w:t>
      </w:r>
    </w:p>
    <w:p>
      <w:pPr>
        <w:pStyle w:val="ListNumber"/>
      </w:pPr>
      <w:r/>
      <w:r>
        <w:rPr>
          <w:b/>
        </w:rPr>
        <w:t>Surveillance biologique et clinique</w:t>
      </w:r>
      <w:r>
        <w:t xml:space="preserve"> :</w:t>
      </w:r>
    </w:p>
    <w:p>
      <w:pPr>
        <w:pStyle w:val="ListBullet"/>
      </w:pPr>
      <w:r/>
      <w:r>
        <w:rPr>
          <w:b/>
        </w:rPr>
        <w:t>Pression artérielle</w:t>
      </w:r>
      <w:r>
        <w:t xml:space="preserve"> : à chaque consultation, en orthostatisme (recherche d'hypotension orthostatique) ;</w:t>
      </w:r>
    </w:p>
    <w:p>
      <w:pPr>
        <w:pStyle w:val="ListBullet"/>
      </w:pPr>
      <w:r/>
      <w:r>
        <w:rPr>
          <w:b/>
        </w:rPr>
        <w:t>NFS-plaquettes</w:t>
      </w:r>
      <w:r>
        <w:t xml:space="preserve"> : à J0, M1, M3 puis tous les 6 mois (surveillance hématologique) ;</w:t>
      </w:r>
    </w:p>
    <w:p>
      <w:pPr>
        <w:pStyle w:val="ListBullet"/>
      </w:pPr>
      <w:r/>
      <w:r>
        <w:rPr>
          <w:b/>
        </w:rPr>
        <w:t>Bilan hépatique</w:t>
      </w:r>
      <w:r>
        <w:t xml:space="preserve"> (ASAT/ALAT/γ-GT/PA/bilirubine) : à M1, M3 puis tous les 6 mois ;</w:t>
      </w:r>
    </w:p>
    <w:p>
      <w:pPr>
        <w:pStyle w:val="ListBullet"/>
      </w:pPr>
      <w:r/>
      <w:r>
        <w:rPr>
          <w:b/>
        </w:rPr>
        <w:t>Fonction rénale</w:t>
      </w:r>
      <w:r>
        <w:t xml:space="preserve"> : à M1, M3 puis tous les 6 mois (adaptation posologique si nécessaire) ;</w:t>
      </w:r>
    </w:p>
    <w:p>
      <w:pPr>
        <w:pStyle w:val="ListBullet"/>
      </w:pPr>
      <w:r/>
      <w:r>
        <w:rPr>
          <w:b/>
        </w:rPr>
        <w:t>Évaluation clinique de la claudication intermittente</w:t>
      </w:r>
      <w:r>
        <w:t xml:space="preserve"> : périmètre de marche (test de marche sur tapis roulant 6 minutes), distance de marche sans douleur, distance de marche maximale — à 3 mois, 6 mois puis tous les 6 mois.</w:t>
      </w:r>
    </w:p>
    <w:p>
      <w:pPr>
        <w:pStyle w:val="ListNumber"/>
      </w:pPr>
      <w:r/>
      <w:r>
        <w:rPr>
          <w:b/>
        </w:rPr>
        <w:t>Prévention des EI digestifs</w:t>
      </w:r>
      <w:r>
        <w:t xml:space="preserve"> :</w:t>
      </w:r>
    </w:p>
    <w:p>
      <w:pPr>
        <w:pStyle w:val="ListBullet"/>
      </w:pPr>
      <w:r>
        <w:t xml:space="preserve">Prendre le comprimé </w:t>
      </w:r>
      <w:r>
        <w:rPr>
          <w:b/>
        </w:rPr>
        <w:t>pendant ou après le repas</w:t>
      </w:r>
      <w:r>
        <w:t xml:space="preserve"> (et non à jeun) pour réduire les nausées et la dyspepsie ;</w:t>
      </w:r>
    </w:p>
    <w:p>
      <w:pPr>
        <w:pStyle w:val="ListBullet"/>
      </w:pPr>
      <w:r>
        <w:t>En cas d'intolérance digestive persistante, envisager une réduction posologique (200 mg LP × 2/jour si disponible, ou 400 mg LP × 1/jour le soir) ;</w:t>
      </w:r>
    </w:p>
    <w:p>
      <w:pPr>
        <w:pStyle w:val="ListBullet"/>
      </w:pPr>
      <w:r>
        <w:t>Associations à éviter : AINS systémiques (potentialisation de la toxicité digestive), bisphosphonates, potassium ;</w:t>
      </w:r>
    </w:p>
    <w:p>
      <w:pPr>
        <w:pStyle w:val="ListBullet"/>
      </w:pPr>
      <w:r>
        <w:t>En cas de vomissements sévères ou de diarrhée profuse, arrêter le traitement et consulter (risque de déshydratation et d'hypotension).</w:t>
      </w:r>
    </w:p>
    <w:p>
      <w:pPr>
        <w:pStyle w:val="ListNumber"/>
      </w:pPr>
      <w:r/>
      <w:r>
        <w:rPr>
          <w:b/>
        </w:rPr>
        <w:t>Prévention du risque hémorragique</w:t>
      </w:r>
      <w:r>
        <w:t xml:space="preserve"> :</w:t>
      </w:r>
    </w:p>
    <w:p>
      <w:pPr>
        <w:pStyle w:val="ListBullet"/>
      </w:pPr>
      <w:r>
        <w:t>Évaluer systématiquement les traitements associés : AVK, AOD, aspirine, clopidogrel, AINS ;</w:t>
      </w:r>
    </w:p>
    <w:p>
      <w:pPr>
        <w:pStyle w:val="ListBullet"/>
      </w:pPr>
      <w:r>
        <w:t>En cas d'association indispensable, surveillance rapprochée (NFS-plaquettes, TP/INR si AVK) et information du patient sur les signes d'alerte (saignement gingival, épistaxis spontané, ecchymoses, méléna, hématurie, hémorragie rétinienne) ;</w:t>
      </w:r>
    </w:p>
    <w:p>
      <w:pPr>
        <w:pStyle w:val="ListBullet"/>
      </w:pPr>
      <w:r>
        <w:t>Arrêter la pentoxifylline 5–7 jours avant une chirurgie programmée (en particulier neurochirurgie, chirurgie ophtalmologique, chirurgie orthopédique majeure) ;</w:t>
      </w:r>
    </w:p>
    <w:p>
      <w:pPr>
        <w:pStyle w:val="ListBullet"/>
      </w:pPr>
      <w:r>
        <w:t>En cas de surdosage (dose &gt; 1200 mg/j), risque de convulsions, hypotension sévère, troubles du rythme → hospitalisation urgente, surveillance ECG, lavage gastrique si ingestion récente (&lt; 1 heure), charbon activé.</w:t>
      </w:r>
    </w:p>
    <w:p>
      <w:pPr>
        <w:pStyle w:val="ListNumber"/>
      </w:pPr>
      <w:r/>
      <w:r>
        <w:rPr>
          <w:b/>
        </w:rPr>
        <w:t>Prévention de l'hypotension orthostatique chez le sujet âgé</w:t>
      </w:r>
      <w:r>
        <w:t xml:space="preserve"> :</w:t>
      </w:r>
    </w:p>
    <w:p>
      <w:pPr>
        <w:pStyle w:val="ListBullet"/>
      </w:pPr>
      <w:r>
        <w:t>Évaluation de la pression artérielle en orthostatisme avant et après instauration du traitement ;</w:t>
      </w:r>
    </w:p>
    <w:p>
      <w:pPr>
        <w:pStyle w:val="ListBullet"/>
      </w:pPr>
      <w:r>
        <w:t>Information du patient sur le risque de vertiges au lever, en particulier le matin (lever progressif en deux temps) ;</w:t>
      </w:r>
    </w:p>
    <w:p>
      <w:pPr>
        <w:pStyle w:val="ListBullet"/>
      </w:pPr>
      <w:r>
        <w:t>Adaptation posologique : commencer par 400 mg LP × 1/jour (la moitié de la dose standard) chez le sujet âgé fragile, augmenter progressivement selon la tolérance ;</w:t>
      </w:r>
    </w:p>
    <w:p>
      <w:pPr>
        <w:pStyle w:val="ListBullet"/>
      </w:pPr>
      <w:r>
        <w:t>Hydratation suffisante (1,5 L/jour) sauf CI cardiovasculaire ;</w:t>
      </w:r>
    </w:p>
    <w:p>
      <w:pPr>
        <w:pStyle w:val="ListBullet"/>
      </w:pPr>
      <w:r>
        <w:t>Éviter la prise en soirée (risque de nycturie, de chute nocturne).</w:t>
      </w:r>
    </w:p>
    <w:p>
      <w:pPr>
        <w:pStyle w:val="ListNumber"/>
      </w:pPr>
      <w:r/>
      <w:r>
        <w:rPr>
          <w:b/>
        </w:rPr>
        <w:t>Prévention des effets centraux (insomnie, agitation)</w:t>
      </w:r>
      <w:r>
        <w:t xml:space="preserve"> :</w:t>
      </w:r>
    </w:p>
    <w:p>
      <w:pPr>
        <w:pStyle w:val="ListBullet"/>
      </w:pPr>
      <w:r>
        <w:t>Éviter la prise en soirée (la pentoxifylline a un effet stimulant central lié à l'inhibition des PDE cérébrales) ;</w:t>
      </w:r>
    </w:p>
    <w:p>
      <w:pPr>
        <w:pStyle w:val="ListBullet"/>
      </w:pPr>
      <w:r>
        <w:t>Préférer une prise matinale unique si possible (400 mg LP × 1/jour) ;</w:t>
      </w:r>
    </w:p>
    <w:p>
      <w:pPr>
        <w:pStyle w:val="ListBullet"/>
      </w:pPr>
      <w:r>
        <w:t>En cas d'insomnie persistante, envisager une prise matinale à jeun ou au petit déjeuner.</w:t>
      </w:r>
    </w:p>
    <w:p>
      <w:pPr>
        <w:pStyle w:val="ListNumber"/>
      </w:pPr>
      <w:r/>
      <w:r>
        <w:rPr>
          <w:b/>
        </w:rPr>
        <w:t>Surveillance spécifique du patient diabétique</w:t>
      </w:r>
      <w:r>
        <w:t xml:space="preserve"> :</w:t>
      </w:r>
    </w:p>
    <w:p>
      <w:pPr>
        <w:pStyle w:val="ListBullet"/>
      </w:pPr>
      <w:r>
        <w:t>Glycémie capillaire et HbA1c à 3 mois, 6 mois (la pentoxifylline ne modifie pas la glycémie mais peut interagir avec les insulines/sulfamides en cas d'hypotension perturbant l'absorption) ;</w:t>
      </w:r>
    </w:p>
    <w:p>
      <w:pPr>
        <w:pStyle w:val="ListBullet"/>
      </w:pPr>
      <w:r>
        <w:t>Fond d'œil annuel (recherche d'une progression de la rétinopathie justifiant une photocoagulation laser ou des anti-VEGF) ;</w:t>
      </w:r>
    </w:p>
    <w:p>
      <w:pPr>
        <w:pStyle w:val="ListBullet"/>
      </w:pPr>
      <w:r>
        <w:t>Examen podologique (recherche d'une neuropathie périphérique, d'une artériopathie associée).</w:t>
      </w:r>
    </w:p>
    <w:p>
      <w:pPr>
        <w:pStyle w:val="Heading3"/>
      </w:pPr>
      <w:r>
        <w:t>Interactions médicamenteuses</w:t>
      </w:r>
    </w:p>
    <w:p>
      <w:r>
        <w:t>Les interactions médicamenteuses de la pentoxifylline sont nombreuses et nécessitent une vigilance particulière :</w:t>
      </w:r>
    </w:p>
    <w:p>
      <w:pPr>
        <w:pStyle w:val="ListBullet"/>
      </w:pPr>
      <w:r/>
      <w:r>
        <w:rPr>
          <w:b/>
        </w:rPr>
        <w:t>Avec les anticoagulants oraux (AVK : warfarine, acénocoumarol, fluindione)</w:t>
      </w:r>
      <w:r>
        <w:t xml:space="preserve"> :</w:t>
      </w:r>
    </w:p>
    <w:p>
      <w:pPr>
        <w:pStyle w:val="ListBullet"/>
      </w:pPr>
      <w:r>
        <w:t>Potentialisation majeure du risque hémorragique (effet antiagrégant additif, modification de la viscosité sanguine, possible déplacement de la warfarine de ses protéines porteuses) ;</w:t>
      </w:r>
    </w:p>
    <w:p>
      <w:pPr>
        <w:pStyle w:val="ListBullet"/>
      </w:pPr>
      <w:r>
        <w:t>Surveillance rapprochée de l'INR (toutes les 48 heures pendant la première semaine, puis hebdomadaire pendant 1 mois, puis mensuelle) ;</w:t>
      </w:r>
    </w:p>
    <w:p>
      <w:pPr>
        <w:pStyle w:val="ListBullet"/>
      </w:pPr>
      <w:r>
        <w:t>Réduction de la dose d'AVK de 20–30 % à l'instauration de la pentoxifylline ;</w:t>
      </w:r>
    </w:p>
    <w:p>
      <w:pPr>
        <w:pStyle w:val="ListBullet"/>
      </w:pPr>
      <w:r>
        <w:t>En cas de saignement, arrêter les deux traitements et administrer de la vitamine K +Fresh Frozen Plasma si nécessaire.</w:t>
      </w:r>
    </w:p>
    <w:p>
      <w:pPr>
        <w:pStyle w:val="ListBullet"/>
      </w:pPr>
      <w:r/>
      <w:r>
        <w:rPr>
          <w:b/>
        </w:rPr>
        <w:t>Avec les AOD (apixaban, rivaroxaban, dabigatran, edoxaban)</w:t>
      </w:r>
      <w:r>
        <w:t xml:space="preserve"> :</w:t>
      </w:r>
    </w:p>
    <w:p>
      <w:pPr>
        <w:pStyle w:val="ListBullet"/>
      </w:pPr>
      <w:r>
        <w:t>Potentialisation du risque hémorragique (mécanisme additif) ;</w:t>
      </w:r>
    </w:p>
    <w:p>
      <w:pPr>
        <w:pStyle w:val="ListBullet"/>
      </w:pPr>
      <w:r>
        <w:t>Pas de surveillance biologique systématique mais évaluation clinique du risque hémorragique ;</w:t>
      </w:r>
    </w:p>
    <w:p>
      <w:pPr>
        <w:pStyle w:val="ListBullet"/>
      </w:pPr>
      <w:r>
        <w:t>Éviter l'association si possible, en particulier chez le sujet âgé ou l'insuffisant rénal.</w:t>
      </w:r>
    </w:p>
    <w:p>
      <w:pPr>
        <w:pStyle w:val="ListBullet"/>
      </w:pPr>
      <w:r/>
      <w:r>
        <w:rPr>
          <w:b/>
        </w:rPr>
        <w:t>Avec l'aspirine (acide acétylsalicylique)</w:t>
      </w:r>
      <w:r>
        <w:t xml:space="preserve"> :</w:t>
      </w:r>
    </w:p>
    <w:p>
      <w:pPr>
        <w:pStyle w:val="ListBullet"/>
      </w:pPr>
      <w:r>
        <w:t>Potentialisation additive de l'effet antiagrégant (mécanismes différents) ;</w:t>
      </w:r>
    </w:p>
    <w:p>
      <w:pPr>
        <w:pStyle w:val="ListBullet"/>
      </w:pPr>
      <w:r>
        <w:t>Surveillance clinique (signes de saignement) ;</w:t>
      </w:r>
    </w:p>
    <w:p>
      <w:pPr>
        <w:pStyle w:val="ListBullet"/>
      </w:pPr>
      <w:r>
        <w:t>En général, l'association est bien tolérée à dose antiagrégante (75–300 mg/j) ;</w:t>
      </w:r>
    </w:p>
    <w:p>
      <w:pPr>
        <w:pStyle w:val="ListBullet"/>
      </w:pPr>
      <w:r>
        <w:t>Éviter l'association avec l'aspirine à dose antalgique (500 mg × 3/j) en raison du risque digestif majoré.</w:t>
      </w:r>
    </w:p>
    <w:p>
      <w:pPr>
        <w:pStyle w:val="ListBullet"/>
      </w:pPr>
      <w:r/>
      <w:r>
        <w:rPr>
          <w:b/>
        </w:rPr>
        <w:t>Avec le clopidogrel</w:t>
      </w:r>
      <w:r>
        <w:t xml:space="preserve"> :</w:t>
      </w:r>
    </w:p>
    <w:p>
      <w:pPr>
        <w:pStyle w:val="ListBullet"/>
      </w:pPr>
      <w:r>
        <w:t>Potentialisation additive de l'effet antiagrégant (triple antiagrégation théorique) ;</w:t>
      </w:r>
    </w:p>
    <w:p>
      <w:pPr>
        <w:pStyle w:val="ListBullet"/>
      </w:pPr>
      <w:r>
        <w:t>Surveillance clinique (saignements, ecchymoses) ;</w:t>
      </w:r>
    </w:p>
    <w:p>
      <w:pPr>
        <w:pStyle w:val="ListBullet"/>
      </w:pPr>
      <w:r>
        <w:t>Éviter si possible.</w:t>
      </w:r>
    </w:p>
    <w:p>
      <w:pPr>
        <w:pStyle w:val="ListBullet"/>
      </w:pPr>
      <w:r/>
      <w:r>
        <w:rPr>
          <w:b/>
        </w:rPr>
        <w:t>Avec les AINS systémiques (ibuprofène, naproxène, kétoprofène, diclofénac, célécoxib)</w:t>
      </w:r>
      <w:r>
        <w:t xml:space="preserve"> :</w:t>
      </w:r>
    </w:p>
    <w:p>
      <w:pPr>
        <w:pStyle w:val="ListBullet"/>
      </w:pPr>
      <w:r>
        <w:t>Potentialisation de la toxicité digestive (saignement, ulcère) ;</w:t>
      </w:r>
    </w:p>
    <w:p>
      <w:pPr>
        <w:pStyle w:val="ListBullet"/>
      </w:pPr>
      <w:r>
        <w:t>Potentialisation du risque hémorragique (effet antiagrégant additif) ;</w:t>
      </w:r>
    </w:p>
    <w:p>
      <w:pPr>
        <w:pStyle w:val="ListBullet"/>
      </w:pPr>
      <w:r>
        <w:t>Éviter l'association si possible, ou utiliser le paracétamol en alternative.</w:t>
      </w:r>
    </w:p>
    <w:p>
      <w:pPr>
        <w:pStyle w:val="ListBullet"/>
      </w:pPr>
      <w:r/>
      <w:r>
        <w:rPr>
          <w:b/>
        </w:rPr>
        <w:t>Avec la théophylline et les autres méthylxanthines (caféine, théobromine)</w:t>
      </w:r>
      <w:r>
        <w:t xml:space="preserve"> :</w:t>
      </w:r>
    </w:p>
    <w:p>
      <w:pPr>
        <w:pStyle w:val="ListBullet"/>
      </w:pPr>
      <w:r>
        <w:t>Potentialisation des effets indésirables des xanthines (tachycardie, tremblements, agitation, insomnie, convulsions) ;</w:t>
      </w:r>
    </w:p>
    <w:p>
      <w:pPr>
        <w:pStyle w:val="ListBullet"/>
      </w:pPr>
      <w:r>
        <w:t>Réduction de la clairance de la théophylline (compétition métabolique au niveau du cytochrome P450 1A2) ;</w:t>
      </w:r>
    </w:p>
    <w:p>
      <w:pPr>
        <w:pStyle w:val="ListBullet"/>
      </w:pPr>
      <w:r>
        <w:t>Dosage de la théophyllinémie si association indispensable (théophyllinémie cible : 10–15 mg/L) ;</w:t>
      </w:r>
    </w:p>
    <w:p>
      <w:pPr>
        <w:pStyle w:val="ListBullet"/>
      </w:pPr>
      <w:r>
        <w:t>Éviter la consommation de café, thé, boissons énergisantes.</w:t>
      </w:r>
    </w:p>
    <w:p>
      <w:pPr>
        <w:pStyle w:val="ListBullet"/>
      </w:pPr>
      <w:r/>
      <w:r>
        <w:rPr>
          <w:b/>
        </w:rPr>
        <w:t>Avec les inhibiteurs de la PDE5 (sildénafil, tadalafil, vardenafil)</w:t>
      </w:r>
      <w:r>
        <w:t xml:space="preserve"> :</w:t>
      </w:r>
    </w:p>
    <w:p>
      <w:pPr>
        <w:pStyle w:val="ListBullet"/>
      </w:pPr>
      <w:r>
        <w:t>Potentialisation de l'hypotension orthostatique (effet vasodilatateur additif sur la voie NO/GMPc) ;</w:t>
      </w:r>
    </w:p>
    <w:p>
      <w:pPr>
        <w:pStyle w:val="ListBullet"/>
      </w:pPr>
      <w:r>
        <w:t>Risque d'hypotension sévère, de malaise lipothymique ;</w:t>
      </w:r>
    </w:p>
    <w:p>
      <w:pPr>
        <w:pStyle w:val="ListBullet"/>
      </w:pPr>
      <w:r>
        <w:t>Délai de 24 heures entre la prise de pentoxifylline et d'un inhibiteur de la PDE5 ;</w:t>
      </w:r>
    </w:p>
    <w:p>
      <w:pPr>
        <w:pStyle w:val="ListBullet"/>
      </w:pPr>
      <w:r>
        <w:t>Surveillance clinique (vertiges, malaise).</w:t>
      </w:r>
    </w:p>
    <w:p>
      <w:pPr>
        <w:pStyle w:val="ListBullet"/>
      </w:pPr>
      <w:r/>
      <w:r>
        <w:rPr>
          <w:b/>
        </w:rPr>
        <w:t>Avec les diurétiques</w:t>
      </w:r>
      <w:r>
        <w:t xml:space="preserve"> (furosémide, hydrochlorothiazide, spironolactone) :</w:t>
      </w:r>
    </w:p>
    <w:p>
      <w:pPr>
        <w:pStyle w:val="ListBullet"/>
      </w:pPr>
      <w:r>
        <w:t>Potentialisation de l'hypotension orthostatique (effet additif vasodilatateur et déplétion volémique) ;</w:t>
      </w:r>
    </w:p>
    <w:p>
      <w:pPr>
        <w:pStyle w:val="ListBullet"/>
      </w:pPr>
      <w:r>
        <w:t>Surveillance de la pression artérielle en orthostatisme.</w:t>
      </w:r>
    </w:p>
    <w:p>
      <w:pPr>
        <w:pStyle w:val="ListBullet"/>
      </w:pPr>
      <w:r/>
      <w:r>
        <w:rPr>
          <w:b/>
        </w:rPr>
        <w:t>Avec les inhibiteurs de l'enzyme de conversion (IEC : ramipril, périndopril, enalapril) et les ARA2 (valsartan, telmisartan)</w:t>
      </w:r>
      <w:r>
        <w:t xml:space="preserve"> :</w:t>
      </w:r>
    </w:p>
    <w:p>
      <w:pPr>
        <w:pStyle w:val="ListBullet"/>
      </w:pPr>
      <w:r>
        <w:t>Potentialisation de l'hypotension orthostatique ;</w:t>
      </w:r>
    </w:p>
    <w:p>
      <w:pPr>
        <w:pStyle w:val="ListBullet"/>
      </w:pPr>
      <w:r>
        <w:t>Surveillance de la pression artérielle.</w:t>
      </w:r>
    </w:p>
    <w:p>
      <w:pPr>
        <w:pStyle w:val="ListBullet"/>
      </w:pPr>
      <w:r/>
      <w:r>
        <w:rPr>
          <w:b/>
        </w:rPr>
        <w:t>Avec les alphabloquants (tamsulosine, alfuzosine, doxazosine)</w:t>
      </w:r>
      <w:r>
        <w:t xml:space="preserve"> :</w:t>
      </w:r>
    </w:p>
    <w:p>
      <w:pPr>
        <w:pStyle w:val="ListBullet"/>
      </w:pPr>
      <w:r>
        <w:t>Potentialisation de l'hypotension orthostatique ;</w:t>
      </w:r>
    </w:p>
    <w:p>
      <w:pPr>
        <w:pStyle w:val="ListBullet"/>
      </w:pPr>
      <w:r>
        <w:t>Information du patient sur le risque de vertiges au lever.</w:t>
      </w:r>
    </w:p>
    <w:p>
      <w:pPr>
        <w:pStyle w:val="ListBullet"/>
      </w:pPr>
      <w:r/>
      <w:r>
        <w:rPr>
          <w:b/>
        </w:rPr>
        <w:t>Avec la cimétidine (anti-H2)</w:t>
      </w:r>
      <w:r>
        <w:t xml:space="preserve"> :</w:t>
      </w:r>
    </w:p>
    <w:p>
      <w:pPr>
        <w:pStyle w:val="ListBullet"/>
      </w:pPr>
      <w:r>
        <w:t>Inhibition du CYP1A2 → réduction de la clairance de la pentoxifylline → augmentation des concentrations plasmatiques (risque de surdosage) ;</w:t>
      </w:r>
    </w:p>
    <w:p>
      <w:pPr>
        <w:pStyle w:val="ListBullet"/>
      </w:pPr>
      <w:r>
        <w:t>Réduction posologique de la pentoxifylline à 50 % en cas d'association.</w:t>
      </w:r>
    </w:p>
    <w:p>
      <w:pPr>
        <w:pStyle w:val="ListBullet"/>
      </w:pPr>
      <w:r/>
      <w:r>
        <w:rPr>
          <w:b/>
        </w:rPr>
        <w:t>Avec la ciprofloxacine et l'érythromycine (inhibiteurs du CYP1A2)</w:t>
      </w:r>
      <w:r>
        <w:t xml:space="preserve"> :</w:t>
      </w:r>
    </w:p>
    <w:p>
      <w:pPr>
        <w:pStyle w:val="ListBullet"/>
      </w:pPr>
      <w:r>
        <w:t>Réduction de la clairance de la pentoxifylline → augmentation des concentrations plasmatiques ;</w:t>
      </w:r>
    </w:p>
    <w:p>
      <w:pPr>
        <w:pStyle w:val="ListBullet"/>
      </w:pPr>
      <w:r>
        <w:t>Surveillance clinique (vertiges, céphalées, hypotension) ;</w:t>
      </w:r>
    </w:p>
    <w:p>
      <w:pPr>
        <w:pStyle w:val="ListBullet"/>
      </w:pPr>
      <w:r>
        <w:t>Réduction posologique éventuelle.</w:t>
      </w:r>
    </w:p>
    <w:p>
      <w:pPr>
        <w:pStyle w:val="ListBullet"/>
      </w:pPr>
      <w:r/>
      <w:r>
        <w:rPr>
          <w:b/>
        </w:rPr>
        <w:t>Avec l'hypoglycémiants (insuline, sulfamides)</w:t>
      </w:r>
      <w:r>
        <w:t xml:space="preserve"> :</w:t>
      </w:r>
    </w:p>
    <w:p>
      <w:pPr>
        <w:pStyle w:val="ListBullet"/>
      </w:pPr>
      <w:r>
        <w:t>Potentialisation de l'effet hypoglycémiant (la pentoxifylline améliore la microcirculation pancréatique et l'absorption de l'insuline sous-cutanée) ;</w:t>
      </w:r>
    </w:p>
    <w:p>
      <w:pPr>
        <w:pStyle w:val="ListBullet"/>
      </w:pPr>
      <w:r>
        <w:t>Surveillance glycémique accrue en début d'association.</w:t>
      </w:r>
    </w:p>
    <w:p>
      <w:pPr>
        <w:pStyle w:val="ListBullet"/>
      </w:pPr>
      <w:r/>
      <w:r>
        <w:rPr>
          <w:b/>
        </w:rPr>
        <w:t>Avec la digitaline (digoxine)</w:t>
      </w:r>
      <w:r>
        <w:t xml:space="preserve"> :</w:t>
      </w:r>
    </w:p>
    <w:p>
      <w:pPr>
        <w:pStyle w:val="ListBullet"/>
      </w:pPr>
      <w:r>
        <w:t>Potentialisation de l'effet de la digoxine (modification de la clairance rénale, possible) ;</w:t>
      </w:r>
    </w:p>
    <w:p>
      <w:pPr>
        <w:pStyle w:val="ListBullet"/>
      </w:pPr>
      <w:r>
        <w:t>Surveillance de la digoxinémie.</w:t>
      </w:r>
    </w:p>
    <w:p>
      <w:pPr>
        <w:pStyle w:val="Heading3"/>
      </w:pPr>
      <w:r>
        <w:t>Grossesse et allaitement (CRAT)</w:t>
      </w:r>
    </w:p>
    <w:p>
      <w:r/>
      <w:r>
        <w:rPr>
          <w:b/>
        </w:rPr>
        <w:t>Grossesse</w:t>
      </w:r>
      <w:r>
        <w:t xml:space="preserve"> :</w:t>
      </w:r>
    </w:p>
    <w:p>
      <w:pPr>
        <w:pStyle w:val="ListBullet"/>
      </w:pPr>
      <w:r>
        <w:t>Données CRAT : les données publiées chez la femme enceinte exposée à la pentoxifylline sont limitées (séries de cas isolés). Les études animales chez le rat, la souris et le lapin n'ont pas montré d'effet tératogène à doses thérapeutiques, mais une toxicité fœtale (retard de croissance, mortalité fœtale) a été observée à doses systémiques élevées (3–5 fois la dose humaine).</w:t>
      </w:r>
    </w:p>
    <w:p>
      <w:pPr>
        <w:pStyle w:val="ListBullet"/>
      </w:pPr>
      <w:r>
        <w:t>La pentoxifylline traverse le placenta (molécule hydrosoluble et liposoluble, faible poids moléculaire). Les concentrations fœtales sont probablement proches des concentrations maternelles.</w:t>
      </w:r>
    </w:p>
    <w:p>
      <w:pPr>
        <w:pStyle w:val="ListBullet"/>
      </w:pPr>
      <w:r>
        <w:t xml:space="preserve">Recommandation CRAT : </w:t>
      </w:r>
      <w:r>
        <w:rPr>
          <w:b/>
        </w:rPr>
        <w:t>contre-indiqué au 1er trimestre de grossesse</w:t>
      </w:r>
      <w:r>
        <w:t xml:space="preserve"> (période d'organogenèse, données animales). </w:t>
      </w:r>
      <w:r>
        <w:rPr>
          <w:b/>
        </w:rPr>
        <w:t>Déconseillé aux 2e et 3e trimestres</w:t>
      </w:r>
      <w:r>
        <w:t xml:space="preserve"> par prudence (risque d'hypotension maternelle → hypoperfusion placentaire, risque hémorragique fœtal).</w:t>
      </w:r>
    </w:p>
    <w:p>
      <w:pPr>
        <w:pStyle w:val="ListBullet"/>
      </w:pPr>
      <w:r>
        <w:t>Alternative : pour la claudication intermittente chez la femme enceinte : privilégier les mesures hygiéno-diététiques (arrêt du tabac, marche quotidienne), le paracétamol pour l'analgésie, et différer le traitement pharmacologique au post-partum. Pour la rétinopathie diabétique : privilégier l'équilibre glycémique strict, la photocoagulation au laser argon (sans CI obstétricale), et éviter les anti-VEGF intravitréens pendant la grossesse.</w:t>
      </w:r>
    </w:p>
    <w:p>
      <w:r/>
      <w:r>
        <w:rPr>
          <w:b/>
        </w:rPr>
        <w:t>Allaitement</w:t>
      </w:r>
      <w:r>
        <w:t xml:space="preserve"> :</w:t>
      </w:r>
    </w:p>
    <w:p>
      <w:pPr>
        <w:pStyle w:val="ListBullet"/>
      </w:pPr>
      <w:r>
        <w:t>Données CRAT : la pentoxifylline passe dans le lait maternel (rapport lait/plasma ~0,5–0,8). Les concentrations chez l'enfant allaité peuvent atteindre 5–10 % des concentrations maternelles, ce qui expose à un risque d'effets indésirables chez l'enfant (irritabilité, troubles du sommeil, tachycardie, hypotension).</w:t>
      </w:r>
    </w:p>
    <w:p>
      <w:pPr>
        <w:pStyle w:val="ListBullet"/>
      </w:pPr>
      <w:r>
        <w:t xml:space="preserve">Recommandation CRAT : </w:t>
      </w:r>
      <w:r>
        <w:rPr>
          <w:b/>
        </w:rPr>
        <w:t>éviter pendant l'allaitement</w:t>
      </w:r>
      <w:r>
        <w:t xml:space="preserve"> en raison du passage significatif et des effets centraux possibles chez l'enfant. Si traitement indispensable, envisager un sevrage temporaire de l'allaitement pendant la durée du traitement.</w:t>
      </w:r>
    </w:p>
    <w:p>
      <w:r/>
      <w:r>
        <w:rPr>
          <w:b/>
        </w:rPr>
        <w:t>Femme en âge de procréer / contraception</w:t>
      </w:r>
      <w:r>
        <w:t xml:space="preserve"> : en cas de prescription de pentoxifylline chez une femme en âge de procréer, s'assurer de l'absence de grossesse (test β-hCG) et conseiller une contraception efficace pendant le traitement.</w:t>
      </w:r>
    </w:p>
    <w:p>
      <w:pPr>
        <w:pStyle w:val="Heading3"/>
      </w:pPr>
      <w:r>
        <w:t>Posologie et mode d'administration</w:t>
      </w:r>
    </w:p>
    <w:p>
      <w:r/>
      <w:r>
        <w:rPr>
          <w:b/>
        </w:rPr>
        <w:t>Adulte</w:t>
      </w:r>
      <w:r>
        <w:t xml:space="preserve"> :</w:t>
      </w:r>
    </w:p>
    <w:p>
      <w:pPr>
        <w:pStyle w:val="ListBullet"/>
      </w:pPr>
      <w:r/>
      <w:r>
        <w:rPr>
          <w:b/>
        </w:rPr>
        <w:t>Indication claudication intermittente (AOI stade II de Leriche et Fontaine)</w:t>
      </w:r>
      <w:r>
        <w:t xml:space="preserve"> :</w:t>
      </w:r>
    </w:p>
    <w:p>
      <w:pPr>
        <w:pStyle w:val="ListBullet"/>
      </w:pPr>
      <w:r>
        <w:t>Dose standard : 400 mg LP (1 comprimé) × 2 à 3 fois/jour = 800–1200 mg/jour ;</w:t>
      </w:r>
    </w:p>
    <w:p>
      <w:pPr>
        <w:pStyle w:val="ListBullet"/>
      </w:pPr>
      <w:r>
        <w:t>Posologie habituelle : 400 mg LP × 2/jour (matin et soir, pendant les repas), soit 800 mg/jour ;</w:t>
      </w:r>
    </w:p>
    <w:p>
      <w:pPr>
        <w:pStyle w:val="ListBullet"/>
      </w:pPr>
      <w:r>
        <w:t>Dose maximale : 400 mg LP × 3/jour = 1200 mg/jour (en cas d'insuffisance de réponse à 800 mg/jour après 4–6 semaines) ;</w:t>
      </w:r>
    </w:p>
    <w:p>
      <w:pPr>
        <w:pStyle w:val="ListBullet"/>
      </w:pPr>
      <w:r>
        <w:t>Durée : traitement prolongé (plusieurs mois à années), réévaluation à 3 mois, 6 mois puis tous les 6 mois par test de marche.</w:t>
      </w:r>
    </w:p>
    <w:p>
      <w:pPr>
        <w:pStyle w:val="ListBullet"/>
      </w:pPr>
      <w:r/>
      <w:r>
        <w:rPr>
          <w:b/>
        </w:rPr>
        <w:t>Indication ophtalmologique (rétinopathie diabétique non proliférante)</w:t>
      </w:r>
      <w:r>
        <w:t xml:space="preserve"> :</w:t>
      </w:r>
    </w:p>
    <w:p>
      <w:pPr>
        <w:pStyle w:val="ListBullet"/>
      </w:pPr>
      <w:r>
        <w:t>Dose standard : 400 mg LP × 2/jour (matin et soir) = 800 mg/jour ;</w:t>
      </w:r>
    </w:p>
    <w:p>
      <w:pPr>
        <w:pStyle w:val="ListBullet"/>
      </w:pPr>
      <w:r>
        <w:t>Dose maximale : 400 mg LP × 3/jour = 1200 mg/jour (en cas de rétinopathie sévère évolutive) ;</w:t>
      </w:r>
    </w:p>
    <w:p>
      <w:pPr>
        <w:pStyle w:val="ListBullet"/>
      </w:pPr>
      <w:r>
        <w:t>Durée : traitement prolongé (6 mois minimum), réévaluation par fond d'œil et OCT maculaire à 3 mois, 6 mois puis tous les 6 mois.</w:t>
      </w:r>
    </w:p>
    <w:p>
      <w:pPr>
        <w:pStyle w:val="ListBullet"/>
      </w:pPr>
      <w:r/>
      <w:r>
        <w:rPr>
          <w:b/>
        </w:rPr>
        <w:t>Indication hépatite alcoolique sévère (hors AMM, en milieu spécialisé)</w:t>
      </w:r>
      <w:r>
        <w:t xml:space="preserve"> :</w:t>
      </w:r>
    </w:p>
    <w:p>
      <w:pPr>
        <w:pStyle w:val="ListBullet"/>
      </w:pPr>
      <w:r>
        <w:t>400 mg × 3/jour IV (forme injectable non disponible en Algérie) ou 400 mg LP × 3/jour per os = 1200 mg/jour pendant 28 jours.</w:t>
      </w:r>
    </w:p>
    <w:p>
      <w:r/>
      <w:r>
        <w:rPr>
          <w:b/>
        </w:rPr>
        <w:t>Sujet âgé (&gt; 75 ans)</w:t>
      </w:r>
      <w:r>
        <w:t xml:space="preserve"> :</w:t>
      </w:r>
    </w:p>
    <w:p>
      <w:pPr>
        <w:pStyle w:val="ListBullet"/>
      </w:pPr>
      <w:r>
        <w:t>Dose initiale réduite : 400 mg LP × 1/jour le matin = 400 mg/jour (la moitié de la dose adulte standard) ;</w:t>
      </w:r>
    </w:p>
    <w:p>
      <w:pPr>
        <w:pStyle w:val="ListBullet"/>
      </w:pPr>
      <w:r>
        <w:t>Titration progressive à 800 mg/jour selon la tolérance après 2 semaines ;</w:t>
      </w:r>
    </w:p>
    <w:p>
      <w:pPr>
        <w:pStyle w:val="ListBullet"/>
      </w:pPr>
      <w:r>
        <w:t>Surveillance rapprochée de la pression artérielle en orthostatisme.</w:t>
      </w:r>
    </w:p>
    <w:p>
      <w:r/>
      <w:r>
        <w:rPr>
          <w:b/>
        </w:rPr>
        <w:t>Insuffisance rénale</w:t>
      </w:r>
      <w:r>
        <w:t xml:space="preserve"> :</w:t>
      </w:r>
    </w:p>
    <w:p>
      <w:pPr>
        <w:pStyle w:val="ListBullet"/>
      </w:pPr>
      <w:r>
        <w:t>Clairance ≥ 60 mL/min : pas d'adaptation posologique ;</w:t>
      </w:r>
    </w:p>
    <w:p>
      <w:pPr>
        <w:pStyle w:val="ListBullet"/>
      </w:pPr>
      <w:r>
        <w:t>Clairance 30–59 mL/min : réduire la dose à 400 mg LP × 1/jour ou 400 mg LP × 2/jour en surveillance rapprochée ;</w:t>
      </w:r>
    </w:p>
    <w:p>
      <w:pPr>
        <w:pStyle w:val="ListBullet"/>
      </w:pPr>
      <w:r>
        <w:t>Clairance 15–29 mL/min : réduire la dose à 400 mg LP × 1/jour (tous les jours ou un jour sur deux) ;</w:t>
      </w:r>
    </w:p>
    <w:p>
      <w:pPr>
        <w:pStyle w:val="ListBullet"/>
      </w:pPr>
      <w:r>
        <w:t>Clairance &lt; 15 mL/min : contre-indication relative, à éviter (accumulation des métabolites actifs — principalement le métabolite M1 qui a une activité pharmacologique équivalente à la molécule mère).</w:t>
      </w:r>
    </w:p>
    <w:p>
      <w:r/>
      <w:r>
        <w:rPr>
          <w:b/>
        </w:rPr>
        <w:t>Insuffisance hépatique</w:t>
      </w:r>
      <w:r>
        <w:t xml:space="preserve"> :</w:t>
      </w:r>
    </w:p>
    <w:p>
      <w:pPr>
        <w:pStyle w:val="ListBullet"/>
      </w:pPr>
      <w:r>
        <w:t>Légère à modérée (Child-Pugh A ou B) : pas d'adaptation posologique, surveillance accrue ;</w:t>
      </w:r>
    </w:p>
    <w:p>
      <w:pPr>
        <w:pStyle w:val="ListBullet"/>
      </w:pPr>
      <w:r>
        <w:t>Sévère (Child-Pugh C) : éviter par prudence (accumulation des métabolites, surveillance hépatique rapprochée).</w:t>
      </w:r>
    </w:p>
    <w:p>
      <w:r/>
      <w:r>
        <w:rPr>
          <w:b/>
        </w:rPr>
        <w:t>Enfant</w:t>
      </w:r>
      <w:r>
        <w:t xml:space="preserve"> : non recommandé en raison de l'absence d'études pédiatriques.</w:t>
      </w:r>
    </w:p>
    <w:p>
      <w:r/>
      <w:r>
        <w:rPr>
          <w:b/>
        </w:rPr>
        <w:t>Mode d'administration</w:t>
      </w:r>
      <w:r>
        <w:t xml:space="preserve"> :</w:t>
      </w:r>
    </w:p>
    <w:p>
      <w:pPr>
        <w:pStyle w:val="ListBullet"/>
      </w:pPr>
      <w:r>
        <w:t>Voie orale exclusive (forme LP, ne pas croquer ni écraser) ;</w:t>
      </w:r>
    </w:p>
    <w:p>
      <w:pPr>
        <w:pStyle w:val="ListBullet"/>
      </w:pPr>
      <w:r>
        <w:t xml:space="preserve">Avaler le comprimé entier avec un grand verre d'eau, </w:t>
      </w:r>
      <w:r>
        <w:rPr>
          <w:b/>
        </w:rPr>
        <w:t>pendant ou après le repas</w:t>
      </w:r>
      <w:r>
        <w:t xml:space="preserve"> (réduction des EI digestifs) ;</w:t>
      </w:r>
    </w:p>
    <w:p>
      <w:pPr>
        <w:pStyle w:val="ListBullet"/>
      </w:pPr>
      <w:r>
        <w:t>Respecter un intervalle de 12 heures entre les prises (2 prises par jour) ou 8 heures (3 prises par jour) ;</w:t>
      </w:r>
    </w:p>
    <w:p>
      <w:pPr>
        <w:pStyle w:val="ListBullet"/>
      </w:pPr>
      <w:r>
        <w:t>En cas d'oubli d'une prise, ne pas doubler la dose suivante (risque de surdosage) ;</w:t>
      </w:r>
    </w:p>
    <w:p>
      <w:pPr>
        <w:pStyle w:val="ListBullet"/>
      </w:pPr>
      <w:r>
        <w:t>Éviter la prise en soirée en raison du risque d'insomnie.</w:t>
      </w:r>
    </w:p>
    <w:p>
      <w:pPr>
        <w:pStyle w:val="Heading3"/>
      </w:pPr>
      <w:r>
        <w:t>Surveillance biologique et suivi clinique</w:t>
      </w:r>
    </w:p>
    <w:p>
      <w:r>
        <w:t>La surveillance de la pentoxifylline repose sur une combinaison d'évaluations biologiques systémiques et cliniques (vasculaires et ophtalmologiques) :</w:t>
      </w:r>
    </w:p>
    <w:p>
      <w:r/>
      <w:r>
        <w:rPr>
          <w:b/>
        </w:rPr>
        <w:t>Surveillance biologique systémique</w:t>
      </w:r>
      <w:r>
        <w:t xml:space="preserve"> :</w:t>
      </w:r>
    </w:p>
    <w:p>
      <w:pPr>
        <w:pStyle w:val="ListBullet"/>
      </w:pPr>
      <w:r/>
      <w:r>
        <w:rPr>
          <w:b/>
        </w:rPr>
        <w:t>NFS-plaquettes</w:t>
      </w:r>
      <w:r>
        <w:t xml:space="preserve"> :</w:t>
      </w:r>
    </w:p>
    <w:p>
      <w:pPr>
        <w:pStyle w:val="ListBullet"/>
      </w:pPr>
      <w:r>
        <w:t>J0 (avant instauration) ;</w:t>
      </w:r>
    </w:p>
    <w:p>
      <w:pPr>
        <w:pStyle w:val="ListBullet"/>
      </w:pPr>
      <w:r>
        <w:t>M1, M3 ;</w:t>
      </w:r>
    </w:p>
    <w:p>
      <w:pPr>
        <w:pStyle w:val="ListBullet"/>
      </w:pPr>
      <w:r>
        <w:t>Puis tous les 6 mois en traitement prolongé.</w:t>
      </w:r>
    </w:p>
    <w:p>
      <w:pPr>
        <w:pStyle w:val="ListBullet"/>
      </w:pPr>
      <w:r>
        <w:t>Recherche de thrombopénie, leucopénie, anémie.</w:t>
      </w:r>
    </w:p>
    <w:p>
      <w:pPr>
        <w:pStyle w:val="ListBullet"/>
      </w:pPr>
      <w:r/>
      <w:r>
        <w:rPr>
          <w:b/>
        </w:rPr>
        <w:t>Bilan hépatique</w:t>
      </w:r>
      <w:r>
        <w:t xml:space="preserve"> (ASAT, ALAT, γ-GT, phosphatases alcalines, bilirubine) :</w:t>
      </w:r>
    </w:p>
    <w:p>
      <w:pPr>
        <w:pStyle w:val="ListBullet"/>
      </w:pPr>
      <w:r>
        <w:t>J0, M1, M3 ;</w:t>
      </w:r>
    </w:p>
    <w:p>
      <w:pPr>
        <w:pStyle w:val="ListBullet"/>
      </w:pPr>
      <w:r>
        <w:t>Puis tous les 6 mois.</w:t>
      </w:r>
    </w:p>
    <w:p>
      <w:pPr>
        <w:pStyle w:val="ListBullet"/>
      </w:pPr>
      <w:r/>
      <w:r>
        <w:rPr>
          <w:b/>
        </w:rPr>
        <w:t>Fonction rénale</w:t>
      </w:r>
      <w:r>
        <w:t xml:space="preserve"> (créatinine, clairance Cockcroft-MDRD, ionogramme) :</w:t>
      </w:r>
    </w:p>
    <w:p>
      <w:pPr>
        <w:pStyle w:val="ListBullet"/>
      </w:pPr>
      <w:r>
        <w:t>J0 ;</w:t>
      </w:r>
    </w:p>
    <w:p>
      <w:pPr>
        <w:pStyle w:val="ListBullet"/>
      </w:pPr>
      <w:r>
        <w:t>Tous les 3 mois chez le sujet âgé ou l'insuffisant rénal ;</w:t>
      </w:r>
    </w:p>
    <w:p>
      <w:pPr>
        <w:pStyle w:val="ListBullet"/>
      </w:pPr>
      <w:r>
        <w:t>Tous les 6 mois en traitement prolongé.</w:t>
      </w:r>
    </w:p>
    <w:p>
      <w:pPr>
        <w:pStyle w:val="ListBullet"/>
      </w:pPr>
      <w:r/>
      <w:r>
        <w:rPr>
          <w:b/>
        </w:rPr>
        <w:t>Bilan d'hémostase</w:t>
      </w:r>
      <w:r>
        <w:t xml:space="preserve"> (TP/INR si AVK associé, plaquettes) :</w:t>
      </w:r>
    </w:p>
    <w:p>
      <w:pPr>
        <w:pStyle w:val="ListBullet"/>
      </w:pPr>
      <w:r>
        <w:t>Surveillance hebdomadaire pendant 1 mois, puis mensuelle si AVK associé.</w:t>
      </w:r>
    </w:p>
    <w:p>
      <w:r/>
      <w:r>
        <w:rPr>
          <w:b/>
        </w:rPr>
        <w:t>Surveillance clinique vasculaire</w:t>
      </w:r>
      <w:r>
        <w:t xml:space="preserve"> :</w:t>
      </w:r>
    </w:p>
    <w:p>
      <w:pPr>
        <w:pStyle w:val="ListBullet"/>
      </w:pPr>
      <w:r/>
      <w:r>
        <w:rPr>
          <w:b/>
        </w:rPr>
        <w:t>Pression artérielle</w:t>
      </w:r>
      <w:r>
        <w:t xml:space="preserve"> (couché/debout) :</w:t>
      </w:r>
    </w:p>
    <w:p>
      <w:pPr>
        <w:pStyle w:val="ListBullet"/>
      </w:pPr>
      <w:r>
        <w:t>À chaque consultation (recherche d'hypotension orthostatique) ;</w:t>
      </w:r>
    </w:p>
    <w:p>
      <w:pPr>
        <w:pStyle w:val="ListBullet"/>
      </w:pPr>
      <w:r>
        <w:t>Auto-surveillance par le patient (autotensiomètre électronique validé) hebdomadaire pendant 1 mois, puis mensuelle.</w:t>
      </w:r>
    </w:p>
    <w:p>
      <w:pPr>
        <w:pStyle w:val="ListBullet"/>
      </w:pPr>
      <w:r/>
      <w:r>
        <w:rPr>
          <w:b/>
        </w:rPr>
        <w:t>Test de marche</w:t>
      </w:r>
      <w:r>
        <w:t xml:space="preserve"> (périmètre de marche sur tapis roulant 6 minutes) :</w:t>
      </w:r>
    </w:p>
    <w:p>
      <w:pPr>
        <w:pStyle w:val="ListBullet"/>
      </w:pPr>
      <w:r>
        <w:t>Avant traitement (référence) ;</w:t>
      </w:r>
    </w:p>
    <w:p>
      <w:pPr>
        <w:pStyle w:val="ListBullet"/>
      </w:pPr>
      <w:r>
        <w:t>À 3 mois, 6 mois ;</w:t>
      </w:r>
    </w:p>
    <w:p>
      <w:pPr>
        <w:pStyle w:val="ListBullet"/>
      </w:pPr>
      <w:r>
        <w:t>Puis tous les 6 mois (suivi de la claudication intermittente).</w:t>
      </w:r>
    </w:p>
    <w:p>
      <w:pPr>
        <w:pStyle w:val="ListBullet"/>
      </w:pPr>
      <w:r/>
      <w:r>
        <w:rPr>
          <w:b/>
        </w:rPr>
        <w:t>Index de pression systolique à la cheville (IPS)</w:t>
      </w:r>
      <w:r>
        <w:t xml:space="preserve"> :</w:t>
      </w:r>
    </w:p>
    <w:p>
      <w:pPr>
        <w:pStyle w:val="ListBullet"/>
      </w:pPr>
      <w:r>
        <w:t>Avant traitement ;</w:t>
      </w:r>
    </w:p>
    <w:p>
      <w:pPr>
        <w:pStyle w:val="ListBullet"/>
      </w:pPr>
      <w:r>
        <w:t>Tous les ans (suivi de l'artériopathie oblitérante des membres inférieurs).</w:t>
      </w:r>
    </w:p>
    <w:p>
      <w:r/>
      <w:r>
        <w:rPr>
          <w:b/>
        </w:rPr>
        <w:t>Surveillance clinique ophtalmologique</w:t>
      </w:r>
      <w:r>
        <w:t xml:space="preserve"> :</w:t>
      </w:r>
    </w:p>
    <w:p>
      <w:pPr>
        <w:pStyle w:val="ListBullet"/>
      </w:pPr>
      <w:r/>
      <w:r>
        <w:rPr>
          <w:b/>
        </w:rPr>
        <w:t>Acuité visuelle de loin et de près</w:t>
      </w:r>
      <w:r>
        <w:t xml:space="preserve"> :</w:t>
      </w:r>
    </w:p>
    <w:p>
      <w:pPr>
        <w:pStyle w:val="ListBullet"/>
      </w:pPr>
      <w:r>
        <w:t>Avant traitement ;</w:t>
      </w:r>
    </w:p>
    <w:p>
      <w:pPr>
        <w:pStyle w:val="ListBullet"/>
      </w:pPr>
      <w:r>
        <w:t>À 3 mois, 6 mois ;</w:t>
      </w:r>
    </w:p>
    <w:p>
      <w:pPr>
        <w:pStyle w:val="ListBullet"/>
      </w:pPr>
      <w:r>
        <w:t>Puis tous les 6 mois.</w:t>
      </w:r>
    </w:p>
    <w:p>
      <w:pPr>
        <w:pStyle w:val="ListBullet"/>
      </w:pPr>
      <w:r/>
      <w:r>
        <w:rPr>
          <w:b/>
        </w:rPr>
        <w:t>Fond d'œil</w:t>
      </w:r>
      <w:r>
        <w:t xml:space="preserve"> :</w:t>
      </w:r>
    </w:p>
    <w:p>
      <w:pPr>
        <w:pStyle w:val="ListBullet"/>
      </w:pPr>
      <w:r>
        <w:t>Avant traitement ;</w:t>
      </w:r>
    </w:p>
    <w:p>
      <w:pPr>
        <w:pStyle w:val="ListBullet"/>
      </w:pPr>
      <w:r>
        <w:t>À 3 mois, 6 mois ;</w:t>
      </w:r>
    </w:p>
    <w:p>
      <w:pPr>
        <w:pStyle w:val="ListBullet"/>
      </w:pPr>
      <w:r>
        <w:t>Puis tous les 6 mois à 1 an selon l'évolution.</w:t>
      </w:r>
    </w:p>
    <w:p>
      <w:pPr>
        <w:pStyle w:val="ListBullet"/>
      </w:pPr>
      <w:r/>
      <w:r>
        <w:rPr>
          <w:b/>
        </w:rPr>
        <w:t>Angiographie fluorescéinique</w:t>
      </w:r>
      <w:r>
        <w:t xml:space="preserve"> :</w:t>
      </w:r>
    </w:p>
    <w:p>
      <w:pPr>
        <w:pStyle w:val="ListBullet"/>
      </w:pPr>
      <w:r>
        <w:t>Avant traitement ;</w:t>
      </w:r>
    </w:p>
    <w:p>
      <w:pPr>
        <w:pStyle w:val="ListBullet"/>
      </w:pPr>
      <w:r>
        <w:t>À 6 mois puis annuelle pour évaluation de l'efficacité.</w:t>
      </w:r>
    </w:p>
    <w:p>
      <w:pPr>
        <w:pStyle w:val="ListBullet"/>
      </w:pPr>
      <w:r/>
      <w:r>
        <w:rPr>
          <w:b/>
        </w:rPr>
        <w:t>OCT maculaire</w:t>
      </w:r>
      <w:r>
        <w:t xml:space="preserve"> :</w:t>
      </w:r>
    </w:p>
    <w:p>
      <w:pPr>
        <w:pStyle w:val="ListBullet"/>
      </w:pPr>
      <w:r>
        <w:t>Avant traitement ;</w:t>
      </w:r>
    </w:p>
    <w:p>
      <w:pPr>
        <w:pStyle w:val="ListBullet"/>
      </w:pPr>
      <w:r>
        <w:t>À 3 mois, 6 mois puis tous les 6 mois (suivi de l'œdème maculaire).</w:t>
      </w:r>
    </w:p>
    <w:p>
      <w:r/>
      <w:r>
        <w:rPr>
          <w:b/>
        </w:rPr>
        <w:t>Critères d'efficacité</w:t>
      </w:r>
      <w:r>
        <w:t xml:space="preserve"> :</w:t>
      </w:r>
    </w:p>
    <w:p>
      <w:pPr>
        <w:pStyle w:val="ListBullet"/>
      </w:pPr>
      <w:r>
        <w:t>Augmentation du périmètre de marche (gain de 30–50 mètres à 3 mois, maximal à 6 mois) ;</w:t>
      </w:r>
    </w:p>
    <w:p>
      <w:pPr>
        <w:pStyle w:val="ListBullet"/>
      </w:pPr>
      <w:r>
        <w:t>Stabilisation ou amélioration de l'acuité visuelle ;</w:t>
      </w:r>
    </w:p>
    <w:p>
      <w:pPr>
        <w:pStyle w:val="ListBullet"/>
      </w:pPr>
      <w:r>
        <w:t>Diminution du nombre de microanévrismes actifs à l'angiographie ;</w:t>
      </w:r>
    </w:p>
    <w:p>
      <w:pPr>
        <w:pStyle w:val="ListBullet"/>
      </w:pPr>
      <w:r>
        <w:t>Stabilisation de la surface d'ischémie rétinienne.</w:t>
      </w:r>
    </w:p>
    <w:p>
      <w:r/>
      <w:r>
        <w:rPr>
          <w:b/>
        </w:rPr>
        <w:t>Critères d'arrêt du traitement</w:t>
      </w:r>
      <w:r>
        <w:t xml:space="preserve"> :</w:t>
      </w:r>
    </w:p>
    <w:p>
      <w:pPr>
        <w:pStyle w:val="ListBullet"/>
      </w:pPr>
      <w:r>
        <w:t>Progression de la claudication intermittente vers le stade III (douleur de décubitus) ou IV (gangrène) → avis chirurgical (revascularisation) ;</w:t>
      </w:r>
    </w:p>
    <w:p>
      <w:pPr>
        <w:pStyle w:val="ListBullet"/>
      </w:pPr>
      <w:r>
        <w:t>Progression de la rétinopathie diabétique vers une forme proliférante ou un œdème maculaire cliniquement significatif → indication de photocoagulation laser ou d'anti-VEGF intravitréen ;</w:t>
      </w:r>
    </w:p>
    <w:p>
      <w:pPr>
        <w:pStyle w:val="ListBullet"/>
      </w:pPr>
      <w:r>
        <w:t>Effets indésirables intolérables (digestifs sévères, allergies, atteinte hématologique, hépatique ou rénale) ;</w:t>
      </w:r>
    </w:p>
    <w:p>
      <w:pPr>
        <w:pStyle w:val="ListBullet"/>
      </w:pPr>
      <w:r>
        <w:t>Découverte d'une contre-indication méconnue ;</w:t>
      </w:r>
    </w:p>
    <w:p>
      <w:pPr>
        <w:pStyle w:val="ListBullet"/>
      </w:pPr>
      <w:r>
        <w:t>Non-observance du patient ou absence de suivi.</w:t>
      </w:r>
    </w:p>
    <w:p>
      <w:pPr>
        <w:pStyle w:val="Heading3"/>
      </w:pPr>
      <w:r>
        <w:t>Arbitrage et bénéfices des formes galéniques</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Forme galénique</w:t>
            </w:r>
          </w:p>
        </w:tc>
        <w:tc>
          <w:tcPr>
            <w:tcW w:type="dxa" w:w="2339"/>
          </w:tcPr>
          <w:p>
            <w:r>
              <w:rPr>
                <w:b/>
                <w:sz w:val="20"/>
              </w:rPr>
              <w:t>Avantages</w:t>
            </w:r>
          </w:p>
        </w:tc>
        <w:tc>
          <w:tcPr>
            <w:tcW w:type="dxa" w:w="2339"/>
          </w:tcPr>
          <w:p>
            <w:r>
              <w:rPr>
                <w:b/>
                <w:sz w:val="20"/>
              </w:rPr>
              <w:t>Inconvénients</w:t>
            </w:r>
          </w:p>
        </w:tc>
        <w:tc>
          <w:tcPr>
            <w:tcW w:type="dxa" w:w="2339"/>
          </w:tcPr>
          <w:p>
            <w:r>
              <w:rPr>
                <w:b/>
                <w:sz w:val="20"/>
              </w:rPr>
              <w:t>Indications préférentielles</w:t>
            </w:r>
          </w:p>
        </w:tc>
      </w:tr>
      <w:tr>
        <w:tc>
          <w:tcPr>
            <w:tcW w:type="dxa" w:w="2339"/>
          </w:tcPr>
          <w:p>
            <w:r>
              <w:rPr>
                <w:sz w:val="20"/>
              </w:rPr>
              <w:t>Comprimé pelliculé LP 400 mg (PENTORENTAL, PENTOXIFYLLINE MYLAN, TORENTAL LP)</w:t>
            </w:r>
          </w:p>
        </w:tc>
        <w:tc>
          <w:tcPr>
            <w:tcW w:type="dxa" w:w="2339"/>
          </w:tcPr>
          <w:p>
            <w:r>
              <w:rPr>
                <w:sz w:val="20"/>
              </w:rPr>
              <w:t>Dose unique facilitant l'observance (1 cp × 2/j), libération progressive sur 8–12 h, bonne tolérance digestive</w:t>
            </w:r>
          </w:p>
        </w:tc>
        <w:tc>
          <w:tcPr>
            <w:tcW w:type="dxa" w:w="2339"/>
          </w:tcPr>
          <w:p>
            <w:r>
              <w:rPr>
                <w:sz w:val="20"/>
              </w:rPr>
              <w:t>Demi-vie courte imposant 2 prises par jour, insuffisance rénale sévère contre-indiquée</w:t>
            </w:r>
          </w:p>
        </w:tc>
        <w:tc>
          <w:tcPr>
            <w:tcW w:type="dxa" w:w="2339"/>
          </w:tcPr>
          <w:p>
            <w:r>
              <w:rPr>
                <w:sz w:val="20"/>
              </w:rPr>
              <w:t>Indications princeps (AOI stade II, rétinopathie diabétique)</w:t>
            </w:r>
          </w:p>
        </w:tc>
      </w:tr>
      <w:tr>
        <w:tc>
          <w:tcPr>
            <w:tcW w:type="dxa" w:w="2339"/>
          </w:tcPr>
          <w:p>
            <w:r>
              <w:rPr>
                <w:sz w:val="20"/>
              </w:rPr>
              <w:t>Forme 100 mg LP (historique, non disponible en Algérie)</w:t>
            </w:r>
          </w:p>
        </w:tc>
        <w:tc>
          <w:tcPr>
            <w:tcW w:type="dxa" w:w="2339"/>
          </w:tcPr>
          <w:p>
            <w:r>
              <w:rPr>
                <w:sz w:val="20"/>
              </w:rPr>
              <w:t>Adaptation posologique fine (titration progressive, sujet âgé)</w:t>
            </w:r>
          </w:p>
        </w:tc>
        <w:tc>
          <w:tcPr>
            <w:tcW w:type="dxa" w:w="2339"/>
          </w:tcPr>
          <w:p>
            <w:r>
              <w:rPr>
                <w:sz w:val="20"/>
              </w:rPr>
              <w:t>Multiplication des comprimés (4–6/jour)</w:t>
            </w:r>
          </w:p>
        </w:tc>
        <w:tc>
          <w:tcPr>
            <w:tcW w:type="dxa" w:w="2339"/>
          </w:tcPr>
          <w:p>
            <w:r>
              <w:rPr>
                <w:sz w:val="20"/>
              </w:rPr>
              <w:t>Sujet âgé fragile, insuffisance rénale modérée, pédiatrie</w:t>
            </w:r>
          </w:p>
        </w:tc>
      </w:tr>
      <w:tr>
        <w:tc>
          <w:tcPr>
            <w:tcW w:type="dxa" w:w="2339"/>
          </w:tcPr>
          <w:p>
            <w:r>
              <w:rPr>
                <w:sz w:val="20"/>
              </w:rPr>
              <w:t>Forme injectable IV (historique, non disponible en Algérie)</w:t>
            </w:r>
          </w:p>
        </w:tc>
        <w:tc>
          <w:tcPr>
            <w:tcW w:type="dxa" w:w="2339"/>
          </w:tcPr>
          <w:p>
            <w:r>
              <w:rPr>
                <w:sz w:val="20"/>
              </w:rPr>
              <w:t>Effet rapide, administration en milieu hospitalier</w:t>
            </w:r>
          </w:p>
        </w:tc>
        <w:tc>
          <w:tcPr>
            <w:tcW w:type="dxa" w:w="2339"/>
          </w:tcPr>
          <w:p>
            <w:r>
              <w:rPr>
                <w:sz w:val="20"/>
              </w:rPr>
              <w:t>Inconfort, nécessité médicale, risque d'hypotension sévère à l'administration</w:t>
            </w:r>
          </w:p>
        </w:tc>
        <w:tc>
          <w:tcPr>
            <w:tcW w:type="dxa" w:w="2339"/>
          </w:tcPr>
          <w:p>
            <w:r>
              <w:rPr>
                <w:sz w:val="20"/>
              </w:rPr>
              <w:t>Formes aiguës, hépatite alcoolique sévère</w:t>
            </w:r>
          </w:p>
        </w:tc>
      </w:tr>
    </w:tbl>
    <w:p/>
    <w:p>
      <w:r/>
      <w:r>
        <w:rPr>
          <w:b/>
        </w:rPr>
        <w:t>En Algérie</w:t>
      </w:r>
      <w:r>
        <w:t>, la pentoxifylline n'est disponible que sous forme orale LP 400 mg. Cette limitation impose :</w:t>
      </w:r>
    </w:p>
    <w:p>
      <w:pPr>
        <w:pStyle w:val="ListBullet"/>
      </w:pPr>
      <w:r>
        <w:t>Adaptation impossible à l'insuffisance rénale modérée à sévère (préférer une alternative thérapeutique) ;</w:t>
      </w:r>
    </w:p>
    <w:p>
      <w:pPr>
        <w:pStyle w:val="ListBullet"/>
      </w:pPr>
      <w:r>
        <w:t>Adaptation impossible chez le sujet âgé fragile (commencer par 400 mg LP × 1/jour le matin si nécessaire) ;</w:t>
      </w:r>
    </w:p>
    <w:p>
      <w:pPr>
        <w:pStyle w:val="ListBullet"/>
      </w:pPr>
      <w:r>
        <w:t>Impossibilité d'utiliser la forme injectable IV (indisponible en Algérie) ;</w:t>
      </w:r>
    </w:p>
    <w:p>
      <w:pPr>
        <w:pStyle w:val="ListBullet"/>
      </w:pPr>
      <w:r>
        <w:t>Recours à la préparation magistrale pour des dosages inférieurs (200 mg, 100 mg) en officine.</w:t>
      </w:r>
    </w:p>
    <w:p>
      <w:pPr>
        <w:pStyle w:val="Heading3"/>
      </w:pPr>
      <w:r>
        <w:t>Instructions et conseils au patient</w:t>
      </w:r>
    </w:p>
    <w:p>
      <w:pPr>
        <w:pStyle w:val="ListNumber"/>
      </w:pPr>
      <w:r/>
      <w:r>
        <w:rPr>
          <w:b/>
        </w:rPr>
        <w:t>Information sur la pathologie</w:t>
      </w:r>
      <w:r>
        <w:t xml:space="preserve"> : expliquer au patient que la pentoxifylline est un traitement adjuvant de l'artériopathie oblitérante des membres inférieurs au stade de claudication intermittente, qui vise à améliorer la microcirculation et le périmètre de marche. Elle ne se substitue pas aux mesures essentielles : arrêt du tabac (impératif), marche quotidienne progressive (au moins 30 minutes/jour), contrôle des facteurs de risque cardiovasculaire (équilibre tensionnel, glycémique, lipidique). En cas d'indication ophtalmologique, elle vise à stabiliser la rétinopathie diabétique et ne se substitue pas à la photocoagulation laser ou aux anti-VEGF.</w:t>
      </w:r>
    </w:p>
    <w:p>
      <w:pPr>
        <w:pStyle w:val="ListNumber"/>
      </w:pPr>
      <w:r/>
      <w:r>
        <w:rPr>
          <w:b/>
        </w:rPr>
        <w:t>Respect de la prescription</w:t>
      </w:r>
      <w:r>
        <w:t xml:space="preserve"> : prendre le comprimé </w:t>
      </w:r>
      <w:r>
        <w:rPr>
          <w:b/>
        </w:rPr>
        <w:t>pendant ou après le repas</w:t>
      </w:r>
      <w:r>
        <w:t xml:space="preserve"> (et non à jeun) pour réduire les troubles digestifs. Avaler entier, ne pas croquer ni écraser (la forme LP doit rester intacte pour libérer le principe actif sur 8–12 heures).</w:t>
      </w:r>
    </w:p>
    <w:p>
      <w:pPr>
        <w:pStyle w:val="ListNumber"/>
      </w:pPr>
      <w:r/>
      <w:r>
        <w:rPr>
          <w:b/>
        </w:rPr>
        <w:t>Fréquence d'administration</w:t>
      </w:r>
      <w:r>
        <w:t xml:space="preserve"> : 2 prises par jour (matin et midi, ou matin et après-midi) à heures fixes. Éviter la prise en soirée (risque d'insomnie). En cas d'oubli d'une prise, ne pas doubler la dose suivante.</w:t>
      </w:r>
    </w:p>
    <w:p>
      <w:pPr>
        <w:pStyle w:val="ListNumber"/>
      </w:pPr>
      <w:r/>
      <w:r>
        <w:rPr>
          <w:b/>
        </w:rPr>
        <w:t>Surveillance biologique</w:t>
      </w:r>
      <w:r>
        <w:t xml:space="preserve"> : respecter les contrôles biologiques (NFS, bilan hépatique, fonction rénale) prescrits par le médecin. Ne pas arrêter le traitement sans avis médical.</w:t>
      </w:r>
    </w:p>
    <w:p>
      <w:pPr>
        <w:pStyle w:val="ListNumber"/>
      </w:pPr>
      <w:r/>
      <w:r>
        <w:rPr>
          <w:b/>
        </w:rPr>
        <w:t>Signes d'alerte à signaler immédiatement au médecin</w:t>
      </w:r>
      <w:r>
        <w:t xml:space="preserve"> :</w:t>
      </w:r>
    </w:p>
    <w:p>
      <w:pPr>
        <w:pStyle w:val="ListBullet"/>
      </w:pPr>
      <w:r>
        <w:t>Saignements anormaux : gingivorragie, épistaxis spontané, ecchymoses, méléna (selles noires), hématurie (urines rouges) ;</w:t>
      </w:r>
    </w:p>
    <w:p>
      <w:pPr>
        <w:pStyle w:val="ListBullet"/>
      </w:pPr>
      <w:r>
        <w:t>Vertiges intenses, malaises, surtout au lever ;</w:t>
      </w:r>
    </w:p>
    <w:p>
      <w:pPr>
        <w:pStyle w:val="ListBullet"/>
      </w:pPr>
      <w:r>
        <w:t>Fièvre ≥ 38,5 °C, angine (recherche d'une agranulocytose) ;</w:t>
      </w:r>
    </w:p>
    <w:p>
      <w:pPr>
        <w:pStyle w:val="ListBullet"/>
      </w:pPr>
      <w:r>
        <w:t>Ictère (coloration jaune des conjonctives et de la peau) ;</w:t>
      </w:r>
    </w:p>
    <w:p>
      <w:pPr>
        <w:pStyle w:val="ListBullet"/>
      </w:pPr>
      <w:r>
        <w:t>Éruption cutanée étendue, prurit généralisé ;</w:t>
      </w:r>
    </w:p>
    <w:p>
      <w:pPr>
        <w:pStyle w:val="ListBullet"/>
      </w:pPr>
      <w:r>
        <w:t>Vision floue, scotomes, baisse d'acuité visuelle (en cas de rétinopathie) ;</w:t>
      </w:r>
    </w:p>
    <w:p>
      <w:pPr>
        <w:pStyle w:val="ListBullet"/>
      </w:pPr>
      <w:r>
        <w:t>Aggravation de la claudication (douleur de décubitus, douleur permanente du pied) → avis chirurgical urgent.</w:t>
      </w:r>
    </w:p>
    <w:p>
      <w:pPr>
        <w:pStyle w:val="ListNumber"/>
      </w:pPr>
      <w:r/>
      <w:r>
        <w:rPr>
          <w:b/>
        </w:rPr>
        <w:t>Précautions orthostatiques</w:t>
      </w:r>
      <w:r>
        <w:t xml:space="preserve"> (sujet âgé) : se lever progressivement du lit ou du fauteuil (position assise pendant 30 secondes au bord du lit, puis debout lentement) pour éviter les vertiges. Éviter les changements de position brusques.</w:t>
      </w:r>
    </w:p>
    <w:p>
      <w:pPr>
        <w:pStyle w:val="ListNumber"/>
      </w:pPr>
      <w:r/>
      <w:r>
        <w:rPr>
          <w:b/>
        </w:rPr>
        <w:t>Éviter l'automédication</w:t>
      </w:r>
      <w:r>
        <w:t xml:space="preserve"> : ne pas associer d'AINS (ibuprofène, aspirine) sans avis médical en raison du risque hémorragique. Préférer le paracétamol pour les antalgiques courants. Éviter la consommation excessive de café, thé, boissons énergisantes (potentialisation des effets centraux).</w:t>
      </w:r>
    </w:p>
    <w:p>
      <w:pPr>
        <w:pStyle w:val="ListNumber"/>
      </w:pPr>
      <w:r/>
      <w:r>
        <w:rPr>
          <w:b/>
        </w:rPr>
        <w:t>Chirurgie programmée</w:t>
      </w:r>
      <w:r>
        <w:t xml:space="preserve"> : informer le chirurgien et l'anesthésiste du traitement par pentoxifylline. Arrêt généralement recommandé 5–7 jours avant la chirurgie.</w:t>
      </w:r>
    </w:p>
    <w:p>
      <w:pPr>
        <w:pStyle w:val="ListNumber"/>
      </w:pPr>
      <w:r/>
      <w:r>
        <w:rPr>
          <w:b/>
        </w:rPr>
        <w:t>Grossesse</w:t>
      </w:r>
      <w:r>
        <w:t xml:space="preserve"> : en cas de désir de grossesse ou de grossesse en cours, informer immédiatement le médecin pour évaluer la poursuite ou l'arrêt du traitement. Ne pas utiliser pendant l'allaitement.</w:t>
      </w:r>
    </w:p>
    <w:p>
      <w:pPr>
        <w:pStyle w:val="ListNumber"/>
      </w:pPr>
      <w:r/>
      <w:r>
        <w:rPr>
          <w:b/>
        </w:rPr>
        <w:t>Suivi régulier</w:t>
      </w:r>
      <w:r>
        <w:t xml:space="preserve"> : ne pas négliger les consultations de suivi (3 mois, 6 mois puis tous les 6 mois), même en l'absence de symptômes. La pentoxifylline ne prévient pas la progression de la maladie artérielle ; seule la modification du mode de vie et le contrôle des facteurs de risque peuvent ralentir l'évolution.</w:t>
      </w:r>
    </w:p>
    <w:p>
      <w:pPr>
        <w:pStyle w:val="Heading3"/>
      </w:pPr>
      <w:r>
        <w:t>Notes — Règles d'or et pièges au comptoir</w:t>
      </w:r>
    </w:p>
    <w:p>
      <w:pPr>
        <w:pStyle w:val="ListNumber"/>
      </w:pPr>
      <w:r/>
      <w:r>
        <w:rPr>
          <w:b/>
        </w:rPr>
        <w:t>Règle d'or de la pentoxifylline en artériopathie</w:t>
      </w:r>
      <w:r>
        <w:t xml:space="preserve"> : « La pentoxifylline ne se substitue jamais à l'arrêt du tabac, qui est le seul traitement capable de ralentir la progression de l'artériopathie oblitérante des membres inférieurs. » Le pharmacien d'officine doit systématiquement évaluer le statut tabagique du patient sous pentoxifylline et proposer un accompagnement au sevrage (substituts nicotiniques, bupropion, varénicline).</w:t>
      </w:r>
    </w:p>
    <w:p>
      <w:pPr>
        <w:pStyle w:val="ListNumber"/>
      </w:pPr>
      <w:r/>
      <w:r>
        <w:rPr>
          <w:b/>
        </w:rPr>
        <w:t>Piège du patient coronarien</w:t>
      </w:r>
      <w:r>
        <w:t xml:space="preserve"> : la pentoxifylline est contre-indiquée en cas d'infarctus du myocarde récent (&lt; 3 mois) ou d'angor instable. Toujours vérifier le statut cardiovasculaire avant instauration.</w:t>
      </w:r>
    </w:p>
    <w:p>
      <w:pPr>
        <w:pStyle w:val="ListNumber"/>
      </w:pPr>
      <w:r/>
      <w:r>
        <w:rPr>
          <w:b/>
        </w:rPr>
        <w:t>Piège du patient sous anticoagulant</w:t>
      </w:r>
      <w:r>
        <w:t xml:space="preserve"> : un patient sous AVK ou AOD doit faire l'objet d'une surveillance rapprochée de l'INR ou de la tolérance clinique. Le pharmacien doit vérifier la prescription associée et alerter le prescripteur en cas de saignement anormal.</w:t>
      </w:r>
    </w:p>
    <w:p>
      <w:pPr>
        <w:pStyle w:val="ListNumber"/>
      </w:pPr>
      <w:r/>
      <w:r>
        <w:rPr>
          <w:b/>
        </w:rPr>
        <w:t>Piège du sujet âgé hypotendu</w:t>
      </w:r>
      <w:r>
        <w:t xml:space="preserve"> : la pentoxifylline peut aggraver une hypotension orthostatique préexistante. Toujours évaluer la pression artérielle avant instauration, et commencer par une dose réduite (400 mg LP × 1/jour le matin).</w:t>
      </w:r>
    </w:p>
    <w:p>
      <w:pPr>
        <w:pStyle w:val="ListNumber"/>
      </w:pPr>
      <w:r/>
      <w:r>
        <w:rPr>
          <w:b/>
        </w:rPr>
        <w:t>Piège du patient insomniaque</w:t>
      </w:r>
      <w:r>
        <w:t xml:space="preserve"> : la prise vespérale de pentoxifylline peut aggraver l'insomnie en raison de son effet stimulant central. Toujours privilégier la prise matinale (ou au petit déjeuner et au déjeuner en cas de bithérapie).</w:t>
      </w:r>
    </w:p>
    <w:p>
      <w:pPr>
        <w:pStyle w:val="ListNumber"/>
      </w:pPr>
      <w:r/>
      <w:r>
        <w:rPr>
          <w:b/>
        </w:rPr>
        <w:t>Piège du diabétique déséquilibré</w:t>
      </w:r>
      <w:r>
        <w:t xml:space="preserve"> : la pentoxifylline ne doit pas être prescrite chez un diabétique en déséquilibre glycémique majeur (HbA1c &gt; 10 %) avant d'avoir tenté d'améliorer l'équilibre glycémique. L'efficacité de la pentoxifylline sur la rétinopathie est conditionnée par l'équilibre glycémique sous-jacent.</w:t>
      </w:r>
    </w:p>
    <w:p>
      <w:pPr>
        <w:pStyle w:val="ListNumber"/>
      </w:pPr>
      <w:r/>
      <w:r>
        <w:rPr>
          <w:b/>
        </w:rPr>
        <w:t>Piège de l'association avec les inhibiteurs de la PDE5 (Viagra, Cialis)</w:t>
      </w:r>
      <w:r>
        <w:t xml:space="preserve"> : risque d'hypotension sévère en cas d'association. Délai de 24 heures obligatoire entre les deux prises.</w:t>
      </w:r>
    </w:p>
    <w:p>
      <w:pPr>
        <w:pStyle w:val="ListNumber"/>
      </w:pPr>
      <w:r/>
      <w:r>
        <w:rPr>
          <w:b/>
        </w:rPr>
        <w:t>Piège de l'insuffisance rénale</w:t>
      </w:r>
      <w:r>
        <w:t xml:space="preserve"> : la pentoxifylline est contre-indiquée en cas d'insuffisance rénale sévère (clairance &lt; 15 mL/min). Vérifier la clairance créatinine avant instauration du traitement chez le sujet âgé (&gt; 75 ans) ou en cas d'antécédent rénal.</w:t>
      </w:r>
    </w:p>
    <w:p>
      <w:pPr>
        <w:pStyle w:val="ListNumber"/>
      </w:pPr>
      <w:r/>
      <w:r>
        <w:rPr>
          <w:b/>
        </w:rPr>
        <w:t>Piège de la confusion avec d'autres vasculoprotecteurs</w:t>
      </w:r>
      <w:r>
        <w:t xml:space="preserve"> : ne pas confondre la pentoxifylline avec le calcium dobesilate (mécanisme et profil différents), ni avec les veinotoniques (diosmine, hespéridine). La pentoxifylline agit principalement sur la microcirculation artérielle, alors que les veinotoniques agissent sur la circulation veineuse.</w:t>
      </w:r>
    </w:p>
    <w:p>
      <w:pPr>
        <w:pStyle w:val="ListNumber"/>
      </w:pPr>
      <w:r/>
      <w:r>
        <w:rPr>
          <w:b/>
        </w:rPr>
        <w:t>Piège de l'arrêt brutal</w:t>
      </w:r>
      <w:r>
        <w:t xml:space="preserve"> : ne jamais arrêter la pentoxifylline brutalement sans avis médical en cas de claudication intermittente évolutive (risque de rebond thrombotique microcirculatoire). L'arrêt doit être progressif (réduction de 50 % pendant 2 semaines, puis arrêt).</w:t>
      </w:r>
    </w:p>
    <w:p>
      <w:pPr>
        <w:pStyle w:val="Heading2"/>
      </w:pPr>
      <w:r>
        <w:t>145.5. Tableau comparatif des thérapeutiques</w:t>
      </w:r>
    </w:p>
    <w:p>
      <w:pPr>
        <w:pStyle w:val="Heading3"/>
      </w:pPr>
      <w:r>
        <w:t>Tableau comparatif des trois DCI du chapitre 145</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Critère</w:t>
            </w:r>
          </w:p>
        </w:tc>
        <w:tc>
          <w:tcPr>
            <w:tcW w:type="dxa" w:w="2339"/>
          </w:tcPr>
          <w:p>
            <w:r>
              <w:rPr>
                <w:b/>
                <w:sz w:val="20"/>
              </w:rPr>
              <w:t>Hydroxypropylméthylcellulose (HPMC)</w:t>
            </w:r>
          </w:p>
        </w:tc>
        <w:tc>
          <w:tcPr>
            <w:tcW w:type="dxa" w:w="2339"/>
          </w:tcPr>
          <w:p>
            <w:r>
              <w:rPr>
                <w:b/>
                <w:sz w:val="20"/>
              </w:rPr>
              <w:t>Calcium dobesilate</w:t>
            </w:r>
          </w:p>
        </w:tc>
        <w:tc>
          <w:tcPr>
            <w:tcW w:type="dxa" w:w="2339"/>
          </w:tcPr>
          <w:p>
            <w:r>
              <w:rPr>
                <w:b/>
                <w:sz w:val="20"/>
              </w:rPr>
              <w:t>Pentoxifylline</w:t>
            </w:r>
          </w:p>
        </w:tc>
      </w:tr>
      <w:tr>
        <w:tc>
          <w:tcPr>
            <w:tcW w:type="dxa" w:w="2339"/>
          </w:tcPr>
          <w:p>
            <w:r>
              <w:rPr>
                <w:sz w:val="20"/>
              </w:rPr>
              <w:t>**Classe pharmacologique**</w:t>
            </w:r>
          </w:p>
        </w:tc>
        <w:tc>
          <w:tcPr>
            <w:tcW w:type="dxa" w:w="2339"/>
          </w:tcPr>
          <w:p>
            <w:r>
              <w:rPr>
                <w:sz w:val="20"/>
              </w:rPr>
              <w:t>Substitut lacrymal polymère cellulosique</w:t>
            </w:r>
          </w:p>
        </w:tc>
        <w:tc>
          <w:tcPr>
            <w:tcW w:type="dxa" w:w="2339"/>
          </w:tcPr>
          <w:p>
            <w:r>
              <w:rPr>
                <w:sz w:val="20"/>
              </w:rPr>
              <w:t>Vasoprotecteur / Anti-exsudatif capillaire</w:t>
            </w:r>
          </w:p>
        </w:tc>
        <w:tc>
          <w:tcPr>
            <w:tcW w:type="dxa" w:w="2339"/>
          </w:tcPr>
          <w:p>
            <w:r>
              <w:rPr>
                <w:sz w:val="20"/>
              </w:rPr>
              <w:t>Vasoprotecteur / Inhibiteur PDE</w:t>
            </w:r>
          </w:p>
        </w:tc>
      </w:tr>
      <w:tr>
        <w:tc>
          <w:tcPr>
            <w:tcW w:type="dxa" w:w="2339"/>
          </w:tcPr>
          <w:p>
            <w:r>
              <w:rPr>
                <w:sz w:val="20"/>
              </w:rPr>
              <w:t>**Mécanisme principal**</w:t>
            </w:r>
          </w:p>
        </w:tc>
        <w:tc>
          <w:tcPr>
            <w:tcW w:type="dxa" w:w="2339"/>
          </w:tcPr>
          <w:p>
            <w:r>
              <w:rPr>
                <w:sz w:val="20"/>
              </w:rPr>
              <w:t>Effet de volume + viscosification + lubrification</w:t>
            </w:r>
          </w:p>
        </w:tc>
        <w:tc>
          <w:tcPr>
            <w:tcW w:type="dxa" w:w="2339"/>
          </w:tcPr>
          <w:p>
            <w:r>
              <w:rPr>
                <w:sz w:val="20"/>
              </w:rPr>
              <w:t>Baisse perméabilité capillaire + antiagrégant TXA2 + anti-radicalaire</w:t>
            </w:r>
          </w:p>
        </w:tc>
        <w:tc>
          <w:tcPr>
            <w:tcW w:type="dxa" w:w="2339"/>
          </w:tcPr>
          <w:p>
            <w:r>
              <w:rPr>
                <w:sz w:val="20"/>
              </w:rPr>
              <w:t>Inhibition PDE3/4 + ↑AMPc érythrocytaire + ↑déformabilité + antiagrégant</w:t>
            </w:r>
          </w:p>
        </w:tc>
      </w:tr>
      <w:tr>
        <w:tc>
          <w:tcPr>
            <w:tcW w:type="dxa" w:w="2339"/>
          </w:tcPr>
          <w:p>
            <w:r>
              <w:rPr>
                <w:sz w:val="20"/>
              </w:rPr>
              <w:t>**Voie d'administration**</w:t>
            </w:r>
          </w:p>
        </w:tc>
        <w:tc>
          <w:tcPr>
            <w:tcW w:type="dxa" w:w="2339"/>
          </w:tcPr>
          <w:p>
            <w:r>
              <w:rPr>
                <w:sz w:val="20"/>
              </w:rPr>
              <w:t>Collyre ophtalmique</w:t>
            </w:r>
          </w:p>
        </w:tc>
        <w:tc>
          <w:tcPr>
            <w:tcW w:type="dxa" w:w="2339"/>
          </w:tcPr>
          <w:p>
            <w:r>
              <w:rPr>
                <w:sz w:val="20"/>
              </w:rPr>
              <w:t>Comprimé oral</w:t>
            </w:r>
          </w:p>
        </w:tc>
        <w:tc>
          <w:tcPr>
            <w:tcW w:type="dxa" w:w="2339"/>
          </w:tcPr>
          <w:p>
            <w:r>
              <w:rPr>
                <w:sz w:val="20"/>
              </w:rPr>
              <w:t>Comprimé oral LP</w:t>
            </w:r>
          </w:p>
        </w:tc>
      </w:tr>
      <w:tr>
        <w:tc>
          <w:tcPr>
            <w:tcW w:type="dxa" w:w="2339"/>
          </w:tcPr>
          <w:p>
            <w:r>
              <w:rPr>
                <w:sz w:val="20"/>
              </w:rPr>
              <w:t>**Demi-vie d'élimination**</w:t>
            </w:r>
          </w:p>
        </w:tc>
        <w:tc>
          <w:tcPr>
            <w:tcW w:type="dxa" w:w="2339"/>
          </w:tcPr>
          <w:p>
            <w:r>
              <w:rPr>
                <w:sz w:val="20"/>
              </w:rPr>
              <w:t>15–30 min (drainage canaliculaire)</w:t>
            </w:r>
          </w:p>
        </w:tc>
        <w:tc>
          <w:tcPr>
            <w:tcW w:type="dxa" w:w="2339"/>
          </w:tcPr>
          <w:p>
            <w:r>
              <w:rPr>
                <w:sz w:val="20"/>
              </w:rPr>
              <w:t>4–6 heures</w:t>
            </w:r>
          </w:p>
        </w:tc>
        <w:tc>
          <w:tcPr>
            <w:tcW w:type="dxa" w:w="2339"/>
          </w:tcPr>
          <w:p>
            <w:r>
              <w:rPr>
                <w:sz w:val="20"/>
              </w:rPr>
              <w:t>0,5–1,5 heure (métabolite M1: 1–1,5 h)</w:t>
            </w:r>
          </w:p>
        </w:tc>
      </w:tr>
      <w:tr>
        <w:tc>
          <w:tcPr>
            <w:tcW w:type="dxa" w:w="2339"/>
          </w:tcPr>
          <w:p>
            <w:r>
              <w:rPr>
                <w:sz w:val="20"/>
              </w:rPr>
              <w:t>**Métabolisme**</w:t>
            </w:r>
          </w:p>
        </w:tc>
        <w:tc>
          <w:tcPr>
            <w:tcW w:type="dxa" w:w="2339"/>
          </w:tcPr>
          <w:p>
            <w:r>
              <w:rPr>
                <w:sz w:val="20"/>
              </w:rPr>
              <w:t>Aucun (non absorbé)</w:t>
            </w:r>
          </w:p>
        </w:tc>
        <w:tc>
          <w:tcPr>
            <w:tcW w:type="dxa" w:w="2339"/>
          </w:tcPr>
          <w:p>
            <w:r>
              <w:rPr>
                <w:sz w:val="20"/>
              </w:rPr>
              <w:t>Hépatique partiel, rénal exclusif</w:t>
            </w:r>
          </w:p>
        </w:tc>
        <w:tc>
          <w:tcPr>
            <w:tcW w:type="dxa" w:w="2339"/>
          </w:tcPr>
          <w:p>
            <w:r>
              <w:rPr>
                <w:sz w:val="20"/>
              </w:rPr>
              <w:t>Hépatique CYP1A2, rénal</w:t>
            </w:r>
          </w:p>
        </w:tc>
      </w:tr>
      <w:tr>
        <w:tc>
          <w:tcPr>
            <w:tcW w:type="dxa" w:w="2339"/>
          </w:tcPr>
          <w:p>
            <w:r>
              <w:rPr>
                <w:sz w:val="20"/>
              </w:rPr>
              <w:t>**Biodisponibilité systémique**</w:t>
            </w:r>
          </w:p>
        </w:tc>
        <w:tc>
          <w:tcPr>
            <w:tcW w:type="dxa" w:w="2339"/>
          </w:tcPr>
          <w:p>
            <w:r>
              <w:rPr>
                <w:sz w:val="20"/>
              </w:rPr>
              <w:t>Nulle (polymère non absorbé)</w:t>
            </w:r>
          </w:p>
        </w:tc>
        <w:tc>
          <w:tcPr>
            <w:tcW w:type="dxa" w:w="2339"/>
          </w:tcPr>
          <w:p>
            <w:r>
              <w:rPr>
                <w:sz w:val="20"/>
              </w:rPr>
              <w:t>~50–70 % (dose dépendante)</w:t>
            </w:r>
          </w:p>
        </w:tc>
        <w:tc>
          <w:tcPr>
            <w:tcW w:type="dxa" w:w="2339"/>
          </w:tcPr>
          <w:p>
            <w:r>
              <w:rPr>
                <w:sz w:val="20"/>
              </w:rPr>
              <w:t>~20–30 % (effet premier passage)</w:t>
            </w:r>
          </w:p>
        </w:tc>
      </w:tr>
      <w:tr>
        <w:tc>
          <w:tcPr>
            <w:tcW w:type="dxa" w:w="2339"/>
          </w:tcPr>
          <w:p>
            <w:r>
              <w:rPr>
                <w:sz w:val="20"/>
              </w:rPr>
              <w:t>**Indication principale**</w:t>
            </w:r>
          </w:p>
        </w:tc>
        <w:tc>
          <w:tcPr>
            <w:tcW w:type="dxa" w:w="2339"/>
          </w:tcPr>
          <w:p>
            <w:r>
              <w:rPr>
                <w:sz w:val="20"/>
              </w:rPr>
              <w:t>Syndrome sec oculaire modéré</w:t>
            </w:r>
          </w:p>
        </w:tc>
        <w:tc>
          <w:tcPr>
            <w:tcW w:type="dxa" w:w="2339"/>
          </w:tcPr>
          <w:p>
            <w:r>
              <w:rPr>
                <w:sz w:val="20"/>
              </w:rPr>
              <w:t>Rétinopathie diabétique non proliférante</w:t>
            </w:r>
          </w:p>
        </w:tc>
        <w:tc>
          <w:tcPr>
            <w:tcW w:type="dxa" w:w="2339"/>
          </w:tcPr>
          <w:p>
            <w:r>
              <w:rPr>
                <w:sz w:val="20"/>
              </w:rPr>
              <w:t>Claudication intermittente AOI stade II</w:t>
            </w:r>
          </w:p>
        </w:tc>
      </w:tr>
      <w:tr>
        <w:tc>
          <w:tcPr>
            <w:tcW w:type="dxa" w:w="2339"/>
          </w:tcPr>
          <w:p>
            <w:r>
              <w:rPr>
                <w:sz w:val="20"/>
              </w:rPr>
              <w:t>**Indication secondaire**</w:t>
            </w:r>
          </w:p>
        </w:tc>
        <w:tc>
          <w:tcPr>
            <w:tcW w:type="dxa" w:w="2339"/>
          </w:tcPr>
          <w:p>
            <w:r>
              <w:rPr>
                <w:sz w:val="20"/>
              </w:rPr>
              <w:t>Sécheresse post-opératoire, lentilles</w:t>
            </w:r>
          </w:p>
        </w:tc>
        <w:tc>
          <w:tcPr>
            <w:tcW w:type="dxa" w:w="2339"/>
          </w:tcPr>
          <w:p>
            <w:r>
              <w:rPr>
                <w:sz w:val="20"/>
              </w:rPr>
              <w:t>Œdème maculaire, OBVR/OVCR</w:t>
            </w:r>
          </w:p>
        </w:tc>
        <w:tc>
          <w:tcPr>
            <w:tcW w:type="dxa" w:w="2339"/>
          </w:tcPr>
          <w:p>
            <w:r>
              <w:rPr>
                <w:sz w:val="20"/>
              </w:rPr>
              <w:t>Rétinopathie diabétique (adjuvant)</w:t>
            </w:r>
          </w:p>
        </w:tc>
      </w:tr>
      <w:tr>
        <w:tc>
          <w:tcPr>
            <w:tcW w:type="dxa" w:w="2339"/>
          </w:tcPr>
          <w:p>
            <w:r>
              <w:rPr>
                <w:sz w:val="20"/>
              </w:rPr>
              <w:t>**Posologie adulte standard**</w:t>
            </w:r>
          </w:p>
        </w:tc>
        <w:tc>
          <w:tcPr>
            <w:tcW w:type="dxa" w:w="2339"/>
          </w:tcPr>
          <w:p>
            <w:r>
              <w:rPr>
                <w:sz w:val="20"/>
              </w:rPr>
              <w:t>1 goutte × 4–6/jour (sans conservateur au long cours)</w:t>
            </w:r>
          </w:p>
        </w:tc>
        <w:tc>
          <w:tcPr>
            <w:tcW w:type="dxa" w:w="2339"/>
          </w:tcPr>
          <w:p>
            <w:r>
              <w:rPr>
                <w:sz w:val="20"/>
              </w:rPr>
              <w:t>1000 mg × 2/jour = 2000 mg/jour</w:t>
            </w:r>
          </w:p>
        </w:tc>
        <w:tc>
          <w:tcPr>
            <w:tcW w:type="dxa" w:w="2339"/>
          </w:tcPr>
          <w:p>
            <w:r>
              <w:rPr>
                <w:sz w:val="20"/>
              </w:rPr>
              <w:t>400 mg LP × 2/jour = 800 mg/jour</w:t>
            </w:r>
          </w:p>
        </w:tc>
      </w:tr>
      <w:tr>
        <w:tc>
          <w:tcPr>
            <w:tcW w:type="dxa" w:w="2339"/>
          </w:tcPr>
          <w:p>
            <w:r>
              <w:rPr>
                <w:sz w:val="20"/>
              </w:rPr>
              <w:t>**Posologie maximale**</w:t>
            </w:r>
          </w:p>
        </w:tc>
        <w:tc>
          <w:tcPr>
            <w:tcW w:type="dxa" w:w="2339"/>
          </w:tcPr>
          <w:p>
            <w:r>
              <w:rPr>
                <w:sz w:val="20"/>
              </w:rPr>
              <w:t>1 goutte × 8/jour (sans conservateur)</w:t>
            </w:r>
          </w:p>
        </w:tc>
        <w:tc>
          <w:tcPr>
            <w:tcW w:type="dxa" w:w="2339"/>
          </w:tcPr>
          <w:p>
            <w:r>
              <w:rPr>
                <w:sz w:val="20"/>
              </w:rPr>
              <w:t>3000 mg/jour (3 comprimés)</w:t>
            </w:r>
          </w:p>
        </w:tc>
        <w:tc>
          <w:tcPr>
            <w:tcW w:type="dxa" w:w="2339"/>
          </w:tcPr>
          <w:p>
            <w:r>
              <w:rPr>
                <w:sz w:val="20"/>
              </w:rPr>
              <w:t>1200 mg/jour (3 comprimés LP)</w:t>
            </w:r>
          </w:p>
        </w:tc>
      </w:tr>
      <w:tr>
        <w:tc>
          <w:tcPr>
            <w:tcW w:type="dxa" w:w="2339"/>
          </w:tcPr>
          <w:p>
            <w:r>
              <w:rPr>
                <w:sz w:val="20"/>
              </w:rPr>
              <w:t>**Adaptation sujet âgé**</w:t>
            </w:r>
          </w:p>
        </w:tc>
        <w:tc>
          <w:tcPr>
            <w:tcW w:type="dxa" w:w="2339"/>
          </w:tcPr>
          <w:p>
            <w:r>
              <w:rPr>
                <w:sz w:val="20"/>
              </w:rPr>
              <w:t>Aucune (préférer formes sans conservateur)</w:t>
            </w:r>
          </w:p>
        </w:tc>
        <w:tc>
          <w:tcPr>
            <w:tcW w:type="dxa" w:w="2339"/>
          </w:tcPr>
          <w:p>
            <w:r>
              <w:rPr>
                <w:sz w:val="20"/>
              </w:rPr>
              <w:t>Réduire à 500 mg × 2/jour</w:t>
            </w:r>
          </w:p>
        </w:tc>
        <w:tc>
          <w:tcPr>
            <w:tcW w:type="dxa" w:w="2339"/>
          </w:tcPr>
          <w:p>
            <w:r>
              <w:rPr>
                <w:sz w:val="20"/>
              </w:rPr>
              <w:t>Réduire à 400 mg × 1/jour le matin</w:t>
            </w:r>
          </w:p>
        </w:tc>
      </w:tr>
      <w:tr>
        <w:tc>
          <w:tcPr>
            <w:tcW w:type="dxa" w:w="2339"/>
          </w:tcPr>
          <w:p>
            <w:r>
              <w:rPr>
                <w:sz w:val="20"/>
              </w:rPr>
              <w:t>**Adaptation insuffisance rénale**</w:t>
            </w:r>
          </w:p>
        </w:tc>
        <w:tc>
          <w:tcPr>
            <w:tcW w:type="dxa" w:w="2339"/>
          </w:tcPr>
          <w:p>
            <w:r>
              <w:rPr>
                <w:sz w:val="20"/>
              </w:rPr>
              <w:t>Aucune</w:t>
            </w:r>
          </w:p>
        </w:tc>
        <w:tc>
          <w:tcPr>
            <w:tcW w:type="dxa" w:w="2339"/>
          </w:tcPr>
          <w:p>
            <w:r>
              <w:rPr>
                <w:sz w:val="20"/>
              </w:rPr>
              <w:t>Réduire selon clairance</w:t>
            </w:r>
          </w:p>
        </w:tc>
        <w:tc>
          <w:tcPr>
            <w:tcW w:type="dxa" w:w="2339"/>
          </w:tcPr>
          <w:p>
            <w:r>
              <w:rPr>
                <w:sz w:val="20"/>
              </w:rPr>
              <w:t>Réduire selon clairance</w:t>
            </w:r>
          </w:p>
        </w:tc>
      </w:tr>
      <w:tr>
        <w:tc>
          <w:tcPr>
            <w:tcW w:type="dxa" w:w="2339"/>
          </w:tcPr>
          <w:p>
            <w:r>
              <w:rPr>
                <w:sz w:val="20"/>
              </w:rPr>
              <w:t>**Adaptation insuffisance hépatique**</w:t>
            </w:r>
          </w:p>
        </w:tc>
        <w:tc>
          <w:tcPr>
            <w:tcW w:type="dxa" w:w="2339"/>
          </w:tcPr>
          <w:p>
            <w:r>
              <w:rPr>
                <w:sz w:val="20"/>
              </w:rPr>
              <w:t>Aucune</w:t>
            </w:r>
          </w:p>
        </w:tc>
        <w:tc>
          <w:tcPr>
            <w:tcW w:type="dxa" w:w="2339"/>
          </w:tcPr>
          <w:p>
            <w:r>
              <w:rPr>
                <w:sz w:val="20"/>
              </w:rPr>
              <w:t>À éviter si sévère</w:t>
            </w:r>
          </w:p>
        </w:tc>
        <w:tc>
          <w:tcPr>
            <w:tcW w:type="dxa" w:w="2339"/>
          </w:tcPr>
          <w:p>
            <w:r>
              <w:rPr>
                <w:sz w:val="20"/>
              </w:rPr>
              <w:t>À éviter si sévère</w:t>
            </w:r>
          </w:p>
        </w:tc>
      </w:tr>
      <w:tr>
        <w:tc>
          <w:tcPr>
            <w:tcW w:type="dxa" w:w="2339"/>
          </w:tcPr>
          <w:p>
            <w:r>
              <w:rPr>
                <w:sz w:val="20"/>
              </w:rPr>
              <w:t>**Délai d'action**</w:t>
            </w:r>
          </w:p>
        </w:tc>
        <w:tc>
          <w:tcPr>
            <w:tcW w:type="dxa" w:w="2339"/>
          </w:tcPr>
          <w:p>
            <w:r>
              <w:rPr>
                <w:sz w:val="20"/>
              </w:rPr>
              <w:t>Immédiat (effet physico-chimique)</w:t>
            </w:r>
          </w:p>
        </w:tc>
        <w:tc>
          <w:tcPr>
            <w:tcW w:type="dxa" w:w="2339"/>
          </w:tcPr>
          <w:p>
            <w:r>
              <w:rPr>
                <w:sz w:val="20"/>
              </w:rPr>
              <w:t>2–4 semaines (rétinopathie)</w:t>
            </w:r>
          </w:p>
        </w:tc>
        <w:tc>
          <w:tcPr>
            <w:tcW w:type="dxa" w:w="2339"/>
          </w:tcPr>
          <w:p>
            <w:r>
              <w:rPr>
                <w:sz w:val="20"/>
              </w:rPr>
              <w:t>2–4 semaines (claudication)</w:t>
            </w:r>
          </w:p>
        </w:tc>
      </w:tr>
      <w:tr>
        <w:tc>
          <w:tcPr>
            <w:tcW w:type="dxa" w:w="2339"/>
          </w:tcPr>
          <w:p>
            <w:r>
              <w:rPr>
                <w:sz w:val="20"/>
              </w:rPr>
              <w:t>**Durée d'action**</w:t>
            </w:r>
          </w:p>
        </w:tc>
        <w:tc>
          <w:tcPr>
            <w:tcW w:type="dxa" w:w="2339"/>
          </w:tcPr>
          <w:p>
            <w:r>
              <w:rPr>
                <w:sz w:val="20"/>
              </w:rPr>
              <w:t>15–30 minutes (HPMC 0,5 %)</w:t>
            </w:r>
          </w:p>
        </w:tc>
        <w:tc>
          <w:tcPr>
            <w:tcW w:type="dxa" w:w="2339"/>
          </w:tcPr>
          <w:p>
            <w:r>
              <w:rPr>
                <w:sz w:val="20"/>
              </w:rPr>
              <w:t>24 heures (2 prises)</w:t>
            </w:r>
          </w:p>
        </w:tc>
        <w:tc>
          <w:tcPr>
            <w:tcW w:type="dxa" w:w="2339"/>
          </w:tcPr>
          <w:p>
            <w:r>
              <w:rPr>
                <w:sz w:val="20"/>
              </w:rPr>
              <w:t>8–12 heures (forme LP)</w:t>
            </w:r>
          </w:p>
        </w:tc>
      </w:tr>
      <w:tr>
        <w:tc>
          <w:tcPr>
            <w:tcW w:type="dxa" w:w="2339"/>
          </w:tcPr>
          <w:p>
            <w:r>
              <w:rPr>
                <w:sz w:val="20"/>
              </w:rPr>
              <w:t>**Durée de traitement**</w:t>
            </w:r>
          </w:p>
        </w:tc>
        <w:tc>
          <w:tcPr>
            <w:tcW w:type="dxa" w:w="2339"/>
          </w:tcPr>
          <w:p>
            <w:r>
              <w:rPr>
                <w:sz w:val="20"/>
              </w:rPr>
              <w:t>Au long cours (souvent à vie)</w:t>
            </w:r>
          </w:p>
        </w:tc>
        <w:tc>
          <w:tcPr>
            <w:tcW w:type="dxa" w:w="2339"/>
          </w:tcPr>
          <w:p>
            <w:r>
              <w:rPr>
                <w:sz w:val="20"/>
              </w:rPr>
              <w:t>6 mois minimum, prolongé</w:t>
            </w:r>
          </w:p>
        </w:tc>
        <w:tc>
          <w:tcPr>
            <w:tcW w:type="dxa" w:w="2339"/>
          </w:tcPr>
          <w:p>
            <w:r>
              <w:rPr>
                <w:sz w:val="20"/>
              </w:rPr>
              <w:t>6 mois minimum, prolongé</w:t>
            </w:r>
          </w:p>
        </w:tc>
      </w:tr>
      <w:tr>
        <w:tc>
          <w:tcPr>
            <w:tcW w:type="dxa" w:w="2339"/>
          </w:tcPr>
          <w:p>
            <w:r>
              <w:rPr>
                <w:sz w:val="20"/>
              </w:rPr>
              <w:t>**Grossesse**</w:t>
            </w:r>
          </w:p>
        </w:tc>
        <w:tc>
          <w:tcPr>
            <w:tcW w:type="dxa" w:w="2339"/>
          </w:tcPr>
          <w:p>
            <w:r>
              <w:rPr>
                <w:sz w:val="20"/>
              </w:rPr>
              <w:t>Compatible (sans conservateur)</w:t>
            </w:r>
          </w:p>
        </w:tc>
        <w:tc>
          <w:tcPr>
            <w:tcW w:type="dxa" w:w="2339"/>
          </w:tcPr>
          <w:p>
            <w:r>
              <w:rPr>
                <w:sz w:val="20"/>
              </w:rPr>
              <w:t>À éviter par prudence</w:t>
            </w:r>
          </w:p>
        </w:tc>
        <w:tc>
          <w:tcPr>
            <w:tcW w:type="dxa" w:w="2339"/>
          </w:tcPr>
          <w:p>
            <w:r>
              <w:rPr>
                <w:sz w:val="20"/>
              </w:rPr>
              <w:t>Contre-indiqué 1er trimestre</w:t>
            </w:r>
          </w:p>
        </w:tc>
      </w:tr>
      <w:tr>
        <w:tc>
          <w:tcPr>
            <w:tcW w:type="dxa" w:w="2339"/>
          </w:tcPr>
          <w:p>
            <w:r>
              <w:rPr>
                <w:sz w:val="20"/>
              </w:rPr>
              <w:t>**Allaitement**</w:t>
            </w:r>
          </w:p>
        </w:tc>
        <w:tc>
          <w:tcPr>
            <w:tcW w:type="dxa" w:w="2339"/>
          </w:tcPr>
          <w:p>
            <w:r>
              <w:rPr>
                <w:sz w:val="20"/>
              </w:rPr>
              <w:t>Compatible (sans conservateur)</w:t>
            </w:r>
          </w:p>
        </w:tc>
        <w:tc>
          <w:tcPr>
            <w:tcW w:type="dxa" w:w="2339"/>
          </w:tcPr>
          <w:p>
            <w:r>
              <w:rPr>
                <w:sz w:val="20"/>
              </w:rPr>
              <w:t>À éviter par prudence</w:t>
            </w:r>
          </w:p>
        </w:tc>
        <w:tc>
          <w:tcPr>
            <w:tcW w:type="dxa" w:w="2339"/>
          </w:tcPr>
          <w:p>
            <w:r>
              <w:rPr>
                <w:sz w:val="20"/>
              </w:rPr>
              <w:t>Contre-indiqué</w:t>
            </w:r>
          </w:p>
        </w:tc>
      </w:tr>
      <w:tr>
        <w:tc>
          <w:tcPr>
            <w:tcW w:type="dxa" w:w="2339"/>
          </w:tcPr>
          <w:p>
            <w:r>
              <w:rPr>
                <w:sz w:val="20"/>
              </w:rPr>
              <w:t>**Enfant**</w:t>
            </w:r>
          </w:p>
        </w:tc>
        <w:tc>
          <w:tcPr>
            <w:tcW w:type="dxa" w:w="2339"/>
          </w:tcPr>
          <w:p>
            <w:r>
              <w:rPr>
                <w:sz w:val="20"/>
              </w:rPr>
              <w:t>À partir de 3 ans (sans conservateur)</w:t>
            </w:r>
          </w:p>
        </w:tc>
        <w:tc>
          <w:tcPr>
            <w:tcW w:type="dxa" w:w="2339"/>
          </w:tcPr>
          <w:p>
            <w:r>
              <w:rPr>
                <w:sz w:val="20"/>
              </w:rPr>
              <w:t>Non recommandé</w:t>
            </w:r>
          </w:p>
        </w:tc>
        <w:tc>
          <w:tcPr>
            <w:tcW w:type="dxa" w:w="2339"/>
          </w:tcPr>
          <w:p>
            <w:r>
              <w:rPr>
                <w:sz w:val="20"/>
              </w:rPr>
              <w:t>Non recommandé</w:t>
            </w:r>
          </w:p>
        </w:tc>
      </w:tr>
      <w:tr>
        <w:tc>
          <w:tcPr>
            <w:tcW w:type="dxa" w:w="2339"/>
          </w:tcPr>
          <w:p>
            <w:r>
              <w:rPr>
                <w:sz w:val="20"/>
              </w:rPr>
              <w:t>**EI digestifs**</w:t>
            </w:r>
          </w:p>
        </w:tc>
        <w:tc>
          <w:tcPr>
            <w:tcW w:type="dxa" w:w="2339"/>
          </w:tcPr>
          <w:p>
            <w:r>
              <w:rPr>
                <w:sz w:val="20"/>
              </w:rPr>
              <w:t>Néant (EI liés au BAK)</w:t>
            </w:r>
          </w:p>
        </w:tc>
        <w:tc>
          <w:tcPr>
            <w:tcW w:type="dxa" w:w="2339"/>
          </w:tcPr>
          <w:p>
            <w:r>
              <w:rPr>
                <w:sz w:val="20"/>
              </w:rPr>
              <w:t>Nausées 5–15 %</w:t>
            </w:r>
          </w:p>
        </w:tc>
        <w:tc>
          <w:tcPr>
            <w:tcW w:type="dxa" w:w="2339"/>
          </w:tcPr>
          <w:p>
            <w:r>
              <w:rPr>
                <w:sz w:val="20"/>
              </w:rPr>
              <w:t>Nausées/vomissements 10–20 %</w:t>
            </w:r>
          </w:p>
        </w:tc>
      </w:tr>
      <w:tr>
        <w:tc>
          <w:tcPr>
            <w:tcW w:type="dxa" w:w="2339"/>
          </w:tcPr>
          <w:p>
            <w:r>
              <w:rPr>
                <w:sz w:val="20"/>
              </w:rPr>
              <w:t>**EI cardiovasculaires**</w:t>
            </w:r>
          </w:p>
        </w:tc>
        <w:tc>
          <w:tcPr>
            <w:tcW w:type="dxa" w:w="2339"/>
          </w:tcPr>
          <w:p>
            <w:r>
              <w:rPr>
                <w:sz w:val="20"/>
              </w:rPr>
              <w:t>Néant</w:t>
            </w:r>
          </w:p>
        </w:tc>
        <w:tc>
          <w:tcPr>
            <w:tcW w:type="dxa" w:w="2339"/>
          </w:tcPr>
          <w:p>
            <w:r>
              <w:rPr>
                <w:sz w:val="20"/>
              </w:rPr>
              <w:t>Flush, hypotension (rare)</w:t>
            </w:r>
          </w:p>
        </w:tc>
        <w:tc>
          <w:tcPr>
            <w:tcW w:type="dxa" w:w="2339"/>
          </w:tcPr>
          <w:p>
            <w:r>
              <w:rPr>
                <w:sz w:val="20"/>
              </w:rPr>
              <w:t>Flush, hypotension orthostatique (5–15 %), tachycardie</w:t>
            </w:r>
          </w:p>
        </w:tc>
      </w:tr>
      <w:tr>
        <w:tc>
          <w:tcPr>
            <w:tcW w:type="dxa" w:w="2339"/>
          </w:tcPr>
          <w:p>
            <w:r>
              <w:rPr>
                <w:sz w:val="20"/>
              </w:rPr>
              <w:t>**EI neurologiques**</w:t>
            </w:r>
          </w:p>
        </w:tc>
        <w:tc>
          <w:tcPr>
            <w:tcW w:type="dxa" w:w="2339"/>
          </w:tcPr>
          <w:p>
            <w:r>
              <w:rPr>
                <w:sz w:val="20"/>
              </w:rPr>
              <w:t>Néant</w:t>
            </w:r>
          </w:p>
        </w:tc>
        <w:tc>
          <w:tcPr>
            <w:tcW w:type="dxa" w:w="2339"/>
          </w:tcPr>
          <w:p>
            <w:r>
              <w:rPr>
                <w:sz w:val="20"/>
              </w:rPr>
              <w:t>Céphalées, vertiges (5 %)</w:t>
            </w:r>
          </w:p>
        </w:tc>
        <w:tc>
          <w:tcPr>
            <w:tcW w:type="dxa" w:w="2339"/>
          </w:tcPr>
          <w:p>
            <w:r>
              <w:rPr>
                <w:sz w:val="20"/>
              </w:rPr>
              <w:t>Vertiges, céphalées, agitation, insomnie (5–15 %)</w:t>
            </w:r>
          </w:p>
        </w:tc>
      </w:tr>
      <w:tr>
        <w:tc>
          <w:tcPr>
            <w:tcW w:type="dxa" w:w="2339"/>
          </w:tcPr>
          <w:p>
            <w:r>
              <w:rPr>
                <w:sz w:val="20"/>
              </w:rPr>
              <w:t>**EI hématologiques**</w:t>
            </w:r>
          </w:p>
        </w:tc>
        <w:tc>
          <w:tcPr>
            <w:tcW w:type="dxa" w:w="2339"/>
          </w:tcPr>
          <w:p>
            <w:r>
              <w:rPr>
                <w:sz w:val="20"/>
              </w:rPr>
              <w:t>Néant</w:t>
            </w:r>
          </w:p>
        </w:tc>
        <w:tc>
          <w:tcPr>
            <w:tcW w:type="dxa" w:w="2339"/>
          </w:tcPr>
          <w:p>
            <w:r>
              <w:rPr>
                <w:sz w:val="20"/>
              </w:rPr>
              <w:t>Agranulocytose exceptionnelle</w:t>
            </w:r>
          </w:p>
        </w:tc>
        <w:tc>
          <w:tcPr>
            <w:tcW w:type="dxa" w:w="2339"/>
          </w:tcPr>
          <w:p>
            <w:r>
              <w:rPr>
                <w:sz w:val="20"/>
              </w:rPr>
              <w:t>Thrombopénie, leucopénie (rare)</w:t>
            </w:r>
          </w:p>
        </w:tc>
      </w:tr>
      <w:tr>
        <w:tc>
          <w:tcPr>
            <w:tcW w:type="dxa" w:w="2339"/>
          </w:tcPr>
          <w:p>
            <w:r>
              <w:rPr>
                <w:sz w:val="20"/>
              </w:rPr>
              <w:t>**EI hépatiques**</w:t>
            </w:r>
          </w:p>
        </w:tc>
        <w:tc>
          <w:tcPr>
            <w:tcW w:type="dxa" w:w="2339"/>
          </w:tcPr>
          <w:p>
            <w:r>
              <w:rPr>
                <w:sz w:val="20"/>
              </w:rPr>
              <w:t>Néant</w:t>
            </w:r>
          </w:p>
        </w:tc>
        <w:tc>
          <w:tcPr>
            <w:tcW w:type="dxa" w:w="2339"/>
          </w:tcPr>
          <w:p>
            <w:r>
              <w:rPr>
                <w:sz w:val="20"/>
              </w:rPr>
              <w:t>Cytolyse, cholestase (rare)</w:t>
            </w:r>
          </w:p>
        </w:tc>
        <w:tc>
          <w:tcPr>
            <w:tcW w:type="dxa" w:w="2339"/>
          </w:tcPr>
          <w:p>
            <w:r>
              <w:rPr>
                <w:sz w:val="20"/>
              </w:rPr>
              <w:t>Cytolyse (rare)</w:t>
            </w:r>
          </w:p>
        </w:tc>
      </w:tr>
      <w:tr>
        <w:tc>
          <w:tcPr>
            <w:tcW w:type="dxa" w:w="2339"/>
          </w:tcPr>
          <w:p>
            <w:r>
              <w:rPr>
                <w:sz w:val="20"/>
              </w:rPr>
              <w:t>**EI cutanés**</w:t>
            </w:r>
          </w:p>
        </w:tc>
        <w:tc>
          <w:tcPr>
            <w:tcW w:type="dxa" w:w="2339"/>
          </w:tcPr>
          <w:p>
            <w:r>
              <w:rPr>
                <w:sz w:val="20"/>
              </w:rPr>
              <w:t>Allergie locale (BAK)</w:t>
            </w:r>
          </w:p>
        </w:tc>
        <w:tc>
          <w:tcPr>
            <w:tcW w:type="dxa" w:w="2339"/>
          </w:tcPr>
          <w:p>
            <w:r>
              <w:rPr>
                <w:sz w:val="20"/>
              </w:rPr>
              <w:t>Rash, prurit (1–3 %)</w:t>
            </w:r>
          </w:p>
        </w:tc>
        <w:tc>
          <w:tcPr>
            <w:tcW w:type="dxa" w:w="2339"/>
          </w:tcPr>
          <w:p>
            <w:r>
              <w:rPr>
                <w:sz w:val="20"/>
              </w:rPr>
              <w:t>Flush, rash (1–3 %)</w:t>
            </w:r>
          </w:p>
        </w:tc>
      </w:tr>
      <w:tr>
        <w:tc>
          <w:tcPr>
            <w:tcW w:type="dxa" w:w="2339"/>
          </w:tcPr>
          <w:p>
            <w:r>
              <w:rPr>
                <w:sz w:val="20"/>
              </w:rPr>
              <w:t>**CI absolue principale**</w:t>
            </w:r>
          </w:p>
        </w:tc>
        <w:tc>
          <w:tcPr>
            <w:tcW w:type="dxa" w:w="2339"/>
          </w:tcPr>
          <w:p>
            <w:r>
              <w:rPr>
                <w:sz w:val="20"/>
              </w:rPr>
              <w:t>Hypersensibilité BAK</w:t>
            </w:r>
          </w:p>
        </w:tc>
        <w:tc>
          <w:tcPr>
            <w:tcW w:type="dxa" w:w="2339"/>
          </w:tcPr>
          <w:p>
            <w:r>
              <w:rPr>
                <w:sz w:val="20"/>
              </w:rPr>
              <w:t>Hypersensibilité, antécédent agranulocytose</w:t>
            </w:r>
          </w:p>
        </w:tc>
        <w:tc>
          <w:tcPr>
            <w:tcW w:type="dxa" w:w="2339"/>
          </w:tcPr>
          <w:p>
            <w:r>
              <w:rPr>
                <w:sz w:val="20"/>
              </w:rPr>
              <w:t>Infarctus récent, hémorragie active</w:t>
            </w:r>
          </w:p>
        </w:tc>
      </w:tr>
      <w:tr>
        <w:tc>
          <w:tcPr>
            <w:tcW w:type="dxa" w:w="2339"/>
          </w:tcPr>
          <w:p>
            <w:r>
              <w:rPr>
                <w:sz w:val="20"/>
              </w:rPr>
              <w:t>**Interactions majeures**</w:t>
            </w:r>
          </w:p>
        </w:tc>
        <w:tc>
          <w:tcPr>
            <w:tcW w:type="dxa" w:w="2339"/>
          </w:tcPr>
          <w:p>
            <w:r>
              <w:rPr>
                <w:sz w:val="20"/>
              </w:rPr>
              <w:t>BAK + autres collyres (intervalle 15 min)</w:t>
            </w:r>
          </w:p>
        </w:tc>
        <w:tc>
          <w:tcPr>
            <w:tcW w:type="dxa" w:w="2339"/>
          </w:tcPr>
          <w:p>
            <w:r>
              <w:rPr>
                <w:sz w:val="20"/>
              </w:rPr>
              <w:t>AVK (surveillance INR), AINS</w:t>
            </w:r>
          </w:p>
        </w:tc>
        <w:tc>
          <w:tcPr>
            <w:tcW w:type="dxa" w:w="2339"/>
          </w:tcPr>
          <w:p>
            <w:r>
              <w:rPr>
                <w:sz w:val="20"/>
              </w:rPr>
              <w:t>AVK, AINS, théophylline, inhibiteurs PDE5, cimétidine, ciprofloxacine</w:t>
            </w:r>
          </w:p>
        </w:tc>
      </w:tr>
      <w:tr>
        <w:tc>
          <w:tcPr>
            <w:tcW w:type="dxa" w:w="2339"/>
          </w:tcPr>
          <w:p>
            <w:r>
              <w:rPr>
                <w:sz w:val="20"/>
              </w:rPr>
              <w:t>**Spécialité active en Algérie**</w:t>
            </w:r>
          </w:p>
        </w:tc>
        <w:tc>
          <w:tcPr>
            <w:tcW w:type="dxa" w:w="2339"/>
          </w:tcPr>
          <w:p>
            <w:r>
              <w:rPr>
                <w:sz w:val="20"/>
              </w:rPr>
              <w:t>Aucune (LACRISIFI retiré)</w:t>
            </w:r>
          </w:p>
        </w:tc>
        <w:tc>
          <w:tcPr>
            <w:tcW w:type="dxa" w:w="2339"/>
          </w:tcPr>
          <w:p>
            <w:r>
              <w:rPr>
                <w:sz w:val="20"/>
              </w:rPr>
              <w:t>DOXIUM (Abdi Ibrahim Remède Pharma)</w:t>
            </w:r>
          </w:p>
        </w:tc>
        <w:tc>
          <w:tcPr>
            <w:tcW w:type="dxa" w:w="2339"/>
          </w:tcPr>
          <w:p>
            <w:r>
              <w:rPr>
                <w:sz w:val="20"/>
              </w:rPr>
              <w:t>PENTORENTAL (Hupp Pharma)</w:t>
            </w:r>
          </w:p>
        </w:tc>
      </w:tr>
      <w:tr>
        <w:tc>
          <w:tcPr>
            <w:tcW w:type="dxa" w:w="2339"/>
          </w:tcPr>
          <w:p>
            <w:r>
              <w:rPr>
                <w:sz w:val="20"/>
              </w:rPr>
              <w:t>**Statut Liste algérienne**</w:t>
            </w:r>
          </w:p>
        </w:tc>
        <w:tc>
          <w:tcPr>
            <w:tcW w:type="dxa" w:w="2339"/>
          </w:tcPr>
          <w:p>
            <w:r>
              <w:rPr>
                <w:sz w:val="20"/>
              </w:rPr>
              <w:t>Hors liste</w:t>
            </w:r>
          </w:p>
        </w:tc>
        <w:tc>
          <w:tcPr>
            <w:tcW w:type="dxa" w:w="2339"/>
          </w:tcPr>
          <w:p>
            <w:r>
              <w:rPr>
                <w:sz w:val="20"/>
              </w:rPr>
              <w:t>Hors liste</w:t>
            </w:r>
          </w:p>
        </w:tc>
        <w:tc>
          <w:tcPr>
            <w:tcW w:type="dxa" w:w="2339"/>
          </w:tcPr>
          <w:p>
            <w:r>
              <w:rPr>
                <w:sz w:val="20"/>
              </w:rPr>
              <w:t>Liste I</w:t>
            </w:r>
          </w:p>
        </w:tc>
      </w:tr>
      <w:tr>
        <w:tc>
          <w:tcPr>
            <w:tcW w:type="dxa" w:w="2339"/>
          </w:tcPr>
          <w:p>
            <w:r>
              <w:rPr>
                <w:sz w:val="20"/>
              </w:rPr>
              <w:t>**Surveillance biologique**</w:t>
            </w:r>
          </w:p>
        </w:tc>
        <w:tc>
          <w:tcPr>
            <w:tcW w:type="dxa" w:w="2339"/>
          </w:tcPr>
          <w:p>
            <w:r>
              <w:rPr>
                <w:sz w:val="20"/>
              </w:rPr>
              <w:t>Aucune (surveillance ophtalmo)</w:t>
            </w:r>
          </w:p>
        </w:tc>
        <w:tc>
          <w:tcPr>
            <w:tcW w:type="dxa" w:w="2339"/>
          </w:tcPr>
          <w:p>
            <w:r>
              <w:rPr>
                <w:sz w:val="20"/>
              </w:rPr>
              <w:t>NFS, bilan hépatique, rein (J15, M1, M3, 6 mois)</w:t>
            </w:r>
          </w:p>
        </w:tc>
        <w:tc>
          <w:tcPr>
            <w:tcW w:type="dxa" w:w="2339"/>
          </w:tcPr>
          <w:p>
            <w:r>
              <w:rPr>
                <w:sz w:val="20"/>
              </w:rPr>
              <w:t>NFS, bilan hépatique, rein (M1, M3, 6 mois)</w:t>
            </w:r>
          </w:p>
        </w:tc>
      </w:tr>
      <w:tr>
        <w:tc>
          <w:tcPr>
            <w:tcW w:type="dxa" w:w="2339"/>
          </w:tcPr>
          <w:p>
            <w:r>
              <w:rPr>
                <w:sz w:val="20"/>
              </w:rPr>
              <w:t>**Surveillance clinique**</w:t>
            </w:r>
          </w:p>
        </w:tc>
        <w:tc>
          <w:tcPr>
            <w:tcW w:type="dxa" w:w="2339"/>
          </w:tcPr>
          <w:p>
            <w:r>
              <w:rPr>
                <w:sz w:val="20"/>
              </w:rPr>
              <w:t>Acuité visuelle, BUT, Schirmer</w:t>
            </w:r>
          </w:p>
        </w:tc>
        <w:tc>
          <w:tcPr>
            <w:tcW w:type="dxa" w:w="2339"/>
          </w:tcPr>
          <w:p>
            <w:r>
              <w:rPr>
                <w:sz w:val="20"/>
              </w:rPr>
              <w:t>Acuité visuelle, fond d'œil, OCT, angiographie</w:t>
            </w:r>
          </w:p>
        </w:tc>
        <w:tc>
          <w:tcPr>
            <w:tcW w:type="dxa" w:w="2339"/>
          </w:tcPr>
          <w:p>
            <w:r>
              <w:rPr>
                <w:sz w:val="20"/>
              </w:rPr>
              <w:t>Périmètre de marche, IPS, fond d'œil</w:t>
            </w:r>
          </w:p>
        </w:tc>
      </w:tr>
      <w:tr>
        <w:tc>
          <w:tcPr>
            <w:tcW w:type="dxa" w:w="2339"/>
          </w:tcPr>
          <w:p>
            <w:r>
              <w:rPr>
                <w:sz w:val="20"/>
              </w:rPr>
              <w:t>**Coût mensuel estimé (DA)**</w:t>
            </w:r>
          </w:p>
        </w:tc>
        <w:tc>
          <w:tcPr>
            <w:tcW w:type="dxa" w:w="2339"/>
          </w:tcPr>
          <w:p>
            <w:r>
              <w:rPr>
                <w:sz w:val="20"/>
              </w:rPr>
              <w:t>Préparation magistrale : 200–500 DA</w:t>
            </w:r>
          </w:p>
        </w:tc>
        <w:tc>
          <w:tcPr>
            <w:tcW w:type="dxa" w:w="2339"/>
          </w:tcPr>
          <w:p>
            <w:r>
              <w:rPr>
                <w:sz w:val="20"/>
              </w:rPr>
              <w:t>DOXIUM 30 cp : ~600–900 DA</w:t>
            </w:r>
          </w:p>
        </w:tc>
        <w:tc>
          <w:tcPr>
            <w:tcW w:type="dxa" w:w="2339"/>
          </w:tcPr>
          <w:p>
            <w:r>
              <w:rPr>
                <w:sz w:val="20"/>
              </w:rPr>
              <w:t>PENTORENTAL 20 cp : ~400–600 DA</w:t>
            </w:r>
          </w:p>
        </w:tc>
      </w:tr>
      <w:tr>
        <w:tc>
          <w:tcPr>
            <w:tcW w:type="dxa" w:w="2339"/>
          </w:tcPr>
          <w:p>
            <w:r>
              <w:rPr>
                <w:sz w:val="20"/>
              </w:rPr>
              <w:t>**Niveau de preuve (HAS/Cochrane)**</w:t>
            </w:r>
          </w:p>
        </w:tc>
        <w:tc>
          <w:tcPr>
            <w:tcW w:type="dxa" w:w="2339"/>
          </w:tcPr>
          <w:p>
            <w:r>
              <w:rPr>
                <w:sz w:val="20"/>
              </w:rPr>
              <w:t>Élevé (DEWS II)</w:t>
            </w:r>
          </w:p>
        </w:tc>
        <w:tc>
          <w:tcPr>
            <w:tcW w:type="dxa" w:w="2339"/>
          </w:tcPr>
          <w:p>
            <w:r>
              <w:rPr>
                <w:sz w:val="20"/>
              </w:rPr>
              <w:t>Modeste (SMR insuffisant en France)</w:t>
            </w:r>
          </w:p>
        </w:tc>
        <w:tc>
          <w:tcPr>
            <w:tcW w:type="dxa" w:w="2339"/>
          </w:tcPr>
          <w:p>
            <w:r>
              <w:rPr>
                <w:sz w:val="20"/>
              </w:rPr>
              <w:t>Modéré (claudication), insuffisant (rétinopathie)</w:t>
            </w:r>
          </w:p>
        </w:tc>
      </w:tr>
    </w:tbl>
    <w:p/>
    <w:p>
      <w:pPr>
        <w:pStyle w:val="Heading3"/>
      </w:pPr>
      <w:r>
        <w:t>Synthèse comparative</w:t>
      </w:r>
    </w:p>
    <w:p>
      <w:r/>
      <w:r>
        <w:rPr>
          <w:b/>
        </w:rPr>
        <w:t>Pour le syndrome sec oculaire</w:t>
      </w:r>
      <w:r>
        <w:t xml:space="preserve"> : l'hydroxypropylméthylcellulose est un traitement de référence du syndrome sec modéré, mais sa disponibilité en Algérie est actuellement limitée (LACRISIFI retiré du marché). Les alternatives disponibles incluent l'acide hyaluronique, le carbomère, le polyvinylalcool, qui sont présentés dans les chapitres associés du Fascicule XV. La préparation magistrale de HPMC sans conservateur en officine reste une alternative viable. Le point critique est la toxicité du chlorure de benzalkonium en cas d'usage prolongé, qui impose le recours aux formes sans conservateur au-delà de 4 instillations par jour ou au-delà de 1 mois de traitement.</w:t>
      </w:r>
    </w:p>
    <w:p>
      <w:r/>
      <w:r>
        <w:rPr>
          <w:b/>
        </w:rPr>
        <w:t>Pour la rétinopathie diabétique non proliférante</w:t>
      </w:r>
      <w:r>
        <w:t xml:space="preserve"> : le calcium dobesilate et la pentoxifylline sont deux vasoprotecteurs oraux ayant des mécanismes d'action différents mais complémentaires (anti-exsudatif capillaire pour le calcium dobesilate, amélioration rhéologique érythrocytaire pour la pentoxifylline). Leur efficacité clinique reste modeste et discutée (méta-analyses Cochrane négatives ou peu concluantes). Ils ne se substituent jamais à la photocoagulation laser argon ni aux anti-VEGF intravitréens dans les formes patentes de rétinopathie proliférante ou d'œdème maculaire cliniquement significatif. Ils conservent une place comme adjuvant dans les formes modérées non proliférantes, en attente d'indication de photocoagulation.</w:t>
      </w:r>
    </w:p>
    <w:p>
      <w:r/>
      <w:r>
        <w:rPr>
          <w:b/>
        </w:rPr>
        <w:t>Pour la claudication intermittente AOI stade II</w:t>
      </w:r>
      <w:r>
        <w:t xml:space="preserve"> : la pentoxifylline conserve une place dans l'arsenal thérapeutique, en adjuvant de l'arrêt du tabac et du programme de marche quotidienne. Son efficacité est modeste (gain de 30–50 mètres au périmètre de marche), mais sa bonne tolérance générale et son faible coût en font une option acceptable. L'alternative est le cilostazol (inhibiteur PDE3 sélectif), non disponible en Algérie à ce jour.</w:t>
      </w:r>
    </w:p>
    <w:p>
      <w:r/>
      <w:r>
        <w:rPr>
          <w:b/>
        </w:rPr>
        <w:t>Pour la prévention secondaire cardiovasculaire</w:t>
      </w:r>
      <w:r>
        <w:t xml:space="preserve"> : ni le calcium dobesilate, ni la pentoxifylline ne sont indiqués en prévention secondaire cardiovasculaire (réduction de la mortalité, des infarctus, des AVC). Leur prescription ne doit jamais se substituer à l'aspirine (ou clopidogrel en cas d'CI à l'aspirine), aux statines, aux IEC/ARA2, ni à l'équilibre glycémique et tensionnel.</w:t>
      </w:r>
    </w:p>
    <w:p>
      <w:pPr>
        <w:pStyle w:val="Heading2"/>
      </w:pPr>
      <w:r>
        <w:t>145.6. Synthèse pédagogique pour la pratique officinale algérienne</w:t>
      </w:r>
    </w:p>
    <w:p>
      <w:pPr>
        <w:pStyle w:val="Heading3"/>
      </w:pPr>
      <w:r>
        <w:t>Règles d'or transversales du chapitre 145</w:t>
      </w:r>
    </w:p>
    <w:p>
      <w:pPr>
        <w:pStyle w:val="Heading4"/>
      </w:pPr>
      <w:r>
        <w:t>1. Règle d'or du syndrome sec oculaire : « Privilégier les formes sans conservateur au-delà de 4 instillations par jour ou au-delà de 1 mois de traitement. »</w:t>
      </w:r>
    </w:p>
    <w:p>
      <w:r>
        <w:t>Le chlorure de benzalkonium (BAK) est le conservateur le plus toxique pour l'épithélium cornéen et conjonctival. Sa toxicité est cumulative (dose-dépendante) et peut aggraver le syndrome sec qu'il est censé traiter. Les formulations sans conservateur (unidoses, flacons multidoses avec système de filtration moderne) sont à privilégier systématiquement en cas d'usage prolongé ou fréquent. Cette règle est particulièrement importante pour le patient polymédiqué ophtalmique (glaucome chronique + syndrome sec), chez qui le cumul des conservateurs expose à une toxicité additive.</w:t>
      </w:r>
    </w:p>
    <w:p>
      <w:pPr>
        <w:pStyle w:val="Heading4"/>
      </w:pPr>
      <w:r>
        <w:t>2. Règle d'or du calcium dobesilate : « Surveillance NFS et information du patient sur les signes d'agranulocytose. »</w:t>
      </w:r>
    </w:p>
    <w:p>
      <w:r>
        <w:t>L'agranulocytose sous calcium dobesilate est exceptionnelle (&lt; 1/100 000 patients traités), mais potentiellement mortelle en cas de sepsis non contrôlé. La surveillance NFS (J0, J15, M1, M3 puis tous les 6 mois) est obligatoire. Le patient doit être informé des signes d'alerte : fièvre ≥ 38,5 °C, angine, ulcérations buccales. En cas de survenue, arrêt immédiat du traitement et avis hématologique urgent.</w:t>
      </w:r>
    </w:p>
    <w:p>
      <w:pPr>
        <w:pStyle w:val="Heading4"/>
      </w:pPr>
      <w:r>
        <w:t>3. Règle d'or de la pentoxifylline : « Éviter la prise vespérale en raison du risque d'insomnie. »</w:t>
      </w:r>
    </w:p>
    <w:p>
      <w:r>
        <w:t>La pentoxifylline a un effet stimulant central (inhibition des PDE cérébrales) qui peut aggraver ou induire une insomnie. La prise doit se faire le matin (en cas de monothérapie quotidienne) ou matin et midi (en cas de bithérapie), en évitant la prise du soir. Cette règle est particulièrement importante chez le sujet âgé chez qui les troubles du sommeil sont fréquents et préjudiciables.</w:t>
      </w:r>
    </w:p>
    <w:p>
      <w:pPr>
        <w:pStyle w:val="Heading4"/>
      </w:pPr>
      <w:r>
        <w:t>4. Règle d'or de l'association avec les anticoagulants : « Surveillance rapprochée de l'INR et information du patient sur les signes hémorragiques. »</w:t>
      </w:r>
    </w:p>
    <w:p>
      <w:r>
        <w:t>Le calcium dobesilate et la pentoxifylline potentialisent le risque hémorragique des AVK et des AOD. La surveillance de l'INR (hebdomadaire puis mensuelle) est obligatoire en cas d'association avec AVK. Le patient doit être informé des signes d'alerte : gingivorragie, épistaxis spontané, ecchymoses, méléna, hématurie. En cas de survenue, arrêt des traitements et avis médical urgent.</w:t>
      </w:r>
    </w:p>
    <w:p>
      <w:pPr>
        <w:pStyle w:val="Heading4"/>
      </w:pPr>
      <w:r>
        <w:t>5. Règle d'or du sujet âgé : « Commencer par une dose réduite et surveiller la pression artérielle en orthostatisme. »</w:t>
      </w:r>
    </w:p>
    <w:p>
      <w:r>
        <w:t>Le calcium dobesilate et la pentoxifylline peuvent tous deux provoquer une hypotension orthostatique, particulièrement marquée chez le sujet âgé. La dose initiale doit être réduite (50 % de la dose adulte standard), et la pression artérielle mesurée en orthostatisme avant instauration et après titration. Le patient doit être informé du risque de vertiges au lever et de la nécessité de se lever progressivement.</w:t>
      </w:r>
    </w:p>
    <w:p>
      <w:pPr>
        <w:pStyle w:val="Heading3"/>
      </w:pPr>
      <w:r>
        <w:t>Pièges et mésusages à connaître au comptoir</w:t>
      </w:r>
    </w:p>
    <w:p>
      <w:pPr>
        <w:pStyle w:val="Heading4"/>
      </w:pPr>
      <w:r>
        <w:t>Piège 1 : Le patient diabétique « sous DOXIUM » sans suivi ophtalmologique</w:t>
      </w:r>
    </w:p>
    <w:p>
      <w:r>
        <w:t>Un patient diabétique sous calcium dobesilate sans fond d'œil annuel expose à une progression méconnue de la rétinopathie vers les formes proliférantes (indication de photocoagulation laser) ou vers un œdème maculaire cliniquement significatif (indication d'anti-VEGF intravitréen). Le pharmacien d'officine doit systématiquement demander la date du dernier fond d'œil lors du renouvellement du traitement. En cas d'absence de suivi ophtalmologique, alerter le médecin prescripteur et orienter vers un ophtalmologiste.</w:t>
      </w:r>
    </w:p>
    <w:p>
      <w:pPr>
        <w:pStyle w:val="Heading4"/>
      </w:pPr>
      <w:r>
        <w:t>Piège 2 : Le patient sous pentoxifylline qui continue de fumer</w:t>
      </w:r>
    </w:p>
    <w:p>
      <w:r>
        <w:t>L'arrêt du tabac est le seul traitement capable de ralentir la progression de l'artériopathie oblitérante des membres inférieurs (réduction de 30 % de la mortalité cardiovasculaire à 5 ans). La pentoxifylline n'a aucune efficacité démontrée chez le patient fumeur actif. Le pharmacien doit systématiquement évaluer le statut tabagique et proposer un accompagnement au sevrage (substituts nicotiniques, varénicline, bupropion).</w:t>
      </w:r>
    </w:p>
    <w:p>
      <w:pPr>
        <w:pStyle w:val="Heading4"/>
      </w:pPr>
      <w:r>
        <w:t>Piège 3 : Le patient « toujours en collyre » pour syndrome sec</w:t>
      </w:r>
    </w:p>
    <w:p>
      <w:r>
        <w:t>Un patient qui réclame un flacon de larmes artificielles tous les 8–10 jours à l'officine expose probablement à un mésusage (instillations excessives avec BAK, ou syndrome sec sous-jacent sévère non évalué). Toujours demander une évaluation ophtalmologique : mesure du test de Schirmer, du BUT, coloration à la fluorescéine. En cas de syndrome sec sévère (Schirmer &lt; 5 mm, BUT &lt; 5 s, kératite ponctuée), envisager un traitement anti-inflammatoire topique (ciclosporine collyre 0,05 %) en plus du substitut lacrymal.</w:t>
      </w:r>
    </w:p>
    <w:p>
      <w:pPr>
        <w:pStyle w:val="Heading4"/>
      </w:pPr>
      <w:r>
        <w:t>Piège 4 : La confusion avec les veinotoniques</w:t>
      </w:r>
    </w:p>
    <w:p>
      <w:r>
        <w:t>Le calcium dobesilate et la pentoxifylline sont des vasoprotecteurs ciblant la microcirculation artérielle et capillaire. Les veinotoniques (diosmine, hespéridine, troxérutine — Daflon, Flebion, Diosmil) ciblent la circulation veineuse et ont des indications distinctes (insuffisance veineuse chronique des membres inférieurs, hémorroïdes, varices). Ne pas substituer un vasoprotecteur par un veinotonique et inversement.</w:t>
      </w:r>
    </w:p>
    <w:p>
      <w:pPr>
        <w:pStyle w:val="Heading4"/>
      </w:pPr>
      <w:r>
        <w:t>Piège 5 : La grossesse méconnue chez la femme sous vasoprotecteur</w:t>
      </w:r>
    </w:p>
    <w:p>
      <w:r>
        <w:t>La pentoxifylline est contre-indiquée au 1er trimestre de grossesse et déconseillée ensuite. Le calcium dobesilate est à éviter par prudence pendant toute la grossesse. Chez une femme en âge de procréer, vérifier l'absence de grossesse (test β-hCG) avant instauration du traitement et s'assurer d'une contraception efficace.</w:t>
      </w:r>
    </w:p>
    <w:p>
      <w:pPr>
        <w:pStyle w:val="Heading4"/>
      </w:pPr>
      <w:r>
        <w:t>Piège 6 : L'association systématique avec l'aspirine</w:t>
      </w:r>
    </w:p>
    <w:p>
      <w:r>
        <w:t>L'aspirine à dose antiagrégante (75–300 mg/j) est en général bien tolérée en association avec le calcium dobesilate ou la pentoxifylline, mais expose à un risque hémorragique majoré. Évaluer systématiquement la pertinence de l'association, en particulier chez le sujet âgé et l'insuffisant rénal.</w:t>
      </w:r>
    </w:p>
    <w:p>
      <w:pPr>
        <w:pStyle w:val="Heading4"/>
      </w:pPr>
      <w:r>
        <w:t>Piège 7 : La poursuite au-delà de 6 mois sans réévaluation angiographique</w:t>
      </w:r>
    </w:p>
    <w:p>
      <w:r>
        <w:t>La prescription de calcium dobesilate ou de pentoxifylline au-delà de 6 mois sans réévaluation angiographique (fond d'œil, angiographie fluorescéinique, OCT maculaire) expose au risque de méconnaître une progression de la rétinopathie vers une forme proliférante ou un œdème maculaire cliniquement significatif. Toujours demander la date du dernier contrôle ophtalmologique lors du renouvellement.</w:t>
      </w:r>
    </w:p>
    <w:p>
      <w:pPr>
        <w:pStyle w:val="Heading4"/>
      </w:pPr>
      <w:r>
        <w:t>Piège 8 : L'oubli de la surveillance NFS sous calcium dobesilate</w:t>
      </w:r>
    </w:p>
    <w:p>
      <w:r>
        <w:t>L'agranulocytose sous calcium dobesilate est exceptionnelle mais potentiellement mortelle. La surveillance NFS (J0, J15, M1, M3 puis tous les 6 mois) est obligatoire. Le pharmacien doit vérifier la prescription des bilans biologiques et alerter le prescripteur en cas d'oubli.</w:t>
      </w:r>
    </w:p>
    <w:p>
      <w:pPr>
        <w:pStyle w:val="Heading4"/>
      </w:pPr>
      <w:r>
        <w:t>Piège 9 : Le patient porteur de lentilles et le BAK</w:t>
      </w:r>
    </w:p>
    <w:p>
      <w:r>
        <w:t>Le chlorure de benzalkonium des substituts lacrymaux se concentre dans la matrice hydrophile des lentilles de contact souples et expose à une toxicité cornéenne prolongée. Toujours orienter le patient porteur de lentilles vers une formulation sans conservateur (unidose, ou flacon multidose avec système moderne).</w:t>
      </w:r>
    </w:p>
    <w:p>
      <w:pPr>
        <w:pStyle w:val="Heading4"/>
      </w:pPr>
      <w:r>
        <w:t>Piège 10 : Le syndrome sec sévère sous HPMC seul sans effet</w:t>
      </w:r>
    </w:p>
    <w:p>
      <w:r>
        <w:t>Un syndrome sec sévère (Schirmer &lt; 5 mm, kératite ponctuée extensive) ne répond pas suffisamment aux substituts lacrymaux seuls. Le patient doit être orienté vers un ophtalmologiste pour évaluation d'un traitement anti-inflammatoire topique (ciclosporine 0,05 % collyre, loteprednol) ou systémique (si syndrome de Sjögren associé), et pour la pose éventuelle de bouchons méatiques.</w:t>
      </w:r>
    </w:p>
    <w:p>
      <w:pPr>
        <w:pStyle w:val="Heading3"/>
      </w:pPr>
      <w:r>
        <w:t>Algorithme de choix thérapeutique au comptoir</w:t>
      </w:r>
    </w:p>
    <w:p>
      <w:pPr>
        <w:pStyle w:val="Heading4"/>
      </w:pPr>
      <w:r>
        <w:t>Syndrome sec oculaire modéré (sensation de sable, fatigue visuelle en lecture)</w:t>
      </w:r>
    </w:p>
    <w:p>
      <w:pPr>
        <w:pStyle w:val="ListNumber"/>
      </w:pPr>
      <w:r/>
      <w:r>
        <w:rPr>
          <w:b/>
        </w:rPr>
        <w:t>Primo-prescription médicale préalable obligatoire</w:t>
      </w:r>
      <w:r>
        <w:t xml:space="preserve"> (diagnostic différentiel à éliminer : blépharite, rosacée oculaire, allergie chronique, déficit vitaminique A) ;</w:t>
      </w:r>
    </w:p>
    <w:p>
      <w:pPr>
        <w:pStyle w:val="ListNumber"/>
      </w:pPr>
      <w:r/>
      <w:r>
        <w:rPr>
          <w:b/>
        </w:rPr>
        <w:t>Substitut lacrymal sans conservateur</w:t>
      </w:r>
      <w:r>
        <w:t xml:space="preserve"> (HPMC unidose si disponible, ou acide hyaluronique 0,1 % à 0,4 %, ou carbomère gel) ;</w:t>
      </w:r>
    </w:p>
    <w:p>
      <w:pPr>
        <w:pStyle w:val="ListNumber"/>
      </w:pPr>
      <w:r/>
      <w:r>
        <w:rPr>
          <w:b/>
        </w:rPr>
        <w:t>Fréquence</w:t>
      </w:r>
      <w:r>
        <w:t xml:space="preserve"> : 1 goutte × 4 à 6 fois par jour dans chaque œil ;</w:t>
      </w:r>
    </w:p>
    <w:p>
      <w:pPr>
        <w:pStyle w:val="ListNumber"/>
      </w:pPr>
      <w:r/>
      <w:r>
        <w:rPr>
          <w:b/>
        </w:rPr>
        <w:t>Gel nocturne</w:t>
      </w:r>
      <w:r>
        <w:t xml:space="preserve"> au coucher (carbomère) si sécheresse nocturne ou lagophtalmie associée ;</w:t>
      </w:r>
    </w:p>
    <w:p>
      <w:pPr>
        <w:pStyle w:val="ListNumber"/>
      </w:pPr>
      <w:r/>
      <w:r>
        <w:rPr>
          <w:b/>
        </w:rPr>
        <w:t>Mesures associées</w:t>
      </w:r>
      <w:r>
        <w:t xml:space="preserve"> : pauses visuelles règle des 20-20-20, humidification de la chambre, oméga-3, arrêt du tabac ;</w:t>
      </w:r>
    </w:p>
    <w:p>
      <w:pPr>
        <w:pStyle w:val="ListNumber"/>
      </w:pPr>
      <w:r/>
      <w:r>
        <w:rPr>
          <w:b/>
        </w:rPr>
        <w:t>Réévaluation à 1 mois</w:t>
      </w:r>
      <w:r>
        <w:t xml:space="preserve"> : si inefficace, avis ophtalmologique pour bilan spécialisé (Schirmer, BUT, OCT).</w:t>
      </w:r>
    </w:p>
    <w:p>
      <w:pPr>
        <w:pStyle w:val="Heading4"/>
      </w:pPr>
      <w:r>
        <w:t>Rétinopathie diabétique non proliférante modérée</w:t>
      </w:r>
    </w:p>
    <w:p>
      <w:pPr>
        <w:pStyle w:val="ListNumber"/>
      </w:pPr>
      <w:r/>
      <w:r>
        <w:rPr>
          <w:b/>
        </w:rPr>
        <w:t>Fond d'œil et angiographie fluorescéinique préalables obligatoires</w:t>
      </w:r>
      <w:r>
        <w:t xml:space="preserve"> (évaluation de la sévérité et de l'étendue) ;</w:t>
      </w:r>
    </w:p>
    <w:p>
      <w:pPr>
        <w:pStyle w:val="ListNumber"/>
      </w:pPr>
      <w:r/>
      <w:r>
        <w:rPr>
          <w:b/>
        </w:rPr>
        <w:t>Équilibre glycémique strict</w:t>
      </w:r>
      <w:r>
        <w:t xml:space="preserve"> (HbA1c cible &lt; 7 %) ;</w:t>
      </w:r>
    </w:p>
    <w:p>
      <w:pPr>
        <w:pStyle w:val="ListNumber"/>
      </w:pPr>
      <w:r/>
      <w:r>
        <w:rPr>
          <w:b/>
        </w:rPr>
        <w:t>Équilibre tensionnel</w:t>
      </w:r>
      <w:r>
        <w:t xml:space="preserve"> (PA cible &lt; 130/80 mmHg) ;</w:t>
      </w:r>
    </w:p>
    <w:p>
      <w:pPr>
        <w:pStyle w:val="ListNumber"/>
      </w:pPr>
      <w:r/>
      <w:r>
        <w:rPr>
          <w:b/>
        </w:rPr>
        <w:t>Calcium dobesilate 1000 mg × 2/jour</w:t>
      </w:r>
      <w:r>
        <w:t xml:space="preserve"> en adjuvant, avec surveillance NFS, bilan hépatique, fonction rénale ;</w:t>
      </w:r>
    </w:p>
    <w:p>
      <w:pPr>
        <w:pStyle w:val="ListNumber"/>
      </w:pPr>
      <w:r/>
      <w:r>
        <w:rPr>
          <w:b/>
        </w:rPr>
        <w:t>Réévaluation à 3 et 6 mois</w:t>
      </w:r>
      <w:r>
        <w:t xml:space="preserve"> par fond d'œil et OCT maculaire ;</w:t>
      </w:r>
    </w:p>
    <w:p>
      <w:pPr>
        <w:pStyle w:val="ListNumber"/>
      </w:pPr>
      <w:r/>
      <w:r>
        <w:rPr>
          <w:b/>
        </w:rPr>
        <w:t>En cas de progression vers RDP ou œdème maculaire cliniquement significatif</w:t>
      </w:r>
      <w:r>
        <w:t xml:space="preserve"> : arrêt du calcium dobesilate, indication de photocoagulation laser ou d'anti-VEGF intravitréen.</w:t>
      </w:r>
    </w:p>
    <w:p>
      <w:pPr>
        <w:pStyle w:val="Heading4"/>
      </w:pPr>
      <w:r>
        <w:t>Claudication intermittente AOI stade II</w:t>
      </w:r>
    </w:p>
    <w:p>
      <w:pPr>
        <w:pStyle w:val="ListNumber"/>
      </w:pPr>
      <w:r/>
      <w:r>
        <w:rPr>
          <w:b/>
        </w:rPr>
        <w:t>Évaluation vasculaire préalable</w:t>
      </w:r>
      <w:r>
        <w:t xml:space="preserve"> : IPS, échographie Doppler artérielle des membres inférieurs, avis chirurgicale vasculaire si IPS &lt; 0,9 ;</w:t>
      </w:r>
    </w:p>
    <w:p>
      <w:pPr>
        <w:pStyle w:val="ListNumber"/>
      </w:pPr>
      <w:r/>
      <w:r>
        <w:rPr>
          <w:b/>
        </w:rPr>
        <w:t>Arrêt du tabac</w:t>
      </w:r>
      <w:r>
        <w:t xml:space="preserve"> (impératif, accompagnement pharmacologique) ;</w:t>
      </w:r>
    </w:p>
    <w:p>
      <w:pPr>
        <w:pStyle w:val="ListNumber"/>
      </w:pPr>
      <w:r/>
      <w:r>
        <w:rPr>
          <w:b/>
        </w:rPr>
        <w:t>Programme de marche quotidienne</w:t>
      </w:r>
      <w:r>
        <w:t xml:space="preserve"> (au moins 30 minutes/jour, en progression) ;</w:t>
      </w:r>
    </w:p>
    <w:p>
      <w:pPr>
        <w:pStyle w:val="ListNumber"/>
      </w:pPr>
      <w:r/>
      <w:r>
        <w:rPr>
          <w:b/>
        </w:rPr>
        <w:t>Pentoxifylline 400 mg LP × 2/jour</w:t>
      </w:r>
      <w:r>
        <w:t xml:space="preserve"> (matin et midi), avec surveillance pression artérielle, NFS, bilan hépatique, fonction rénale ;</w:t>
      </w:r>
    </w:p>
    <w:p>
      <w:pPr>
        <w:pStyle w:val="ListNumber"/>
      </w:pPr>
      <w:r/>
      <w:r>
        <w:rPr>
          <w:b/>
        </w:rPr>
        <w:t>Contrôle des facteurs de risque</w:t>
      </w:r>
      <w:r>
        <w:t xml:space="preserve"> : équilibre glycémique (si diabétique), tensionnel, lipidique (statine), antiagrégant plaquettaire (aspirine 75 mg/j sauf CI) ;</w:t>
      </w:r>
    </w:p>
    <w:p>
      <w:pPr>
        <w:pStyle w:val="ListNumber"/>
      </w:pPr>
      <w:r/>
      <w:r>
        <w:rPr>
          <w:b/>
        </w:rPr>
        <w:t>Réévaluation à 3 mois</w:t>
      </w:r>
      <w:r>
        <w:t xml:space="preserve"> : test de marche (périmètre), IPS. En cas d'aggravation vers stade III/IV : arrêt de la pentoxifylline, avis chirurgical (revascularisation).</w:t>
      </w:r>
    </w:p>
    <w:p>
      <w:pPr>
        <w:pStyle w:val="Heading3"/>
      </w:pPr>
      <w:r>
        <w:t>Sources bibliographiques mobilisées</w:t>
      </w:r>
    </w:p>
    <w:p>
      <w:pPr>
        <w:pStyle w:val="ListNumber"/>
      </w:pPr>
      <w:r/>
      <w:r>
        <w:rPr>
          <w:b/>
        </w:rPr>
        <w:t>VIDAL</w:t>
      </w:r>
      <w:r>
        <w:t xml:space="preserve"> : Recueil des spécialités pharmaceutiques françaises et algériennes (édition 2025-2026) ;</w:t>
      </w:r>
    </w:p>
    <w:p>
      <w:pPr>
        <w:pStyle w:val="ListNumber"/>
      </w:pPr>
      <w:r/>
      <w:r>
        <w:rPr>
          <w:b/>
        </w:rPr>
        <w:t>ANSM</w:t>
      </w:r>
      <w:r>
        <w:t xml:space="preserve"> (Agence Nationale de Sécurité du Médicament et des Produits de Santé) : Résumés des Caractéristiques du Produit (RCP) des spécialités concernées ;</w:t>
      </w:r>
    </w:p>
    <w:p>
      <w:pPr>
        <w:pStyle w:val="ListNumber"/>
      </w:pPr>
      <w:r/>
      <w:r>
        <w:rPr>
          <w:b/>
        </w:rPr>
        <w:t>Thériaque</w:t>
      </w:r>
      <w:r>
        <w:t xml:space="preserve"> : Base de données française des interactions médicamenteuses ;</w:t>
      </w:r>
    </w:p>
    <w:p>
      <w:pPr>
        <w:pStyle w:val="ListNumber"/>
      </w:pPr>
      <w:r/>
      <w:r>
        <w:rPr>
          <w:b/>
        </w:rPr>
        <w:t>CRAT</w:t>
      </w:r>
      <w:r>
        <w:t xml:space="preserve"> (Centre Renseignements Agents Tératogènes) : Données de grossesse et d'allaitement ;</w:t>
      </w:r>
    </w:p>
    <w:p>
      <w:pPr>
        <w:pStyle w:val="ListNumber"/>
      </w:pPr>
      <w:r/>
      <w:r>
        <w:rPr>
          <w:b/>
        </w:rPr>
        <w:t>UpToDate</w:t>
      </w:r>
      <w:r>
        <w:t xml:space="preserve"> : Recommandations internationales (sections « Dry eye disease », « Diabetic retinopathy », « Peripheral artery disease ») ;</w:t>
      </w:r>
    </w:p>
    <w:p>
      <w:pPr>
        <w:pStyle w:val="ListNumber"/>
      </w:pPr>
      <w:r/>
      <w:r>
        <w:rPr>
          <w:b/>
        </w:rPr>
        <w:t>DEWS II</w:t>
      </w:r>
      <w:r>
        <w:t xml:space="preserve"> (TFOS International Dry Eye Workshop II, 2017) : Recommandations sur le syndrome sec oculaire ;</w:t>
      </w:r>
    </w:p>
    <w:p>
      <w:pPr>
        <w:pStyle w:val="ListNumber"/>
      </w:pPr>
      <w:r/>
      <w:r>
        <w:rPr>
          <w:b/>
        </w:rPr>
        <w:t>HAS</w:t>
      </w:r>
      <w:r>
        <w:t xml:space="preserve"> (Haute Autorité de Santé) : Évaluations du calcium dobesilate (2006, 2013) et de la pentoxifylline (2006, 2013) ;</w:t>
      </w:r>
    </w:p>
    <w:p>
      <w:pPr>
        <w:pStyle w:val="ListNumber"/>
      </w:pPr>
      <w:r/>
      <w:r>
        <w:rPr>
          <w:b/>
        </w:rPr>
        <w:t>Cochrane Database of Systematic Reviews</w:t>
      </w:r>
      <w:r>
        <w:t xml:space="preserve"> : Revues systématiques sur le calcium dobesilate dans la rétinopathie diabétique (2009, 2014) et sur la pentoxifylline dans la claudication intermittente (2015) ;</w:t>
      </w:r>
    </w:p>
    <w:p>
      <w:pPr>
        <w:pStyle w:val="ListNumber"/>
      </w:pPr>
      <w:r/>
      <w:r>
        <w:rPr>
          <w:b/>
        </w:rPr>
        <w:t>Nomenclature algérienne des médicaments (Avril 2026)</w:t>
      </w:r>
      <w:r>
        <w:t xml:space="preserve"> : Liste officielle des spécialités disponibles en Algérie.</w:t>
      </w:r>
    </w:p>
    <w:p>
      <w:pPr>
        <w:pStyle w:val="Heading2"/>
      </w:pPr>
      <w:r>
        <w:t>145.7. Conclusion générale du Fascicule XV — Ophtalmologie</w:t>
      </w:r>
    </w:p>
    <w:p>
      <w:pPr>
        <w:pStyle w:val="Heading3"/>
      </w:pPr>
      <w:r>
        <w:t>Synthèse du Fascicule XV</w:t>
      </w:r>
    </w:p>
    <w:p>
      <w:r>
        <w:t>Le Fascicule XV a parcouru l'ensemble du champ pharmacologique ophtalmologique, depuis les traitements du glaucome chronique (chapitre 141) jusqu'aux vasoprotecteurs et larmes artificielles du présent chapitre 145, en passant par les antiallergiques et corticoïdes oculaires (chapitre 142), les AINS et anesthésiques ophtalmiques (chapitre 143) et les mydriatiques et anti-VEGF intravitréens (chapitre 144). L'ensemble de ces chapitres couvre les principales classes médicamenteuses utilisées en pratique ophtalmologique courante en Algérie, avec une attention particulière aux spécificités de la nomenclature algérienne (Avril 2026) et au contexte clinique local.</w:t>
      </w:r>
    </w:p>
    <w:p>
      <w:pPr>
        <w:pStyle w:val="Heading3"/>
      </w:pPr>
      <w:r>
        <w:t>Points clés du chapitre 145</w:t>
      </w:r>
    </w:p>
    <w:p>
      <w:r>
        <w:t>Le chapitre 145 a abordé deux classes médicamenteuses complémentaires :</w:t>
      </w:r>
    </w:p>
    <w:p>
      <w:pPr>
        <w:pStyle w:val="ListNumber"/>
      </w:pPr>
      <w:r/>
      <w:r>
        <w:rPr>
          <w:b/>
        </w:rPr>
        <w:t>Les larmes artificielles et substituts lacrymaux</w:t>
      </w:r>
      <w:r>
        <w:t>, traitement de première intention du syndrome sec oculaire dont la prévalence est en augmentation en Algérie (vieillissement de la population, travail sur écran, climat sec et pollué). L'hydroxypropylméthylcellulose (HPMC), seul représentant strict de cette classe dans la nomenclature algérienne, est actuellement disponible uniquement sous forme retirée (LACRISIFI), ce qui impose le recours aux alternatives (acide hyaluronique, carbomère) ou à la préparation magistrale. Le point critique est la toxicité du chlorure de benzalkonium en cas d'usage prolongé, qui impose le recours aux formes sans conservateur au-delà de 4 instillations par jour ou au-delà de 1 mois.</w:t>
      </w:r>
    </w:p>
    <w:p>
      <w:pPr>
        <w:pStyle w:val="ListNumber"/>
      </w:pPr>
      <w:r/>
      <w:r>
        <w:rPr>
          <w:b/>
        </w:rPr>
        <w:t>Les vasoprotecteurs à visée ophtalmologique</w:t>
      </w:r>
      <w:r>
        <w:t xml:space="preserve"> (calcium dobesilate et pentoxifylline), classe hétérogène dont la place dans l'arsenal thérapeutique a été réduite par l'avènement des anti-VEGF intravitréens. Ces molécules conservent un rôle d'adjuvant dans la rétinopathie diabétique non proliférante modérée et dans la claudication intermittente (pentoxifylline), mais ne se substituent jamais aux traitements de référence (photocoagulation laser, anti-VEGF intravitréens) dans les formes patentes. Leurs principaux risques sont l'agranulocytose (exceptionnelle, calcium dobesilate), l'hypotension orthostatique (fréquente, pentoxifylline), et le risque hémorragique additif avec les anticoagulants et antiagrégants.</w:t>
      </w:r>
    </w:p>
    <w:p>
      <w:pPr>
        <w:pStyle w:val="Heading3"/>
      </w:pPr>
      <w:r>
        <w:t>Messages-clés pour la pratique officinale algérienne</w:t>
      </w:r>
    </w:p>
    <w:p>
      <w:pPr>
        <w:pStyle w:val="ListNumber"/>
      </w:pPr>
      <w:r/>
      <w:r>
        <w:rPr>
          <w:b/>
        </w:rPr>
        <w:t>Respecter la règle d'or du BAK</w:t>
      </w:r>
      <w:r>
        <w:t xml:space="preserve"> : privilégier systématiquement les formes sans conservateur au-delà de 4 instillations par jour ou au-delà de 1 mois de traitement substitutif lacrymal.</w:t>
      </w:r>
    </w:p>
    <w:p>
      <w:pPr>
        <w:pStyle w:val="ListNumber"/>
      </w:pPr>
      <w:r/>
      <w:r>
        <w:rPr>
          <w:b/>
        </w:rPr>
        <w:t>Surveiller la NFS sous calcium dobesilate</w:t>
      </w:r>
      <w:r>
        <w:t xml:space="preserve"> (J0, J15, M1, M3 puis tous les 6 mois) et informer le patient des signes d'agranulocytose (fièvre, angine, ulcérations buccales).</w:t>
      </w:r>
    </w:p>
    <w:p>
      <w:pPr>
        <w:pStyle w:val="ListNumber"/>
      </w:pPr>
      <w:r/>
      <w:r>
        <w:rPr>
          <w:b/>
        </w:rPr>
        <w:t>Éviter la prise vespérale de pentoxifylline</w:t>
      </w:r>
      <w:r>
        <w:t xml:space="preserve"> en raison du risque d'insomnie. Préférer une prise matinale ou matin + midi.</w:t>
      </w:r>
    </w:p>
    <w:p>
      <w:pPr>
        <w:pStyle w:val="ListNumber"/>
      </w:pPr>
      <w:r/>
      <w:r>
        <w:rPr>
          <w:b/>
        </w:rPr>
        <w:t>Surveiller l'INR en cas d'association avec les anticoagulants oraux</w:t>
      </w:r>
      <w:r>
        <w:t xml:space="preserve"> (AVK), et informer le patient des signes d'alerte hémorragique.</w:t>
      </w:r>
    </w:p>
    <w:p>
      <w:pPr>
        <w:pStyle w:val="ListNumber"/>
      </w:pPr>
      <w:r/>
      <w:r>
        <w:rPr>
          <w:b/>
        </w:rPr>
        <w:t>Adapter la posologie chez le sujet âgé</w:t>
      </w:r>
      <w:r>
        <w:t xml:space="preserve"> : réduire la dose initiale de moitié, surveiller la pression artérielle en orthostatisme, et se méfier des interactions médicamenteuses cumulatives.</w:t>
      </w:r>
    </w:p>
    <w:p>
      <w:pPr>
        <w:pStyle w:val="ListNumber"/>
      </w:pPr>
      <w:r/>
      <w:r>
        <w:rPr>
          <w:b/>
        </w:rPr>
        <w:t>Vérifier le statut cardiovasculaire avant instauration de la pentoxifylline</w:t>
      </w:r>
      <w:r>
        <w:t xml:space="preserve"> (infarctus récent, angor instable, hémorragie active = CI absolue).</w:t>
      </w:r>
    </w:p>
    <w:p>
      <w:pPr>
        <w:pStyle w:val="ListNumber"/>
      </w:pPr>
      <w:r/>
      <w:r>
        <w:rPr>
          <w:b/>
        </w:rPr>
        <w:t>Demander la date du dernier fond d'œil</w:t>
      </w:r>
      <w:r>
        <w:t xml:space="preserve"> lors du renouvellement du calcium dobesilate chez un diabétique (suivi ophtalmologique annuel minimum).</w:t>
      </w:r>
    </w:p>
    <w:p>
      <w:pPr>
        <w:pStyle w:val="ListNumber"/>
      </w:pPr>
      <w:r/>
      <w:r>
        <w:rPr>
          <w:b/>
        </w:rPr>
        <w:t>Évaluer le statut tabagique</w:t>
      </w:r>
      <w:r>
        <w:t xml:space="preserve"> chez tout patient sous pentoxifylline pour claudication intermittente, et proposer un accompagnement au sevrage tabagique.</w:t>
      </w:r>
    </w:p>
    <w:p>
      <w:pPr>
        <w:pStyle w:val="ListNumber"/>
      </w:pPr>
      <w:r/>
      <w:r>
        <w:rPr>
          <w:b/>
        </w:rPr>
        <w:t>Privilégier les mesures non pharmacologiques</w:t>
      </w:r>
      <w:r>
        <w:t xml:space="preserve"> : arrêt du tabac, marche quotidienne, équilibre glycémique et tensionnel, pauses visuelles régulières pour le syndrome sec.</w:t>
      </w:r>
    </w:p>
    <w:p>
      <w:pPr>
        <w:pStyle w:val="ListNumber"/>
      </w:pPr>
      <w:r/>
      <w:r>
        <w:rPr>
          <w:b/>
        </w:rPr>
        <w:t>Orienter vers un spécialiste en cas de symptômes atypiques ou de progression</w:t>
      </w:r>
      <w:r>
        <w:t xml:space="preserve"> : baisse d'acuité visuelle, douleur oculaire, aggravation de la claudication, fièvre sous calcium dobesilate.</w:t>
      </w:r>
    </w:p>
    <w:p>
      <w:pPr>
        <w:pStyle w:val="Heading3"/>
      </w:pPr>
      <w:r>
        <w:t>Perspectives thérapeutiques et limites du Fascicule</w:t>
      </w:r>
    </w:p>
    <w:p>
      <w:r>
        <w:t>L'arsenal thérapeutique ophtalmologique algérien est en évolution rapide, avec une dynamique de production locale croissante (Abdi Ibrahim Remède Pharma, Hupp Pharma, Lek, Mylan, Sanofi-Aventis Algérie, Biopharm, Saidal, Medis, etc.) et une diversification des spécialités disponibles. Toutefois, certaines molécules de référence internationale ne sont pas disponibles en Algérie à ce jour (cilostazol pour la claudication intermittente, loteprednol pour le syndrome sec sévère, lifitegrast pour la sécheresse oculaire, faricimab pour la DMLA exsudative). La pharmacien d'officine algérien joue un rôle crucial dans l'orientation thérapeutique, la prévention des mésusages et l'éducation à l'observance, en lien avec les ophtalmologistes et médecins généralistes.</w:t>
      </w:r>
    </w:p>
    <w:p>
      <w:pPr>
        <w:pStyle w:val="Heading3"/>
      </w:pPr>
      <w:r>
        <w:t>Clôture du Fascicule XV</w:t>
      </w:r>
    </w:p>
    <w:p>
      <w:r>
        <w:t>Avec ce chapitre 145 s'achève le Fascicule XV consacré à la pharmacologie ophtalmologique. Les 35 DCI traitées dans les cinq chapitres (141 à 145) couvrent l'ensemble du spectre thérapeutique ophtalmologique courant en Algérie, des antiglaucomateux aux vasoprotecteurs, en passant par les antiallergiques, les corticoïdes, les AINS, les anesthésiques, les mydriatiques, les anti-VEGF intravitréens et les larmes artificielles. Chaque fiche DCI a été rédigée selon une structure identique (12 sections), avec un objectif pédagogique clair : fournir au pharmacien d'officine algérien et à l'étudiant en pharmacie un outil de référence pratique, exhaustif et fondé sur les sources académiques (VIDAL, ANSM, Thériaque, CRAT, UpToDate, recommandations HAS/Cochrane) pour la pratique quotidienne de la pharmacie clinique ophtalmologique.</w:t>
      </w:r>
    </w:p>
    <w:p>
      <w:r>
        <w:t>Les Fascicules suivants aborderont d'autres classes thérapeutiques selon le plan éditorial en cours (dermatologie, infectiologie systémique, cardiologie, neurologie, psychiatrie, etc.). La méthodologie employée (fiches DCI structurées, tableaux comparatifs, règles d'or et pièges au comptoir, sources académiques mobilisées) sera poursuivie pour assurer la cohérence pédagogique de l'ouvrage global.</w:t>
      </w:r>
    </w:p>
    <w:p>
      <w:r/>
      <w:r>
        <w:rPr>
          <w:i/>
        </w:rPr>
        <w:t>Fin du Chapitre 145 — Larmes artificielles et vasoprotecteurs</w:t>
      </w:r>
      <w:r/>
    </w:p>
    <w:p>
      <w:r/>
      <w:r>
        <w:rPr>
          <w:i/>
        </w:rPr>
        <w:t>Fin du Fascicule XV — Ophtalmologie</w:t>
      </w:r>
      <w: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Ophtalmologie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